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left="120" w:leftChars="50" w:right="120" w:rightChars="50" w:firstLine="482" w:firstLineChars="200"/>
        <w:jc w:val="center"/>
        <w:rPr>
          <w:rStyle w:val="85"/>
          <w:rFonts w:ascii="宋体" w:hAnsi="宋体"/>
          <w:b/>
          <w:bCs/>
          <w:szCs w:val="24"/>
        </w:rPr>
      </w:pPr>
    </w:p>
    <w:p>
      <w:pPr>
        <w:spacing w:before="156" w:beforeLines="50" w:after="156" w:afterLines="50" w:line="360" w:lineRule="auto"/>
        <w:ind w:left="120" w:leftChars="50" w:right="120" w:rightChars="50" w:firstLine="482" w:firstLineChars="200"/>
        <w:rPr>
          <w:rStyle w:val="85"/>
          <w:rFonts w:ascii="宋体" w:hAnsi="宋体"/>
          <w:b/>
          <w:bCs/>
          <w:szCs w:val="24"/>
        </w:rPr>
      </w:pPr>
    </w:p>
    <w:p>
      <w:pPr>
        <w:spacing w:before="156" w:beforeLines="50" w:after="156" w:afterLines="50" w:line="360" w:lineRule="auto"/>
        <w:ind w:left="120" w:leftChars="50" w:right="120" w:rightChars="50" w:firstLine="482" w:firstLineChars="200"/>
        <w:rPr>
          <w:rStyle w:val="85"/>
          <w:rFonts w:ascii="宋体" w:hAnsi="宋体"/>
          <w:b/>
          <w:bCs/>
          <w:szCs w:val="24"/>
        </w:rPr>
      </w:pPr>
    </w:p>
    <w:p>
      <w:pPr>
        <w:spacing w:before="156" w:beforeLines="50" w:after="156" w:afterLines="50" w:line="360" w:lineRule="auto"/>
        <w:ind w:left="120" w:leftChars="50" w:right="120" w:rightChars="50" w:firstLine="964" w:firstLineChars="200"/>
        <w:jc w:val="center"/>
        <w:rPr>
          <w:rFonts w:ascii="宋体" w:hAnsi="宋体" w:cs="宋体"/>
          <w:b/>
          <w:sz w:val="48"/>
          <w:szCs w:val="48"/>
        </w:rPr>
      </w:pPr>
      <w:r>
        <w:rPr>
          <w:rFonts w:hint="eastAsia" w:ascii="宋体" w:hAnsi="宋体" w:cs="宋体"/>
          <w:b/>
          <w:sz w:val="48"/>
          <w:szCs w:val="48"/>
        </w:rPr>
        <w:t>开元壹号60#地块公寓楼封闭母线</w:t>
      </w:r>
    </w:p>
    <w:p>
      <w:pPr>
        <w:spacing w:before="156" w:beforeLines="50" w:after="156" w:afterLines="50" w:line="360" w:lineRule="auto"/>
        <w:ind w:left="120" w:leftChars="50" w:right="120" w:rightChars="50" w:firstLine="964" w:firstLineChars="200"/>
        <w:jc w:val="center"/>
        <w:rPr>
          <w:rFonts w:ascii="宋体" w:hAnsi="宋体" w:cs="宋体"/>
          <w:b/>
          <w:bCs/>
          <w:sz w:val="48"/>
          <w:szCs w:val="48"/>
        </w:rPr>
      </w:pPr>
      <w:r>
        <w:rPr>
          <w:rFonts w:hint="eastAsia" w:ascii="宋体" w:hAnsi="宋体" w:cs="宋体"/>
          <w:b/>
          <w:sz w:val="48"/>
          <w:szCs w:val="48"/>
        </w:rPr>
        <w:t>采购及安装</w:t>
      </w:r>
      <w:r>
        <w:rPr>
          <w:rStyle w:val="86"/>
          <w:rFonts w:hint="eastAsia" w:ascii="宋体" w:hAnsi="宋体" w:cs="宋体"/>
          <w:b/>
          <w:bCs/>
          <w:sz w:val="48"/>
          <w:szCs w:val="48"/>
        </w:rPr>
        <w:t>工程</w:t>
      </w:r>
      <w:r>
        <w:rPr>
          <w:rFonts w:hint="eastAsia" w:ascii="宋体" w:hAnsi="宋体" w:cs="宋体"/>
          <w:b/>
          <w:bCs/>
          <w:sz w:val="48"/>
          <w:szCs w:val="48"/>
        </w:rPr>
        <w:t>合同</w:t>
      </w:r>
    </w:p>
    <w:p>
      <w:pPr>
        <w:spacing w:before="156" w:beforeLines="50" w:after="156" w:afterLines="50" w:line="360" w:lineRule="auto"/>
        <w:ind w:right="120" w:rightChars="50"/>
        <w:rPr>
          <w:rFonts w:ascii="宋体" w:hAnsi="宋体"/>
          <w:b/>
          <w:bCs/>
          <w:szCs w:val="24"/>
        </w:rPr>
      </w:pPr>
    </w:p>
    <w:p>
      <w:pPr>
        <w:spacing w:before="156" w:beforeLines="50" w:after="156" w:afterLines="50" w:line="360" w:lineRule="auto"/>
        <w:ind w:left="120" w:leftChars="50" w:right="120" w:rightChars="50" w:firstLine="482" w:firstLineChars="200"/>
        <w:rPr>
          <w:rFonts w:ascii="宋体" w:hAnsi="宋体" w:cs="宋体"/>
          <w:b/>
          <w:szCs w:val="24"/>
        </w:rPr>
      </w:pPr>
    </w:p>
    <w:p>
      <w:pPr>
        <w:spacing w:before="156" w:beforeLines="50" w:after="156" w:afterLines="50" w:line="360" w:lineRule="auto"/>
        <w:ind w:right="120" w:rightChars="50"/>
        <w:rPr>
          <w:rFonts w:ascii="宋体" w:hAnsi="宋体" w:cs="宋体"/>
          <w:b/>
          <w:szCs w:val="24"/>
        </w:rPr>
      </w:pPr>
    </w:p>
    <w:p>
      <w:pPr>
        <w:spacing w:before="156" w:beforeLines="50" w:after="156" w:afterLines="50" w:line="360" w:lineRule="auto"/>
        <w:ind w:right="120" w:rightChars="50"/>
        <w:rPr>
          <w:rFonts w:ascii="宋体" w:hAnsi="宋体" w:cs="宋体"/>
          <w:b/>
          <w:szCs w:val="24"/>
        </w:rPr>
      </w:pPr>
    </w:p>
    <w:p>
      <w:pPr>
        <w:spacing w:before="156" w:beforeLines="50" w:after="156" w:afterLines="50" w:line="360" w:lineRule="auto"/>
        <w:ind w:left="120" w:leftChars="50" w:right="120" w:rightChars="50" w:firstLine="482" w:firstLineChars="200"/>
        <w:rPr>
          <w:rFonts w:ascii="宋体" w:hAnsi="宋体" w:cs="宋体"/>
          <w:b/>
          <w:szCs w:val="24"/>
        </w:rPr>
      </w:pPr>
    </w:p>
    <w:p>
      <w:pPr>
        <w:spacing w:before="156" w:beforeLines="50" w:after="156" w:afterLines="50" w:line="360" w:lineRule="auto"/>
        <w:ind w:left="120" w:leftChars="50" w:right="120" w:rightChars="50" w:firstLine="482" w:firstLineChars="200"/>
        <w:rPr>
          <w:rFonts w:ascii="宋体" w:hAnsi="宋体" w:cs="宋体"/>
          <w:b/>
          <w:szCs w:val="24"/>
        </w:rPr>
      </w:pPr>
    </w:p>
    <w:p>
      <w:pPr>
        <w:spacing w:before="156" w:beforeLines="50" w:after="156" w:afterLines="50" w:line="360" w:lineRule="auto"/>
        <w:ind w:left="120" w:leftChars="50" w:right="120" w:rightChars="50" w:firstLine="482" w:firstLineChars="200"/>
        <w:rPr>
          <w:rFonts w:ascii="宋体" w:hAnsi="宋体" w:cs="宋体"/>
          <w:b/>
          <w:szCs w:val="24"/>
        </w:rPr>
      </w:pPr>
    </w:p>
    <w:p>
      <w:pPr>
        <w:pStyle w:val="2"/>
      </w:pPr>
    </w:p>
    <w:p>
      <w:pPr>
        <w:spacing w:before="156" w:beforeLines="50" w:after="156" w:afterLines="50" w:line="360" w:lineRule="auto"/>
        <w:ind w:right="120" w:rightChars="50"/>
        <w:rPr>
          <w:rFonts w:ascii="宋体" w:hAnsi="宋体" w:cs="宋体"/>
          <w:b/>
          <w:szCs w:val="24"/>
        </w:rPr>
      </w:pPr>
    </w:p>
    <w:p>
      <w:pPr>
        <w:widowControl/>
        <w:spacing w:line="360" w:lineRule="auto"/>
        <w:ind w:firstLine="441" w:firstLineChars="147"/>
        <w:rPr>
          <w:rFonts w:ascii="宋体" w:hAnsi="宋体" w:cs="宋体"/>
          <w:sz w:val="30"/>
          <w:szCs w:val="30"/>
        </w:rPr>
      </w:pP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rPr>
        <w:t xml:space="preserve"> 成本代码：3.2.1.2</w:t>
      </w:r>
    </w:p>
    <w:p>
      <w:pPr>
        <w:widowControl/>
        <w:spacing w:line="360" w:lineRule="auto"/>
        <w:ind w:firstLine="441" w:firstLineChars="147"/>
        <w:rPr>
          <w:rFonts w:ascii="宋体" w:hAnsi="宋体" w:cs="宋体"/>
          <w:sz w:val="30"/>
          <w:szCs w:val="30"/>
        </w:rPr>
      </w:pP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rPr>
        <w:t>合同编号：KYYH.60B-JA-058</w:t>
      </w:r>
    </w:p>
    <w:p>
      <w:pPr>
        <w:widowControl/>
        <w:spacing w:line="360" w:lineRule="auto"/>
        <w:ind w:firstLine="441" w:firstLineChars="147"/>
        <w:rPr>
          <w:rFonts w:ascii="宋体" w:hAnsi="宋体" w:cs="宋体"/>
          <w:sz w:val="30"/>
          <w:szCs w:val="30"/>
        </w:rPr>
      </w:pP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rPr>
        <w:t>甲方:洛阳浩德鑫置地有限公司</w:t>
      </w:r>
    </w:p>
    <w:p>
      <w:pPr>
        <w:widowControl/>
        <w:spacing w:line="360" w:lineRule="auto"/>
        <w:ind w:firstLine="441" w:firstLineChars="147"/>
        <w:rPr>
          <w:rFonts w:ascii="宋体" w:hAnsi="宋体" w:cs="宋体"/>
          <w:szCs w:val="24"/>
        </w:rPr>
      </w:pP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rPr>
        <w:t>乙方: 河南新昇电气有限公司</w:t>
      </w:r>
    </w:p>
    <w:p>
      <w:pPr>
        <w:pStyle w:val="2"/>
        <w:ind w:firstLine="1800" w:firstLineChars="600"/>
        <w:rPr>
          <w:b w:val="0"/>
          <w:bCs/>
          <w:sz w:val="30"/>
          <w:szCs w:val="30"/>
        </w:rPr>
      </w:pPr>
      <w:r>
        <w:rPr>
          <w:rFonts w:hint="eastAsia"/>
          <w:b w:val="0"/>
          <w:bCs/>
          <w:sz w:val="30"/>
          <w:szCs w:val="30"/>
        </w:rPr>
        <w:t>签订时间：</w:t>
      </w:r>
    </w:p>
    <w:p>
      <w:pPr>
        <w:pStyle w:val="2"/>
        <w:ind w:firstLine="1800" w:firstLineChars="600"/>
        <w:rPr>
          <w:b w:val="0"/>
          <w:bCs/>
          <w:sz w:val="30"/>
          <w:szCs w:val="30"/>
        </w:rPr>
      </w:pPr>
    </w:p>
    <w:p>
      <w:pPr>
        <w:pStyle w:val="2"/>
        <w:ind w:firstLine="1800" w:firstLineChars="600"/>
        <w:rPr>
          <w:b w:val="0"/>
          <w:bCs/>
          <w:sz w:val="30"/>
          <w:szCs w:val="30"/>
        </w:rPr>
      </w:pPr>
    </w:p>
    <w:p>
      <w:pPr>
        <w:spacing w:line="360" w:lineRule="auto"/>
        <w:jc w:val="left"/>
        <w:rPr>
          <w:rFonts w:ascii="宋体" w:hAnsi="宋体" w:cs="宋体"/>
          <w:b/>
          <w:bCs/>
          <w:color w:val="000000"/>
          <w:spacing w:val="12"/>
          <w:sz w:val="28"/>
          <w:szCs w:val="28"/>
        </w:rPr>
        <w:sectPr>
          <w:headerReference r:id="rId3" w:type="default"/>
          <w:footerReference r:id="rId4" w:type="default"/>
          <w:pgSz w:w="11906" w:h="16838"/>
          <w:pgMar w:top="1440" w:right="1800" w:bottom="1440" w:left="1180" w:header="851" w:footer="992" w:gutter="0"/>
          <w:pgNumType w:start="1"/>
          <w:cols w:space="425" w:num="1"/>
          <w:docGrid w:type="lines" w:linePitch="312" w:charSpace="0"/>
        </w:sectPr>
      </w:pPr>
    </w:p>
    <w:p>
      <w:pPr>
        <w:spacing w:line="360" w:lineRule="auto"/>
        <w:ind w:firstLine="1220" w:firstLineChars="400"/>
        <w:jc w:val="left"/>
        <w:rPr>
          <w:rFonts w:ascii="宋体" w:hAnsi="宋体" w:cs="宋体"/>
          <w:b/>
          <w:bCs/>
          <w:color w:val="000000"/>
          <w:spacing w:val="12"/>
          <w:sz w:val="28"/>
          <w:szCs w:val="28"/>
        </w:rPr>
      </w:pPr>
      <w:r>
        <w:rPr>
          <w:rFonts w:hint="eastAsia" w:ascii="宋体" w:hAnsi="宋体" w:cs="宋体"/>
          <w:b/>
          <w:bCs/>
          <w:color w:val="000000"/>
          <w:spacing w:val="12"/>
          <w:sz w:val="28"/>
          <w:szCs w:val="28"/>
        </w:rPr>
        <w:t>开元壹号60#地块公寓楼封闭母线采购及安装工程合同</w:t>
      </w:r>
    </w:p>
    <w:p>
      <w:pPr>
        <w:widowControl/>
        <w:spacing w:line="360" w:lineRule="auto"/>
        <w:rPr>
          <w:rFonts w:ascii="宋体" w:hAnsi="宋体" w:cs="宋体"/>
          <w:szCs w:val="24"/>
        </w:rPr>
      </w:pPr>
      <w:r>
        <w:rPr>
          <w:rFonts w:hint="eastAsia" w:ascii="宋体" w:hAnsi="宋体" w:cs="宋体"/>
          <w:szCs w:val="24"/>
        </w:rPr>
        <w:t>甲方（全称）：</w:t>
      </w:r>
      <w:r>
        <w:rPr>
          <w:rFonts w:hint="eastAsia" w:ascii="宋体" w:hAnsi="宋体" w:cs="宋体"/>
          <w:szCs w:val="24"/>
          <w:u w:val="single"/>
        </w:rPr>
        <w:t>洛阳浩德鑫置地有限公司</w:t>
      </w:r>
    </w:p>
    <w:p>
      <w:pPr>
        <w:widowControl/>
        <w:spacing w:line="360" w:lineRule="auto"/>
        <w:rPr>
          <w:rFonts w:ascii="宋体" w:hAnsi="宋体" w:cs="宋体"/>
          <w:color w:val="000000"/>
          <w:szCs w:val="24"/>
          <w:u w:val="single"/>
        </w:rPr>
      </w:pPr>
      <w:r>
        <w:rPr>
          <w:rFonts w:hint="eastAsia" w:ascii="宋体" w:hAnsi="宋体" w:cs="宋体"/>
          <w:szCs w:val="24"/>
        </w:rPr>
        <w:t>乙方（全称）：</w:t>
      </w:r>
      <w:r>
        <w:rPr>
          <w:rFonts w:hint="eastAsia" w:ascii="宋体" w:hAnsi="宋体" w:cs="宋体"/>
          <w:szCs w:val="24"/>
          <w:u w:val="single"/>
        </w:rPr>
        <w:t xml:space="preserve">河南新昇电气有限公司  </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依照《中华人民共和国合同法》、《中华人民共和国建筑法》及其它有关法律、行政法规，遵循平等、自愿、公平和诚实信用的原则，双方就本建设工程封闭母线采购及安装事项协商一致，订立本合同。</w:t>
      </w:r>
    </w:p>
    <w:p>
      <w:pPr>
        <w:pStyle w:val="19"/>
        <w:spacing w:line="360" w:lineRule="auto"/>
        <w:ind w:firstLine="0"/>
        <w:rPr>
          <w:rFonts w:hAnsi="宋体"/>
          <w:b/>
          <w:bCs/>
          <w:snapToGrid w:val="0"/>
          <w:kern w:val="0"/>
          <w:sz w:val="24"/>
          <w:szCs w:val="24"/>
        </w:rPr>
      </w:pPr>
      <w:r>
        <w:rPr>
          <w:rFonts w:hint="eastAsia" w:hAnsi="宋体"/>
          <w:b/>
          <w:bCs/>
          <w:snapToGrid w:val="0"/>
          <w:kern w:val="0"/>
          <w:sz w:val="24"/>
          <w:szCs w:val="24"/>
        </w:rPr>
        <w:t>一、工程概况</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 xml:space="preserve">工程名称：开元壹号60#地块公寓楼封闭母线采购及安装工程合同 </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工程地点：洛阳市洛龙区开元大道与汇通街交汇处东南侧开元壹号项目工地内</w:t>
      </w:r>
    </w:p>
    <w:p>
      <w:pPr>
        <w:pStyle w:val="19"/>
        <w:spacing w:line="360" w:lineRule="auto"/>
        <w:ind w:firstLine="0"/>
        <w:rPr>
          <w:rFonts w:hAnsi="宋体"/>
          <w:b/>
          <w:bCs/>
          <w:snapToGrid w:val="0"/>
          <w:kern w:val="0"/>
          <w:sz w:val="24"/>
          <w:szCs w:val="24"/>
        </w:rPr>
      </w:pPr>
      <w:r>
        <w:rPr>
          <w:rFonts w:hint="eastAsia" w:hAnsi="宋体"/>
          <w:b/>
          <w:bCs/>
          <w:snapToGrid w:val="0"/>
          <w:kern w:val="0"/>
          <w:sz w:val="24"/>
          <w:szCs w:val="24"/>
        </w:rPr>
        <w:t>二、承包范围</w:t>
      </w:r>
    </w:p>
    <w:p>
      <w:pPr>
        <w:spacing w:line="360" w:lineRule="auto"/>
        <w:ind w:firstLine="528" w:firstLineChars="200"/>
        <w:jc w:val="left"/>
        <w:rPr>
          <w:rFonts w:ascii="宋体" w:hAnsi="宋体" w:cs="宋体"/>
          <w:color w:val="000000"/>
          <w:spacing w:val="12"/>
          <w:szCs w:val="24"/>
          <w:highlight w:val="yellow"/>
        </w:rPr>
      </w:pPr>
      <w:r>
        <w:rPr>
          <w:rFonts w:hint="eastAsia" w:ascii="宋体" w:hAnsi="宋体" w:cs="宋体"/>
          <w:color w:val="000000"/>
          <w:spacing w:val="12"/>
          <w:szCs w:val="24"/>
        </w:rPr>
        <w:t>乙方负责开元壹号60地块公寓楼封闭母线及</w:t>
      </w:r>
      <w:r>
        <w:rPr>
          <w:rFonts w:hint="eastAsia" w:ascii="宋体" w:hAnsi="宋体" w:cs="宋体"/>
        </w:rPr>
        <w:t>其它所需的配件的供货和安装</w:t>
      </w:r>
      <w:r>
        <w:rPr>
          <w:rFonts w:hint="eastAsia" w:ascii="宋体" w:hAnsi="宋体" w:cs="宋体"/>
          <w:color w:val="000000"/>
          <w:spacing w:val="12"/>
          <w:szCs w:val="24"/>
        </w:rPr>
        <w:t>，后附表格：开元壹号60地块公寓楼封闭母线清单。合同清单量为暂定量，乙方每次排产时需向甲方书面确认。</w:t>
      </w:r>
      <w:r>
        <w:rPr>
          <w:rFonts w:hint="eastAsia" w:ascii="宋体" w:hAnsi="宋体" w:cs="宋体"/>
          <w:color w:val="000000"/>
          <w:spacing w:val="12"/>
          <w:szCs w:val="24"/>
          <w:lang w:val="en-US" w:eastAsia="zh-CN"/>
        </w:rPr>
        <w:t>厂家需现场实际测量母线槽的生产及安装尺寸，保证母线槽及插接箱安装符合要求</w:t>
      </w:r>
      <w:r>
        <w:rPr>
          <w:rFonts w:hint="eastAsia" w:ascii="宋体" w:hAnsi="宋体" w:cs="宋体"/>
          <w:color w:val="000000"/>
          <w:spacing w:val="12"/>
          <w:szCs w:val="24"/>
        </w:rPr>
        <w:t>。需按施工方每次申报封闭母线的规格、型号、</w:t>
      </w:r>
      <w:r>
        <w:rPr>
          <w:rFonts w:hint="eastAsia" w:ascii="宋体" w:hAnsi="宋体" w:cs="宋体"/>
          <w:color w:val="000000"/>
          <w:spacing w:val="12"/>
          <w:szCs w:val="24"/>
          <w:highlight w:val="yellow"/>
        </w:rPr>
        <w:t>数量并经甲</w:t>
      </w:r>
      <w:r>
        <w:rPr>
          <w:rFonts w:hint="eastAsia" w:ascii="宋体" w:hAnsi="宋体" w:cs="宋体"/>
          <w:color w:val="000000"/>
          <w:spacing w:val="12"/>
          <w:szCs w:val="24"/>
          <w:highlight w:val="yellow"/>
          <w:lang w:eastAsia="zh-CN"/>
        </w:rPr>
        <w:t>、乙双方</w:t>
      </w:r>
      <w:r>
        <w:rPr>
          <w:rFonts w:hint="eastAsia" w:ascii="宋体" w:hAnsi="宋体" w:cs="宋体"/>
          <w:color w:val="000000"/>
          <w:spacing w:val="12"/>
          <w:szCs w:val="24"/>
          <w:highlight w:val="yellow"/>
        </w:rPr>
        <w:t>书面确认单安排生产供货</w:t>
      </w:r>
      <w:r>
        <w:rPr>
          <w:rFonts w:hint="eastAsia" w:ascii="宋体" w:hAnsi="宋体" w:cs="宋体"/>
          <w:color w:val="000000"/>
          <w:spacing w:val="12"/>
          <w:szCs w:val="24"/>
          <w:highlight w:val="yellow"/>
          <w:lang w:val="en-US" w:eastAsia="zh-CN"/>
        </w:rPr>
        <w:t>。</w:t>
      </w:r>
    </w:p>
    <w:p>
      <w:pPr>
        <w:numPr>
          <w:ilvl w:val="0"/>
          <w:numId w:val="2"/>
        </w:numPr>
        <w:spacing w:line="360" w:lineRule="auto"/>
        <w:rPr>
          <w:rFonts w:ascii="宋体" w:hAnsi="宋体"/>
          <w:b/>
          <w:bCs/>
          <w:snapToGrid w:val="0"/>
          <w:kern w:val="0"/>
          <w:szCs w:val="24"/>
        </w:rPr>
      </w:pPr>
      <w:r>
        <w:rPr>
          <w:rFonts w:hint="eastAsia" w:ascii="宋体" w:hAnsi="宋体"/>
          <w:b/>
          <w:bCs/>
          <w:snapToGrid w:val="0"/>
          <w:kern w:val="0"/>
          <w:szCs w:val="24"/>
        </w:rPr>
        <w:t>工期</w:t>
      </w:r>
    </w:p>
    <w:p>
      <w:pPr>
        <w:spacing w:line="360" w:lineRule="auto"/>
        <w:rPr>
          <w:rFonts w:ascii="宋体" w:hAnsi="宋体"/>
        </w:rPr>
      </w:pPr>
      <w:r>
        <w:rPr>
          <w:rFonts w:hint="eastAsia" w:ascii="宋体" w:hAnsi="宋体"/>
          <w:b/>
          <w:bCs/>
          <w:snapToGrid w:val="0"/>
          <w:kern w:val="0"/>
          <w:szCs w:val="24"/>
        </w:rPr>
        <w:t xml:space="preserve">    </w:t>
      </w:r>
      <w:r>
        <w:rPr>
          <w:rFonts w:hint="eastAsia" w:ascii="宋体" w:hAnsi="宋体"/>
          <w:lang w:val="en-US" w:eastAsia="zh-CN"/>
        </w:rPr>
        <w:t xml:space="preserve"> 1、</w:t>
      </w:r>
      <w:r>
        <w:rPr>
          <w:rFonts w:hint="eastAsia" w:ascii="宋体" w:hAnsi="宋体"/>
          <w:color w:val="000000"/>
          <w:szCs w:val="24"/>
        </w:rPr>
        <w:t>工期总日历天数</w:t>
      </w:r>
      <w:r>
        <w:rPr>
          <w:rFonts w:hint="eastAsia" w:ascii="宋体" w:hAnsi="宋体"/>
          <w:szCs w:val="24"/>
        </w:rPr>
        <w:t>：</w:t>
      </w:r>
      <w:r>
        <w:rPr>
          <w:rFonts w:hint="eastAsia" w:ascii="宋体" w:hAnsi="宋体"/>
          <w:szCs w:val="24"/>
          <w:u w:val="single"/>
        </w:rPr>
        <w:t xml:space="preserve">30 </w:t>
      </w:r>
      <w:r>
        <w:rPr>
          <w:rFonts w:hint="eastAsia" w:ascii="宋体" w:hAnsi="宋体"/>
          <w:szCs w:val="24"/>
        </w:rPr>
        <w:t>天；</w:t>
      </w:r>
      <w:r>
        <w:rPr>
          <w:rFonts w:hint="eastAsia" w:ascii="宋体" w:hAnsi="宋体" w:cs="宋体"/>
          <w:color w:val="000000"/>
          <w:spacing w:val="12"/>
          <w:szCs w:val="24"/>
        </w:rPr>
        <w:t>接到甲方通知后</w:t>
      </w:r>
      <w:r>
        <w:rPr>
          <w:rFonts w:hint="eastAsia" w:ascii="宋体" w:hAnsi="宋体" w:cs="宋体"/>
          <w:color w:val="000000"/>
          <w:spacing w:val="12"/>
          <w:szCs w:val="24"/>
          <w:highlight w:val="none"/>
        </w:rPr>
        <w:t>，按照甲方申报数量</w:t>
      </w:r>
      <w:r>
        <w:rPr>
          <w:rFonts w:hint="eastAsia" w:ascii="宋体" w:hAnsi="宋体" w:cs="宋体"/>
          <w:color w:val="000000"/>
          <w:spacing w:val="12"/>
          <w:szCs w:val="24"/>
        </w:rPr>
        <w:t>乙方安排生产，10日内到货。交货地点：洛阳市洛龙区开元大道与汇通街交汇处东南侧开元壹号项目工地内。</w:t>
      </w:r>
      <w:r>
        <w:rPr>
          <w:rFonts w:hint="eastAsia" w:ascii="宋体" w:hAnsi="宋体"/>
        </w:rPr>
        <w:t>具体的进场时间、数量以甲方项目部通知为准；交货期限是自乙方接到甲方供货通知至货到交货地点并完成卸货的总期限。</w:t>
      </w:r>
    </w:p>
    <w:p>
      <w:pPr>
        <w:snapToGrid w:val="0"/>
        <w:spacing w:line="360" w:lineRule="auto"/>
        <w:ind w:firstLine="470" w:firstLineChars="196"/>
        <w:jc w:val="left"/>
        <w:rPr>
          <w:rFonts w:ascii="宋体" w:hAnsi="宋体" w:cs="宋体"/>
          <w:spacing w:val="-4"/>
        </w:rPr>
      </w:pPr>
      <w:r>
        <w:rPr>
          <w:rFonts w:hint="eastAsia" w:ascii="宋体" w:hAnsi="宋体"/>
          <w:lang w:val="en-US" w:eastAsia="zh-CN"/>
        </w:rPr>
        <w:t>2、</w:t>
      </w:r>
      <w:r>
        <w:rPr>
          <w:rFonts w:hint="eastAsia" w:ascii="宋体" w:hAnsi="宋体"/>
        </w:rPr>
        <w:t>安装</w:t>
      </w:r>
      <w:r>
        <w:rPr>
          <w:rFonts w:ascii="宋体" w:hAnsi="宋体"/>
        </w:rPr>
        <w:t>工期</w:t>
      </w:r>
      <w:r>
        <w:rPr>
          <w:rFonts w:hint="eastAsia" w:ascii="宋体" w:hAnsi="宋体"/>
        </w:rPr>
        <w:t>：</w:t>
      </w:r>
      <w:r>
        <w:rPr>
          <w:rFonts w:hint="eastAsia" w:ascii="宋体" w:hAnsi="宋体"/>
          <w:color w:val="000000"/>
        </w:rPr>
        <w:t>根据</w:t>
      </w:r>
      <w:r>
        <w:rPr>
          <w:rFonts w:ascii="宋体" w:hAnsi="宋体"/>
          <w:color w:val="000000"/>
        </w:rPr>
        <w:t>工程要求</w:t>
      </w:r>
      <w:r>
        <w:rPr>
          <w:rFonts w:hint="eastAsia" w:ascii="宋体" w:hAnsi="宋体"/>
          <w:color w:val="000000"/>
        </w:rPr>
        <w:t>时间</w:t>
      </w:r>
      <w:r>
        <w:rPr>
          <w:rFonts w:ascii="宋体" w:hAnsi="宋体"/>
          <w:color w:val="000000"/>
        </w:rPr>
        <w:t>完成</w:t>
      </w:r>
      <w:r>
        <w:rPr>
          <w:rFonts w:hint="eastAsia" w:ascii="宋体" w:hAnsi="宋体"/>
          <w:color w:val="000000"/>
        </w:rPr>
        <w:t>，自施工单位进场之日起，自工程全部施工安装、调试完毕，验收合格之日止。</w:t>
      </w:r>
    </w:p>
    <w:p>
      <w:pPr>
        <w:tabs>
          <w:tab w:val="left" w:pos="6840"/>
        </w:tabs>
        <w:spacing w:line="360" w:lineRule="auto"/>
        <w:ind w:firstLine="470"/>
        <w:rPr>
          <w:rFonts w:ascii="宋体" w:hAnsi="宋体" w:cs="宋体"/>
          <w:bCs/>
        </w:rPr>
      </w:pPr>
      <w:r>
        <w:rPr>
          <w:rFonts w:hint="eastAsia" w:ascii="宋体" w:hAnsi="宋体" w:cs="宋体"/>
        </w:rPr>
        <w:t>3、施工过程中如遇甲方责任或不可抗力等因素所延误的工期，经甲、乙双方签证认可调整，以此确定竣工日期</w:t>
      </w:r>
      <w:r>
        <w:rPr>
          <w:rFonts w:hint="eastAsia" w:ascii="宋体" w:hAnsi="宋体" w:cs="宋体"/>
          <w:bCs/>
        </w:rPr>
        <w:t>。</w:t>
      </w:r>
    </w:p>
    <w:p>
      <w:pPr>
        <w:pStyle w:val="19"/>
        <w:spacing w:line="360" w:lineRule="auto"/>
        <w:ind w:firstLine="0"/>
        <w:rPr>
          <w:rFonts w:hAnsi="宋体"/>
          <w:b/>
          <w:bCs/>
          <w:snapToGrid w:val="0"/>
          <w:kern w:val="0"/>
          <w:sz w:val="24"/>
          <w:szCs w:val="24"/>
        </w:rPr>
      </w:pPr>
      <w:r>
        <w:rPr>
          <w:rFonts w:hint="eastAsia" w:hAnsi="宋体"/>
          <w:b/>
          <w:bCs/>
          <w:snapToGrid w:val="0"/>
          <w:kern w:val="0"/>
          <w:sz w:val="24"/>
          <w:szCs w:val="24"/>
        </w:rPr>
        <w:t>四、质量要求</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质量标准：产品质量合格，符合甲方要求，各种参数能达到国家标准，并满足图纸、规范及技术标准要求。</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乙方必须保证封闭母线的原材料为合格产品，并向甲方提供原材料产品的合格证、检测报告等证明材料，由甲方存档、使用。提供的封闭母线产品应符合国家、地方与行业相关标准和本协议的约定，还应包括但不限于以下标准：</w:t>
      </w:r>
    </w:p>
    <w:p>
      <w:pPr>
        <w:pStyle w:val="19"/>
        <w:spacing w:line="360" w:lineRule="auto"/>
        <w:ind w:firstLine="528" w:firstLineChars="200"/>
        <w:rPr>
          <w:rFonts w:hAnsi="宋体" w:cs="宋体"/>
          <w:color w:val="000000"/>
          <w:spacing w:val="12"/>
          <w:sz w:val="24"/>
          <w:szCs w:val="24"/>
        </w:rPr>
      </w:pPr>
      <w:r>
        <w:rPr>
          <w:rFonts w:hint="eastAsia" w:hAnsi="宋体" w:cs="宋体"/>
          <w:color w:val="000000"/>
          <w:spacing w:val="12"/>
          <w:sz w:val="24"/>
          <w:szCs w:val="24"/>
        </w:rPr>
        <w:t>《民用建筑电气段计规范》J0J16-2008；</w:t>
      </w:r>
    </w:p>
    <w:p>
      <w:pPr>
        <w:pStyle w:val="19"/>
        <w:spacing w:line="360" w:lineRule="auto"/>
        <w:ind w:firstLine="528" w:firstLineChars="200"/>
        <w:rPr>
          <w:rFonts w:hAnsi="宋体" w:cs="宋体"/>
          <w:color w:val="000000"/>
          <w:spacing w:val="12"/>
          <w:sz w:val="24"/>
          <w:szCs w:val="24"/>
        </w:rPr>
      </w:pPr>
      <w:r>
        <w:rPr>
          <w:rFonts w:hint="eastAsia" w:hAnsi="宋体" w:cs="宋体"/>
          <w:color w:val="000000"/>
          <w:spacing w:val="12"/>
          <w:sz w:val="24"/>
          <w:szCs w:val="24"/>
        </w:rPr>
        <w:t>《供配电系统设计规范》GB 50052-2009；</w:t>
      </w:r>
    </w:p>
    <w:p>
      <w:pPr>
        <w:pStyle w:val="19"/>
        <w:spacing w:line="360" w:lineRule="auto"/>
        <w:ind w:firstLine="528" w:firstLineChars="200"/>
        <w:rPr>
          <w:rFonts w:hAnsi="宋体" w:cs="宋体"/>
          <w:color w:val="000000"/>
          <w:spacing w:val="12"/>
          <w:sz w:val="24"/>
          <w:szCs w:val="24"/>
        </w:rPr>
      </w:pPr>
      <w:r>
        <w:rPr>
          <w:rFonts w:hint="eastAsia" w:hAnsi="宋体" w:cs="宋体"/>
          <w:color w:val="000000"/>
          <w:spacing w:val="12"/>
          <w:sz w:val="24"/>
          <w:szCs w:val="24"/>
        </w:rPr>
        <w:t>《20kV及以下配电所设计规范》GB 50053-2013；</w:t>
      </w:r>
    </w:p>
    <w:p>
      <w:pPr>
        <w:pStyle w:val="19"/>
        <w:spacing w:line="360" w:lineRule="auto"/>
        <w:ind w:firstLine="528" w:firstLineChars="200"/>
        <w:rPr>
          <w:rFonts w:hAnsi="宋体" w:cs="宋体"/>
          <w:color w:val="000000"/>
          <w:spacing w:val="12"/>
          <w:sz w:val="24"/>
          <w:szCs w:val="24"/>
        </w:rPr>
      </w:pPr>
      <w:r>
        <w:rPr>
          <w:rFonts w:hint="eastAsia" w:hAnsi="宋体" w:cs="宋体"/>
          <w:color w:val="000000"/>
          <w:spacing w:val="12"/>
          <w:sz w:val="24"/>
          <w:szCs w:val="24"/>
        </w:rPr>
        <w:t>根据河南省住房和城乡建设厅国网河南省电力公司文件豫建[2016]33号文件。</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每种规格均按本合同约定的要求防水包装，具体安装尺寸需现场核实。若不能满足以上要求，甲方可采取拒收、退货等处理方法，并追究乙方违约责任及承担甲方因此发生的损失。</w:t>
      </w:r>
    </w:p>
    <w:p>
      <w:pPr>
        <w:pStyle w:val="19"/>
        <w:spacing w:line="360" w:lineRule="auto"/>
        <w:ind w:firstLine="0"/>
        <w:rPr>
          <w:rFonts w:hAnsi="宋体"/>
          <w:b/>
          <w:bCs/>
          <w:snapToGrid w:val="0"/>
          <w:kern w:val="0"/>
          <w:sz w:val="24"/>
          <w:szCs w:val="24"/>
        </w:rPr>
      </w:pPr>
      <w:r>
        <w:rPr>
          <w:rFonts w:hint="eastAsia" w:hAnsi="宋体"/>
          <w:b/>
          <w:bCs/>
          <w:snapToGrid w:val="0"/>
          <w:kern w:val="0"/>
          <w:sz w:val="24"/>
          <w:szCs w:val="24"/>
        </w:rPr>
        <w:t>五、合同价款与支付</w:t>
      </w:r>
    </w:p>
    <w:p>
      <w:pPr>
        <w:spacing w:line="360" w:lineRule="auto"/>
        <w:ind w:firstLine="528" w:firstLineChars="200"/>
        <w:jc w:val="left"/>
        <w:rPr>
          <w:rFonts w:ascii="宋体" w:hAnsi="宋体" w:cs="宋体"/>
          <w:color w:val="000000"/>
          <w:spacing w:val="12"/>
          <w:szCs w:val="24"/>
          <w:highlight w:val="none"/>
        </w:rPr>
      </w:pPr>
      <w:r>
        <w:rPr>
          <w:rFonts w:hint="eastAsia" w:ascii="宋体" w:hAnsi="宋体" w:cs="宋体"/>
          <w:color w:val="000000"/>
          <w:spacing w:val="12"/>
          <w:szCs w:val="24"/>
        </w:rPr>
        <w:t>1、</w:t>
      </w:r>
      <w:r>
        <w:rPr>
          <w:rFonts w:hint="eastAsia" w:ascii="宋体" w:hAnsi="宋体" w:cs="宋体"/>
          <w:color w:val="000000"/>
          <w:spacing w:val="12"/>
          <w:szCs w:val="24"/>
          <w:highlight w:val="none"/>
        </w:rPr>
        <w:t>本合同采用“可调单价×实际供应数量”以实结算的方式。合同暂定总价人民币金额（大写）</w:t>
      </w:r>
      <w:r>
        <w:rPr>
          <w:rFonts w:hint="eastAsia" w:ascii="宋体" w:hAnsi="宋体" w:cs="宋体"/>
          <w:color w:val="000000"/>
          <w:spacing w:val="12"/>
          <w:szCs w:val="24"/>
          <w:highlight w:val="none"/>
          <w:u w:val="single"/>
        </w:rPr>
        <w:t>伍拾肆万陆仟壹佰肆拾玖元伍角</w:t>
      </w:r>
      <w:r>
        <w:rPr>
          <w:rFonts w:hint="eastAsia" w:ascii="宋体" w:hAnsi="宋体" w:cs="宋体"/>
          <w:color w:val="000000"/>
          <w:spacing w:val="12"/>
          <w:szCs w:val="24"/>
          <w:highlight w:val="none"/>
        </w:rPr>
        <w:t>（小写）：</w:t>
      </w:r>
      <w:r>
        <w:rPr>
          <w:rFonts w:hint="eastAsia" w:ascii="宋体" w:hAnsi="宋体" w:cs="宋体"/>
          <w:color w:val="000000"/>
          <w:spacing w:val="12"/>
          <w:szCs w:val="24"/>
          <w:highlight w:val="none"/>
          <w:u w:val="single"/>
        </w:rPr>
        <w:t>¥ 546149.50元</w:t>
      </w:r>
      <w:r>
        <w:rPr>
          <w:rFonts w:hint="eastAsia" w:ascii="宋体" w:hAnsi="宋体" w:cs="宋体"/>
          <w:color w:val="000000"/>
          <w:spacing w:val="12"/>
          <w:szCs w:val="24"/>
          <w:highlight w:val="none"/>
        </w:rPr>
        <w:t>。上述金额为含税金额，其中不含税金额为【¥483318.14】元，增值税率为【13】%，税款为【 ¥62831.36】元。结算工程量按竣工图</w:t>
      </w:r>
      <w:r>
        <w:rPr>
          <w:rFonts w:ascii="宋体" w:hAnsi="宋体" w:cs="宋体"/>
          <w:color w:val="000000"/>
          <w:spacing w:val="12"/>
          <w:szCs w:val="24"/>
          <w:highlight w:val="none"/>
        </w:rPr>
        <w:t>（</w:t>
      </w:r>
      <w:r>
        <w:rPr>
          <w:rFonts w:hint="eastAsia" w:ascii="宋体" w:hAnsi="宋体" w:cs="宋体"/>
          <w:color w:val="000000"/>
          <w:spacing w:val="12"/>
          <w:szCs w:val="24"/>
          <w:highlight w:val="none"/>
        </w:rPr>
        <w:t>参考</w:t>
      </w:r>
      <w:r>
        <w:rPr>
          <w:rFonts w:ascii="宋体" w:hAnsi="宋体" w:cs="宋体"/>
          <w:color w:val="000000"/>
          <w:spacing w:val="12"/>
          <w:szCs w:val="24"/>
          <w:highlight w:val="none"/>
        </w:rPr>
        <w:t>实际现场安装）</w:t>
      </w:r>
      <w:r>
        <w:rPr>
          <w:rFonts w:hint="eastAsia" w:ascii="宋体" w:hAnsi="宋体" w:cs="宋体"/>
          <w:color w:val="000000"/>
          <w:spacing w:val="12"/>
          <w:szCs w:val="24"/>
          <w:highlight w:val="none"/>
        </w:rPr>
        <w:t>的数量计算。</w:t>
      </w:r>
    </w:p>
    <w:p>
      <w:pPr>
        <w:spacing w:line="360" w:lineRule="auto"/>
        <w:ind w:firstLine="528" w:firstLineChars="200"/>
        <w:jc w:val="left"/>
        <w:rPr>
          <w:rFonts w:ascii="宋体" w:hAnsi="宋体" w:cs="宋体"/>
          <w:color w:val="000000"/>
          <w:spacing w:val="12"/>
          <w:szCs w:val="24"/>
          <w:highlight w:val="none"/>
        </w:rPr>
      </w:pPr>
      <w:r>
        <w:rPr>
          <w:rFonts w:hint="eastAsia" w:ascii="宋体" w:hAnsi="宋体" w:cs="宋体"/>
          <w:color w:val="000000"/>
          <w:spacing w:val="12"/>
          <w:szCs w:val="24"/>
          <w:highlight w:val="none"/>
        </w:rPr>
        <w:t>2、付款方式：</w:t>
      </w:r>
    </w:p>
    <w:p>
      <w:pPr>
        <w:spacing w:line="360" w:lineRule="auto"/>
        <w:ind w:firstLine="528" w:firstLineChars="200"/>
        <w:jc w:val="left"/>
        <w:rPr>
          <w:rFonts w:ascii="宋体" w:hAnsi="宋体" w:cs="宋体"/>
          <w:color w:val="000000"/>
          <w:spacing w:val="12"/>
          <w:szCs w:val="24"/>
          <w:highlight w:val="none"/>
        </w:rPr>
      </w:pPr>
      <w:r>
        <w:rPr>
          <w:rFonts w:hint="eastAsia" w:ascii="宋体" w:hAnsi="宋体" w:cs="宋体"/>
          <w:color w:val="000000"/>
          <w:spacing w:val="12"/>
          <w:szCs w:val="24"/>
          <w:highlight w:val="none"/>
        </w:rPr>
        <w:t>2</w:t>
      </w:r>
      <w:r>
        <w:rPr>
          <w:rFonts w:ascii="宋体" w:hAnsi="宋体" w:cs="宋体"/>
          <w:color w:val="000000"/>
          <w:spacing w:val="12"/>
          <w:szCs w:val="24"/>
          <w:highlight w:val="none"/>
        </w:rPr>
        <w:t>.</w:t>
      </w:r>
      <w:r>
        <w:rPr>
          <w:rFonts w:hint="eastAsia" w:ascii="宋体" w:hAnsi="宋体" w:cs="宋体"/>
          <w:color w:val="000000"/>
          <w:spacing w:val="12"/>
          <w:szCs w:val="24"/>
          <w:highlight w:val="none"/>
        </w:rPr>
        <w:t>1、本合同签订后支付</w:t>
      </w:r>
      <w:r>
        <w:rPr>
          <w:rFonts w:ascii="宋体" w:hAnsi="宋体" w:cs="宋体"/>
          <w:color w:val="000000"/>
          <w:spacing w:val="12"/>
          <w:szCs w:val="24"/>
          <w:highlight w:val="none"/>
        </w:rPr>
        <w:t>预付款，预付款为</w:t>
      </w:r>
      <w:r>
        <w:rPr>
          <w:rFonts w:hint="eastAsia" w:ascii="宋体" w:hAnsi="宋体" w:cs="宋体"/>
          <w:color w:val="000000"/>
          <w:spacing w:val="12"/>
          <w:szCs w:val="24"/>
          <w:highlight w:val="none"/>
        </w:rPr>
        <w:t>合同暂定总价的30%；</w:t>
      </w:r>
    </w:p>
    <w:p>
      <w:pPr>
        <w:spacing w:line="360" w:lineRule="auto"/>
        <w:ind w:firstLine="528" w:firstLineChars="200"/>
        <w:jc w:val="left"/>
        <w:rPr>
          <w:rFonts w:ascii="宋体" w:hAnsi="宋体" w:cs="宋体"/>
          <w:color w:val="000000"/>
          <w:spacing w:val="12"/>
          <w:szCs w:val="24"/>
          <w:highlight w:val="none"/>
        </w:rPr>
      </w:pPr>
      <w:r>
        <w:rPr>
          <w:rFonts w:hint="eastAsia" w:ascii="宋体" w:hAnsi="宋体" w:cs="宋体"/>
          <w:color w:val="000000"/>
          <w:spacing w:val="12"/>
          <w:szCs w:val="24"/>
          <w:highlight w:val="none"/>
        </w:rPr>
        <w:t>2</w:t>
      </w:r>
      <w:r>
        <w:rPr>
          <w:rFonts w:ascii="宋体" w:hAnsi="宋体" w:cs="宋体"/>
          <w:color w:val="000000"/>
          <w:spacing w:val="12"/>
          <w:szCs w:val="24"/>
          <w:highlight w:val="none"/>
        </w:rPr>
        <w:t>.</w:t>
      </w:r>
      <w:r>
        <w:rPr>
          <w:rFonts w:hint="eastAsia" w:ascii="宋体" w:hAnsi="宋体" w:cs="宋体"/>
          <w:color w:val="000000"/>
          <w:spacing w:val="12"/>
          <w:szCs w:val="24"/>
          <w:highlight w:val="none"/>
        </w:rPr>
        <w:t>2、全部封闭母线供货完毕，经甲方相关部门、监理单位验收无质量问题且核对无误后，10个工作日内甲方支付至乙方已供封闭母线货款部分金额（未</w:t>
      </w:r>
      <w:r>
        <w:rPr>
          <w:rFonts w:ascii="宋体" w:hAnsi="宋体" w:cs="宋体"/>
          <w:color w:val="000000"/>
          <w:spacing w:val="12"/>
          <w:szCs w:val="24"/>
          <w:highlight w:val="none"/>
        </w:rPr>
        <w:t>调价</w:t>
      </w:r>
      <w:r>
        <w:rPr>
          <w:rFonts w:hint="eastAsia" w:ascii="宋体" w:hAnsi="宋体" w:cs="宋体"/>
          <w:color w:val="000000"/>
          <w:spacing w:val="12"/>
          <w:szCs w:val="24"/>
          <w:highlight w:val="none"/>
        </w:rPr>
        <w:t>）的80%；</w:t>
      </w:r>
    </w:p>
    <w:p>
      <w:pPr>
        <w:spacing w:line="360" w:lineRule="auto"/>
        <w:ind w:firstLine="528" w:firstLineChars="200"/>
        <w:jc w:val="left"/>
        <w:rPr>
          <w:rFonts w:ascii="宋体" w:hAnsi="宋体" w:cs="宋体"/>
          <w:color w:val="000000"/>
          <w:spacing w:val="12"/>
          <w:szCs w:val="24"/>
          <w:highlight w:val="none"/>
        </w:rPr>
      </w:pPr>
      <w:r>
        <w:rPr>
          <w:rFonts w:hint="eastAsia" w:ascii="宋体" w:hAnsi="宋体" w:cs="宋体"/>
          <w:color w:val="000000"/>
          <w:spacing w:val="12"/>
          <w:szCs w:val="24"/>
          <w:highlight w:val="none"/>
        </w:rPr>
        <w:t>2</w:t>
      </w:r>
      <w:r>
        <w:rPr>
          <w:rFonts w:ascii="宋体" w:hAnsi="宋体" w:cs="宋体"/>
          <w:color w:val="000000"/>
          <w:spacing w:val="12"/>
          <w:szCs w:val="24"/>
          <w:highlight w:val="none"/>
        </w:rPr>
        <w:t>.</w:t>
      </w:r>
      <w:r>
        <w:rPr>
          <w:rFonts w:hint="eastAsia" w:ascii="宋体" w:hAnsi="宋体" w:cs="宋体"/>
          <w:color w:val="000000"/>
          <w:spacing w:val="12"/>
          <w:szCs w:val="24"/>
          <w:highlight w:val="none"/>
        </w:rPr>
        <w:t>3、全部封闭母线供货安装完毕，经甲方相关部门、监理单位验收无质量问题且核对无误后，10个工作日内甲方支付至乙方已供封闭母线货款（未调价）部分金额的90%；</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2</w:t>
      </w:r>
      <w:r>
        <w:rPr>
          <w:rFonts w:ascii="宋体" w:hAnsi="宋体" w:cs="宋体"/>
          <w:color w:val="000000"/>
          <w:spacing w:val="12"/>
          <w:szCs w:val="24"/>
        </w:rPr>
        <w:t>.</w:t>
      </w:r>
      <w:r>
        <w:rPr>
          <w:rFonts w:hint="eastAsia" w:ascii="宋体" w:hAnsi="宋体" w:cs="宋体"/>
          <w:color w:val="000000"/>
          <w:spacing w:val="12"/>
          <w:szCs w:val="24"/>
        </w:rPr>
        <w:t>4、乙方报送完备的结算资料且配合甲方结算完毕后，甲方支付至乙方结算金额的95%，剩余结算金额的5%为质保金，质保期两年后无质量问题，甲方一次性无息付清该质保金。</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2</w:t>
      </w:r>
      <w:r>
        <w:rPr>
          <w:rFonts w:ascii="宋体" w:hAnsi="宋体" w:cs="宋体"/>
          <w:color w:val="000000"/>
          <w:spacing w:val="12"/>
          <w:szCs w:val="24"/>
        </w:rPr>
        <w:t>.</w:t>
      </w:r>
      <w:r>
        <w:rPr>
          <w:rFonts w:hint="eastAsia" w:ascii="宋体" w:hAnsi="宋体" w:cs="宋体"/>
          <w:color w:val="000000"/>
          <w:spacing w:val="12"/>
          <w:szCs w:val="24"/>
        </w:rPr>
        <w:t>5、每次付款时，乙方需提供等额有效的增值税专用发票，否则甲方有权拒付相应货款；甲方向乙方支付至结算金额的95%前，乙方应将结算金额100%的正规、有效的增值税专用发票全额开具，否则甲方除扣留质保金外，有权拒绝支付该笔货款。乙方应在开票之后5个工作日内将发票送达甲方，甲方签收发票的日期为发票的送达日期。</w:t>
      </w:r>
    </w:p>
    <w:p>
      <w:pPr>
        <w:spacing w:line="360" w:lineRule="auto"/>
        <w:ind w:firstLine="480" w:firstLineChars="200"/>
        <w:rPr>
          <w:rFonts w:ascii="宋体" w:hAnsi="宋体" w:cs="宋体"/>
        </w:rPr>
      </w:pPr>
      <w:r>
        <w:rPr>
          <w:rFonts w:hint="eastAsia" w:ascii="宋体" w:hAnsi="宋体" w:cs="宋体"/>
          <w:szCs w:val="24"/>
        </w:rPr>
        <w:t>2.6、对发票不合规的约定</w:t>
      </w:r>
    </w:p>
    <w:p>
      <w:pPr>
        <w:spacing w:line="360" w:lineRule="auto"/>
        <w:ind w:firstLine="480" w:firstLineChars="200"/>
        <w:rPr>
          <w:rFonts w:ascii="宋体" w:hAnsi="宋体" w:cs="宋体"/>
          <w:szCs w:val="24"/>
        </w:rPr>
      </w:pPr>
      <w:r>
        <w:rPr>
          <w:rFonts w:hint="eastAsia" w:ascii="宋体" w:hAnsi="宋体" w:cs="宋体"/>
          <w:szCs w:val="24"/>
        </w:rPr>
        <w:t>（1）乙方提供的发票为增值税专用发票的，因乙方迟延送达、开具错误等原因导致其提供的增值税专用发票没有通过税务部门认证，造成甲方不能抵扣的，甲方有权拒绝接收。</w:t>
      </w:r>
    </w:p>
    <w:p>
      <w:pPr>
        <w:spacing w:line="360" w:lineRule="auto"/>
        <w:ind w:firstLine="480" w:firstLineChars="200"/>
        <w:rPr>
          <w:rFonts w:ascii="宋体" w:hAnsi="宋体" w:cs="宋体"/>
          <w:szCs w:val="24"/>
        </w:rPr>
      </w:pPr>
      <w:r>
        <w:rPr>
          <w:rFonts w:hint="eastAsia" w:ascii="宋体" w:hAnsi="宋体" w:cs="宋体"/>
          <w:szCs w:val="24"/>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rPr>
          <w:rFonts w:ascii="宋体" w:hAnsi="宋体" w:cs="宋体"/>
          <w:szCs w:val="24"/>
        </w:rPr>
      </w:pPr>
      <w:r>
        <w:rPr>
          <w:rFonts w:hint="eastAsia" w:ascii="宋体" w:hAnsi="宋体" w:cs="宋体"/>
          <w:szCs w:val="24"/>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spacing w:line="360" w:lineRule="auto"/>
        <w:ind w:firstLine="480" w:firstLineChars="200"/>
        <w:rPr>
          <w:rFonts w:ascii="宋体" w:hAnsi="宋体" w:cs="宋体"/>
          <w:szCs w:val="24"/>
          <w:highlight w:val="yellow"/>
        </w:rPr>
      </w:pPr>
      <w:bookmarkStart w:id="1" w:name="_GoBack"/>
      <w:r>
        <w:rPr>
          <w:rFonts w:hint="eastAsia" w:ascii="宋体" w:hAnsi="宋体" w:cs="宋体"/>
          <w:szCs w:val="24"/>
          <w:highlight w:val="yellow"/>
          <w:lang w:val="en-US" w:eastAsia="zh-CN"/>
        </w:rPr>
        <w:t>3</w:t>
      </w:r>
      <w:r>
        <w:rPr>
          <w:rFonts w:hint="eastAsia" w:ascii="宋体" w:hAnsi="宋体" w:cs="宋体"/>
          <w:szCs w:val="24"/>
          <w:highlight w:val="yellow"/>
        </w:rPr>
        <w:t>、其它税务风险的合同约定</w:t>
      </w:r>
    </w:p>
    <w:bookmarkEnd w:id="1"/>
    <w:p>
      <w:pPr>
        <w:spacing w:line="360" w:lineRule="auto"/>
        <w:ind w:firstLine="480" w:firstLineChars="200"/>
        <w:rPr>
          <w:rFonts w:ascii="宋体" w:hAnsi="宋体" w:cs="宋体"/>
          <w:szCs w:val="24"/>
        </w:rPr>
      </w:pPr>
      <w:r>
        <w:rPr>
          <w:rFonts w:hint="eastAsia" w:ascii="宋体" w:hAnsi="宋体" w:cs="宋体"/>
          <w:szCs w:val="24"/>
        </w:rPr>
        <w:t>（1）如果甲方丢失增值税专用发票联和抵扣联，乙方应向甲方提供专用发票记账联复印件及主管税务机关出具的《丢失增值税专用发票已报税证明单》。</w:t>
      </w:r>
    </w:p>
    <w:p>
      <w:pPr>
        <w:spacing w:line="360" w:lineRule="auto"/>
        <w:ind w:firstLine="480" w:firstLineChars="200"/>
      </w:pPr>
      <w:r>
        <w:rPr>
          <w:rFonts w:hint="eastAsia" w:ascii="宋体" w:hAnsi="宋体" w:cs="宋体"/>
          <w:szCs w:val="24"/>
        </w:rPr>
        <w:t xml:space="preserve">（2）如果获得开具的汇总专用发票，则乙方应提供其防伪税控系统开具的《销售货物或者提供应税劳务清单》，并加盖发票专用章。           </w:t>
      </w:r>
    </w:p>
    <w:p>
      <w:pPr>
        <w:snapToGrid w:val="0"/>
        <w:spacing w:line="360" w:lineRule="auto"/>
        <w:rPr>
          <w:rFonts w:ascii="宋体" w:hAnsi="宋体"/>
          <w:b/>
          <w:szCs w:val="24"/>
        </w:rPr>
      </w:pPr>
      <w:r>
        <w:rPr>
          <w:rFonts w:hint="eastAsia" w:ascii="宋体" w:hAnsi="宋体"/>
          <w:b/>
          <w:szCs w:val="24"/>
        </w:rPr>
        <w:t>六、合同价款的调整</w:t>
      </w:r>
    </w:p>
    <w:p>
      <w:pPr>
        <w:spacing w:line="360" w:lineRule="auto"/>
        <w:ind w:firstLine="200"/>
        <w:jc w:val="left"/>
        <w:rPr>
          <w:rFonts w:ascii="宋体" w:hAnsi="宋体" w:cs="宋体"/>
          <w:color w:val="000000"/>
          <w:spacing w:val="12"/>
          <w:szCs w:val="24"/>
        </w:rPr>
      </w:pPr>
      <w:r>
        <w:rPr>
          <w:rFonts w:hint="eastAsia" w:ascii="宋体" w:hAnsi="宋体" w:cs="宋体"/>
          <w:bCs/>
          <w:color w:val="000000"/>
          <w:spacing w:val="12"/>
          <w:szCs w:val="24"/>
        </w:rPr>
        <w:t>1、乙方按照协议清单将满足技术标准和质量要求的封闭母线送到双方约定地点，合同价款包括：制作、包装、运输（含保险费、卸车费）、安装、管理、利润、税金、</w:t>
      </w:r>
      <w:r>
        <w:rPr>
          <w:rFonts w:hint="eastAsia" w:ascii="宋体" w:hAnsi="宋体" w:cs="宋体"/>
          <w:color w:val="000000"/>
          <w:spacing w:val="12"/>
          <w:szCs w:val="24"/>
        </w:rPr>
        <w:t>货到工地负责堆放至甲方指定地点、现场成品保护等所发生的一切费用；现场协调、现场配合验收、因质量问题引起的维修和更换、技术指导、培训、调试以及成品保护等费用。封闭母线如需送洛阳市质量技术监督局检测中心检测、试验时，费用、测试用的成品、材料、样品均由乙方承担。</w:t>
      </w:r>
    </w:p>
    <w:p>
      <w:pPr>
        <w:spacing w:line="360" w:lineRule="auto"/>
        <w:ind w:firstLine="480"/>
        <w:rPr>
          <w:rFonts w:ascii="宋体" w:hAnsi="宋体" w:cs="宋体"/>
          <w:szCs w:val="24"/>
          <w:highlight w:val="none"/>
        </w:rPr>
      </w:pPr>
      <w:r>
        <w:rPr>
          <w:rFonts w:hint="eastAsia" w:ascii="宋体" w:hAnsi="宋体" w:cs="宋体"/>
          <w:color w:val="000000"/>
          <w:spacing w:val="12"/>
          <w:szCs w:val="24"/>
          <w:highlight w:val="none"/>
        </w:rPr>
        <w:t>2、</w:t>
      </w:r>
      <w:r>
        <w:rPr>
          <w:rFonts w:hint="eastAsia" w:ascii="宋体" w:hAnsi="宋体" w:cs="宋体"/>
          <w:bCs/>
          <w:kern w:val="0"/>
          <w:szCs w:val="24"/>
          <w:highlight w:val="none"/>
        </w:rPr>
        <w:t>本合同部分</w:t>
      </w:r>
      <w:r>
        <w:rPr>
          <w:rFonts w:ascii="宋体" w:hAnsi="宋体" w:cs="宋体"/>
          <w:bCs/>
          <w:kern w:val="0"/>
          <w:szCs w:val="24"/>
          <w:highlight w:val="none"/>
        </w:rPr>
        <w:t>材料</w:t>
      </w:r>
      <w:r>
        <w:rPr>
          <w:rFonts w:hint="eastAsia" w:ascii="宋体" w:hAnsi="宋体" w:cs="宋体"/>
          <w:szCs w:val="24"/>
          <w:highlight w:val="none"/>
        </w:rPr>
        <w:t>综合单价，受铜价涨跌影响执行如下调整，可</w:t>
      </w:r>
      <w:r>
        <w:rPr>
          <w:rFonts w:ascii="宋体" w:hAnsi="宋体" w:cs="宋体"/>
          <w:szCs w:val="24"/>
          <w:highlight w:val="none"/>
        </w:rPr>
        <w:t>调整</w:t>
      </w:r>
      <w:r>
        <w:rPr>
          <w:rFonts w:hint="eastAsia" w:ascii="宋体" w:hAnsi="宋体" w:cs="宋体"/>
          <w:szCs w:val="24"/>
          <w:highlight w:val="none"/>
        </w:rPr>
        <w:t>综合</w:t>
      </w:r>
      <w:r>
        <w:rPr>
          <w:rFonts w:ascii="宋体" w:hAnsi="宋体" w:cs="宋体"/>
          <w:szCs w:val="24"/>
          <w:highlight w:val="none"/>
        </w:rPr>
        <w:t>单价</w:t>
      </w:r>
      <w:r>
        <w:rPr>
          <w:rFonts w:hint="eastAsia" w:ascii="宋体" w:hAnsi="宋体" w:cs="宋体"/>
          <w:szCs w:val="24"/>
          <w:highlight w:val="none"/>
        </w:rPr>
        <w:t>中</w:t>
      </w:r>
      <w:r>
        <w:rPr>
          <w:rFonts w:ascii="宋体" w:hAnsi="宋体" w:cs="宋体"/>
          <w:szCs w:val="24"/>
          <w:highlight w:val="none"/>
        </w:rPr>
        <w:t>的</w:t>
      </w:r>
      <w:r>
        <w:rPr>
          <w:rFonts w:hint="eastAsia" w:ascii="宋体" w:hAnsi="宋体" w:cs="宋体"/>
          <w:szCs w:val="24"/>
          <w:highlight w:val="none"/>
        </w:rPr>
        <w:t>主材</w:t>
      </w:r>
      <w:r>
        <w:rPr>
          <w:rFonts w:ascii="宋体" w:hAnsi="宋体" w:cs="宋体"/>
          <w:szCs w:val="24"/>
          <w:highlight w:val="none"/>
        </w:rPr>
        <w:t>费，需调整</w:t>
      </w:r>
      <w:r>
        <w:rPr>
          <w:rFonts w:hint="eastAsia" w:ascii="宋体" w:hAnsi="宋体" w:cs="宋体"/>
          <w:szCs w:val="24"/>
          <w:highlight w:val="none"/>
        </w:rPr>
        <w:t>主材</w:t>
      </w:r>
      <w:r>
        <w:rPr>
          <w:rFonts w:ascii="宋体" w:hAnsi="宋体" w:cs="宋体"/>
          <w:szCs w:val="24"/>
          <w:highlight w:val="none"/>
        </w:rPr>
        <w:t>费的材料为</w:t>
      </w:r>
      <w:r>
        <w:rPr>
          <w:rFonts w:hint="eastAsia" w:ascii="宋体" w:hAnsi="宋体" w:cs="宋体"/>
          <w:szCs w:val="24"/>
          <w:highlight w:val="none"/>
        </w:rPr>
        <w:t>密闭母线，而后附</w:t>
      </w:r>
      <w:r>
        <w:rPr>
          <w:rFonts w:ascii="宋体" w:hAnsi="宋体" w:cs="宋体"/>
          <w:szCs w:val="24"/>
          <w:highlight w:val="none"/>
        </w:rPr>
        <w:t>清单当中</w:t>
      </w:r>
      <w:r>
        <w:rPr>
          <w:rFonts w:hint="eastAsia" w:ascii="宋体" w:hAnsi="宋体" w:cs="宋体"/>
          <w:szCs w:val="24"/>
          <w:highlight w:val="none"/>
        </w:rPr>
        <w:t>插接箱、始端箱</w:t>
      </w:r>
      <w:r>
        <w:rPr>
          <w:rFonts w:ascii="宋体" w:hAnsi="宋体" w:cs="宋体"/>
          <w:szCs w:val="24"/>
          <w:highlight w:val="none"/>
        </w:rPr>
        <w:t>、</w:t>
      </w:r>
      <w:r>
        <w:rPr>
          <w:rFonts w:hint="eastAsia" w:ascii="宋体" w:hAnsi="宋体" w:cs="宋体"/>
          <w:szCs w:val="24"/>
          <w:highlight w:val="none"/>
        </w:rPr>
        <w:t>直角弯头、45°弯头</w:t>
      </w:r>
      <w:r>
        <w:rPr>
          <w:rFonts w:ascii="宋体" w:hAnsi="宋体" w:cs="宋体"/>
          <w:szCs w:val="24"/>
          <w:highlight w:val="none"/>
        </w:rPr>
        <w:t>、弹簧支架、固定支架</w:t>
      </w:r>
      <w:r>
        <w:rPr>
          <w:rFonts w:hint="eastAsia" w:ascii="宋体" w:hAnsi="宋体" w:cs="宋体"/>
          <w:szCs w:val="24"/>
          <w:highlight w:val="none"/>
        </w:rPr>
        <w:t>等</w:t>
      </w:r>
      <w:r>
        <w:rPr>
          <w:rFonts w:ascii="宋体" w:hAnsi="宋体" w:cs="宋体"/>
          <w:szCs w:val="24"/>
          <w:highlight w:val="none"/>
        </w:rPr>
        <w:t>材料综合单价均不做调整</w:t>
      </w:r>
      <w:r>
        <w:rPr>
          <w:rFonts w:hint="eastAsia" w:ascii="宋体" w:hAnsi="宋体" w:cs="宋体"/>
          <w:szCs w:val="24"/>
          <w:highlight w:val="none"/>
        </w:rPr>
        <w:t>：参照甲方支付预付款（预付暂定</w:t>
      </w:r>
      <w:r>
        <w:rPr>
          <w:rFonts w:ascii="宋体" w:hAnsi="宋体" w:cs="宋体"/>
          <w:szCs w:val="24"/>
          <w:highlight w:val="none"/>
        </w:rPr>
        <w:t>合同总价的</w:t>
      </w:r>
      <w:r>
        <w:rPr>
          <w:rFonts w:hint="eastAsia" w:ascii="宋体" w:hAnsi="宋体" w:cs="宋体"/>
          <w:szCs w:val="24"/>
          <w:highlight w:val="none"/>
        </w:rPr>
        <w:t>30</w:t>
      </w:r>
      <w:r>
        <w:rPr>
          <w:rFonts w:ascii="宋体" w:hAnsi="宋体" w:cs="宋体"/>
          <w:szCs w:val="24"/>
          <w:highlight w:val="none"/>
        </w:rPr>
        <w:t>%</w:t>
      </w:r>
      <w:r>
        <w:rPr>
          <w:rFonts w:hint="eastAsia" w:ascii="宋体" w:hAnsi="宋体" w:cs="宋体"/>
          <w:szCs w:val="24"/>
          <w:highlight w:val="none"/>
        </w:rPr>
        <w:t>）当日的</w:t>
      </w:r>
      <w:r>
        <w:rPr>
          <w:rFonts w:hint="eastAsia" w:ascii="宋体" w:hAnsi="宋体" w:cs="宋体"/>
          <w:szCs w:val="24"/>
          <w:highlight w:val="none"/>
          <w:u w:val="single"/>
        </w:rPr>
        <w:t>长江铜业网长江现货1#铜</w:t>
      </w:r>
      <w:r>
        <w:rPr>
          <w:rFonts w:hint="eastAsia" w:ascii="宋体" w:hAnsi="宋体" w:cs="宋体"/>
          <w:szCs w:val="24"/>
          <w:highlight w:val="none"/>
        </w:rPr>
        <w:t>价格，与投标当日原材料铜报价</w:t>
      </w:r>
      <w:r>
        <w:rPr>
          <w:rFonts w:hint="eastAsia" w:ascii="宋体" w:hAnsi="宋体" w:cs="宋体"/>
          <w:szCs w:val="24"/>
          <w:highlight w:val="none"/>
          <w:u w:val="single"/>
        </w:rPr>
        <w:t xml:space="preserve"> </w:t>
      </w:r>
      <w:r>
        <w:rPr>
          <w:rFonts w:ascii="宋体" w:hAnsi="宋体" w:cs="宋体"/>
          <w:szCs w:val="24"/>
          <w:highlight w:val="none"/>
          <w:u w:val="single"/>
        </w:rPr>
        <w:t>57370</w:t>
      </w:r>
      <w:r>
        <w:rPr>
          <w:rFonts w:hint="eastAsia" w:ascii="宋体" w:hAnsi="宋体" w:cs="宋体"/>
          <w:szCs w:val="24"/>
          <w:highlight w:val="none"/>
          <w:u w:val="single"/>
        </w:rPr>
        <w:t xml:space="preserve"> </w:t>
      </w:r>
      <w:r>
        <w:rPr>
          <w:rFonts w:hint="eastAsia" w:ascii="宋体" w:hAnsi="宋体" w:cs="宋体"/>
          <w:szCs w:val="24"/>
          <w:highlight w:val="none"/>
        </w:rPr>
        <w:t>元/吨相比，涨跌幅≤</w:t>
      </w:r>
      <w:r>
        <w:rPr>
          <w:rFonts w:ascii="宋体" w:hAnsi="宋体" w:cs="宋体"/>
          <w:szCs w:val="24"/>
          <w:highlight w:val="none"/>
          <w:u w:val="single"/>
        </w:rPr>
        <w:t>1000</w:t>
      </w:r>
      <w:r>
        <w:rPr>
          <w:rFonts w:hint="eastAsia" w:ascii="宋体" w:hAnsi="宋体" w:cs="宋体"/>
          <w:szCs w:val="24"/>
          <w:highlight w:val="none"/>
        </w:rPr>
        <w:t>，合同内线缆单价不再调整，涨跌幅＞</w:t>
      </w:r>
      <w:r>
        <w:rPr>
          <w:rFonts w:ascii="宋体" w:hAnsi="宋体" w:cs="宋体"/>
          <w:szCs w:val="24"/>
          <w:highlight w:val="none"/>
          <w:u w:val="single"/>
        </w:rPr>
        <w:t>1000</w:t>
      </w:r>
      <w:r>
        <w:rPr>
          <w:rFonts w:hint="eastAsia" w:ascii="宋体" w:hAnsi="宋体" w:cs="宋体"/>
          <w:szCs w:val="24"/>
          <w:highlight w:val="none"/>
        </w:rPr>
        <w:t>，合同内</w:t>
      </w:r>
      <w:r>
        <w:rPr>
          <w:rFonts w:hint="eastAsia" w:ascii="宋体" w:hAnsi="宋体" w:cs="宋体"/>
          <w:bCs/>
          <w:kern w:val="0"/>
          <w:szCs w:val="24"/>
          <w:highlight w:val="none"/>
        </w:rPr>
        <w:t>需调材料</w:t>
      </w:r>
      <w:r>
        <w:rPr>
          <w:rFonts w:hint="eastAsia" w:ascii="宋体" w:hAnsi="宋体" w:cs="宋体"/>
          <w:szCs w:val="24"/>
          <w:highlight w:val="none"/>
        </w:rPr>
        <w:t>单价中</w:t>
      </w:r>
      <w:r>
        <w:rPr>
          <w:rFonts w:ascii="宋体" w:hAnsi="宋体" w:cs="宋体"/>
          <w:szCs w:val="24"/>
          <w:highlight w:val="none"/>
        </w:rPr>
        <w:t>材料</w:t>
      </w:r>
      <w:r>
        <w:rPr>
          <w:rFonts w:hint="eastAsia" w:ascii="宋体" w:hAnsi="宋体" w:cs="宋体"/>
          <w:szCs w:val="24"/>
          <w:highlight w:val="none"/>
        </w:rPr>
        <w:t>单价按下列公式调整</w:t>
      </w:r>
      <w:r>
        <w:rPr>
          <w:rFonts w:ascii="宋体" w:hAnsi="宋体" w:cs="宋体"/>
          <w:szCs w:val="24"/>
          <w:highlight w:val="none"/>
        </w:rPr>
        <w:t>（</w:t>
      </w:r>
      <w:r>
        <w:rPr>
          <w:rFonts w:hint="eastAsia" w:ascii="宋体" w:hAnsi="宋体" w:cs="宋体"/>
          <w:szCs w:val="24"/>
          <w:highlight w:val="none"/>
        </w:rPr>
        <w:t>安装费用</w:t>
      </w:r>
      <w:r>
        <w:rPr>
          <w:rFonts w:ascii="宋体" w:hAnsi="宋体" w:cs="宋体"/>
          <w:szCs w:val="24"/>
          <w:highlight w:val="none"/>
        </w:rPr>
        <w:t>不予调整）</w:t>
      </w:r>
      <w:r>
        <w:rPr>
          <w:rFonts w:hint="eastAsia" w:ascii="宋体" w:hAnsi="宋体" w:cs="宋体"/>
          <w:szCs w:val="24"/>
          <w:highlight w:val="none"/>
        </w:rPr>
        <w:t>：</w:t>
      </w:r>
    </w:p>
    <w:p>
      <w:pPr>
        <w:spacing w:line="360" w:lineRule="auto"/>
        <w:ind w:firstLine="480"/>
        <w:rPr>
          <w:rFonts w:ascii="宋体" w:hAnsi="宋体" w:cs="宋体"/>
          <w:szCs w:val="24"/>
          <w:highlight w:val="none"/>
        </w:rPr>
      </w:pPr>
      <w:r>
        <w:rPr>
          <w:rFonts w:hint="eastAsia" w:ascii="宋体" w:hAnsi="宋体" w:cs="宋体"/>
          <w:szCs w:val="24"/>
          <w:highlight w:val="none"/>
        </w:rPr>
        <w:t>1、</w:t>
      </w:r>
      <w:r>
        <w:rPr>
          <w:rFonts w:hint="eastAsia" w:ascii="宋体" w:hAnsi="宋体" w:cs="宋体"/>
          <w:bCs/>
          <w:kern w:val="0"/>
          <w:szCs w:val="24"/>
          <w:highlight w:val="none"/>
        </w:rPr>
        <w:t>密闭母线槽</w:t>
      </w:r>
      <w:r>
        <w:rPr>
          <w:rFonts w:hint="eastAsia" w:ascii="宋体" w:hAnsi="宋体" w:cs="宋体"/>
          <w:szCs w:val="24"/>
          <w:highlight w:val="none"/>
        </w:rPr>
        <w:t xml:space="preserve">投标综合单价价格 </w:t>
      </w:r>
      <w:r>
        <w:rPr>
          <w:rFonts w:ascii="宋体" w:hAnsi="宋体" w:cs="宋体"/>
          <w:szCs w:val="24"/>
          <w:highlight w:val="none"/>
        </w:rPr>
        <w:t>A</w:t>
      </w:r>
      <w:r>
        <w:rPr>
          <w:rFonts w:hint="eastAsia" w:ascii="宋体" w:hAnsi="宋体" w:cs="宋体"/>
          <w:szCs w:val="24"/>
          <w:highlight w:val="none"/>
        </w:rPr>
        <w:t xml:space="preserve">= </w:t>
      </w:r>
      <w:r>
        <w:rPr>
          <w:rFonts w:ascii="宋体" w:hAnsi="宋体" w:cs="宋体"/>
          <w:szCs w:val="24"/>
          <w:highlight w:val="none"/>
        </w:rPr>
        <w:t>a+b</w:t>
      </w:r>
      <w:r>
        <w:rPr>
          <w:rFonts w:hint="eastAsia" w:ascii="宋体" w:hAnsi="宋体" w:cs="宋体"/>
          <w:szCs w:val="24"/>
          <w:highlight w:val="none"/>
        </w:rPr>
        <w:t>元/m（其中</w:t>
      </w:r>
      <w:r>
        <w:rPr>
          <w:rFonts w:ascii="宋体" w:hAnsi="宋体" w:cs="宋体"/>
          <w:szCs w:val="24"/>
          <w:highlight w:val="none"/>
        </w:rPr>
        <w:t>a为主材费</w:t>
      </w:r>
      <w:r>
        <w:rPr>
          <w:rFonts w:hint="eastAsia" w:ascii="宋体" w:hAnsi="宋体" w:cs="宋体"/>
          <w:szCs w:val="24"/>
          <w:highlight w:val="none"/>
        </w:rPr>
        <w:t>,</w:t>
      </w:r>
      <w:r>
        <w:rPr>
          <w:rFonts w:ascii="宋体" w:hAnsi="宋体" w:cs="宋体"/>
          <w:szCs w:val="24"/>
          <w:highlight w:val="none"/>
        </w:rPr>
        <w:t>b为综合单价中除主材费用外的其他费用</w:t>
      </w:r>
      <w:r>
        <w:rPr>
          <w:rFonts w:hint="eastAsia" w:ascii="宋体" w:hAnsi="宋体" w:cs="宋体"/>
          <w:szCs w:val="24"/>
          <w:highlight w:val="none"/>
        </w:rPr>
        <w:t>）</w:t>
      </w:r>
    </w:p>
    <w:p>
      <w:pPr>
        <w:spacing w:line="360" w:lineRule="auto"/>
        <w:ind w:firstLine="480"/>
        <w:rPr>
          <w:rFonts w:ascii="宋体" w:hAnsi="宋体" w:cs="宋体"/>
          <w:szCs w:val="24"/>
          <w:highlight w:val="none"/>
        </w:rPr>
      </w:pPr>
      <w:r>
        <w:rPr>
          <w:rFonts w:hint="eastAsia" w:ascii="宋体" w:hAnsi="宋体" w:cs="宋体"/>
          <w:szCs w:val="24"/>
          <w:highlight w:val="none"/>
        </w:rPr>
        <w:t>2、甲方支付预付款当日的铜价= P 元/吨</w:t>
      </w:r>
    </w:p>
    <w:p>
      <w:pPr>
        <w:spacing w:line="360" w:lineRule="auto"/>
        <w:ind w:firstLine="480"/>
        <w:rPr>
          <w:rFonts w:ascii="宋体" w:hAnsi="宋体" w:cs="宋体"/>
          <w:szCs w:val="24"/>
          <w:highlight w:val="none"/>
        </w:rPr>
      </w:pPr>
      <w:r>
        <w:rPr>
          <w:rFonts w:hint="eastAsia" w:ascii="宋体" w:hAnsi="宋体" w:cs="宋体"/>
          <w:szCs w:val="24"/>
          <w:highlight w:val="none"/>
        </w:rPr>
        <w:t>3、乙方投标时的铜价 = C 元/吨（投标当日原材料铜报价</w:t>
      </w:r>
      <w:r>
        <w:rPr>
          <w:rFonts w:hint="eastAsia" w:ascii="宋体" w:hAnsi="宋体" w:cs="宋体"/>
          <w:szCs w:val="24"/>
          <w:highlight w:val="none"/>
          <w:u w:val="single"/>
        </w:rPr>
        <w:t xml:space="preserve"> </w:t>
      </w:r>
      <w:r>
        <w:rPr>
          <w:rFonts w:ascii="宋体" w:hAnsi="宋体" w:cs="宋体"/>
          <w:szCs w:val="24"/>
          <w:highlight w:val="none"/>
          <w:u w:val="single"/>
        </w:rPr>
        <w:t>57370</w:t>
      </w:r>
      <w:r>
        <w:rPr>
          <w:rFonts w:hint="eastAsia" w:ascii="宋体" w:hAnsi="宋体" w:cs="宋体"/>
          <w:szCs w:val="24"/>
          <w:highlight w:val="none"/>
          <w:u w:val="single"/>
        </w:rPr>
        <w:t xml:space="preserve"> </w:t>
      </w:r>
      <w:r>
        <w:rPr>
          <w:rFonts w:hint="eastAsia" w:ascii="宋体" w:hAnsi="宋体" w:cs="宋体"/>
          <w:szCs w:val="24"/>
          <w:highlight w:val="none"/>
        </w:rPr>
        <w:t>元/吨）</w:t>
      </w:r>
    </w:p>
    <w:p>
      <w:pPr>
        <w:spacing w:line="360" w:lineRule="auto"/>
        <w:ind w:firstLine="480"/>
        <w:rPr>
          <w:rFonts w:ascii="宋体" w:hAnsi="宋体" w:cs="宋体"/>
          <w:szCs w:val="24"/>
          <w:highlight w:val="none"/>
        </w:rPr>
      </w:pPr>
      <w:r>
        <w:rPr>
          <w:rFonts w:hint="eastAsia" w:ascii="宋体" w:hAnsi="宋体" w:cs="宋体"/>
          <w:szCs w:val="24"/>
          <w:highlight w:val="none"/>
        </w:rPr>
        <w:t>当-</w:t>
      </w:r>
      <w:r>
        <w:rPr>
          <w:rFonts w:ascii="宋体" w:hAnsi="宋体" w:cs="宋体"/>
          <w:szCs w:val="24"/>
          <w:highlight w:val="none"/>
        </w:rPr>
        <w:t>1000</w:t>
      </w:r>
      <w:r>
        <w:rPr>
          <w:rFonts w:hint="eastAsia" w:ascii="宋体" w:hAnsi="宋体" w:cs="宋体"/>
          <w:szCs w:val="24"/>
          <w:highlight w:val="none"/>
        </w:rPr>
        <w:t>≤(P-C)≤</w:t>
      </w:r>
      <w:r>
        <w:rPr>
          <w:rFonts w:ascii="宋体" w:hAnsi="宋体" w:cs="宋体"/>
          <w:szCs w:val="24"/>
          <w:highlight w:val="none"/>
        </w:rPr>
        <w:t>1000</w:t>
      </w:r>
      <w:r>
        <w:rPr>
          <w:rFonts w:hint="eastAsia" w:ascii="宋体" w:hAnsi="宋体" w:cs="宋体"/>
          <w:szCs w:val="24"/>
          <w:highlight w:val="none"/>
        </w:rPr>
        <w:t>时     结算</w:t>
      </w:r>
      <w:r>
        <w:rPr>
          <w:rFonts w:hint="eastAsia" w:ascii="宋体" w:hAnsi="宋体" w:cs="宋体"/>
          <w:bCs/>
          <w:kern w:val="0"/>
          <w:szCs w:val="24"/>
          <w:highlight w:val="none"/>
        </w:rPr>
        <w:t>母线槽</w:t>
      </w:r>
      <w:r>
        <w:rPr>
          <w:rFonts w:hint="eastAsia" w:ascii="宋体" w:hAnsi="宋体" w:cs="宋体"/>
          <w:szCs w:val="24"/>
          <w:highlight w:val="none"/>
        </w:rPr>
        <w:t>价格(元/m)=A</w:t>
      </w:r>
    </w:p>
    <w:p>
      <w:pPr>
        <w:spacing w:line="360" w:lineRule="auto"/>
        <w:ind w:firstLine="480"/>
        <w:jc w:val="left"/>
        <w:rPr>
          <w:rFonts w:ascii="宋体" w:hAnsi="宋体" w:cs="宋体"/>
          <w:szCs w:val="24"/>
          <w:highlight w:val="none"/>
        </w:rPr>
      </w:pPr>
      <w:r>
        <w:rPr>
          <w:rFonts w:hint="eastAsia" w:ascii="宋体" w:hAnsi="宋体" w:cs="宋体"/>
          <w:szCs w:val="24"/>
          <w:highlight w:val="none"/>
        </w:rPr>
        <w:t>当(P-C)＜-</w:t>
      </w:r>
      <w:r>
        <w:rPr>
          <w:rFonts w:ascii="宋体" w:hAnsi="宋体" w:cs="宋体"/>
          <w:szCs w:val="24"/>
          <w:highlight w:val="none"/>
        </w:rPr>
        <w:t>1000</w:t>
      </w:r>
      <w:r>
        <w:rPr>
          <w:rFonts w:hint="eastAsia" w:ascii="宋体" w:hAnsi="宋体" w:cs="宋体"/>
          <w:szCs w:val="24"/>
          <w:highlight w:val="none"/>
        </w:rPr>
        <w:t xml:space="preserve">或(P-C)＞1000时  </w:t>
      </w:r>
    </w:p>
    <w:p>
      <w:pPr>
        <w:spacing w:line="360" w:lineRule="auto"/>
        <w:ind w:firstLine="480"/>
        <w:rPr>
          <w:rFonts w:ascii="宋体" w:hAnsi="宋体" w:cs="宋体"/>
          <w:szCs w:val="24"/>
          <w:highlight w:val="none"/>
        </w:rPr>
      </w:pPr>
      <w:r>
        <w:rPr>
          <w:rFonts w:hint="eastAsia" w:ascii="宋体" w:hAnsi="宋体" w:cs="宋体"/>
          <w:szCs w:val="24"/>
          <w:highlight w:val="none"/>
        </w:rPr>
        <w:t>结算</w:t>
      </w:r>
      <w:r>
        <w:rPr>
          <w:rFonts w:hint="eastAsia" w:ascii="宋体" w:hAnsi="宋体" w:cs="宋体"/>
          <w:bCs/>
          <w:kern w:val="0"/>
          <w:szCs w:val="24"/>
          <w:highlight w:val="none"/>
        </w:rPr>
        <w:t>母线槽</w:t>
      </w:r>
      <w:r>
        <w:rPr>
          <w:rFonts w:hint="eastAsia" w:ascii="宋体" w:hAnsi="宋体" w:cs="宋体"/>
          <w:szCs w:val="24"/>
          <w:highlight w:val="none"/>
        </w:rPr>
        <w:t>价格(元/m) =</w:t>
      </w:r>
      <w:r>
        <w:rPr>
          <w:rFonts w:ascii="宋体" w:hAnsi="宋体" w:cs="宋体"/>
          <w:szCs w:val="24"/>
          <w:highlight w:val="none"/>
        </w:rPr>
        <w:t>b+a*</w:t>
      </w:r>
      <w:r>
        <w:rPr>
          <w:rFonts w:hint="eastAsia" w:ascii="宋体" w:hAnsi="宋体" w:cs="宋体"/>
          <w:szCs w:val="24"/>
          <w:highlight w:val="none"/>
        </w:rPr>
        <w:t>（1+(P-C)</w:t>
      </w:r>
      <w:r>
        <w:rPr>
          <w:rFonts w:ascii="宋体" w:hAnsi="宋体" w:cs="宋体"/>
          <w:szCs w:val="24"/>
          <w:highlight w:val="none"/>
        </w:rPr>
        <w:t>/1000</w:t>
      </w:r>
      <w:r>
        <w:rPr>
          <w:rFonts w:hint="eastAsia" w:ascii="宋体" w:hAnsi="宋体" w:cs="宋体"/>
          <w:szCs w:val="24"/>
          <w:highlight w:val="none"/>
        </w:rPr>
        <w:t>*</w:t>
      </w:r>
      <w:r>
        <w:rPr>
          <w:rFonts w:ascii="宋体" w:hAnsi="宋体" w:cs="宋体"/>
          <w:szCs w:val="24"/>
          <w:highlight w:val="none"/>
        </w:rPr>
        <w:t>0.015</w:t>
      </w:r>
      <w:r>
        <w:rPr>
          <w:rFonts w:hint="eastAsia" w:ascii="宋体" w:hAnsi="宋体" w:cs="宋体"/>
          <w:szCs w:val="24"/>
          <w:highlight w:val="none"/>
        </w:rPr>
        <w:t>）</w:t>
      </w:r>
    </w:p>
    <w:p>
      <w:pPr>
        <w:spacing w:line="360" w:lineRule="auto"/>
        <w:rPr>
          <w:rFonts w:ascii="宋体" w:hAnsi="宋体"/>
          <w:b/>
          <w:bCs/>
          <w:szCs w:val="24"/>
        </w:rPr>
      </w:pPr>
      <w:r>
        <w:rPr>
          <w:rFonts w:hint="eastAsia" w:ascii="宋体" w:hAnsi="宋体"/>
          <w:b/>
          <w:bCs/>
          <w:szCs w:val="24"/>
        </w:rPr>
        <w:t>七、履约保证金</w:t>
      </w:r>
    </w:p>
    <w:p>
      <w:pPr>
        <w:spacing w:line="360" w:lineRule="auto"/>
        <w:ind w:right="250" w:rightChars="104" w:firstLine="420" w:firstLineChars="175"/>
        <w:rPr>
          <w:rFonts w:ascii="宋体" w:hAnsi="宋体" w:cs="宋体"/>
          <w:color w:val="000000"/>
          <w:spacing w:val="12"/>
          <w:szCs w:val="24"/>
        </w:rPr>
      </w:pPr>
      <w:r>
        <w:rPr>
          <w:rFonts w:hint="eastAsia" w:ascii="宋体" w:hAnsi="宋体"/>
          <w:szCs w:val="24"/>
        </w:rPr>
        <w:t>合同签订后3日内，由投标保证金转为履约保证金，在工程验收合格后</w:t>
      </w:r>
      <w:r>
        <w:rPr>
          <w:rFonts w:hint="eastAsia" w:ascii="宋体" w:hAnsi="宋体"/>
          <w:szCs w:val="24"/>
          <w:u w:val="single"/>
        </w:rPr>
        <w:t>15</w:t>
      </w:r>
      <w:r>
        <w:rPr>
          <w:rFonts w:hint="eastAsia" w:ascii="宋体" w:hAnsi="宋体"/>
          <w:szCs w:val="24"/>
        </w:rPr>
        <w:t>个工作日内无息退还。</w:t>
      </w:r>
    </w:p>
    <w:p>
      <w:pPr>
        <w:spacing w:line="360" w:lineRule="auto"/>
        <w:rPr>
          <w:rFonts w:ascii="宋体" w:hAnsi="宋体"/>
          <w:b/>
          <w:bCs/>
          <w:szCs w:val="24"/>
        </w:rPr>
      </w:pPr>
      <w:r>
        <w:rPr>
          <w:rFonts w:hint="eastAsia" w:ascii="宋体" w:hAnsi="宋体"/>
          <w:b/>
          <w:bCs/>
          <w:szCs w:val="24"/>
        </w:rPr>
        <w:t>八、甲乙双方权利和义务</w:t>
      </w:r>
    </w:p>
    <w:p>
      <w:pPr>
        <w:spacing w:line="360" w:lineRule="auto"/>
        <w:jc w:val="left"/>
        <w:rPr>
          <w:rFonts w:ascii="宋体" w:hAnsi="宋体" w:cs="宋体"/>
          <w:color w:val="000000"/>
          <w:spacing w:val="12"/>
          <w:szCs w:val="24"/>
        </w:rPr>
      </w:pPr>
      <w:r>
        <w:rPr>
          <w:rFonts w:hint="eastAsia" w:ascii="宋体" w:hAnsi="宋体" w:cs="宋体"/>
          <w:szCs w:val="24"/>
        </w:rPr>
        <w:t xml:space="preserve">  </w:t>
      </w:r>
      <w:r>
        <w:rPr>
          <w:rFonts w:hint="eastAsia" w:ascii="宋体" w:hAnsi="宋体" w:cs="宋体"/>
          <w:color w:val="000000"/>
          <w:spacing w:val="12"/>
          <w:szCs w:val="24"/>
        </w:rPr>
        <w:t xml:space="preserve">  1、甲方权利和义务</w:t>
      </w:r>
    </w:p>
    <w:p>
      <w:pPr>
        <w:spacing w:line="360" w:lineRule="auto"/>
        <w:jc w:val="left"/>
        <w:rPr>
          <w:rFonts w:ascii="宋体" w:hAnsi="宋体" w:cs="宋体"/>
          <w:color w:val="000000"/>
          <w:spacing w:val="12"/>
          <w:szCs w:val="24"/>
        </w:rPr>
      </w:pPr>
      <w:r>
        <w:rPr>
          <w:rFonts w:hint="eastAsia" w:ascii="宋体" w:hAnsi="宋体" w:cs="宋体"/>
          <w:color w:val="000000"/>
          <w:spacing w:val="12"/>
          <w:szCs w:val="24"/>
        </w:rPr>
        <w:t xml:space="preserve">    1.1、根据合同约定的方式向乙方发出增减供货、供货期调整、取消订货等指令。</w:t>
      </w:r>
    </w:p>
    <w:p>
      <w:pPr>
        <w:spacing w:line="360" w:lineRule="auto"/>
        <w:jc w:val="left"/>
        <w:rPr>
          <w:rFonts w:ascii="宋体" w:hAnsi="宋体" w:cs="宋体"/>
          <w:color w:val="000000"/>
          <w:spacing w:val="12"/>
          <w:szCs w:val="24"/>
        </w:rPr>
      </w:pPr>
      <w:r>
        <w:rPr>
          <w:rFonts w:hint="eastAsia" w:ascii="宋体" w:hAnsi="宋体" w:cs="宋体"/>
          <w:color w:val="000000"/>
          <w:spacing w:val="12"/>
          <w:szCs w:val="24"/>
        </w:rPr>
        <w:t xml:space="preserve">    1.2、组织交货验收、办理结算、支付货款。</w:t>
      </w:r>
    </w:p>
    <w:p>
      <w:pPr>
        <w:spacing w:line="360" w:lineRule="auto"/>
        <w:jc w:val="left"/>
        <w:rPr>
          <w:rFonts w:ascii="宋体" w:hAnsi="宋体" w:cs="宋体"/>
          <w:color w:val="000000"/>
          <w:spacing w:val="12"/>
          <w:szCs w:val="24"/>
        </w:rPr>
      </w:pPr>
      <w:r>
        <w:rPr>
          <w:rFonts w:hint="eastAsia" w:ascii="宋体" w:hAnsi="宋体" w:cs="宋体"/>
          <w:color w:val="000000"/>
          <w:spacing w:val="12"/>
          <w:szCs w:val="24"/>
        </w:rPr>
        <w:t xml:space="preserve">    1.3、根据封存样品，负责对产品的质量、规格型号、数量、颜色、进行验收。</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lang w:val="en-US" w:eastAsia="zh-CN"/>
        </w:rPr>
        <w:t>2、</w:t>
      </w:r>
      <w:r>
        <w:rPr>
          <w:rFonts w:hint="eastAsia" w:ascii="宋体" w:hAnsi="宋体" w:cs="宋体"/>
          <w:color w:val="000000"/>
          <w:spacing w:val="12"/>
          <w:szCs w:val="24"/>
        </w:rPr>
        <w:t>乙方权利和义务</w:t>
      </w:r>
    </w:p>
    <w:p>
      <w:pPr>
        <w:spacing w:line="360" w:lineRule="auto"/>
        <w:jc w:val="left"/>
        <w:rPr>
          <w:rFonts w:ascii="宋体" w:hAnsi="宋体" w:cs="宋体"/>
          <w:color w:val="000000"/>
          <w:spacing w:val="12"/>
          <w:szCs w:val="24"/>
        </w:rPr>
      </w:pPr>
      <w:r>
        <w:rPr>
          <w:rFonts w:hint="eastAsia" w:ascii="宋体" w:hAnsi="宋体" w:cs="宋体"/>
          <w:color w:val="000000"/>
          <w:spacing w:val="12"/>
          <w:szCs w:val="24"/>
        </w:rPr>
        <w:t xml:space="preserve">    2.1、封闭母线进场后应由乙方提供有关的出厂合格证、3C认证、生产许可证和国家权威检测机构出具的检测报告，需作复试的由乙方负责和承担费用。</w:t>
      </w:r>
    </w:p>
    <w:p>
      <w:pPr>
        <w:spacing w:line="360" w:lineRule="auto"/>
        <w:jc w:val="left"/>
        <w:rPr>
          <w:rFonts w:ascii="宋体" w:hAnsi="宋体" w:cs="宋体"/>
          <w:color w:val="000000"/>
          <w:spacing w:val="12"/>
          <w:szCs w:val="24"/>
        </w:rPr>
      </w:pPr>
      <w:r>
        <w:rPr>
          <w:rFonts w:hint="eastAsia" w:ascii="宋体" w:hAnsi="宋体" w:cs="宋体"/>
          <w:color w:val="000000"/>
          <w:spacing w:val="12"/>
          <w:szCs w:val="24"/>
        </w:rPr>
        <w:t xml:space="preserve">    2.2、按照约定的材料清单、合同价款、交货方式、交货地点和时间向甲方供应满足技术标准及质量要求的产品。封闭母线供货完毕后，现场如有整捆未拆、包装完好的，乙方承诺可按合同单价退货。</w:t>
      </w:r>
    </w:p>
    <w:p>
      <w:pPr>
        <w:spacing w:line="360" w:lineRule="auto"/>
        <w:jc w:val="left"/>
        <w:rPr>
          <w:rFonts w:ascii="宋体" w:hAnsi="宋体" w:cs="宋体"/>
          <w:color w:val="000000"/>
          <w:spacing w:val="12"/>
          <w:szCs w:val="24"/>
        </w:rPr>
      </w:pPr>
      <w:r>
        <w:rPr>
          <w:rFonts w:hint="eastAsia" w:ascii="宋体" w:hAnsi="宋体" w:cs="宋体"/>
          <w:color w:val="000000"/>
          <w:spacing w:val="12"/>
          <w:szCs w:val="24"/>
        </w:rPr>
        <w:t xml:space="preserve">    2.3、遵守政府有关主管部门对包装、运输的管理规定，按规定办理有关手续，并将复印件抄送总监和甲方代表，自行承担因乙方责任造成的政府处罚。</w:t>
      </w:r>
    </w:p>
    <w:p>
      <w:pPr>
        <w:spacing w:line="360" w:lineRule="auto"/>
        <w:jc w:val="left"/>
        <w:rPr>
          <w:rFonts w:ascii="宋体" w:hAnsi="宋体" w:cs="宋体"/>
          <w:color w:val="000000"/>
          <w:spacing w:val="12"/>
          <w:szCs w:val="24"/>
        </w:rPr>
      </w:pPr>
      <w:r>
        <w:rPr>
          <w:rFonts w:hint="eastAsia" w:ascii="宋体" w:hAnsi="宋体" w:cs="宋体"/>
          <w:color w:val="000000"/>
          <w:spacing w:val="12"/>
          <w:szCs w:val="24"/>
        </w:rPr>
        <w:t xml:space="preserve">    2.4、在甲方或监理单位提出要求时，配合甲方或监理单位在生产过程中对原材料、半成品、成品及加工过程进行抽查，此费用如验收合格由甲方承担，不合格由乙方承担。</w:t>
      </w:r>
    </w:p>
    <w:p>
      <w:pPr>
        <w:spacing w:line="360" w:lineRule="auto"/>
        <w:jc w:val="left"/>
        <w:rPr>
          <w:rFonts w:ascii="宋体" w:hAnsi="宋体" w:cs="宋体"/>
          <w:color w:val="000000"/>
          <w:spacing w:val="12"/>
          <w:szCs w:val="24"/>
        </w:rPr>
      </w:pPr>
      <w:r>
        <w:rPr>
          <w:rFonts w:hint="eastAsia" w:ascii="宋体" w:hAnsi="宋体" w:cs="宋体"/>
          <w:color w:val="000000"/>
          <w:spacing w:val="12"/>
          <w:szCs w:val="24"/>
        </w:rPr>
        <w:t xml:space="preserve">    2.5、因乙方所提供的封闭母线品牌、型号、质量不符合本合同及相关规范规定，甲方有权拒收，供货期不予顺延，乙方需更换。</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2.6、乙方负责母线槽安装工程交付前的成品保护工作。</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2.7、按照施工安全规范的要求，采取相应的安全施工防护措施，在现场施工中对安全负全责，发生安全事故与甲方及总包单位无关，一切责任由乙方承担；做到文明施工，工完料清、场清；乙方做好半成品保护工作。</w:t>
      </w:r>
    </w:p>
    <w:p>
      <w:pPr>
        <w:pStyle w:val="2"/>
      </w:pPr>
      <w:r>
        <w:rPr>
          <w:rFonts w:hint="eastAsia" w:hAnsi="宋体" w:cs="宋体"/>
          <w:color w:val="000000"/>
          <w:spacing w:val="12"/>
          <w:szCs w:val="24"/>
        </w:rPr>
        <w:t xml:space="preserve">   </w:t>
      </w:r>
      <w:r>
        <w:rPr>
          <w:rFonts w:hint="eastAsia" w:hAnsi="宋体" w:cs="宋体"/>
          <w:b w:val="0"/>
          <w:color w:val="000000"/>
          <w:spacing w:val="12"/>
          <w:kern w:val="2"/>
          <w:position w:val="0"/>
          <w:szCs w:val="24"/>
        </w:rPr>
        <w:t xml:space="preserve"> 2.8、遵守国家或地方政府及有关部门对施工现场管理规定；服从甲方的有关指令，积极配合甲方进度安排。</w:t>
      </w:r>
    </w:p>
    <w:p>
      <w:pPr>
        <w:spacing w:line="360" w:lineRule="auto"/>
        <w:ind w:firstLine="528" w:firstLineChars="200"/>
        <w:jc w:val="left"/>
      </w:pPr>
      <w:r>
        <w:rPr>
          <w:rFonts w:hint="eastAsia" w:ascii="宋体" w:hAnsi="宋体" w:cs="宋体"/>
          <w:color w:val="000000"/>
          <w:spacing w:val="12"/>
          <w:szCs w:val="24"/>
        </w:rPr>
        <w:t>2.9、乙方必须配合甲方工程验收，直至工程综合验收通过为止。</w:t>
      </w:r>
    </w:p>
    <w:p>
      <w:pPr>
        <w:spacing w:line="360" w:lineRule="auto"/>
        <w:rPr>
          <w:rFonts w:ascii="宋体" w:hAnsi="宋体"/>
          <w:b/>
          <w:bCs/>
          <w:szCs w:val="24"/>
        </w:rPr>
      </w:pPr>
      <w:r>
        <w:rPr>
          <w:rFonts w:hint="eastAsia" w:ascii="宋体" w:hAnsi="宋体"/>
          <w:b/>
          <w:bCs/>
          <w:szCs w:val="24"/>
        </w:rPr>
        <w:t>九、包装和保护</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包装必须符合国家和行业标准，乙方保证在运输中捆扎稳妥，保证产品不受摩擦损伤。对没有进行保护或受损的产品，甲方不予接受。由此造成的一切工期和经济损失均由乙方承担。</w:t>
      </w:r>
    </w:p>
    <w:p>
      <w:pPr>
        <w:spacing w:line="360" w:lineRule="auto"/>
        <w:rPr>
          <w:rFonts w:ascii="宋体" w:hAnsi="宋体"/>
          <w:b/>
          <w:bCs/>
          <w:szCs w:val="24"/>
        </w:rPr>
      </w:pPr>
      <w:r>
        <w:rPr>
          <w:rFonts w:hint="eastAsia" w:ascii="宋体" w:hAnsi="宋体"/>
          <w:b/>
          <w:bCs/>
          <w:szCs w:val="24"/>
        </w:rPr>
        <w:t>十、质量与验收</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1、乙方供应封闭母线生产厂家：河南新昇电气有限公司 ，封闭母线品牌为“河南新昇电气有限公司”。</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2、乙方供应封闭母线应满足双方在合同中约定的封闭母线所执行的技术标准及质量要求。</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3、乙方必须保证交货产品各项性能不得低于国家质量标准。甲方保留在例行送检之外随时抽查及送检产品的权利，检验机构为政府法定检验机构。对于产品的任何技术及质量标准不合格，乙方承担检测费用。甲方对有质量问题的货物有权拒收、部分拒收、退货、部分退货。</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4、乙方不得对封闭母线进行变更，未经甲方同意擅自更改或换用时，甲方有权要求退货并重做，乙方承担由此发生的费用，并赔偿甲方的有关损失，延误的供货日期不予顺延。</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5、合同履行中甲方要求变更材料质量标准及发生其他实质性变更，由双方协商解决。</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6、交货验收应在货物在指定地点落地之后进行，乙方应在缆到货前24小时通知甲方清点。甲乙双方、监理单位及甲方委托的验收参与人员，根据本合同约定的计量方式、技术标准和质量要求进行交货计量和验收，主要核对：数量、规格型号、产地、质量等级、尺寸、颜色、铭牌参数、包装及标识完整完好程度、交货资料。各方签字认可后即表示交货验收完成。</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7、若存在数量、规格型号、产地、质量等级、尺寸、颜色、铭牌参数、包装及标识完整完好程度、交货资料方面不合格情况的，甲方有权拒收、退货直至解除合同；甲方要求乙方重新更换的，乙方应按甲方要求的时间运走封闭母线并重新更换符合要求的产品，承担由此发生的费用。</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8、由于乙方封闭母线制造原因、调试达不到验收要求，不管该封闭母线是否经过甲方、监理验收，由乙方负责拆除和重新安装。乙方承担由此发生的一切费用。</w:t>
      </w:r>
    </w:p>
    <w:p>
      <w:pPr>
        <w:spacing w:line="360" w:lineRule="auto"/>
        <w:rPr>
          <w:rFonts w:ascii="宋体" w:hAnsi="宋体"/>
          <w:b/>
          <w:bCs/>
          <w:szCs w:val="24"/>
        </w:rPr>
      </w:pPr>
      <w:r>
        <w:rPr>
          <w:rFonts w:hint="eastAsia" w:ascii="宋体" w:hAnsi="宋体"/>
          <w:b/>
          <w:bCs/>
          <w:szCs w:val="24"/>
        </w:rPr>
        <w:t>十一、结算</w:t>
      </w:r>
    </w:p>
    <w:p>
      <w:pPr>
        <w:spacing w:line="360" w:lineRule="auto"/>
        <w:ind w:firstLine="528" w:firstLineChars="200"/>
        <w:jc w:val="left"/>
        <w:rPr>
          <w:rFonts w:ascii="宋体" w:hAnsi="宋体" w:cs="宋体"/>
          <w:color w:val="000000"/>
          <w:spacing w:val="12"/>
          <w:szCs w:val="24"/>
          <w:highlight w:val="none"/>
        </w:rPr>
      </w:pPr>
      <w:r>
        <w:rPr>
          <w:rFonts w:hint="eastAsia" w:ascii="宋体" w:hAnsi="宋体" w:cs="宋体"/>
          <w:color w:val="000000"/>
          <w:spacing w:val="12"/>
          <w:szCs w:val="24"/>
        </w:rPr>
        <w:t>本合同内甲</w:t>
      </w:r>
      <w:r>
        <w:rPr>
          <w:rFonts w:hint="eastAsia" w:ascii="宋体" w:hAnsi="宋体" w:cs="宋体"/>
          <w:color w:val="000000"/>
          <w:spacing w:val="12"/>
          <w:szCs w:val="24"/>
          <w:highlight w:val="none"/>
        </w:rPr>
        <w:t>方与乙方的结算：根据竣工图（参考</w:t>
      </w:r>
      <w:r>
        <w:rPr>
          <w:rFonts w:ascii="宋体" w:hAnsi="宋体" w:cs="宋体"/>
          <w:color w:val="000000"/>
          <w:spacing w:val="12"/>
          <w:szCs w:val="24"/>
          <w:highlight w:val="none"/>
        </w:rPr>
        <w:t>现场实际</w:t>
      </w:r>
      <w:r>
        <w:rPr>
          <w:rFonts w:hint="eastAsia" w:ascii="宋体" w:hAnsi="宋体" w:cs="宋体"/>
          <w:color w:val="000000"/>
          <w:spacing w:val="12"/>
          <w:szCs w:val="24"/>
          <w:highlight w:val="none"/>
        </w:rPr>
        <w:t>施工）作为结算依据。本工程的结算数量以甲方工程部、监理及乙方三方最终签认竣工</w:t>
      </w:r>
      <w:r>
        <w:rPr>
          <w:rFonts w:ascii="宋体" w:hAnsi="宋体" w:cs="宋体"/>
          <w:color w:val="000000"/>
          <w:spacing w:val="12"/>
          <w:szCs w:val="24"/>
          <w:highlight w:val="none"/>
        </w:rPr>
        <w:t>后</w:t>
      </w:r>
      <w:r>
        <w:rPr>
          <w:rFonts w:hint="eastAsia" w:ascii="宋体" w:hAnsi="宋体" w:cs="宋体"/>
          <w:color w:val="000000"/>
          <w:spacing w:val="12"/>
          <w:szCs w:val="24"/>
          <w:highlight w:val="none"/>
        </w:rPr>
        <w:t>现场</w:t>
      </w:r>
      <w:r>
        <w:rPr>
          <w:rFonts w:ascii="宋体" w:hAnsi="宋体" w:cs="宋体"/>
          <w:color w:val="000000"/>
          <w:spacing w:val="12"/>
          <w:szCs w:val="24"/>
          <w:highlight w:val="none"/>
        </w:rPr>
        <w:t>完工</w:t>
      </w:r>
      <w:r>
        <w:rPr>
          <w:rFonts w:hint="eastAsia" w:ascii="宋体" w:hAnsi="宋体" w:cs="宋体"/>
          <w:color w:val="000000"/>
          <w:spacing w:val="12"/>
          <w:szCs w:val="24"/>
          <w:highlight w:val="none"/>
        </w:rPr>
        <w:t>的工程量为准，结算单价为后附《封闭母线价格清单》表中的综合单价根据合同</w:t>
      </w:r>
      <w:r>
        <w:rPr>
          <w:rFonts w:ascii="宋体" w:hAnsi="宋体" w:cs="宋体"/>
          <w:color w:val="000000"/>
          <w:spacing w:val="12"/>
          <w:szCs w:val="24"/>
          <w:highlight w:val="none"/>
        </w:rPr>
        <w:t>中</w:t>
      </w:r>
      <w:r>
        <w:rPr>
          <w:rFonts w:hint="eastAsia" w:ascii="宋体" w:hAnsi="宋体" w:cs="宋体"/>
          <w:color w:val="000000"/>
          <w:spacing w:val="12"/>
          <w:szCs w:val="24"/>
          <w:highlight w:val="none"/>
        </w:rPr>
        <w:t>约定的调差</w:t>
      </w:r>
      <w:r>
        <w:rPr>
          <w:rFonts w:ascii="宋体" w:hAnsi="宋体" w:cs="宋体"/>
          <w:color w:val="000000"/>
          <w:spacing w:val="12"/>
          <w:szCs w:val="24"/>
          <w:highlight w:val="none"/>
        </w:rPr>
        <w:t>条件</w:t>
      </w:r>
      <w:r>
        <w:rPr>
          <w:rFonts w:hint="eastAsia" w:ascii="宋体" w:hAnsi="宋体" w:cs="宋体"/>
          <w:color w:val="000000"/>
          <w:spacing w:val="12"/>
          <w:szCs w:val="24"/>
          <w:highlight w:val="none"/>
        </w:rPr>
        <w:t>调整</w:t>
      </w:r>
      <w:r>
        <w:rPr>
          <w:rFonts w:ascii="宋体" w:hAnsi="宋体" w:cs="宋体"/>
          <w:color w:val="000000"/>
          <w:spacing w:val="12"/>
          <w:szCs w:val="24"/>
          <w:highlight w:val="none"/>
        </w:rPr>
        <w:t>后</w:t>
      </w:r>
      <w:r>
        <w:rPr>
          <w:rFonts w:hint="eastAsia" w:ascii="宋体" w:hAnsi="宋体" w:cs="宋体"/>
          <w:color w:val="000000"/>
          <w:spacing w:val="12"/>
          <w:szCs w:val="24"/>
          <w:highlight w:val="none"/>
        </w:rPr>
        <w:t>的价格。</w:t>
      </w:r>
    </w:p>
    <w:p>
      <w:pPr>
        <w:pStyle w:val="2"/>
        <w:ind w:firstLine="482" w:firstLineChars="200"/>
        <w:rPr>
          <w:highlight w:val="none"/>
        </w:rPr>
      </w:pPr>
      <w:r>
        <w:rPr>
          <w:rFonts w:hint="eastAsia" w:hAnsi="宋体" w:cs="宋体"/>
          <w:bCs/>
          <w:szCs w:val="24"/>
          <w:highlight w:val="none"/>
        </w:rPr>
        <w:t>结算价款＝∑结算单价</w:t>
      </w:r>
      <w:r>
        <w:rPr>
          <w:rFonts w:hAnsi="宋体" w:cs="宋体"/>
          <w:bCs/>
          <w:szCs w:val="24"/>
          <w:highlight w:val="none"/>
        </w:rPr>
        <w:t>*</w:t>
      </w:r>
      <w:r>
        <w:rPr>
          <w:rFonts w:hint="eastAsia" w:hAnsi="宋体" w:cs="宋体"/>
          <w:bCs/>
          <w:szCs w:val="24"/>
          <w:highlight w:val="none"/>
        </w:rPr>
        <w:t>工程量±变更、签证造价－其他应扣费用。</w:t>
      </w:r>
    </w:p>
    <w:p>
      <w:pPr>
        <w:spacing w:line="360" w:lineRule="auto"/>
        <w:rPr>
          <w:rFonts w:ascii="宋体" w:hAnsi="宋体"/>
          <w:b/>
          <w:bCs/>
          <w:szCs w:val="24"/>
          <w:highlight w:val="none"/>
        </w:rPr>
      </w:pPr>
      <w:r>
        <w:rPr>
          <w:rFonts w:hint="eastAsia" w:ascii="宋体" w:hAnsi="宋体"/>
          <w:b/>
          <w:bCs/>
          <w:szCs w:val="24"/>
          <w:highlight w:val="none"/>
        </w:rPr>
        <w:t>十二、质量保修</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1、乙方供应的封闭母线质量保修期为两年，自所有封闭母线供货及安装完毕经甲方及相关部门验收合格之日起计算。乙方应按法律、行政法规或国家关于材料质量保修的有关规定，对交付甲方使用的材料在质量保修期内承担质量保修责任。</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2、属于保修范围和内容的项目，乙方须在甲方通知后12小时内赶到现场察看情况，无须更换的，在察看情况后24小时内处理完毕并清理维修现场，做到工完场清。须更换的，乙方提出合理时间表并在得到甲方或委托人认可后严格按时间表更换维修，费用由乙方承担。</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3、每个维修项目完成后，经业主和甲方代表验收并签字后，视为本次维修项目维修完毕。</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4、乙方违反以上规定，视为乙方同意由甲方处理，甲方有权直接委托他方处理，处理结果由用户、甲方签字认可后生效，因此发生的费用可从甲方支付乙方的任何款项中扣除，不足部分由乙方补足。</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 xml:space="preserve">5、乙方同意在免费保修期满后至材料有效寿命年限内，继续提供维修服务，并按优惠价收取费用。                     </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 xml:space="preserve">6、保修范围：本合同所包含的项目、双方其他约定等全部内容。                        </w:t>
      </w:r>
    </w:p>
    <w:p>
      <w:pPr>
        <w:spacing w:line="360" w:lineRule="auto"/>
        <w:ind w:firstLine="528" w:firstLineChars="200"/>
        <w:jc w:val="left"/>
        <w:rPr>
          <w:rFonts w:ascii="宋体" w:hAnsi="宋体"/>
          <w:szCs w:val="24"/>
        </w:rPr>
      </w:pPr>
      <w:r>
        <w:rPr>
          <w:rFonts w:hint="eastAsia" w:ascii="宋体" w:hAnsi="宋体" w:cs="宋体"/>
          <w:color w:val="000000"/>
          <w:spacing w:val="12"/>
          <w:szCs w:val="24"/>
        </w:rPr>
        <w:t xml:space="preserve">7、保修责任：保修范围内，造成甲方的全部损失，均由乙方负责。  </w:t>
      </w:r>
      <w:r>
        <w:rPr>
          <w:rFonts w:hint="eastAsia" w:ascii="宋体" w:hAnsi="宋体"/>
          <w:szCs w:val="24"/>
        </w:rPr>
        <w:t xml:space="preserve">                                              </w:t>
      </w:r>
    </w:p>
    <w:p>
      <w:pPr>
        <w:spacing w:line="360" w:lineRule="auto"/>
        <w:rPr>
          <w:rFonts w:ascii="宋体" w:hAnsi="宋体"/>
          <w:b/>
          <w:bCs/>
          <w:szCs w:val="24"/>
        </w:rPr>
      </w:pPr>
      <w:r>
        <w:rPr>
          <w:rFonts w:hint="eastAsia" w:ascii="宋体" w:hAnsi="宋体"/>
          <w:b/>
          <w:bCs/>
          <w:szCs w:val="24"/>
        </w:rPr>
        <w:t>十三、保证条款</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乙方保证：因乙方提供的封闭母线本身存在内在的缺陷等质量问题，在保修期内虽未发现，乙方仍应在母线的有效使用年限内，承担质量责任；如因乙方提供的母线本身存在内在的缺陷等质量问题而造成甲方和第三人的损害，乙方承担全部赔偿责任。</w:t>
      </w:r>
    </w:p>
    <w:p>
      <w:pPr>
        <w:pStyle w:val="18"/>
        <w:spacing w:line="500" w:lineRule="exact"/>
        <w:rPr>
          <w:rFonts w:ascii="宋体" w:hAnsi="宋体" w:cs="宋体"/>
          <w:b/>
          <w:bCs/>
          <w:szCs w:val="24"/>
        </w:rPr>
      </w:pPr>
      <w:r>
        <w:rPr>
          <w:rFonts w:hint="eastAsia" w:ascii="宋体" w:hAnsi="宋体" w:cs="宋体"/>
          <w:b/>
          <w:bCs/>
          <w:szCs w:val="24"/>
        </w:rPr>
        <w:t>十四、安全施工</w:t>
      </w:r>
    </w:p>
    <w:p>
      <w:pPr>
        <w:pStyle w:val="18"/>
        <w:ind w:firstLine="240" w:firstLineChars="100"/>
        <w:rPr>
          <w:rFonts w:ascii="宋体" w:hAnsi="宋体" w:cs="宋体"/>
          <w:szCs w:val="24"/>
        </w:rPr>
      </w:pPr>
      <w:r>
        <w:rPr>
          <w:rFonts w:hint="eastAsia" w:ascii="宋体" w:hAnsi="宋体" w:cs="宋体"/>
          <w:szCs w:val="24"/>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pPr>
        <w:pStyle w:val="18"/>
        <w:ind w:firstLine="240" w:firstLineChars="100"/>
        <w:rPr>
          <w:rFonts w:ascii="宋体" w:hAnsi="宋体" w:cs="宋体"/>
          <w:szCs w:val="24"/>
        </w:rPr>
      </w:pPr>
      <w:r>
        <w:rPr>
          <w:rFonts w:hint="eastAsia" w:ascii="宋体" w:hAnsi="宋体" w:cs="宋体"/>
          <w:szCs w:val="24"/>
        </w:rPr>
        <w:t>2、乙方及乙方派驻施工现场的项目经理须向甲方签订安全责任书，对工程质量、安全做出相应承诺和确定目标值。若上述目标不能达到，自愿向甲方给予经济补偿和承担相应的法律责任。</w:t>
      </w:r>
    </w:p>
    <w:p>
      <w:pPr>
        <w:pStyle w:val="18"/>
        <w:ind w:firstLine="240" w:firstLineChars="100"/>
        <w:rPr>
          <w:rFonts w:ascii="宋体" w:hAnsi="宋体" w:cs="宋体"/>
          <w:szCs w:val="24"/>
        </w:rPr>
      </w:pPr>
      <w:r>
        <w:rPr>
          <w:rFonts w:hint="eastAsia" w:ascii="宋体" w:hAnsi="宋体" w:cs="宋体"/>
          <w:szCs w:val="24"/>
        </w:rPr>
        <w:t>3、施工现场用电器具应有接地、接零装置和线路布置规范化，安全防护措施到位。乙方自身职工、与甲方有关的第三方人员在现场发生伤亡事故，其经济责任、法律责任和其它民事责任均由乙方负责。</w:t>
      </w:r>
    </w:p>
    <w:p>
      <w:pPr>
        <w:pStyle w:val="18"/>
        <w:ind w:firstLine="240" w:firstLineChars="100"/>
        <w:rPr>
          <w:rFonts w:ascii="宋体" w:hAnsi="宋体" w:cs="宋体"/>
          <w:szCs w:val="24"/>
        </w:rPr>
      </w:pPr>
      <w:r>
        <w:rPr>
          <w:rFonts w:hint="eastAsia" w:ascii="宋体" w:hAnsi="宋体" w:cs="宋体"/>
          <w:szCs w:val="24"/>
        </w:rPr>
        <w:t>4、乙方应加强对职工的教育。施工现场严禁酗酒、打架斗殴、赌博和其它违法违章现象，每发现一次，乙方给予甲方500元/次的经济补偿。</w:t>
      </w:r>
    </w:p>
    <w:p>
      <w:pPr>
        <w:pStyle w:val="18"/>
        <w:ind w:firstLine="240" w:firstLineChars="100"/>
        <w:rPr>
          <w:rFonts w:ascii="宋体" w:hAnsi="宋体" w:cs="宋体"/>
          <w:szCs w:val="24"/>
        </w:rPr>
      </w:pPr>
      <w:r>
        <w:rPr>
          <w:rFonts w:hint="eastAsia" w:ascii="宋体" w:hAnsi="宋体" w:cs="宋体"/>
          <w:szCs w:val="24"/>
        </w:rPr>
        <w:t>5、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pPr>
        <w:pStyle w:val="18"/>
        <w:ind w:firstLine="240" w:firstLineChars="100"/>
        <w:rPr>
          <w:rFonts w:ascii="宋体" w:hAnsi="宋体" w:cs="宋体"/>
          <w:szCs w:val="24"/>
        </w:rPr>
      </w:pPr>
      <w:r>
        <w:rPr>
          <w:rFonts w:hint="eastAsia" w:ascii="宋体" w:hAnsi="宋体" w:cs="宋体"/>
          <w:szCs w:val="24"/>
        </w:rPr>
        <w:t>6、乙方需遵守甲方、监理及总包单位的相关安全规程制度，否则相关各方有权视情形予以经济处罚</w:t>
      </w:r>
    </w:p>
    <w:p>
      <w:pPr>
        <w:spacing w:line="360" w:lineRule="auto"/>
        <w:rPr>
          <w:rFonts w:ascii="宋体" w:hAnsi="宋体"/>
          <w:b/>
          <w:bCs/>
          <w:szCs w:val="24"/>
        </w:rPr>
      </w:pPr>
      <w:r>
        <w:rPr>
          <w:rFonts w:hint="eastAsia" w:ascii="宋体" w:hAnsi="宋体"/>
          <w:b/>
          <w:bCs/>
          <w:szCs w:val="24"/>
        </w:rPr>
        <w:t>十五、违约</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1、如乙方未在合同约定的供货日期内到货或未能按时通过甲方及监理验收，每逾期一天按合同总价款的0.3%承担违约金。</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2、因乙方原因产品质量达不到协议书约定的质量标准或未能按时通过验收，乙方负责更换退货，交货日期不予顺延</w:t>
      </w:r>
      <w:r>
        <w:rPr>
          <w:rFonts w:hint="eastAsia" w:ascii="宋体" w:hAnsi="宋体" w:cs="宋体"/>
          <w:color w:val="000000"/>
          <w:spacing w:val="12"/>
          <w:szCs w:val="24"/>
          <w:lang w:eastAsia="zh-CN"/>
        </w:rPr>
        <w:t>，</w:t>
      </w:r>
      <w:r>
        <w:rPr>
          <w:rFonts w:hint="eastAsia" w:ascii="宋体" w:hAnsi="宋体" w:cs="宋体"/>
          <w:color w:val="000000"/>
          <w:spacing w:val="12"/>
          <w:szCs w:val="24"/>
          <w:lang w:val="en-US" w:eastAsia="zh-CN"/>
        </w:rPr>
        <w:t>乙方同时应</w:t>
      </w:r>
      <w:r>
        <w:rPr>
          <w:rFonts w:hint="eastAsia" w:ascii="宋体" w:hAnsi="宋体" w:cs="宋体"/>
          <w:color w:val="000000"/>
          <w:spacing w:val="12"/>
          <w:szCs w:val="24"/>
        </w:rPr>
        <w:t>按本条第1款的约定承担违约责任，造成甲方损失的还应赔偿损失。</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3、一方违约后，另一方要求违约方继续履行合同时，违约方承担上述违约责任后仍应继续履行合同。</w:t>
      </w:r>
    </w:p>
    <w:p>
      <w:pPr>
        <w:pStyle w:val="2"/>
        <w:spacing w:line="360" w:lineRule="auto"/>
        <w:ind w:firstLine="576"/>
        <w:rPr>
          <w:rFonts w:hAnsi="宋体" w:cs="宋体"/>
          <w:b w:val="0"/>
          <w:color w:val="000000"/>
          <w:spacing w:val="12"/>
          <w:kern w:val="2"/>
          <w:position w:val="0"/>
          <w:szCs w:val="24"/>
        </w:rPr>
      </w:pPr>
      <w:r>
        <w:rPr>
          <w:rFonts w:hint="eastAsia" w:hAnsi="宋体" w:cs="宋体"/>
          <w:b w:val="0"/>
          <w:color w:val="000000"/>
          <w:spacing w:val="12"/>
          <w:kern w:val="2"/>
          <w:position w:val="0"/>
          <w:szCs w:val="24"/>
        </w:rPr>
        <w:t>4、甲方逾期付款的，应按照全国银行间同业拆借中心公布的贷款市场报价利率支付利息。</w:t>
      </w:r>
      <w:r>
        <w:rPr>
          <w:rFonts w:hint="eastAsia" w:hAnsi="宋体" w:cs="宋体"/>
          <w:color w:val="000000"/>
          <w:spacing w:val="12"/>
          <w:szCs w:val="24"/>
        </w:rPr>
        <w:t xml:space="preserve"> </w:t>
      </w:r>
      <w:r>
        <w:rPr>
          <w:rFonts w:hint="eastAsia" w:hAnsi="宋体" w:cs="宋体"/>
          <w:b w:val="0"/>
          <w:color w:val="000000"/>
          <w:spacing w:val="12"/>
          <w:kern w:val="2"/>
          <w:position w:val="0"/>
          <w:szCs w:val="24"/>
        </w:rPr>
        <w:t xml:space="preserve">  </w:t>
      </w:r>
    </w:p>
    <w:p>
      <w:pPr>
        <w:pStyle w:val="2"/>
        <w:spacing w:line="360" w:lineRule="auto"/>
        <w:ind w:firstLine="576"/>
        <w:rPr>
          <w:rFonts w:hAnsi="宋体" w:cs="宋体"/>
          <w:b w:val="0"/>
          <w:color w:val="000000"/>
          <w:spacing w:val="12"/>
          <w:kern w:val="2"/>
          <w:position w:val="0"/>
          <w:szCs w:val="24"/>
        </w:rPr>
      </w:pPr>
      <w:r>
        <w:rPr>
          <w:rFonts w:hint="eastAsia" w:hAnsi="宋体" w:cs="宋体"/>
          <w:b w:val="0"/>
          <w:color w:val="000000"/>
          <w:spacing w:val="12"/>
          <w:kern w:val="2"/>
          <w:position w:val="0"/>
          <w:szCs w:val="24"/>
        </w:rPr>
        <w:t xml:space="preserve"> 5、甲方对施工过程中的工程质量问题实行零容忍，若乙方采购的材料设备不符合合同约定的品牌、厂家、产地、材质、工艺、规格、型号等标准，或者存在“假冒伪劣”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质量、强化施工质量意识，如出现前述约定的情形，乙方承诺除按照本条款承担相应责任外，还应当按照该部分材料设备对应的合同价款的</w:t>
      </w:r>
      <w:r>
        <w:rPr>
          <w:rFonts w:hint="eastAsia" w:hAnsi="宋体" w:cs="宋体"/>
          <w:b w:val="0"/>
          <w:color w:val="000000"/>
          <w:spacing w:val="12"/>
          <w:kern w:val="2"/>
          <w:position w:val="0"/>
          <w:szCs w:val="24"/>
          <w:highlight w:val="yellow"/>
          <w:lang w:eastAsia="zh-CN"/>
        </w:rPr>
        <w:t>叁</w:t>
      </w:r>
      <w:r>
        <w:rPr>
          <w:rFonts w:hint="eastAsia" w:hAnsi="宋体" w:cs="宋体"/>
          <w:b w:val="0"/>
          <w:color w:val="000000"/>
          <w:spacing w:val="12"/>
          <w:kern w:val="2"/>
          <w:position w:val="0"/>
          <w:szCs w:val="24"/>
          <w:highlight w:val="yellow"/>
        </w:rPr>
        <w:t>倍</w:t>
      </w:r>
      <w:r>
        <w:rPr>
          <w:rFonts w:hint="eastAsia" w:hAnsi="宋体" w:cs="宋体"/>
          <w:b w:val="0"/>
          <w:color w:val="000000"/>
          <w:spacing w:val="12"/>
          <w:kern w:val="2"/>
          <w:position w:val="0"/>
          <w:szCs w:val="24"/>
        </w:rPr>
        <w:t>金额另行向甲方支付惩罚性赔偿。即便工程已验收合格或验收合格前甲方已经提前投入使用，但工程质量问题确系乙方原因造成的，乙方应当在甲方通知的期限内履行保修责任，按期整改合格的，该部分工程量给予结算100%，拒不整改或未按期整改合格的，该部分工程量甲方不予结算。</w:t>
      </w:r>
    </w:p>
    <w:p>
      <w:pPr>
        <w:spacing w:line="360" w:lineRule="auto"/>
        <w:rPr>
          <w:rFonts w:ascii="宋体" w:hAnsi="宋体"/>
          <w:b/>
          <w:bCs/>
          <w:szCs w:val="24"/>
        </w:rPr>
      </w:pPr>
      <w:r>
        <w:rPr>
          <w:rFonts w:hint="eastAsia" w:ascii="宋体" w:hAnsi="宋体"/>
          <w:b/>
          <w:bCs/>
          <w:szCs w:val="24"/>
        </w:rPr>
        <w:t>十六、争议</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甲乙双方在履行合同时发生争议，可以和解或者要求有关主管部门调解。当事人不愿和解、调解或者和解、调解不成的，</w:t>
      </w:r>
      <w:r>
        <w:rPr>
          <w:rFonts w:hint="eastAsia" w:ascii="宋体" w:hAnsi="宋体" w:cs="宋体"/>
          <w:color w:val="000000"/>
          <w:spacing w:val="12"/>
          <w:szCs w:val="24"/>
          <w:lang w:eastAsia="zh-CN"/>
        </w:rPr>
        <w:t>应</w:t>
      </w:r>
      <w:r>
        <w:rPr>
          <w:rFonts w:hint="eastAsia" w:ascii="宋体" w:hAnsi="宋体" w:cs="宋体"/>
          <w:color w:val="000000"/>
          <w:spacing w:val="12"/>
          <w:szCs w:val="24"/>
        </w:rPr>
        <w:t>依法向甲方所在地人民法院提起诉讼。</w:t>
      </w:r>
    </w:p>
    <w:p>
      <w:pPr>
        <w:adjustRightInd w:val="0"/>
        <w:snapToGrid w:val="0"/>
        <w:spacing w:line="360" w:lineRule="auto"/>
        <w:ind w:left="482" w:hanging="482" w:hangingChars="200"/>
        <w:rPr>
          <w:rFonts w:ascii="宋体" w:hAnsi="宋体"/>
          <w:b/>
          <w:bCs/>
          <w:szCs w:val="24"/>
        </w:rPr>
      </w:pPr>
      <w:r>
        <w:rPr>
          <w:rFonts w:hint="eastAsia" w:ascii="宋体" w:hAnsi="宋体"/>
          <w:b/>
          <w:bCs/>
          <w:szCs w:val="24"/>
        </w:rPr>
        <w:t>十七、合同解除</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1、甲乙双方协商一致，可以解除合同。</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2、因不可抗力致使本合同无法履行，甲乙双方经协商后可以解除合同或顺延履行。</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3、乙方逾期供货达7日以上（含7日）的，甲方有权解除合同。</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4、因一方违约导致合同无法履行或合同目的无法实现时。</w:t>
      </w:r>
    </w:p>
    <w:p>
      <w:pPr>
        <w:spacing w:line="360" w:lineRule="auto"/>
        <w:ind w:firstLine="528" w:firstLineChars="200"/>
        <w:jc w:val="left"/>
        <w:rPr>
          <w:rFonts w:ascii="宋体" w:hAnsi="宋体" w:cs="宋体"/>
          <w:color w:val="000000"/>
          <w:spacing w:val="12"/>
          <w:szCs w:val="24"/>
          <w:highlight w:val="yellow"/>
        </w:rPr>
      </w:pPr>
      <w:r>
        <w:rPr>
          <w:rFonts w:hint="eastAsia" w:ascii="宋体" w:hAnsi="宋体" w:cs="宋体"/>
          <w:color w:val="000000"/>
          <w:spacing w:val="12"/>
          <w:szCs w:val="24"/>
          <w:highlight w:val="yellow"/>
        </w:rPr>
        <w:t>合同解除后，已经订货的母线由乙方负责退货或解除订货合同。因退货、解除订货合同发生的费用及因未及时退货造成的损失由责任方承担。</w:t>
      </w:r>
    </w:p>
    <w:p>
      <w:pPr>
        <w:spacing w:line="360" w:lineRule="auto"/>
        <w:ind w:firstLine="528" w:firstLineChars="200"/>
        <w:jc w:val="left"/>
        <w:rPr>
          <w:rFonts w:ascii="宋体" w:hAnsi="宋体" w:cs="宋体"/>
          <w:color w:val="000000"/>
          <w:spacing w:val="12"/>
          <w:szCs w:val="24"/>
          <w:highlight w:val="yellow"/>
        </w:rPr>
      </w:pPr>
      <w:r>
        <w:rPr>
          <w:rFonts w:hint="eastAsia" w:ascii="宋体" w:hAnsi="宋体" w:cs="宋体"/>
          <w:color w:val="000000"/>
          <w:spacing w:val="12"/>
          <w:szCs w:val="24"/>
          <w:highlight w:val="yellow"/>
        </w:rPr>
        <w:t>合同解除后,不影响双方在合同中约定的结算和清理条款的效力。</w:t>
      </w:r>
    </w:p>
    <w:p>
      <w:pPr>
        <w:spacing w:line="360" w:lineRule="auto"/>
        <w:rPr>
          <w:rFonts w:ascii="宋体" w:hAnsi="宋体" w:cs="宋体"/>
          <w:b/>
          <w:bCs/>
          <w:szCs w:val="24"/>
        </w:rPr>
      </w:pPr>
      <w:r>
        <w:rPr>
          <w:rFonts w:hint="eastAsia" w:ascii="宋体" w:hAnsi="宋体" w:cs="宋体"/>
          <w:b/>
          <w:bCs/>
          <w:szCs w:val="24"/>
        </w:rPr>
        <w:t>十八、送达条款</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甲乙双方明确送达信息如下：</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甲方确认的送达信息为：</w:t>
      </w:r>
    </w:p>
    <w:p>
      <w:pPr>
        <w:spacing w:line="360" w:lineRule="auto"/>
        <w:ind w:firstLine="528" w:firstLineChars="200"/>
        <w:jc w:val="left"/>
        <w:rPr>
          <w:rFonts w:ascii="宋体" w:hAnsi="宋体" w:cs="宋体"/>
          <w:szCs w:val="24"/>
        </w:rPr>
      </w:pPr>
      <w:r>
        <w:rPr>
          <w:rFonts w:hint="eastAsia" w:ascii="宋体" w:hAnsi="宋体" w:cs="宋体"/>
          <w:color w:val="000000"/>
          <w:spacing w:val="12"/>
          <w:szCs w:val="24"/>
        </w:rPr>
        <w:t xml:space="preserve">送达地址：洛阳市洛龙区开元大道1号开元壹号营销中心三楼   </w:t>
      </w:r>
      <w:r>
        <w:rPr>
          <w:rFonts w:hint="eastAsia" w:ascii="宋体" w:hAnsi="宋体" w:cs="宋体"/>
          <w:szCs w:val="24"/>
        </w:rPr>
        <w:t xml:space="preserve">                                                 </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 xml:space="preserve">联系人及联系方式：0379-69916900                                                </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乙方确认的送达信息为：</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 xml:space="preserve">送达地址：新郑市孟庄镇孟庄农民创业园c-08号                                                  </w:t>
      </w:r>
    </w:p>
    <w:p>
      <w:pPr>
        <w:spacing w:line="360" w:lineRule="auto"/>
        <w:ind w:firstLine="528" w:firstLineChars="200"/>
        <w:jc w:val="left"/>
        <w:rPr>
          <w:rFonts w:ascii="宋体" w:hAnsi="宋体" w:cs="宋体"/>
          <w:color w:val="000000"/>
          <w:spacing w:val="12"/>
          <w:szCs w:val="24"/>
        </w:rPr>
      </w:pPr>
      <w:r>
        <w:rPr>
          <w:rFonts w:hint="eastAsia" w:ascii="宋体" w:hAnsi="宋体" w:cs="宋体"/>
          <w:color w:val="000000"/>
          <w:spacing w:val="12"/>
          <w:szCs w:val="24"/>
        </w:rPr>
        <w:t xml:space="preserve">联系人及联系方式：陈照辉18539913000                                      </w:t>
      </w:r>
    </w:p>
    <w:p>
      <w:pPr>
        <w:spacing w:line="360" w:lineRule="auto"/>
        <w:ind w:firstLine="528" w:firstLineChars="200"/>
        <w:jc w:val="left"/>
        <w:rPr>
          <w:rFonts w:ascii="宋体" w:hAnsi="宋体"/>
          <w:szCs w:val="24"/>
        </w:rPr>
      </w:pPr>
      <w:r>
        <w:rPr>
          <w:rFonts w:hint="eastAsia" w:ascii="宋体" w:hAnsi="宋体" w:cs="宋体"/>
          <w:color w:val="000000"/>
          <w:spacing w:val="12"/>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rPr>
          <w:rFonts w:ascii="宋体" w:hAnsi="宋体"/>
          <w:b/>
          <w:bCs/>
          <w:snapToGrid w:val="0"/>
          <w:kern w:val="0"/>
          <w:szCs w:val="24"/>
        </w:rPr>
      </w:pPr>
      <w:r>
        <w:rPr>
          <w:rFonts w:hint="eastAsia" w:ascii="宋体" w:hAnsi="宋体"/>
          <w:b/>
          <w:bCs/>
          <w:snapToGrid w:val="0"/>
          <w:kern w:val="0"/>
          <w:szCs w:val="24"/>
        </w:rPr>
        <w:t>十九、合同生效</w:t>
      </w:r>
    </w:p>
    <w:p>
      <w:pPr>
        <w:spacing w:line="360" w:lineRule="auto"/>
        <w:jc w:val="left"/>
        <w:rPr>
          <w:rFonts w:ascii="宋体" w:hAnsi="宋体" w:cs="宋体"/>
          <w:color w:val="000000"/>
          <w:spacing w:val="12"/>
          <w:szCs w:val="24"/>
        </w:rPr>
      </w:pPr>
      <w:r>
        <w:rPr>
          <w:rFonts w:hint="eastAsia" w:ascii="宋体" w:hAnsi="宋体" w:cs="宋体"/>
          <w:szCs w:val="24"/>
        </w:rPr>
        <w:t xml:space="preserve">    </w:t>
      </w:r>
      <w:r>
        <w:rPr>
          <w:rFonts w:hint="eastAsia" w:ascii="宋体" w:hAnsi="宋体" w:cs="宋体"/>
          <w:color w:val="000000"/>
          <w:spacing w:val="12"/>
          <w:szCs w:val="24"/>
        </w:rPr>
        <w:t xml:space="preserve"> 1、本合同自双方签字盖章之日起生效。</w:t>
      </w:r>
    </w:p>
    <w:p>
      <w:pPr>
        <w:spacing w:line="360" w:lineRule="auto"/>
        <w:jc w:val="left"/>
        <w:rPr>
          <w:rFonts w:ascii="宋体" w:hAnsi="宋体" w:cs="宋体"/>
          <w:color w:val="000000"/>
          <w:spacing w:val="12"/>
          <w:szCs w:val="24"/>
        </w:rPr>
      </w:pPr>
      <w:r>
        <w:rPr>
          <w:rFonts w:hint="eastAsia" w:ascii="宋体" w:hAnsi="宋体" w:cs="宋体"/>
          <w:color w:val="000000"/>
          <w:spacing w:val="12"/>
          <w:szCs w:val="24"/>
        </w:rPr>
        <w:t xml:space="preserve">    2、合同执行期内，甲、乙双方均不得随意变更或解除合同。</w:t>
      </w:r>
    </w:p>
    <w:p>
      <w:pPr>
        <w:spacing w:line="360" w:lineRule="auto"/>
        <w:jc w:val="left"/>
        <w:rPr>
          <w:rFonts w:ascii="宋体" w:hAnsi="宋体" w:cs="宋体"/>
          <w:color w:val="000000"/>
          <w:spacing w:val="12"/>
          <w:szCs w:val="24"/>
        </w:rPr>
      </w:pPr>
      <w:r>
        <w:rPr>
          <w:rFonts w:hint="eastAsia" w:ascii="宋体" w:hAnsi="宋体" w:cs="宋体"/>
          <w:color w:val="000000"/>
          <w:spacing w:val="12"/>
          <w:szCs w:val="24"/>
        </w:rPr>
        <w:t xml:space="preserve">    3、合同未尽事宜，须双方共同协商，签订补充协议，补充协议与本合同具有同等法律效力。</w:t>
      </w:r>
    </w:p>
    <w:p>
      <w:pPr>
        <w:spacing w:line="360" w:lineRule="auto"/>
        <w:ind w:firstLine="576"/>
        <w:jc w:val="left"/>
        <w:rPr>
          <w:rFonts w:ascii="宋体" w:hAnsi="宋体" w:cs="宋体"/>
          <w:color w:val="000000"/>
          <w:spacing w:val="12"/>
          <w:szCs w:val="24"/>
        </w:rPr>
      </w:pPr>
      <w:r>
        <w:rPr>
          <w:rFonts w:hint="eastAsia" w:ascii="宋体" w:hAnsi="宋体" w:cs="宋体"/>
          <w:color w:val="000000"/>
          <w:spacing w:val="12"/>
          <w:szCs w:val="24"/>
        </w:rPr>
        <w:t>4、本合同一式柒份，甲方伍份，乙方贰份，每份具有同等的法律效力。</w:t>
      </w:r>
    </w:p>
    <w:p>
      <w:pPr>
        <w:pStyle w:val="2"/>
      </w:pPr>
      <w:r>
        <w:rPr>
          <w:rFonts w:hint="eastAsia"/>
        </w:rPr>
        <w:t>二十、合同附件</w:t>
      </w:r>
    </w:p>
    <w:p>
      <w:pPr>
        <w:pStyle w:val="2"/>
        <w:numPr>
          <w:ilvl w:val="0"/>
          <w:numId w:val="3"/>
        </w:numPr>
        <w:spacing w:line="360" w:lineRule="auto"/>
        <w:rPr>
          <w:rFonts w:hAnsi="宋体" w:cs="宋体"/>
          <w:b w:val="0"/>
          <w:color w:val="000000"/>
          <w:spacing w:val="12"/>
          <w:kern w:val="2"/>
          <w:position w:val="0"/>
          <w:szCs w:val="24"/>
        </w:rPr>
      </w:pPr>
      <w:r>
        <w:rPr>
          <w:rFonts w:hint="eastAsia" w:hAnsi="宋体" w:cs="宋体"/>
          <w:b w:val="0"/>
          <w:color w:val="000000"/>
          <w:spacing w:val="12"/>
          <w:kern w:val="2"/>
          <w:position w:val="0"/>
          <w:szCs w:val="24"/>
        </w:rPr>
        <w:t>附件1:廉政合作协议</w:t>
      </w:r>
    </w:p>
    <w:p>
      <w:pPr>
        <w:pStyle w:val="2"/>
        <w:numPr>
          <w:ilvl w:val="0"/>
          <w:numId w:val="3"/>
        </w:numPr>
        <w:spacing w:line="360" w:lineRule="auto"/>
        <w:rPr>
          <w:rFonts w:hAnsi="宋体" w:cs="宋体"/>
          <w:b w:val="0"/>
          <w:color w:val="000000"/>
          <w:spacing w:val="12"/>
          <w:kern w:val="2"/>
          <w:position w:val="0"/>
          <w:szCs w:val="24"/>
        </w:rPr>
      </w:pPr>
      <w:r>
        <w:rPr>
          <w:rFonts w:hint="eastAsia" w:hAnsi="宋体" w:cs="宋体"/>
          <w:b w:val="0"/>
          <w:color w:val="000000"/>
          <w:spacing w:val="12"/>
          <w:kern w:val="2"/>
          <w:position w:val="0"/>
          <w:szCs w:val="24"/>
        </w:rPr>
        <w:t>附件2：《开元壹号60#地块公寓楼封闭母线采购及安装工程清单》</w:t>
      </w:r>
    </w:p>
    <w:p>
      <w:pPr>
        <w:pStyle w:val="2"/>
        <w:numPr>
          <w:ilvl w:val="0"/>
          <w:numId w:val="3"/>
        </w:numPr>
        <w:spacing w:line="360" w:lineRule="auto"/>
        <w:rPr>
          <w:rFonts w:hAnsi="宋体" w:cs="宋体"/>
          <w:b w:val="0"/>
          <w:color w:val="000000"/>
          <w:spacing w:val="12"/>
          <w:kern w:val="2"/>
          <w:position w:val="0"/>
          <w:szCs w:val="24"/>
        </w:rPr>
      </w:pPr>
      <w:r>
        <w:rPr>
          <w:rFonts w:hint="eastAsia" w:hAnsi="宋体" w:cs="宋体"/>
          <w:b w:val="0"/>
          <w:color w:val="000000"/>
          <w:spacing w:val="12"/>
          <w:kern w:val="2"/>
          <w:position w:val="0"/>
          <w:szCs w:val="24"/>
        </w:rPr>
        <w:t>附件3：甲供材料、设备（封闭母线）验收单</w:t>
      </w:r>
    </w:p>
    <w:p>
      <w:pPr>
        <w:widowControl/>
        <w:spacing w:before="156" w:beforeLines="50" w:after="156" w:afterLines="50" w:line="360" w:lineRule="auto"/>
        <w:ind w:left="120" w:leftChars="50" w:right="120" w:rightChars="50" w:firstLine="480" w:firstLineChars="200"/>
        <w:rPr>
          <w:rFonts w:ascii="宋体" w:hAnsi="宋体" w:cs="宋体"/>
          <w:szCs w:val="24"/>
        </w:rPr>
      </w:pPr>
      <w:r>
        <w:rPr>
          <w:rFonts w:hint="eastAsia" w:ascii="宋体" w:hAnsi="宋体" w:cs="宋体"/>
          <w:szCs w:val="24"/>
        </w:rPr>
        <w:t>（以下无正文）</w:t>
      </w:r>
    </w:p>
    <w:p>
      <w:pPr>
        <w:widowControl/>
        <w:spacing w:before="156" w:beforeLines="50" w:after="156" w:afterLines="50" w:line="360" w:lineRule="auto"/>
        <w:ind w:left="120" w:leftChars="50" w:right="120" w:rightChars="50" w:firstLine="480" w:firstLineChars="200"/>
        <w:rPr>
          <w:rFonts w:ascii="宋体" w:hAnsi="宋体" w:cs="宋体"/>
          <w:szCs w:val="24"/>
        </w:rPr>
      </w:pPr>
    </w:p>
    <w:p>
      <w:pPr>
        <w:widowControl/>
        <w:spacing w:before="156" w:beforeLines="50" w:after="156" w:afterLines="50" w:line="360" w:lineRule="auto"/>
        <w:ind w:left="120" w:leftChars="50" w:right="120" w:rightChars="50" w:firstLine="480" w:firstLineChars="200"/>
        <w:rPr>
          <w:rFonts w:ascii="宋体" w:hAnsi="宋体" w:cs="宋体"/>
          <w:szCs w:val="24"/>
        </w:rPr>
      </w:pPr>
      <w:r>
        <w:rPr>
          <w:rFonts w:hint="eastAsia" w:ascii="宋体" w:hAnsi="宋体" w:cs="宋体"/>
          <w:szCs w:val="24"/>
        </w:rPr>
        <w:t xml:space="preserve">甲      方：洛阳浩德鑫置地有限公司   乙     方：河南新昇电气有限公司                                                                                                  </w:t>
      </w:r>
    </w:p>
    <w:p>
      <w:pPr>
        <w:widowControl/>
        <w:spacing w:before="156" w:beforeLines="50" w:after="156" w:afterLines="50" w:line="360" w:lineRule="auto"/>
        <w:ind w:left="120" w:leftChars="50" w:right="120" w:rightChars="50" w:firstLine="480" w:firstLineChars="200"/>
        <w:rPr>
          <w:rFonts w:ascii="宋体" w:hAnsi="宋体" w:cs="宋体"/>
          <w:szCs w:val="24"/>
        </w:rPr>
      </w:pPr>
      <w:r>
        <w:rPr>
          <w:rFonts w:hint="eastAsia" w:ascii="宋体" w:hAnsi="宋体" w:cs="宋体"/>
          <w:szCs w:val="24"/>
        </w:rPr>
        <w:t>法定代表人：                         法定代表人：</w:t>
      </w:r>
    </w:p>
    <w:p>
      <w:pPr>
        <w:widowControl/>
        <w:spacing w:before="156" w:beforeLines="50" w:after="156" w:afterLines="50" w:line="360" w:lineRule="auto"/>
        <w:ind w:left="120" w:leftChars="50" w:right="120" w:rightChars="50" w:firstLine="480" w:firstLineChars="200"/>
        <w:rPr>
          <w:rFonts w:ascii="宋体" w:hAnsi="宋体" w:cs="宋体"/>
          <w:szCs w:val="24"/>
        </w:rPr>
      </w:pPr>
      <w:r>
        <w:rPr>
          <w:rFonts w:hint="eastAsia" w:ascii="宋体" w:hAnsi="宋体" w:cs="宋体"/>
          <w:szCs w:val="24"/>
        </w:rPr>
        <w:t>委托代理人：                         委托代理人：</w:t>
      </w:r>
    </w:p>
    <w:p>
      <w:pPr>
        <w:widowControl/>
        <w:spacing w:before="156" w:beforeLines="50" w:after="156" w:afterLines="50" w:line="360" w:lineRule="auto"/>
        <w:ind w:left="6120" w:leftChars="250" w:right="120" w:rightChars="50" w:hanging="5520" w:hangingChars="2300"/>
        <w:rPr>
          <w:rFonts w:ascii="宋体" w:hAnsi="宋体"/>
          <w:bCs/>
          <w:szCs w:val="24"/>
        </w:rPr>
      </w:pPr>
      <w:r>
        <w:rPr>
          <w:rFonts w:hint="eastAsia" w:ascii="宋体" w:hAnsi="宋体" w:cs="宋体"/>
          <w:szCs w:val="24"/>
        </w:rPr>
        <w:t>开户行：</w:t>
      </w:r>
      <w:r>
        <w:rPr>
          <w:rFonts w:hint="eastAsia" w:ascii="宋体" w:hAnsi="宋体"/>
          <w:bCs/>
          <w:szCs w:val="24"/>
        </w:rPr>
        <w:t xml:space="preserve">工商银行洛阳龙门支行 </w:t>
      </w:r>
      <w:r>
        <w:rPr>
          <w:rFonts w:ascii="宋体" w:hAnsi="宋体"/>
          <w:bCs/>
          <w:szCs w:val="24"/>
        </w:rPr>
        <w:t xml:space="preserve">       </w:t>
      </w:r>
      <w:r>
        <w:rPr>
          <w:rFonts w:hint="eastAsia" w:ascii="宋体" w:hAnsi="宋体" w:cs="宋体"/>
          <w:szCs w:val="24"/>
        </w:rPr>
        <w:t xml:space="preserve"> 开户行：</w:t>
      </w:r>
      <w:r>
        <w:rPr>
          <w:rFonts w:hint="eastAsia" w:ascii="宋体" w:hAnsi="宋体"/>
          <w:bCs/>
          <w:szCs w:val="24"/>
        </w:rPr>
        <w:t>中国建设银行股份有限公司郑州华南城支行</w:t>
      </w:r>
    </w:p>
    <w:p>
      <w:pPr>
        <w:widowControl/>
        <w:spacing w:before="156" w:beforeLines="50" w:after="156" w:afterLines="50" w:line="360" w:lineRule="auto"/>
        <w:ind w:left="120" w:leftChars="50" w:right="120" w:rightChars="50" w:firstLine="480" w:firstLineChars="200"/>
        <w:rPr>
          <w:rFonts w:ascii="宋体" w:hAnsi="宋体" w:cs="宋体"/>
          <w:szCs w:val="24"/>
        </w:rPr>
      </w:pPr>
      <w:r>
        <w:rPr>
          <w:rFonts w:hint="eastAsia" w:ascii="宋体" w:hAnsi="宋体" w:cs="宋体"/>
          <w:szCs w:val="24"/>
        </w:rPr>
        <w:t>账  号：</w:t>
      </w:r>
      <w:bookmarkStart w:id="0" w:name="_Hlk29048930"/>
      <w:r>
        <w:rPr>
          <w:rFonts w:ascii="宋体" w:hAnsi="宋体"/>
          <w:bCs/>
          <w:szCs w:val="24"/>
        </w:rPr>
        <w:t>1705 3229 1920 0010 201</w:t>
      </w:r>
      <w:bookmarkEnd w:id="0"/>
      <w:r>
        <w:rPr>
          <w:rFonts w:hint="eastAsia" w:ascii="宋体" w:hAnsi="宋体" w:cs="宋体"/>
          <w:szCs w:val="24"/>
        </w:rPr>
        <w:t xml:space="preserve">  账  号：</w:t>
      </w:r>
      <w:r>
        <w:rPr>
          <w:rFonts w:hint="eastAsia" w:ascii="宋体" w:hAnsi="宋体"/>
          <w:bCs/>
          <w:szCs w:val="24"/>
        </w:rPr>
        <w:t xml:space="preserve">4105 0110 4221 0000 0007 </w:t>
      </w:r>
    </w:p>
    <w:p>
      <w:pPr>
        <w:widowControl/>
        <w:spacing w:before="156" w:beforeLines="50" w:after="156" w:afterLines="50" w:line="360" w:lineRule="auto"/>
        <w:ind w:left="120" w:leftChars="50" w:right="120" w:rightChars="50" w:firstLine="480" w:firstLineChars="200"/>
        <w:rPr>
          <w:rFonts w:ascii="宋体" w:hAnsi="宋体" w:cs="宋体"/>
          <w:sz w:val="28"/>
          <w:szCs w:val="36"/>
        </w:rPr>
      </w:pPr>
      <w:r>
        <w:rPr>
          <w:rFonts w:hint="eastAsia" w:ascii="宋体" w:hAnsi="宋体" w:cs="宋体"/>
          <w:szCs w:val="24"/>
        </w:rPr>
        <w:t xml:space="preserve">税  号：914103005542480325           税  号：91410184MA3X5N0G3D </w:t>
      </w:r>
      <w:r>
        <w:rPr>
          <w:b/>
          <w:bCs/>
          <w:sz w:val="36"/>
          <w:szCs w:val="36"/>
        </w:rPr>
        <w:br w:type="page"/>
      </w:r>
      <w:r>
        <w:rPr>
          <w:rFonts w:hint="eastAsia"/>
          <w:sz w:val="22"/>
        </w:rPr>
        <w:t xml:space="preserve">附件1:  </w:t>
      </w:r>
      <w:r>
        <w:rPr>
          <w:rFonts w:hint="eastAsia"/>
          <w:b/>
          <w:bCs/>
          <w:sz w:val="22"/>
        </w:rPr>
        <w:t xml:space="preserve"> </w:t>
      </w:r>
      <w:r>
        <w:rPr>
          <w:rFonts w:hint="eastAsia"/>
          <w:b/>
          <w:bCs/>
          <w:sz w:val="36"/>
          <w:szCs w:val="36"/>
        </w:rPr>
        <w:t xml:space="preserve">             </w:t>
      </w:r>
      <w:r>
        <w:rPr>
          <w:rFonts w:hint="eastAsia"/>
          <w:b/>
          <w:bCs/>
          <w:szCs w:val="24"/>
        </w:rPr>
        <w:t xml:space="preserve"> 廉政合作协议:</w:t>
      </w:r>
    </w:p>
    <w:p>
      <w:pPr>
        <w:spacing w:line="440" w:lineRule="exact"/>
        <w:rPr>
          <w:rFonts w:ascii="宋体" w:hAnsi="宋体" w:cs="宋体"/>
          <w:szCs w:val="32"/>
        </w:rPr>
      </w:pPr>
      <w:r>
        <w:rPr>
          <w:rFonts w:hint="eastAsia" w:ascii="宋体" w:hAnsi="宋体" w:cs="宋体"/>
          <w:szCs w:val="32"/>
        </w:rPr>
        <w:t>甲方：</w:t>
      </w:r>
      <w:r>
        <w:rPr>
          <w:rFonts w:hint="eastAsia" w:ascii="宋体" w:hAnsi="宋体" w:cs="宋体"/>
          <w:szCs w:val="32"/>
          <w:u w:val="single"/>
        </w:rPr>
        <w:t>洛阳浩德鑫置地有限公司</w:t>
      </w:r>
    </w:p>
    <w:p>
      <w:pPr>
        <w:spacing w:line="440" w:lineRule="exact"/>
        <w:rPr>
          <w:rFonts w:ascii="宋体" w:hAnsi="宋体" w:cs="宋体"/>
          <w:szCs w:val="32"/>
        </w:rPr>
      </w:pPr>
      <w:r>
        <w:rPr>
          <w:rFonts w:hint="eastAsia" w:ascii="宋体" w:hAnsi="宋体" w:cs="宋体"/>
          <w:szCs w:val="32"/>
        </w:rPr>
        <w:t>乙方：</w:t>
      </w:r>
      <w:r>
        <w:rPr>
          <w:rFonts w:hint="eastAsia" w:ascii="宋体" w:hAnsi="宋体" w:cs="宋体"/>
          <w:szCs w:val="24"/>
          <w:u w:val="single"/>
        </w:rPr>
        <w:t>河南新昇电气有限公司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为加强工程项目建设期间的廉政管理，确保项目高效优质按期竣工，甲、乙双方经协商签定本协议并做为双方共同遵守的廉政行为准则。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一．甲方责任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1．甲方有责任向乙方介绍本单位有关廉政管理的各项制度和规定。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2．甲方有责任对本单位项目管理人员进行廉政教育。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3．甲方人员应严格遵守本单位有关廉政管理的规定，不得接受乙方的宴请，不得接受任何形式的实物、现金或礼券。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4．甲方在项目建设期间发现甲方人员任何形式的索贿受贿行为，均应及时采取措施予以制止，并及时通报乙方单位领导。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5．甲方人员如违反廉政管理制度及本协议规定，甲方应视情节轻重、影响大小给予处罚。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6．对于乙方举报甲方人员违反廉政规定的情况，甲方应及时进行调查，根据调查情况进行处理。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二．乙方责任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1．乙方应保证乙方有关人员了解甲方有关廉政管理的各项制度及本协议的规定，并遵照执行。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2．乙方不得宴请甲方人员，不得以任何形式赠送实物、现金或礼券。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3．乙方在项目建设期间发现乙方人员任何向甲方人员行贿行为，均应及时采取措施予以制止，并及时通报甲方单位领导。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4．乙方有责任接受甲方对乙方在项目建设期间廉政管理执行情况的监督。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sz w:val="24"/>
          <w:szCs w:val="24"/>
        </w:rPr>
      </w:pPr>
      <w:r>
        <w:rPr>
          <w:rFonts w:hint="eastAsia" w:ascii="宋体" w:hAnsi="宋体" w:eastAsia="宋体" w:cs="宋体"/>
        </w:rPr>
        <w:drawing>
          <wp:anchor distT="0" distB="0" distL="114300" distR="114300" simplePos="0" relativeHeight="251658240" behindDoc="0" locked="0" layoutInCell="1" allowOverlap="1">
            <wp:simplePos x="0" y="0"/>
            <wp:positionH relativeFrom="column">
              <wp:posOffset>4318635</wp:posOffset>
            </wp:positionH>
            <wp:positionV relativeFrom="paragraph">
              <wp:posOffset>294005</wp:posOffset>
            </wp:positionV>
            <wp:extent cx="1495425" cy="1495425"/>
            <wp:effectExtent l="0" t="0" r="9525" b="9525"/>
            <wp:wrapNone/>
            <wp:docPr id="4"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32dc313b898daf07a491037a11ba2c8"/>
                    <pic:cNvPicPr>
                      <a:picLocks noChangeAspect="1"/>
                    </pic:cNvPicPr>
                  </pic:nvPicPr>
                  <pic:blipFill>
                    <a:blip r:embed="rId7"/>
                    <a:stretch>
                      <a:fillRect/>
                    </a:stretch>
                  </pic:blipFill>
                  <pic:spPr>
                    <a:xfrm>
                      <a:off x="0" y="0"/>
                      <a:ext cx="1495425" cy="1495425"/>
                    </a:xfrm>
                    <a:prstGeom prst="rect">
                      <a:avLst/>
                    </a:prstGeom>
                    <a:noFill/>
                    <a:ln>
                      <a:noFill/>
                    </a:ln>
                  </pic:spPr>
                </pic:pic>
              </a:graphicData>
            </a:graphic>
          </wp:anchor>
        </w:drawing>
      </w:r>
      <w:r>
        <w:rPr>
          <w:rFonts w:hint="eastAsia" w:ascii="宋体" w:hAnsi="宋体" w:eastAsia="宋体" w:cs="宋体"/>
          <w:sz w:val="24"/>
          <w:szCs w:val="24"/>
        </w:rPr>
        <w:t xml:space="preserve"> </w:t>
      </w:r>
      <w:r>
        <w:rPr>
          <w:rFonts w:hint="eastAsia" w:ascii="宋体" w:hAnsi="宋体" w:eastAsia="宋体" w:cs="宋体"/>
          <w:b/>
          <w:bCs/>
          <w:sz w:val="24"/>
          <w:szCs w:val="24"/>
        </w:rPr>
        <w:t>三、为维护甲乙双方的合法利益，营造良好的商务环境，甲方建立多种举报渠道（如下）。甲方内控督查督办人员将恪守职业道德，严格履行保密义务！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（1）邮箱：314298756@qq.com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（2）电话：齐先生：18137710188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（3）电话：张先生：13903793259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（4）直接和督查督办人员约定场所当面举报。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11.其它违反法律或者招标人公司相关制度的行为。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（以下无正文）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甲方：                              乙方：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sz w:val="24"/>
          <w:szCs w:val="24"/>
        </w:rPr>
      </w:pPr>
      <w:r>
        <w:rPr>
          <w:rFonts w:hint="eastAsia" w:ascii="宋体" w:hAnsi="宋体" w:eastAsia="宋体" w:cs="宋体"/>
          <w:sz w:val="24"/>
          <w:szCs w:val="24"/>
        </w:rPr>
        <w:t>签署日期：</w:t>
      </w:r>
      <w:r>
        <w:rPr>
          <w:rFonts w:hint="eastAsia" w:ascii="宋体" w:hAnsi="宋体" w:cs="宋体"/>
          <w:sz w:val="24"/>
          <w:szCs w:val="24"/>
          <w:lang w:val="en-US" w:eastAsia="zh-CN"/>
        </w:rPr>
        <w:t>2020年12 月</w:t>
      </w:r>
      <w:r>
        <w:rPr>
          <w:rFonts w:hint="eastAsia" w:ascii="宋体" w:hAnsi="宋体" w:eastAsia="宋体" w:cs="宋体"/>
          <w:sz w:val="24"/>
          <w:szCs w:val="24"/>
        </w:rPr>
        <w:t xml:space="preserve">              签署日期：</w:t>
      </w:r>
      <w:r>
        <w:rPr>
          <w:rFonts w:hint="eastAsia" w:ascii="宋体" w:hAnsi="宋体" w:cs="宋体"/>
          <w:sz w:val="24"/>
          <w:szCs w:val="24"/>
          <w:lang w:val="en-US" w:eastAsia="zh-CN"/>
        </w:rPr>
        <w:t>2020年12 月</w:t>
      </w:r>
    </w:p>
    <w:p/>
    <w:p>
      <w:pPr>
        <w:spacing w:line="413" w:lineRule="atLeast"/>
        <w:rPr>
          <w:rFonts w:ascii="宋体" w:hAnsi="宋体" w:cs="宋体"/>
          <w:b/>
          <w:bCs/>
          <w:sz w:val="28"/>
          <w:szCs w:val="28"/>
        </w:rPr>
      </w:pPr>
      <w:r>
        <w:rPr>
          <w:rFonts w:hint="eastAsia" w:ascii="宋体" w:hAnsi="宋体" w:cs="宋体"/>
          <w:b/>
          <w:bCs/>
          <w:sz w:val="28"/>
          <w:szCs w:val="28"/>
        </w:rPr>
        <w:t xml:space="preserve">     </w:t>
      </w:r>
    </w:p>
    <w:p>
      <w:pPr>
        <w:spacing w:line="413" w:lineRule="atLeast"/>
        <w:rPr>
          <w:rFonts w:ascii="宋体" w:hAnsi="宋体" w:cs="宋体"/>
          <w:b/>
          <w:bCs/>
          <w:sz w:val="28"/>
          <w:szCs w:val="28"/>
        </w:rPr>
      </w:pPr>
      <w:r>
        <w:rPr>
          <w:rFonts w:hint="eastAsia" w:ascii="宋体" w:hAnsi="宋体" w:cs="宋体"/>
          <w:b/>
          <w:bCs/>
          <w:sz w:val="28"/>
          <w:szCs w:val="28"/>
        </w:rPr>
        <w:t xml:space="preserve">            </w:t>
      </w:r>
    </w:p>
    <w:p>
      <w:pPr>
        <w:spacing w:line="413" w:lineRule="atLeast"/>
        <w:rPr>
          <w:rFonts w:ascii="宋体" w:hAnsi="宋体" w:cs="宋体"/>
          <w:b/>
          <w:bCs/>
          <w:szCs w:val="24"/>
        </w:rPr>
      </w:pPr>
      <w:r>
        <w:rPr>
          <w:rFonts w:hint="eastAsia" w:ascii="宋体" w:hAnsi="宋体" w:cs="宋体"/>
          <w:b/>
          <w:bCs/>
          <w:szCs w:val="24"/>
        </w:rPr>
        <w:t>附件2：</w:t>
      </w:r>
    </w:p>
    <w:tbl>
      <w:tblPr>
        <w:tblStyle w:val="42"/>
        <w:tblW w:w="10040" w:type="dxa"/>
        <w:tblInd w:w="0" w:type="dxa"/>
        <w:tblLayout w:type="autofit"/>
        <w:tblCellMar>
          <w:top w:w="0" w:type="dxa"/>
          <w:left w:w="0" w:type="dxa"/>
          <w:bottom w:w="0" w:type="dxa"/>
          <w:right w:w="0" w:type="dxa"/>
        </w:tblCellMar>
      </w:tblPr>
      <w:tblGrid>
        <w:gridCol w:w="417"/>
        <w:gridCol w:w="798"/>
        <w:gridCol w:w="2952"/>
        <w:gridCol w:w="645"/>
        <w:gridCol w:w="512"/>
        <w:gridCol w:w="1593"/>
        <w:gridCol w:w="1390"/>
        <w:gridCol w:w="1084"/>
        <w:gridCol w:w="649"/>
      </w:tblGrid>
      <w:tr>
        <w:tblPrEx>
          <w:tblCellMar>
            <w:top w:w="0" w:type="dxa"/>
            <w:left w:w="0" w:type="dxa"/>
            <w:bottom w:w="0" w:type="dxa"/>
            <w:right w:w="0" w:type="dxa"/>
          </w:tblCellMar>
        </w:tblPrEx>
        <w:trPr>
          <w:trHeight w:val="717" w:hRule="atLeast"/>
        </w:trPr>
        <w:tc>
          <w:tcPr>
            <w:tcW w:w="10040" w:type="dxa"/>
            <w:gridSpan w:val="9"/>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lang w:bidi="ar"/>
              </w:rPr>
              <w:t>开元壹号60#地块公寓楼封闭母线采购及安装工程清单</w:t>
            </w:r>
          </w:p>
        </w:tc>
      </w:tr>
      <w:tr>
        <w:tblPrEx>
          <w:tblCellMar>
            <w:top w:w="0" w:type="dxa"/>
            <w:left w:w="0" w:type="dxa"/>
            <w:bottom w:w="0" w:type="dxa"/>
            <w:right w:w="0" w:type="dxa"/>
          </w:tblCellMar>
        </w:tblPrEx>
        <w:trPr>
          <w:trHeight w:val="373"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left"/>
              <w:textAlignment w:val="bottom"/>
              <w:rPr>
                <w:rFonts w:ascii="宋体" w:hAnsi="宋体" w:cs="宋体"/>
                <w:color w:val="000000"/>
                <w:sz w:val="16"/>
                <w:szCs w:val="16"/>
              </w:rPr>
            </w:pPr>
            <w:r>
              <w:rPr>
                <w:rFonts w:hint="eastAsia" w:ascii="宋体" w:hAnsi="宋体" w:cs="宋体"/>
                <w:color w:val="000000"/>
                <w:kern w:val="0"/>
                <w:sz w:val="16"/>
                <w:szCs w:val="16"/>
                <w:lang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主材价（元）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合计</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备注</w:t>
            </w:r>
          </w:p>
        </w:tc>
      </w:tr>
      <w:tr>
        <w:tblPrEx>
          <w:tblCellMar>
            <w:top w:w="0" w:type="dxa"/>
            <w:left w:w="0" w:type="dxa"/>
            <w:bottom w:w="0" w:type="dxa"/>
            <w:right w:w="0" w:type="dxa"/>
          </w:tblCellMar>
        </w:tblPrEx>
        <w:trPr>
          <w:trHeight w:val="231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封闭母线</w:t>
            </w: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1、名称:封闭母线</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2、安装方式:插接式</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 xml:space="preserve">3、型号：5芯 1000A  </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4、含母线槽安装、组装、跨接地线、防火措施施工、绝缘测试、检测试验</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5、未详尽处详见图纸设计、满足相关规范要求</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314.2</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1095</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344049</w:t>
            </w:r>
          </w:p>
        </w:tc>
        <w:tc>
          <w:tcPr>
            <w:tcW w:w="73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母线槽安装费70元/米</w:t>
            </w:r>
          </w:p>
        </w:tc>
      </w:tr>
      <w:tr>
        <w:tblPrEx>
          <w:tblCellMar>
            <w:top w:w="0" w:type="dxa"/>
            <w:left w:w="0" w:type="dxa"/>
            <w:bottom w:w="0" w:type="dxa"/>
            <w:right w:w="0" w:type="dxa"/>
          </w:tblCellMar>
        </w:tblPrEx>
        <w:trPr>
          <w:trHeight w:val="231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封闭母线</w:t>
            </w: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1、名称:封闭母线</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2、安装方式:插接式</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 xml:space="preserve">3、型号：5芯 800A  </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4、含母线槽安装、组装、跨接地线、防火措施施工、绝缘测试、检测试验</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5、未详尽处详见图纸设计、满足相关规范要求</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166.5</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891</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148351.5</w:t>
            </w:r>
          </w:p>
        </w:tc>
        <w:tc>
          <w:tcPr>
            <w:tcW w:w="73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母线槽安装费70元/米</w:t>
            </w:r>
          </w:p>
        </w:tc>
      </w:tr>
      <w:tr>
        <w:tblPrEx>
          <w:tblCellMar>
            <w:top w:w="0" w:type="dxa"/>
            <w:left w:w="0" w:type="dxa"/>
            <w:bottom w:w="0" w:type="dxa"/>
            <w:right w:w="0" w:type="dxa"/>
          </w:tblCellMar>
        </w:tblPrEx>
        <w:trPr>
          <w:trHeight w:val="199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插接箱</w:t>
            </w: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1、名称:插接箱</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2、型号：MCCB/250F/TM200A/3P/MX+OF</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3、含调整箱体、连接固定(包括母线连接)、本体安装接地、刷漆、配合试验</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4、未详尽处详见图纸设计、满足相关规范要求</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24</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500</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12000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199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插接箱</w:t>
            </w: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1、名称:插接箱</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2、型号：MCCB/160F/TM160A/3P/MX+OF</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3、含调整箱体、连接固定(包括母线连接)、本体安装接地、刷漆、配合试验</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4、未详尽处详见图纸设计、满足相关规范要求</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23</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500</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11500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199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插接箱</w:t>
            </w: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1、名称:插接箱</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2、型号：MCCB/160F/TM140A/3P/MX+OF</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3、含调整箱体、连接固定(包括母线连接)、本体安装接地、刷漆、配合试验</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4、未详尽处详见图纸设计、满足相关规范要求</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12</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500</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6000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199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插接箱</w:t>
            </w: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1、名称:插接箱</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2、型号：MCCB/100F/TM32A/3P/MX+OF</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3、含调整箱体、连接固定(包括母线连接)、本体安装接地、刷漆、配合试验</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4、未详尽处详见图纸设计、满足相关规范要求</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362</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724</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199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始端箱</w:t>
            </w: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1、名称:始端箱</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2、型号：1000A</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3、含调整箱体、连接固定(包括母线连接)、本体安装接地、刷漆、配合试验</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4、未详尽处详见图纸设计、满足相关规范要求</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200</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600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199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始端箱</w:t>
            </w: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1、名称:始端箱</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2、型号：800A</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3、含调整箱体、连接固定(包括母线连接)、本体安装接地、刷漆、配合试验</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4、未详尽处详见图纸设计、满足相关规范要求</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200</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600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199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直角弯头</w:t>
            </w: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1、名称:直角弯头</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2、型号：1000A</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3、含与母线槽连接、防火措施施工、绝缘测试、检测试验</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4、未详尽处详见图纸设计、满足相关规范要求</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14</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510</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7140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199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直角弯头</w:t>
            </w: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1、名称:直角弯头</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2、型号：800A</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3、含与母线槽连接、防火措施施工、绝缘测试、检测试验</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4、未详尽处详见图纸设计、满足相关规范要求</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11</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407</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4477</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199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45°弯头</w:t>
            </w: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1、名称:45°弯头</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2、型号：800A</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3、含与母线槽连接、防火措施施工、绝缘测试、检测试验</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4、未详尽处详见图纸设计、满足相关规范要求</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407</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814</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192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固定支架</w:t>
            </w: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1、名称:支架</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2、型号：1000A</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3、定位、支架安装、母线槽固定、钻眼。 </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4、未详尽处详见图纸设计、满足相关规范要求</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12</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52</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624</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192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固定支架</w:t>
            </w: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1、名称:支架</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2、型号：800A</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3、定位、支架安装、母线槽固定、钻眼。 </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4、未详尽处详见图纸设计、满足相关规范要求</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60</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52</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3120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192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固定支架</w:t>
            </w: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1、名称:支架</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2、型号：1000A</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3、定位、支架安装、母线槽固定、钻眼。 </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4、未详尽处详见图纸设计、满足相关规范要求</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56</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50</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2800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192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固定支架</w:t>
            </w: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1、名称:支架</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2、型号：800A</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3、定位、支架安装、母线槽固定、钻眼。 </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4、未详尽处详见图纸设计、满足相关规范要求</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67</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50</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3350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trHeight w:val="373"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546149.5</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1708" w:hRule="atLeast"/>
        </w:trPr>
        <w:tc>
          <w:tcPr>
            <w:tcW w:w="10040" w:type="dxa"/>
            <w:gridSpan w:val="9"/>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16"/>
                <w:szCs w:val="16"/>
              </w:rPr>
            </w:pPr>
            <w:r>
              <w:rPr>
                <w:rFonts w:hint="eastAsia" w:ascii="宋体" w:hAnsi="宋体" w:cs="宋体"/>
                <w:color w:val="000000"/>
                <w:kern w:val="0"/>
                <w:sz w:val="16"/>
                <w:szCs w:val="16"/>
                <w:lang w:bidi="ar"/>
              </w:rPr>
              <w:t>说明：</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1）综合单价中包含：人工费、材料费、机械费、安全文明施工费、扬尘治理增加费、疫情增加费、管理费、利润、税金、风险、调试、材料检测检验费等一切与之相关费用</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2）如有漏项请书面告知招标人，经招标人确认后可自行另外加此表单补充，并在此备注中注明产地、品牌。</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3）若有疑问或项目及工程量增减需开标前向甲方提出。否则视做对此清单无异议。</w:t>
            </w:r>
          </w:p>
        </w:tc>
      </w:tr>
    </w:tbl>
    <w:p>
      <w:pPr>
        <w:spacing w:line="413" w:lineRule="atLeast"/>
        <w:rPr>
          <w:rFonts w:ascii="宋体" w:hAnsi="宋体" w:cs="宋体"/>
          <w:b/>
          <w:bCs/>
          <w:sz w:val="28"/>
          <w:szCs w:val="28"/>
        </w:rPr>
      </w:pPr>
    </w:p>
    <w:p>
      <w:pPr>
        <w:spacing w:line="413" w:lineRule="atLeast"/>
        <w:rPr>
          <w:rFonts w:ascii="宋体" w:hAnsi="宋体" w:cs="宋体"/>
          <w:b/>
          <w:bCs/>
          <w:sz w:val="28"/>
          <w:szCs w:val="28"/>
        </w:rPr>
      </w:pPr>
    </w:p>
    <w:p>
      <w:pPr>
        <w:spacing w:line="413" w:lineRule="atLeast"/>
        <w:rPr>
          <w:rFonts w:ascii="宋体" w:hAnsi="宋体" w:cs="宋体"/>
          <w:b/>
          <w:bCs/>
          <w:sz w:val="28"/>
          <w:szCs w:val="28"/>
        </w:rPr>
      </w:pPr>
    </w:p>
    <w:p>
      <w:pPr>
        <w:spacing w:line="413" w:lineRule="atLeast"/>
        <w:rPr>
          <w:rFonts w:ascii="宋体" w:hAnsi="宋体" w:cs="宋体"/>
          <w:b/>
          <w:bCs/>
          <w:sz w:val="28"/>
          <w:szCs w:val="28"/>
        </w:rPr>
      </w:pPr>
    </w:p>
    <w:p>
      <w:pPr>
        <w:spacing w:line="413" w:lineRule="atLeast"/>
        <w:rPr>
          <w:rFonts w:ascii="宋体" w:hAnsi="宋体" w:cs="宋体"/>
          <w:b/>
          <w:bCs/>
          <w:sz w:val="28"/>
          <w:szCs w:val="28"/>
        </w:rPr>
      </w:pPr>
    </w:p>
    <w:p>
      <w:pPr>
        <w:spacing w:line="413" w:lineRule="atLeast"/>
        <w:rPr>
          <w:rFonts w:ascii="宋体" w:hAnsi="宋体" w:cs="宋体"/>
          <w:b/>
          <w:bCs/>
          <w:sz w:val="28"/>
          <w:szCs w:val="28"/>
        </w:rPr>
      </w:pPr>
    </w:p>
    <w:p>
      <w:pPr>
        <w:spacing w:line="413" w:lineRule="atLeast"/>
        <w:rPr>
          <w:rFonts w:ascii="宋体" w:hAnsi="宋体" w:cs="宋体"/>
          <w:szCs w:val="24"/>
          <w:highlight w:val="none"/>
        </w:rPr>
      </w:pPr>
      <w:r>
        <w:rPr>
          <w:rFonts w:hint="eastAsia" w:ascii="宋体" w:hAnsi="宋体" w:cs="宋体"/>
          <w:szCs w:val="24"/>
        </w:rPr>
        <w:t xml:space="preserve">附件3：            </w:t>
      </w:r>
      <w:r>
        <w:rPr>
          <w:rFonts w:hint="eastAsia" w:ascii="宋体" w:hAnsi="宋体" w:cs="宋体"/>
          <w:b/>
          <w:bCs/>
          <w:sz w:val="28"/>
          <w:szCs w:val="28"/>
          <w:highlight w:val="none"/>
        </w:rPr>
        <w:t xml:space="preserve"> 甲供材料、设备（封闭母线）验收单</w:t>
      </w:r>
    </w:p>
    <w:p>
      <w:pPr>
        <w:spacing w:line="413" w:lineRule="atLeast"/>
        <w:jc w:val="left"/>
        <w:rPr>
          <w:rFonts w:ascii="宋体" w:hAnsi="宋体" w:cs="宋体"/>
          <w:b/>
          <w:szCs w:val="24"/>
        </w:rPr>
      </w:pPr>
      <w:r>
        <w:rPr>
          <w:rFonts w:hint="eastAsia" w:ascii="宋体" w:hAnsi="宋体" w:cs="宋体"/>
          <w:szCs w:val="24"/>
        </w:rPr>
        <w:t>项目名称：</w:t>
      </w:r>
      <w:r>
        <w:rPr>
          <w:rFonts w:ascii="宋体" w:hAnsi="宋体" w:cs="宋体"/>
          <w:b/>
          <w:szCs w:val="24"/>
        </w:rPr>
        <w:t xml:space="preserve"> </w:t>
      </w:r>
    </w:p>
    <w:p>
      <w:pPr>
        <w:spacing w:line="413" w:lineRule="atLeast"/>
        <w:jc w:val="left"/>
        <w:rPr>
          <w:rFonts w:ascii="宋体" w:hAnsi="宋体" w:cs="宋体"/>
          <w:szCs w:val="24"/>
        </w:rPr>
      </w:pPr>
      <w:r>
        <w:rPr>
          <w:rFonts w:hint="eastAsia" w:ascii="宋体" w:hAnsi="宋体" w:cs="宋体"/>
          <w:szCs w:val="24"/>
        </w:rPr>
        <w:t>合同名称：</w:t>
      </w:r>
    </w:p>
    <w:p>
      <w:pPr>
        <w:spacing w:line="413" w:lineRule="atLeast"/>
        <w:jc w:val="left"/>
        <w:rPr>
          <w:rFonts w:ascii="宋体" w:hAnsi="宋体" w:cs="宋体"/>
          <w:szCs w:val="24"/>
        </w:rPr>
      </w:pPr>
      <w:r>
        <w:rPr>
          <w:rFonts w:hint="eastAsia" w:ascii="宋体" w:hAnsi="宋体" w:cs="宋体"/>
          <w:szCs w:val="24"/>
        </w:rPr>
        <w:t>合同编号：</w:t>
      </w:r>
    </w:p>
    <w:p>
      <w:pPr>
        <w:spacing w:line="413" w:lineRule="atLeast"/>
        <w:jc w:val="left"/>
        <w:rPr>
          <w:rFonts w:ascii="宋体" w:hAnsi="宋体" w:cs="宋体"/>
          <w:szCs w:val="24"/>
        </w:rPr>
      </w:pPr>
      <w:r>
        <w:rPr>
          <w:rFonts w:hint="eastAsia" w:ascii="宋体" w:hAnsi="宋体" w:cs="宋体"/>
          <w:szCs w:val="24"/>
        </w:rPr>
        <w:t>供应商名称：</w:t>
      </w:r>
      <w:r>
        <w:rPr>
          <w:rFonts w:ascii="宋体" w:hAnsi="宋体" w:cs="宋体"/>
          <w:szCs w:val="24"/>
        </w:rPr>
        <w:t xml:space="preserve"> </w:t>
      </w:r>
    </w:p>
    <w:tbl>
      <w:tblPr>
        <w:tblStyle w:val="42"/>
        <w:tblW w:w="9600" w:type="dxa"/>
        <w:tblInd w:w="0" w:type="dxa"/>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2425"/>
        <w:gridCol w:w="126"/>
        <w:gridCol w:w="1629"/>
        <w:gridCol w:w="109"/>
        <w:gridCol w:w="1041"/>
        <w:gridCol w:w="435"/>
        <w:gridCol w:w="849"/>
        <w:gridCol w:w="753"/>
        <w:gridCol w:w="1786"/>
      </w:tblGrid>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600" w:type="dxa"/>
            <w:gridSpan w:val="10"/>
          </w:tcPr>
          <w:p>
            <w:pPr>
              <w:spacing w:line="413" w:lineRule="atLeast"/>
              <w:rPr>
                <w:rFonts w:ascii="宋体" w:hAnsi="宋体" w:cs="宋体"/>
                <w:szCs w:val="24"/>
              </w:rPr>
            </w:pPr>
            <w:r>
              <w:rPr>
                <w:rFonts w:hint="eastAsia" w:ascii="宋体" w:hAnsi="宋体" w:cs="宋体"/>
                <w:szCs w:val="24"/>
              </w:rPr>
              <w:t>施工单位与监理公司对进场材料的质量、数量验收结果如下：</w:t>
            </w:r>
          </w:p>
          <w:p>
            <w:pPr>
              <w:pStyle w:val="2"/>
              <w:ind w:firstLine="480"/>
              <w:rPr>
                <w:rFonts w:hAnsi="宋体" w:cs="宋体"/>
                <w:szCs w:val="24"/>
              </w:rPr>
            </w:pPr>
          </w:p>
          <w:p>
            <w:pPr>
              <w:pStyle w:val="2"/>
              <w:ind w:firstLine="480"/>
              <w:rPr>
                <w:rFonts w:hAnsi="宋体" w:cs="宋体"/>
                <w:szCs w:val="24"/>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447" w:type="dxa"/>
          </w:tcPr>
          <w:p>
            <w:pPr>
              <w:jc w:val="center"/>
              <w:rPr>
                <w:rFonts w:ascii="宋体" w:hAnsi="宋体" w:cs="宋体"/>
                <w:szCs w:val="24"/>
              </w:rPr>
            </w:pPr>
            <w:r>
              <w:rPr>
                <w:rFonts w:hint="eastAsia" w:ascii="宋体" w:hAnsi="宋体" w:cs="宋体"/>
                <w:szCs w:val="24"/>
              </w:rPr>
              <w:t>楼号</w:t>
            </w:r>
          </w:p>
        </w:tc>
        <w:tc>
          <w:tcPr>
            <w:tcW w:w="2425" w:type="dxa"/>
          </w:tcPr>
          <w:p>
            <w:pPr>
              <w:spacing w:line="500" w:lineRule="exact"/>
              <w:jc w:val="center"/>
              <w:rPr>
                <w:rFonts w:ascii="宋体" w:hAnsi="宋体" w:cs="宋体"/>
                <w:szCs w:val="24"/>
              </w:rPr>
            </w:pPr>
            <w:r>
              <w:rPr>
                <w:rFonts w:hint="eastAsia" w:ascii="宋体" w:hAnsi="宋体" w:cs="宋体"/>
                <w:szCs w:val="24"/>
              </w:rPr>
              <w:t>材 料 名 称</w:t>
            </w:r>
          </w:p>
        </w:tc>
        <w:tc>
          <w:tcPr>
            <w:tcW w:w="1755" w:type="dxa"/>
            <w:gridSpan w:val="2"/>
          </w:tcPr>
          <w:p>
            <w:pPr>
              <w:spacing w:line="500" w:lineRule="exact"/>
              <w:jc w:val="center"/>
              <w:rPr>
                <w:rFonts w:ascii="宋体" w:hAnsi="宋体" w:cs="宋体"/>
                <w:szCs w:val="24"/>
              </w:rPr>
            </w:pPr>
            <w:r>
              <w:rPr>
                <w:rFonts w:hint="eastAsia" w:ascii="宋体" w:hAnsi="宋体" w:cs="宋体"/>
                <w:szCs w:val="24"/>
              </w:rPr>
              <w:t>规格/型号</w:t>
            </w:r>
          </w:p>
        </w:tc>
        <w:tc>
          <w:tcPr>
            <w:tcW w:w="1585" w:type="dxa"/>
            <w:gridSpan w:val="3"/>
          </w:tcPr>
          <w:p>
            <w:pPr>
              <w:spacing w:line="500" w:lineRule="exact"/>
              <w:jc w:val="center"/>
              <w:rPr>
                <w:rFonts w:ascii="宋体" w:hAnsi="宋体" w:cs="宋体"/>
                <w:szCs w:val="24"/>
              </w:rPr>
            </w:pPr>
            <w:r>
              <w:rPr>
                <w:rFonts w:hint="eastAsia" w:ascii="宋体" w:hAnsi="宋体" w:cs="宋体"/>
                <w:szCs w:val="24"/>
              </w:rPr>
              <w:t>质量评价</w:t>
            </w:r>
          </w:p>
        </w:tc>
        <w:tc>
          <w:tcPr>
            <w:tcW w:w="1602" w:type="dxa"/>
            <w:gridSpan w:val="2"/>
            <w:vAlign w:val="center"/>
          </w:tcPr>
          <w:p>
            <w:pPr>
              <w:jc w:val="center"/>
              <w:rPr>
                <w:rFonts w:ascii="宋体" w:hAnsi="宋体" w:cs="宋体"/>
                <w:szCs w:val="24"/>
              </w:rPr>
            </w:pPr>
            <w:r>
              <w:rPr>
                <w:rFonts w:hint="eastAsia" w:ascii="宋体" w:hAnsi="宋体" w:cs="宋体"/>
                <w:szCs w:val="24"/>
              </w:rPr>
              <w:t>数量（单位）</w:t>
            </w:r>
          </w:p>
        </w:tc>
        <w:tc>
          <w:tcPr>
            <w:tcW w:w="1786" w:type="dxa"/>
          </w:tcPr>
          <w:p>
            <w:pPr>
              <w:spacing w:line="500" w:lineRule="exact"/>
              <w:jc w:val="center"/>
              <w:rPr>
                <w:rFonts w:ascii="宋体" w:hAnsi="宋体" w:cs="宋体"/>
                <w:szCs w:val="24"/>
              </w:rPr>
            </w:pPr>
            <w:r>
              <w:rPr>
                <w:rFonts w:hint="eastAsia" w:ascii="宋体" w:hAnsi="宋体" w:cs="宋体"/>
                <w:szCs w:val="24"/>
              </w:rPr>
              <w:t>备       注</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47" w:type="dxa"/>
          </w:tcPr>
          <w:p>
            <w:pPr>
              <w:spacing w:line="413" w:lineRule="atLeast"/>
              <w:rPr>
                <w:rFonts w:ascii="宋体" w:hAnsi="宋体" w:cs="宋体"/>
                <w:szCs w:val="24"/>
              </w:rPr>
            </w:pPr>
          </w:p>
        </w:tc>
        <w:tc>
          <w:tcPr>
            <w:tcW w:w="2425" w:type="dxa"/>
          </w:tcPr>
          <w:p>
            <w:pPr>
              <w:spacing w:line="413" w:lineRule="atLeast"/>
              <w:rPr>
                <w:rFonts w:ascii="宋体" w:hAnsi="宋体" w:cs="宋体"/>
                <w:szCs w:val="24"/>
              </w:rPr>
            </w:pPr>
          </w:p>
        </w:tc>
        <w:tc>
          <w:tcPr>
            <w:tcW w:w="1755" w:type="dxa"/>
            <w:gridSpan w:val="2"/>
          </w:tcPr>
          <w:p>
            <w:pPr>
              <w:spacing w:line="413" w:lineRule="atLeast"/>
              <w:rPr>
                <w:rFonts w:ascii="宋体" w:hAnsi="宋体" w:cs="宋体"/>
                <w:szCs w:val="24"/>
              </w:rPr>
            </w:pPr>
          </w:p>
        </w:tc>
        <w:tc>
          <w:tcPr>
            <w:tcW w:w="1585" w:type="dxa"/>
            <w:gridSpan w:val="3"/>
          </w:tcPr>
          <w:p>
            <w:pPr>
              <w:spacing w:line="413" w:lineRule="atLeast"/>
              <w:rPr>
                <w:rFonts w:ascii="宋体" w:hAnsi="宋体" w:cs="宋体"/>
                <w:szCs w:val="24"/>
              </w:rPr>
            </w:pPr>
          </w:p>
        </w:tc>
        <w:tc>
          <w:tcPr>
            <w:tcW w:w="1602" w:type="dxa"/>
            <w:gridSpan w:val="2"/>
          </w:tcPr>
          <w:p>
            <w:pPr>
              <w:spacing w:line="413" w:lineRule="atLeast"/>
              <w:rPr>
                <w:rFonts w:ascii="宋体" w:hAnsi="宋体" w:cs="宋体"/>
                <w:szCs w:val="24"/>
              </w:rPr>
            </w:pPr>
          </w:p>
        </w:tc>
        <w:tc>
          <w:tcPr>
            <w:tcW w:w="1786" w:type="dxa"/>
          </w:tcPr>
          <w:p>
            <w:pPr>
              <w:spacing w:line="413" w:lineRule="atLeast"/>
              <w:rPr>
                <w:rFonts w:ascii="宋体" w:hAnsi="宋体" w:cs="宋体"/>
                <w:szCs w:val="24"/>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47" w:type="dxa"/>
          </w:tcPr>
          <w:p>
            <w:pPr>
              <w:spacing w:line="413" w:lineRule="atLeast"/>
              <w:rPr>
                <w:rFonts w:ascii="宋体" w:hAnsi="宋体" w:cs="宋体"/>
                <w:szCs w:val="24"/>
              </w:rPr>
            </w:pPr>
          </w:p>
        </w:tc>
        <w:tc>
          <w:tcPr>
            <w:tcW w:w="2425" w:type="dxa"/>
          </w:tcPr>
          <w:p>
            <w:pPr>
              <w:spacing w:line="413" w:lineRule="atLeast"/>
              <w:rPr>
                <w:rFonts w:ascii="宋体" w:hAnsi="宋体" w:cs="宋体"/>
                <w:szCs w:val="24"/>
              </w:rPr>
            </w:pPr>
          </w:p>
        </w:tc>
        <w:tc>
          <w:tcPr>
            <w:tcW w:w="1755" w:type="dxa"/>
            <w:gridSpan w:val="2"/>
          </w:tcPr>
          <w:p>
            <w:pPr>
              <w:spacing w:line="413" w:lineRule="atLeast"/>
              <w:rPr>
                <w:rFonts w:ascii="宋体" w:hAnsi="宋体" w:cs="宋体"/>
                <w:szCs w:val="24"/>
              </w:rPr>
            </w:pPr>
          </w:p>
        </w:tc>
        <w:tc>
          <w:tcPr>
            <w:tcW w:w="1585" w:type="dxa"/>
            <w:gridSpan w:val="3"/>
          </w:tcPr>
          <w:p>
            <w:pPr>
              <w:spacing w:line="413" w:lineRule="atLeast"/>
              <w:rPr>
                <w:rFonts w:ascii="宋体" w:hAnsi="宋体" w:cs="宋体"/>
                <w:szCs w:val="24"/>
              </w:rPr>
            </w:pPr>
          </w:p>
        </w:tc>
        <w:tc>
          <w:tcPr>
            <w:tcW w:w="1602" w:type="dxa"/>
            <w:gridSpan w:val="2"/>
          </w:tcPr>
          <w:p>
            <w:pPr>
              <w:spacing w:line="413" w:lineRule="atLeast"/>
              <w:rPr>
                <w:rFonts w:ascii="宋体" w:hAnsi="宋体" w:cs="宋体"/>
                <w:szCs w:val="24"/>
              </w:rPr>
            </w:pPr>
          </w:p>
        </w:tc>
        <w:tc>
          <w:tcPr>
            <w:tcW w:w="1786" w:type="dxa"/>
          </w:tcPr>
          <w:p>
            <w:pPr>
              <w:spacing w:line="413" w:lineRule="atLeast"/>
              <w:rPr>
                <w:rFonts w:ascii="宋体" w:hAnsi="宋体" w:cs="宋体"/>
                <w:szCs w:val="24"/>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47" w:type="dxa"/>
          </w:tcPr>
          <w:p>
            <w:pPr>
              <w:spacing w:line="413" w:lineRule="atLeast"/>
              <w:rPr>
                <w:rFonts w:ascii="宋体" w:hAnsi="宋体" w:cs="宋体"/>
                <w:szCs w:val="24"/>
              </w:rPr>
            </w:pPr>
          </w:p>
        </w:tc>
        <w:tc>
          <w:tcPr>
            <w:tcW w:w="2425" w:type="dxa"/>
          </w:tcPr>
          <w:p>
            <w:pPr>
              <w:spacing w:line="413" w:lineRule="atLeast"/>
              <w:rPr>
                <w:rFonts w:ascii="宋体" w:hAnsi="宋体" w:cs="宋体"/>
                <w:szCs w:val="24"/>
              </w:rPr>
            </w:pPr>
          </w:p>
        </w:tc>
        <w:tc>
          <w:tcPr>
            <w:tcW w:w="1755" w:type="dxa"/>
            <w:gridSpan w:val="2"/>
          </w:tcPr>
          <w:p>
            <w:pPr>
              <w:spacing w:line="413" w:lineRule="atLeast"/>
              <w:rPr>
                <w:rFonts w:ascii="宋体" w:hAnsi="宋体" w:cs="宋体"/>
                <w:szCs w:val="24"/>
              </w:rPr>
            </w:pPr>
          </w:p>
        </w:tc>
        <w:tc>
          <w:tcPr>
            <w:tcW w:w="1585" w:type="dxa"/>
            <w:gridSpan w:val="3"/>
          </w:tcPr>
          <w:p>
            <w:pPr>
              <w:spacing w:line="413" w:lineRule="atLeast"/>
              <w:rPr>
                <w:rFonts w:ascii="宋体" w:hAnsi="宋体" w:cs="宋体"/>
                <w:szCs w:val="24"/>
              </w:rPr>
            </w:pPr>
          </w:p>
        </w:tc>
        <w:tc>
          <w:tcPr>
            <w:tcW w:w="1602" w:type="dxa"/>
            <w:gridSpan w:val="2"/>
          </w:tcPr>
          <w:p>
            <w:pPr>
              <w:spacing w:line="413" w:lineRule="atLeast"/>
              <w:rPr>
                <w:rFonts w:ascii="宋体" w:hAnsi="宋体" w:cs="宋体"/>
                <w:szCs w:val="24"/>
              </w:rPr>
            </w:pPr>
          </w:p>
        </w:tc>
        <w:tc>
          <w:tcPr>
            <w:tcW w:w="1786" w:type="dxa"/>
          </w:tcPr>
          <w:p>
            <w:pPr>
              <w:spacing w:line="413" w:lineRule="atLeast"/>
              <w:rPr>
                <w:rFonts w:ascii="宋体" w:hAnsi="宋体" w:cs="宋体"/>
                <w:szCs w:val="24"/>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47" w:type="dxa"/>
          </w:tcPr>
          <w:p>
            <w:pPr>
              <w:spacing w:line="413" w:lineRule="atLeast"/>
              <w:rPr>
                <w:rFonts w:ascii="宋体" w:hAnsi="宋体" w:cs="宋体"/>
                <w:szCs w:val="24"/>
              </w:rPr>
            </w:pPr>
          </w:p>
        </w:tc>
        <w:tc>
          <w:tcPr>
            <w:tcW w:w="2425" w:type="dxa"/>
          </w:tcPr>
          <w:p>
            <w:pPr>
              <w:spacing w:line="413" w:lineRule="atLeast"/>
              <w:rPr>
                <w:rFonts w:ascii="宋体" w:hAnsi="宋体" w:cs="宋体"/>
                <w:szCs w:val="24"/>
              </w:rPr>
            </w:pPr>
          </w:p>
        </w:tc>
        <w:tc>
          <w:tcPr>
            <w:tcW w:w="1755" w:type="dxa"/>
            <w:gridSpan w:val="2"/>
          </w:tcPr>
          <w:p>
            <w:pPr>
              <w:spacing w:line="413" w:lineRule="atLeast"/>
              <w:rPr>
                <w:rFonts w:ascii="宋体" w:hAnsi="宋体" w:cs="宋体"/>
                <w:szCs w:val="24"/>
              </w:rPr>
            </w:pPr>
          </w:p>
        </w:tc>
        <w:tc>
          <w:tcPr>
            <w:tcW w:w="1585" w:type="dxa"/>
            <w:gridSpan w:val="3"/>
          </w:tcPr>
          <w:p>
            <w:pPr>
              <w:spacing w:line="413" w:lineRule="atLeast"/>
              <w:rPr>
                <w:rFonts w:ascii="宋体" w:hAnsi="宋体" w:cs="宋体"/>
                <w:szCs w:val="24"/>
              </w:rPr>
            </w:pPr>
          </w:p>
        </w:tc>
        <w:tc>
          <w:tcPr>
            <w:tcW w:w="1602" w:type="dxa"/>
            <w:gridSpan w:val="2"/>
          </w:tcPr>
          <w:p>
            <w:pPr>
              <w:spacing w:line="413" w:lineRule="atLeast"/>
              <w:rPr>
                <w:rFonts w:ascii="宋体" w:hAnsi="宋体" w:cs="宋体"/>
                <w:szCs w:val="24"/>
              </w:rPr>
            </w:pPr>
          </w:p>
        </w:tc>
        <w:tc>
          <w:tcPr>
            <w:tcW w:w="1786" w:type="dxa"/>
          </w:tcPr>
          <w:p>
            <w:pPr>
              <w:spacing w:line="413" w:lineRule="atLeast"/>
              <w:rPr>
                <w:rFonts w:ascii="宋体" w:hAnsi="宋体" w:cs="宋体"/>
                <w:szCs w:val="24"/>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47" w:type="dxa"/>
          </w:tcPr>
          <w:p>
            <w:pPr>
              <w:spacing w:line="413" w:lineRule="atLeast"/>
              <w:rPr>
                <w:rFonts w:ascii="宋体" w:hAnsi="宋体" w:cs="宋体"/>
                <w:szCs w:val="24"/>
              </w:rPr>
            </w:pPr>
          </w:p>
        </w:tc>
        <w:tc>
          <w:tcPr>
            <w:tcW w:w="2425" w:type="dxa"/>
          </w:tcPr>
          <w:p>
            <w:pPr>
              <w:spacing w:line="413" w:lineRule="atLeast"/>
              <w:rPr>
                <w:rFonts w:ascii="宋体" w:hAnsi="宋体" w:cs="宋体"/>
                <w:szCs w:val="24"/>
              </w:rPr>
            </w:pPr>
          </w:p>
        </w:tc>
        <w:tc>
          <w:tcPr>
            <w:tcW w:w="1755" w:type="dxa"/>
            <w:gridSpan w:val="2"/>
          </w:tcPr>
          <w:p>
            <w:pPr>
              <w:spacing w:line="413" w:lineRule="atLeast"/>
              <w:rPr>
                <w:rFonts w:ascii="宋体" w:hAnsi="宋体" w:cs="宋体"/>
                <w:szCs w:val="24"/>
              </w:rPr>
            </w:pPr>
          </w:p>
        </w:tc>
        <w:tc>
          <w:tcPr>
            <w:tcW w:w="1585" w:type="dxa"/>
            <w:gridSpan w:val="3"/>
          </w:tcPr>
          <w:p>
            <w:pPr>
              <w:spacing w:line="413" w:lineRule="atLeast"/>
              <w:rPr>
                <w:rFonts w:ascii="宋体" w:hAnsi="宋体" w:cs="宋体"/>
                <w:szCs w:val="24"/>
              </w:rPr>
            </w:pPr>
          </w:p>
        </w:tc>
        <w:tc>
          <w:tcPr>
            <w:tcW w:w="1602" w:type="dxa"/>
            <w:gridSpan w:val="2"/>
          </w:tcPr>
          <w:p>
            <w:pPr>
              <w:spacing w:line="413" w:lineRule="atLeast"/>
              <w:rPr>
                <w:rFonts w:ascii="宋体" w:hAnsi="宋体" w:cs="宋体"/>
                <w:szCs w:val="24"/>
              </w:rPr>
            </w:pPr>
          </w:p>
        </w:tc>
        <w:tc>
          <w:tcPr>
            <w:tcW w:w="1786" w:type="dxa"/>
          </w:tcPr>
          <w:p>
            <w:pPr>
              <w:spacing w:line="413" w:lineRule="atLeast"/>
              <w:rPr>
                <w:rFonts w:ascii="宋体" w:hAnsi="宋体" w:cs="宋体"/>
                <w:szCs w:val="24"/>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47" w:type="dxa"/>
          </w:tcPr>
          <w:p>
            <w:pPr>
              <w:spacing w:line="413" w:lineRule="atLeast"/>
              <w:rPr>
                <w:rFonts w:ascii="宋体" w:hAnsi="宋体" w:cs="宋体"/>
                <w:szCs w:val="24"/>
              </w:rPr>
            </w:pPr>
          </w:p>
        </w:tc>
        <w:tc>
          <w:tcPr>
            <w:tcW w:w="2425" w:type="dxa"/>
          </w:tcPr>
          <w:p>
            <w:pPr>
              <w:spacing w:line="413" w:lineRule="atLeast"/>
              <w:rPr>
                <w:rFonts w:ascii="宋体" w:hAnsi="宋体" w:cs="宋体"/>
                <w:szCs w:val="24"/>
              </w:rPr>
            </w:pPr>
          </w:p>
        </w:tc>
        <w:tc>
          <w:tcPr>
            <w:tcW w:w="1755" w:type="dxa"/>
            <w:gridSpan w:val="2"/>
          </w:tcPr>
          <w:p>
            <w:pPr>
              <w:spacing w:line="413" w:lineRule="atLeast"/>
              <w:rPr>
                <w:rFonts w:ascii="宋体" w:hAnsi="宋体" w:cs="宋体"/>
                <w:szCs w:val="24"/>
              </w:rPr>
            </w:pPr>
          </w:p>
        </w:tc>
        <w:tc>
          <w:tcPr>
            <w:tcW w:w="1585" w:type="dxa"/>
            <w:gridSpan w:val="3"/>
          </w:tcPr>
          <w:p>
            <w:pPr>
              <w:spacing w:line="413" w:lineRule="atLeast"/>
              <w:rPr>
                <w:rFonts w:ascii="宋体" w:hAnsi="宋体" w:cs="宋体"/>
                <w:szCs w:val="24"/>
              </w:rPr>
            </w:pPr>
          </w:p>
        </w:tc>
        <w:tc>
          <w:tcPr>
            <w:tcW w:w="1602" w:type="dxa"/>
            <w:gridSpan w:val="2"/>
          </w:tcPr>
          <w:p>
            <w:pPr>
              <w:spacing w:line="413" w:lineRule="atLeast"/>
              <w:rPr>
                <w:rFonts w:ascii="宋体" w:hAnsi="宋体" w:cs="宋体"/>
                <w:szCs w:val="24"/>
              </w:rPr>
            </w:pPr>
          </w:p>
        </w:tc>
        <w:tc>
          <w:tcPr>
            <w:tcW w:w="1786" w:type="dxa"/>
          </w:tcPr>
          <w:p>
            <w:pPr>
              <w:spacing w:line="413" w:lineRule="atLeast"/>
              <w:rPr>
                <w:rFonts w:ascii="宋体" w:hAnsi="宋体" w:cs="宋体"/>
                <w:szCs w:val="24"/>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600" w:type="dxa"/>
            <w:gridSpan w:val="10"/>
          </w:tcPr>
          <w:p>
            <w:pPr>
              <w:spacing w:line="413" w:lineRule="atLeast"/>
              <w:rPr>
                <w:rFonts w:ascii="宋体" w:hAnsi="宋体" w:cs="宋体"/>
                <w:szCs w:val="24"/>
              </w:rPr>
            </w:pPr>
            <w:r>
              <w:rPr>
                <w:rFonts w:hint="eastAsia" w:ascii="宋体" w:hAnsi="宋体" w:cs="宋体"/>
                <w:szCs w:val="24"/>
              </w:rPr>
              <w:t>注：1、出厂合格证齐全；2、表观合格（与样品一致）；3、材料厚度合格；4、元器件品牌与合同约定一致。</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600" w:type="dxa"/>
            <w:gridSpan w:val="10"/>
          </w:tcPr>
          <w:p>
            <w:pPr>
              <w:spacing w:line="413" w:lineRule="atLeast"/>
              <w:rPr>
                <w:rFonts w:ascii="宋体" w:hAnsi="宋体" w:cs="宋体"/>
                <w:szCs w:val="24"/>
              </w:rPr>
            </w:pPr>
            <w:r>
              <w:rPr>
                <w:rFonts w:hint="eastAsia" w:ascii="宋体" w:hAnsi="宋体" w:cs="宋体"/>
                <w:szCs w:val="24"/>
              </w:rPr>
              <w:t>有关各方责任工程师对进场材料的质量验收结果如下：</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998" w:type="dxa"/>
            <w:gridSpan w:val="3"/>
          </w:tcPr>
          <w:p>
            <w:pPr>
              <w:spacing w:line="400" w:lineRule="exact"/>
              <w:rPr>
                <w:rFonts w:ascii="宋体" w:hAnsi="宋体" w:cs="宋体"/>
                <w:szCs w:val="24"/>
              </w:rPr>
            </w:pPr>
            <w:r>
              <w:rPr>
                <w:rFonts w:hint="eastAsia" w:ascii="宋体" w:hAnsi="宋体" w:cs="宋体"/>
                <w:szCs w:val="24"/>
              </w:rPr>
              <w:t>有关各方责任工程师</w:t>
            </w:r>
          </w:p>
        </w:tc>
        <w:tc>
          <w:tcPr>
            <w:tcW w:w="2779" w:type="dxa"/>
            <w:gridSpan w:val="3"/>
          </w:tcPr>
          <w:p>
            <w:pPr>
              <w:spacing w:line="400" w:lineRule="exact"/>
              <w:jc w:val="center"/>
              <w:rPr>
                <w:rFonts w:ascii="宋体" w:hAnsi="宋体" w:cs="宋体"/>
                <w:szCs w:val="24"/>
              </w:rPr>
            </w:pPr>
            <w:r>
              <w:rPr>
                <w:rFonts w:hint="eastAsia" w:ascii="宋体" w:hAnsi="宋体" w:cs="宋体"/>
                <w:szCs w:val="24"/>
              </w:rPr>
              <w:t>质 量 验 收 结 果</w:t>
            </w:r>
          </w:p>
        </w:tc>
        <w:tc>
          <w:tcPr>
            <w:tcW w:w="1284" w:type="dxa"/>
            <w:gridSpan w:val="2"/>
          </w:tcPr>
          <w:p>
            <w:pPr>
              <w:spacing w:line="400" w:lineRule="exact"/>
              <w:jc w:val="center"/>
              <w:rPr>
                <w:rFonts w:ascii="宋体" w:hAnsi="宋体" w:cs="宋体"/>
                <w:szCs w:val="24"/>
              </w:rPr>
            </w:pPr>
            <w:r>
              <w:rPr>
                <w:rFonts w:hint="eastAsia" w:ascii="宋体" w:hAnsi="宋体" w:cs="宋体"/>
                <w:szCs w:val="24"/>
              </w:rPr>
              <w:t>签   名</w:t>
            </w:r>
          </w:p>
        </w:tc>
        <w:tc>
          <w:tcPr>
            <w:tcW w:w="2539" w:type="dxa"/>
            <w:gridSpan w:val="2"/>
          </w:tcPr>
          <w:p>
            <w:pPr>
              <w:spacing w:line="400" w:lineRule="exact"/>
              <w:ind w:firstLine="720" w:firstLineChars="300"/>
              <w:rPr>
                <w:rFonts w:ascii="宋体" w:hAnsi="宋体" w:cs="宋体"/>
                <w:szCs w:val="24"/>
              </w:rPr>
            </w:pPr>
            <w:r>
              <w:rPr>
                <w:rFonts w:hint="eastAsia" w:ascii="宋体" w:hAnsi="宋体" w:cs="宋体"/>
                <w:szCs w:val="24"/>
              </w:rPr>
              <w:t>日    期</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998" w:type="dxa"/>
            <w:gridSpan w:val="3"/>
          </w:tcPr>
          <w:p>
            <w:pPr>
              <w:spacing w:line="160" w:lineRule="atLeast"/>
              <w:rPr>
                <w:rFonts w:ascii="宋体" w:hAnsi="宋体" w:cs="宋体"/>
                <w:b/>
                <w:szCs w:val="24"/>
              </w:rPr>
            </w:pPr>
            <w:r>
              <w:rPr>
                <w:rFonts w:hint="eastAsia" w:ascii="宋体" w:hAnsi="宋体" w:cs="宋体"/>
                <w:szCs w:val="24"/>
              </w:rPr>
              <w:t>施工单位责任人</w:t>
            </w:r>
          </w:p>
        </w:tc>
        <w:tc>
          <w:tcPr>
            <w:tcW w:w="2779" w:type="dxa"/>
            <w:gridSpan w:val="3"/>
          </w:tcPr>
          <w:p>
            <w:pPr>
              <w:spacing w:line="160" w:lineRule="atLeast"/>
              <w:rPr>
                <w:rFonts w:ascii="宋体" w:hAnsi="宋体" w:cs="宋体"/>
                <w:b/>
                <w:szCs w:val="24"/>
              </w:rPr>
            </w:pPr>
          </w:p>
        </w:tc>
        <w:tc>
          <w:tcPr>
            <w:tcW w:w="1284" w:type="dxa"/>
            <w:gridSpan w:val="2"/>
          </w:tcPr>
          <w:p>
            <w:pPr>
              <w:spacing w:line="160" w:lineRule="atLeast"/>
              <w:rPr>
                <w:rFonts w:ascii="宋体" w:hAnsi="宋体" w:cs="宋体"/>
                <w:b/>
                <w:szCs w:val="24"/>
              </w:rPr>
            </w:pPr>
          </w:p>
        </w:tc>
        <w:tc>
          <w:tcPr>
            <w:tcW w:w="2539" w:type="dxa"/>
            <w:gridSpan w:val="2"/>
          </w:tcPr>
          <w:p>
            <w:pPr>
              <w:spacing w:line="160" w:lineRule="atLeast"/>
              <w:ind w:firstLine="720" w:firstLineChars="300"/>
              <w:rPr>
                <w:rFonts w:ascii="宋体" w:hAnsi="宋体" w:cs="宋体"/>
                <w:szCs w:val="24"/>
              </w:rPr>
            </w:pPr>
            <w:r>
              <w:rPr>
                <w:rFonts w:hint="eastAsia" w:ascii="宋体" w:hAnsi="宋体" w:cs="宋体"/>
                <w:szCs w:val="24"/>
              </w:rPr>
              <w:t>年   月   日</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998" w:type="dxa"/>
            <w:gridSpan w:val="3"/>
          </w:tcPr>
          <w:p>
            <w:pPr>
              <w:spacing w:line="160" w:lineRule="atLeast"/>
              <w:rPr>
                <w:rFonts w:ascii="宋体" w:hAnsi="宋体" w:cs="宋体"/>
                <w:szCs w:val="24"/>
              </w:rPr>
            </w:pPr>
            <w:r>
              <w:rPr>
                <w:rFonts w:hint="eastAsia" w:ascii="宋体" w:hAnsi="宋体" w:cs="宋体"/>
                <w:szCs w:val="24"/>
              </w:rPr>
              <w:t>监理工程师</w:t>
            </w:r>
          </w:p>
        </w:tc>
        <w:tc>
          <w:tcPr>
            <w:tcW w:w="2779" w:type="dxa"/>
            <w:gridSpan w:val="3"/>
          </w:tcPr>
          <w:p>
            <w:pPr>
              <w:spacing w:line="160" w:lineRule="atLeast"/>
              <w:rPr>
                <w:rFonts w:ascii="宋体" w:hAnsi="宋体" w:cs="宋体"/>
                <w:b/>
                <w:szCs w:val="24"/>
              </w:rPr>
            </w:pPr>
          </w:p>
        </w:tc>
        <w:tc>
          <w:tcPr>
            <w:tcW w:w="1284" w:type="dxa"/>
            <w:gridSpan w:val="2"/>
          </w:tcPr>
          <w:p>
            <w:pPr>
              <w:spacing w:line="160" w:lineRule="atLeast"/>
              <w:rPr>
                <w:rFonts w:ascii="宋体" w:hAnsi="宋体" w:cs="宋体"/>
                <w:b/>
                <w:szCs w:val="24"/>
              </w:rPr>
            </w:pPr>
          </w:p>
        </w:tc>
        <w:tc>
          <w:tcPr>
            <w:tcW w:w="2539" w:type="dxa"/>
            <w:gridSpan w:val="2"/>
          </w:tcPr>
          <w:p>
            <w:pPr>
              <w:spacing w:line="160" w:lineRule="atLeast"/>
              <w:ind w:firstLine="720" w:firstLineChars="300"/>
              <w:rPr>
                <w:rFonts w:ascii="宋体" w:hAnsi="宋体" w:cs="宋体"/>
                <w:szCs w:val="24"/>
              </w:rPr>
            </w:pPr>
            <w:r>
              <w:rPr>
                <w:rFonts w:hint="eastAsia" w:ascii="宋体" w:hAnsi="宋体" w:cs="宋体"/>
                <w:szCs w:val="24"/>
              </w:rPr>
              <w:t>年   月   日</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998" w:type="dxa"/>
            <w:gridSpan w:val="3"/>
          </w:tcPr>
          <w:p>
            <w:pPr>
              <w:spacing w:line="160" w:lineRule="atLeast"/>
              <w:rPr>
                <w:rFonts w:ascii="宋体" w:hAnsi="宋体" w:cs="宋体"/>
                <w:szCs w:val="24"/>
              </w:rPr>
            </w:pPr>
            <w:r>
              <w:rPr>
                <w:rFonts w:hint="eastAsia" w:ascii="宋体" w:hAnsi="宋体" w:cs="宋体"/>
                <w:szCs w:val="24"/>
              </w:rPr>
              <w:t>甲方现场工程师</w:t>
            </w:r>
          </w:p>
        </w:tc>
        <w:tc>
          <w:tcPr>
            <w:tcW w:w="2779" w:type="dxa"/>
            <w:gridSpan w:val="3"/>
          </w:tcPr>
          <w:p>
            <w:pPr>
              <w:spacing w:line="160" w:lineRule="atLeast"/>
              <w:rPr>
                <w:rFonts w:ascii="宋体" w:hAnsi="宋体" w:cs="宋体"/>
                <w:b/>
                <w:szCs w:val="24"/>
              </w:rPr>
            </w:pPr>
          </w:p>
        </w:tc>
        <w:tc>
          <w:tcPr>
            <w:tcW w:w="1284" w:type="dxa"/>
            <w:gridSpan w:val="2"/>
          </w:tcPr>
          <w:p>
            <w:pPr>
              <w:spacing w:line="160" w:lineRule="atLeast"/>
              <w:rPr>
                <w:rFonts w:ascii="宋体" w:hAnsi="宋体" w:cs="宋体"/>
                <w:b/>
                <w:szCs w:val="24"/>
              </w:rPr>
            </w:pPr>
          </w:p>
        </w:tc>
        <w:tc>
          <w:tcPr>
            <w:tcW w:w="2539" w:type="dxa"/>
            <w:gridSpan w:val="2"/>
          </w:tcPr>
          <w:p>
            <w:pPr>
              <w:spacing w:line="160" w:lineRule="atLeast"/>
              <w:ind w:firstLine="720" w:firstLineChars="300"/>
              <w:rPr>
                <w:rFonts w:ascii="宋体" w:hAnsi="宋体" w:cs="宋体"/>
                <w:szCs w:val="24"/>
              </w:rPr>
            </w:pPr>
            <w:r>
              <w:rPr>
                <w:rFonts w:hint="eastAsia" w:ascii="宋体" w:hAnsi="宋体" w:cs="宋体"/>
                <w:szCs w:val="24"/>
              </w:rPr>
              <w:t>年   月   日</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998" w:type="dxa"/>
            <w:gridSpan w:val="3"/>
          </w:tcPr>
          <w:p>
            <w:pPr>
              <w:spacing w:line="160" w:lineRule="atLeast"/>
              <w:rPr>
                <w:rFonts w:ascii="宋体" w:hAnsi="宋体" w:cs="宋体"/>
                <w:szCs w:val="24"/>
              </w:rPr>
            </w:pPr>
            <w:r>
              <w:rPr>
                <w:rFonts w:hint="eastAsia" w:ascii="宋体" w:hAnsi="宋体" w:cs="宋体"/>
                <w:szCs w:val="24"/>
              </w:rPr>
              <w:t>甲方招采工程师</w:t>
            </w:r>
          </w:p>
        </w:tc>
        <w:tc>
          <w:tcPr>
            <w:tcW w:w="2779" w:type="dxa"/>
            <w:gridSpan w:val="3"/>
          </w:tcPr>
          <w:p>
            <w:pPr>
              <w:spacing w:line="160" w:lineRule="atLeast"/>
              <w:rPr>
                <w:rFonts w:ascii="宋体" w:hAnsi="宋体" w:cs="宋体"/>
                <w:b/>
                <w:szCs w:val="24"/>
              </w:rPr>
            </w:pPr>
          </w:p>
        </w:tc>
        <w:tc>
          <w:tcPr>
            <w:tcW w:w="1284" w:type="dxa"/>
            <w:gridSpan w:val="2"/>
          </w:tcPr>
          <w:p>
            <w:pPr>
              <w:spacing w:line="160" w:lineRule="atLeast"/>
              <w:rPr>
                <w:rFonts w:ascii="宋体" w:hAnsi="宋体" w:cs="宋体"/>
                <w:b/>
                <w:szCs w:val="24"/>
              </w:rPr>
            </w:pPr>
          </w:p>
        </w:tc>
        <w:tc>
          <w:tcPr>
            <w:tcW w:w="2539" w:type="dxa"/>
            <w:gridSpan w:val="2"/>
          </w:tcPr>
          <w:p>
            <w:pPr>
              <w:spacing w:line="160" w:lineRule="atLeast"/>
              <w:ind w:firstLine="720" w:firstLineChars="300"/>
              <w:rPr>
                <w:rFonts w:ascii="宋体" w:hAnsi="宋体" w:cs="宋体"/>
                <w:szCs w:val="24"/>
              </w:rPr>
            </w:pPr>
            <w:r>
              <w:rPr>
                <w:rFonts w:hint="eastAsia" w:ascii="宋体" w:hAnsi="宋体" w:cs="宋体"/>
                <w:szCs w:val="24"/>
              </w:rPr>
              <w:t>年   月   日</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4736" w:type="dxa"/>
            <w:gridSpan w:val="5"/>
          </w:tcPr>
          <w:p>
            <w:pPr>
              <w:spacing w:line="413" w:lineRule="atLeast"/>
              <w:rPr>
                <w:rFonts w:ascii="宋体" w:hAnsi="宋体" w:cs="宋体"/>
                <w:szCs w:val="24"/>
              </w:rPr>
            </w:pPr>
            <w:r>
              <w:rPr>
                <w:rFonts w:hint="eastAsia" w:ascii="宋体" w:hAnsi="宋体" w:cs="宋体"/>
                <w:szCs w:val="24"/>
              </w:rPr>
              <w:t>施工单位项目专用章：</w:t>
            </w:r>
          </w:p>
        </w:tc>
        <w:tc>
          <w:tcPr>
            <w:tcW w:w="4864" w:type="dxa"/>
            <w:gridSpan w:val="5"/>
          </w:tcPr>
          <w:p>
            <w:pPr>
              <w:spacing w:line="413" w:lineRule="atLeast"/>
              <w:rPr>
                <w:rFonts w:ascii="宋体" w:hAnsi="宋体" w:cs="宋体"/>
                <w:szCs w:val="24"/>
              </w:rPr>
            </w:pPr>
            <w:r>
              <w:rPr>
                <w:rFonts w:hint="eastAsia" w:ascii="宋体" w:hAnsi="宋体" w:cs="宋体"/>
                <w:szCs w:val="24"/>
              </w:rPr>
              <w:t>监理公司项目专用章∶</w:t>
            </w:r>
          </w:p>
          <w:p>
            <w:pPr>
              <w:spacing w:line="413" w:lineRule="atLeast"/>
              <w:rPr>
                <w:rFonts w:ascii="宋体" w:hAnsi="宋体" w:cs="宋体"/>
                <w:szCs w:val="24"/>
              </w:rPr>
            </w:pPr>
          </w:p>
          <w:p>
            <w:pPr>
              <w:spacing w:line="413" w:lineRule="atLeast"/>
              <w:rPr>
                <w:rFonts w:ascii="宋体" w:hAnsi="宋体" w:cs="宋体"/>
                <w:szCs w:val="24"/>
              </w:rPr>
            </w:pPr>
          </w:p>
          <w:p>
            <w:pPr>
              <w:spacing w:line="413" w:lineRule="atLeast"/>
              <w:rPr>
                <w:rFonts w:ascii="宋体" w:hAnsi="宋体" w:cs="宋体"/>
                <w:szCs w:val="24"/>
              </w:rPr>
            </w:pPr>
          </w:p>
          <w:p>
            <w:pPr>
              <w:spacing w:line="413" w:lineRule="atLeast"/>
              <w:rPr>
                <w:rFonts w:ascii="宋体" w:hAnsi="宋体" w:cs="宋体"/>
                <w:szCs w:val="24"/>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600" w:type="dxa"/>
            <w:gridSpan w:val="10"/>
          </w:tcPr>
          <w:p>
            <w:pPr>
              <w:spacing w:line="440" w:lineRule="exact"/>
              <w:jc w:val="left"/>
              <w:rPr>
                <w:rFonts w:ascii="宋体" w:hAnsi="宋体" w:cs="宋体"/>
                <w:szCs w:val="24"/>
              </w:rPr>
            </w:pPr>
            <w:r>
              <w:rPr>
                <w:rFonts w:hint="eastAsia" w:ascii="宋体" w:hAnsi="宋体" w:cs="宋体"/>
                <w:szCs w:val="24"/>
              </w:rPr>
              <w:t>注: 1、质量验收结果必须以“质量合格”或“质量不合格”字样填写，不得含糊其辞。</w:t>
            </w:r>
          </w:p>
          <w:p>
            <w:pPr>
              <w:jc w:val="left"/>
              <w:rPr>
                <w:rFonts w:ascii="宋体" w:hAnsi="宋体" w:cs="宋体"/>
                <w:szCs w:val="24"/>
              </w:rPr>
            </w:pPr>
            <w:r>
              <w:rPr>
                <w:rFonts w:hint="eastAsia" w:ascii="宋体" w:hAnsi="宋体" w:cs="宋体"/>
                <w:szCs w:val="24"/>
              </w:rPr>
              <w:t xml:space="preserve">    2、招采第一批次验收参加，以后不再参与。</w:t>
            </w:r>
          </w:p>
        </w:tc>
      </w:tr>
    </w:tbl>
    <w:p>
      <w:pPr>
        <w:spacing w:line="600" w:lineRule="auto"/>
        <w:rPr>
          <w:rFonts w:ascii="宋体" w:hAnsi="宋体" w:cs="宋体"/>
          <w:szCs w:val="32"/>
        </w:rPr>
      </w:pPr>
    </w:p>
    <w:sectPr>
      <w:footerReference r:id="rId5" w:type="default"/>
      <w:pgSz w:w="11906" w:h="16838"/>
      <w:pgMar w:top="1440" w:right="1800"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pBdr>
      <w:ind w:left="-161" w:leftChars="-67" w:right="360"/>
      <w:rPr>
        <w:rFonts w:ascii="宋体" w:hAnsi="宋体"/>
        <w:sz w:val="21"/>
        <w:szCs w:val="21"/>
      </w:rPr>
    </w:pPr>
    <w:r>
      <w:rPr>
        <w:sz w:val="21"/>
      </w:rPr>
      <mc:AlternateContent>
        <mc:Choice Requires="wps">
          <w:drawing>
            <wp:anchor distT="0" distB="0" distL="114300" distR="114300" simplePos="0" relativeHeight="2048" behindDoc="0" locked="0" layoutInCell="1" allowOverlap="1">
              <wp:simplePos x="0" y="0"/>
              <wp:positionH relativeFrom="margin">
                <wp:align>center</wp:align>
              </wp:positionH>
              <wp:positionV relativeFrom="paragraph">
                <wp:posOffset>0</wp:posOffset>
              </wp:positionV>
              <wp:extent cx="916940" cy="147955"/>
              <wp:effectExtent l="635" t="0" r="0" b="0"/>
              <wp:wrapNone/>
              <wp:docPr id="3" name="Text Box 17"/>
              <wp:cNvGraphicFramePr/>
              <a:graphic xmlns:a="http://schemas.openxmlformats.org/drawingml/2006/main">
                <a:graphicData uri="http://schemas.microsoft.com/office/word/2010/wordprocessingShape">
                  <wps:wsp>
                    <wps:cNvSpPr txBox="1">
                      <a:spLocks noChangeArrowheads="1"/>
                    </wps:cNvSpPr>
                    <wps:spPr bwMode="auto">
                      <a:xfrm>
                        <a:off x="0" y="0"/>
                        <a:ext cx="916940" cy="147955"/>
                      </a:xfrm>
                      <a:prstGeom prst="rect">
                        <a:avLst/>
                      </a:prstGeom>
                      <a:noFill/>
                      <a:ln>
                        <a:noFill/>
                      </a:ln>
                    </wps:spPr>
                    <wps:txbx>
                      <w:txbxContent>
                        <w:p>
                          <w:pPr>
                            <w:pStyle w:val="2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17</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Text Box 17" o:spid="_x0000_s1026" o:spt="202" type="#_x0000_t202" style="position:absolute;left:0pt;margin-top:0pt;height:11.65pt;width:72.2pt;mso-position-horizontal:center;mso-position-horizontal-relative:margin;mso-wrap-style:none;z-index:2048;mso-width-relative:page;mso-height-relative:page;" filled="f" stroked="f" coordsize="21600,21600" o:gfxdata="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8dnuNIAAAAEAQAADwAAAAAAAAABACAAAAAiAAAAZHJzL2Rvd25yZXYueG1sUEsB&#10;AhQAFAAAAAgAh07iQI7EA337AQAAAgQAAA4AAAAAAAAAAQAgAAAAIQEAAGRycy9lMm9Eb2MueG1s&#10;UEsFBgAAAAAGAAYAWQEAAI4FAAAAAA==&#10;">
              <v:fill on="f" focussize="0,0"/>
              <v:stroke on="f"/>
              <v:imagedata o:title=""/>
              <o:lock v:ext="edit" aspectratio="f"/>
              <v:textbox inset="0mm,0mm,0mm,0mm" style="mso-fit-shape-to-text:t;">
                <w:txbxContent>
                  <w:p>
                    <w:pPr>
                      <w:pStyle w:val="2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17</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pBdr>
      <w:ind w:left="-161" w:leftChars="-67" w:right="360"/>
      <w:rPr>
        <w:rFonts w:ascii="宋体" w:hAnsi="宋体"/>
        <w:sz w:val="21"/>
        <w:szCs w:val="21"/>
      </w:rPr>
    </w:pPr>
    <w:r>
      <w:rPr>
        <w:sz w:val="21"/>
      </w:rPr>
      <mc:AlternateContent>
        <mc:Choice Requires="wps">
          <w:drawing>
            <wp:anchor distT="0" distB="0" distL="114300" distR="114300" simplePos="0" relativeHeight="3072" behindDoc="0" locked="0" layoutInCell="1" allowOverlap="1">
              <wp:simplePos x="0" y="0"/>
              <wp:positionH relativeFrom="margin">
                <wp:align>center</wp:align>
              </wp:positionH>
              <wp:positionV relativeFrom="paragraph">
                <wp:posOffset>0</wp:posOffset>
              </wp:positionV>
              <wp:extent cx="916940" cy="147955"/>
              <wp:effectExtent l="635" t="0" r="0" b="0"/>
              <wp:wrapNone/>
              <wp:docPr id="2" name="Text Box 18"/>
              <wp:cNvGraphicFramePr/>
              <a:graphic xmlns:a="http://schemas.openxmlformats.org/drawingml/2006/main">
                <a:graphicData uri="http://schemas.microsoft.com/office/word/2010/wordprocessingShape">
                  <wps:wsp>
                    <wps:cNvSpPr txBox="1">
                      <a:spLocks noChangeArrowheads="1"/>
                    </wps:cNvSpPr>
                    <wps:spPr bwMode="auto">
                      <a:xfrm>
                        <a:off x="0" y="0"/>
                        <a:ext cx="916940" cy="147955"/>
                      </a:xfrm>
                      <a:prstGeom prst="rect">
                        <a:avLst/>
                      </a:prstGeom>
                      <a:noFill/>
                      <a:ln>
                        <a:noFill/>
                      </a:ln>
                    </wps:spPr>
                    <wps:txbx>
                      <w:txbxContent>
                        <w:p>
                          <w:pPr>
                            <w:pStyle w:val="2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17</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Text Box 18" o:spid="_x0000_s1026" o:spt="202" type="#_x0000_t202" style="position:absolute;left:0pt;margin-top:0pt;height:11.65pt;width:72.2pt;mso-position-horizontal:center;mso-position-horizontal-relative:margin;mso-wrap-style:none;z-index:3072;mso-width-relative:page;mso-height-relative:page;" filled="f" stroked="f" coordsize="21600,21600" o:gfxdata="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8dnuNIAAAAEAQAADwAAAAAAAAABACAAAAAiAAAAZHJzL2Rvd25yZXYueG1sUEsB&#10;AhQAFAAAAAgAh07iQPfJtZH7AQAAAgQAAA4AAAAAAAAAAQAgAAAAIQEAAGRycy9lMm9Eb2MueG1s&#10;UEsFBgAAAAAGAAYAWQEAAI4FAAAAAA==&#10;">
              <v:fill on="f" focussize="0,0"/>
              <v:stroke on="f"/>
              <v:imagedata o:title=""/>
              <o:lock v:ext="edit" aspectratio="f"/>
              <v:textbox inset="0mm,0mm,0mm,0mm" style="mso-fit-shape-to-text:t;">
                <w:txbxContent>
                  <w:p>
                    <w:pPr>
                      <w:pStyle w:val="2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17</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422" w:firstLine="450" w:firstLineChars="250"/>
      <w:jc w:val="both"/>
      <w:rPr>
        <w:rFonts w:ascii="Batang"/>
        <w:color w:val="999999"/>
        <w:sz w:val="16"/>
        <w:szCs w:val="16"/>
      </w:rPr>
    </w:pPr>
    <w:r>
      <w:drawing>
        <wp:inline distT="0" distB="0" distL="0" distR="0">
          <wp:extent cx="1047750" cy="3143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47750" cy="314325"/>
                  </a:xfrm>
                  <a:prstGeom prst="rect">
                    <a:avLst/>
                  </a:prstGeom>
                  <a:noFill/>
                  <a:ln>
                    <a:noFill/>
                  </a:ln>
                </pic:spPr>
              </pic:pic>
            </a:graphicData>
          </a:graphic>
        </wp:inline>
      </w:drawing>
    </w:r>
    <w:r>
      <w:drawing>
        <wp:anchor distT="0" distB="0" distL="114300" distR="114300" simplePos="0" relativeHeight="1024" behindDoc="0" locked="0" layoutInCell="1" allowOverlap="1">
          <wp:simplePos x="0" y="0"/>
          <wp:positionH relativeFrom="margin">
            <wp:posOffset>394335</wp:posOffset>
          </wp:positionH>
          <wp:positionV relativeFrom="margin">
            <wp:posOffset>1784985</wp:posOffset>
          </wp:positionV>
          <wp:extent cx="5273675" cy="5293995"/>
          <wp:effectExtent l="0" t="0" r="3175" b="1905"/>
          <wp:wrapNone/>
          <wp:docPr id="13" name="图片 13" descr="浩德地产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浩德地产2"/>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a:xfrm>
                    <a:off x="0" y="0"/>
                    <a:ext cx="5273675" cy="52939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036D51"/>
    <w:multiLevelType w:val="multilevel"/>
    <w:tmpl w:val="95036D51"/>
    <w:lvl w:ilvl="0" w:tentative="0">
      <w:start w:val="1"/>
      <w:numFmt w:val="chineseCountingThousand"/>
      <w:pStyle w:val="3"/>
      <w:lvlText w:val="%1."/>
      <w:lvlJc w:val="left"/>
      <w:pPr>
        <w:tabs>
          <w:tab w:val="left" w:pos="0"/>
        </w:tabs>
        <w:ind w:left="425" w:hanging="425"/>
      </w:pPr>
      <w:rPr>
        <w:rFonts w:cs="Times New Roman"/>
      </w:rPr>
    </w:lvl>
    <w:lvl w:ilvl="1" w:tentative="0">
      <w:start w:val="1"/>
      <w:numFmt w:val="decimal"/>
      <w:pStyle w:val="5"/>
      <w:lvlText w:val="%2."/>
      <w:legacy w:legacy="1" w:legacySpace="0" w:legacyIndent="425"/>
      <w:lvlJc w:val="left"/>
      <w:pPr>
        <w:ind w:left="992" w:hanging="425"/>
      </w:pPr>
      <w:rPr>
        <w:rFonts w:cs="Times New Roman"/>
      </w:rPr>
    </w:lvl>
    <w:lvl w:ilvl="2" w:tentative="0">
      <w:start w:val="1"/>
      <w:numFmt w:val="none"/>
      <w:pStyle w:val="6"/>
      <w:suff w:val="nothing"/>
      <w:lvlText w:val=""/>
      <w:lvlJc w:val="left"/>
      <w:pPr>
        <w:tabs>
          <w:tab w:val="left" w:pos="0"/>
        </w:tabs>
        <w:ind w:left="851" w:hanging="425"/>
      </w:pPr>
      <w:rPr>
        <w:rFonts w:cs="Times New Roman"/>
      </w:rPr>
    </w:lvl>
    <w:lvl w:ilvl="3" w:tentative="0">
      <w:start w:val="1"/>
      <w:numFmt w:val="lowerLetter"/>
      <w:pStyle w:val="7"/>
      <w:lvlText w:val="%4)"/>
      <w:legacy w:legacy="1" w:legacySpace="0" w:legacyIndent="425"/>
      <w:lvlJc w:val="left"/>
      <w:pPr>
        <w:ind w:left="1700" w:hanging="425"/>
      </w:pPr>
      <w:rPr>
        <w:rFonts w:cs="Times New Roman"/>
      </w:rPr>
    </w:lvl>
    <w:lvl w:ilvl="4" w:tentative="0">
      <w:start w:val="1"/>
      <w:numFmt w:val="decimal"/>
      <w:pStyle w:val="8"/>
      <w:lvlText w:val="(%5)"/>
      <w:legacy w:legacy="1" w:legacySpace="0" w:legacyIndent="425"/>
      <w:lvlJc w:val="left"/>
      <w:pPr>
        <w:ind w:left="2125" w:hanging="425"/>
      </w:pPr>
      <w:rPr>
        <w:rFonts w:cs="Times New Roman"/>
      </w:rPr>
    </w:lvl>
    <w:lvl w:ilvl="5" w:tentative="0">
      <w:start w:val="1"/>
      <w:numFmt w:val="lowerLetter"/>
      <w:pStyle w:val="9"/>
      <w:lvlText w:val="(%6)"/>
      <w:legacy w:legacy="1" w:legacySpace="0" w:legacyIndent="425"/>
      <w:lvlJc w:val="left"/>
      <w:pPr>
        <w:ind w:left="2550" w:hanging="425"/>
      </w:pPr>
      <w:rPr>
        <w:rFonts w:cs="Times New Roman"/>
      </w:rPr>
    </w:lvl>
    <w:lvl w:ilvl="6" w:tentative="0">
      <w:start w:val="1"/>
      <w:numFmt w:val="lowerRoman"/>
      <w:pStyle w:val="10"/>
      <w:lvlText w:val="(%7)"/>
      <w:legacy w:legacy="1" w:legacySpace="0" w:legacyIndent="425"/>
      <w:lvlJc w:val="left"/>
      <w:pPr>
        <w:ind w:left="2975" w:hanging="425"/>
      </w:pPr>
      <w:rPr>
        <w:rFonts w:cs="Times New Roman"/>
      </w:rPr>
    </w:lvl>
    <w:lvl w:ilvl="7" w:tentative="0">
      <w:start w:val="1"/>
      <w:numFmt w:val="lowerLetter"/>
      <w:pStyle w:val="11"/>
      <w:lvlText w:val="(%8)"/>
      <w:legacy w:legacy="1" w:legacySpace="0" w:legacyIndent="425"/>
      <w:lvlJc w:val="left"/>
      <w:pPr>
        <w:ind w:left="3400" w:hanging="425"/>
      </w:pPr>
      <w:rPr>
        <w:rFonts w:cs="Times New Roman"/>
      </w:rPr>
    </w:lvl>
    <w:lvl w:ilvl="8" w:tentative="0">
      <w:start w:val="1"/>
      <w:numFmt w:val="lowerRoman"/>
      <w:pStyle w:val="12"/>
      <w:lvlText w:val="(%9)"/>
      <w:legacy w:legacy="1" w:legacySpace="0" w:legacyIndent="425"/>
      <w:lvlJc w:val="left"/>
      <w:pPr>
        <w:ind w:left="3825" w:hanging="425"/>
      </w:pPr>
      <w:rPr>
        <w:rFonts w:cs="Times New Roman"/>
      </w:rPr>
    </w:lvl>
  </w:abstractNum>
  <w:abstractNum w:abstractNumId="1">
    <w:nsid w:val="2111CD1F"/>
    <w:multiLevelType w:val="singleLevel"/>
    <w:tmpl w:val="2111CD1F"/>
    <w:lvl w:ilvl="0" w:tentative="0">
      <w:start w:val="3"/>
      <w:numFmt w:val="chineseCounting"/>
      <w:suff w:val="nothing"/>
      <w:lvlText w:val="%1、"/>
      <w:lvlJc w:val="left"/>
      <w:rPr>
        <w:rFonts w:hint="eastAsia"/>
      </w:rPr>
    </w:lvl>
  </w:abstractNum>
  <w:abstractNum w:abstractNumId="2">
    <w:nsid w:val="57E50F04"/>
    <w:multiLevelType w:val="singleLevel"/>
    <w:tmpl w:val="57E50F04"/>
    <w:lvl w:ilvl="0" w:tentative="0">
      <w:start w:val="1"/>
      <w:numFmt w:val="decimal"/>
      <w:suff w:val="nothing"/>
      <w:lvlText w:val="%1、"/>
      <w:lvlJc w:val="left"/>
      <w:pPr>
        <w:ind w:left="649"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D3B"/>
    <w:rsid w:val="00014E6C"/>
    <w:rsid w:val="0002407A"/>
    <w:rsid w:val="0002623D"/>
    <w:rsid w:val="000525E8"/>
    <w:rsid w:val="000936F9"/>
    <w:rsid w:val="000A444D"/>
    <w:rsid w:val="000B0356"/>
    <w:rsid w:val="000B798D"/>
    <w:rsid w:val="000C3AC5"/>
    <w:rsid w:val="000D26C8"/>
    <w:rsid w:val="000D6B54"/>
    <w:rsid w:val="00100C15"/>
    <w:rsid w:val="00106166"/>
    <w:rsid w:val="00106971"/>
    <w:rsid w:val="001112CB"/>
    <w:rsid w:val="00112F37"/>
    <w:rsid w:val="00172A27"/>
    <w:rsid w:val="00175D7E"/>
    <w:rsid w:val="00186834"/>
    <w:rsid w:val="00191138"/>
    <w:rsid w:val="001A4C2B"/>
    <w:rsid w:val="001A6A80"/>
    <w:rsid w:val="001B60FA"/>
    <w:rsid w:val="001C3054"/>
    <w:rsid w:val="001C3AF0"/>
    <w:rsid w:val="00200F8E"/>
    <w:rsid w:val="00214FB5"/>
    <w:rsid w:val="00215528"/>
    <w:rsid w:val="00217A46"/>
    <w:rsid w:val="00234D89"/>
    <w:rsid w:val="0023640C"/>
    <w:rsid w:val="002478E1"/>
    <w:rsid w:val="002574D1"/>
    <w:rsid w:val="002646DB"/>
    <w:rsid w:val="002842A6"/>
    <w:rsid w:val="002A0538"/>
    <w:rsid w:val="002B0A59"/>
    <w:rsid w:val="002C6E09"/>
    <w:rsid w:val="002D2A5D"/>
    <w:rsid w:val="002D2E4E"/>
    <w:rsid w:val="002D7C34"/>
    <w:rsid w:val="002F0035"/>
    <w:rsid w:val="002F54E2"/>
    <w:rsid w:val="00330082"/>
    <w:rsid w:val="003317EA"/>
    <w:rsid w:val="00337E43"/>
    <w:rsid w:val="0034073C"/>
    <w:rsid w:val="003459DC"/>
    <w:rsid w:val="00360EFB"/>
    <w:rsid w:val="00361D86"/>
    <w:rsid w:val="00375A68"/>
    <w:rsid w:val="0038251C"/>
    <w:rsid w:val="00391934"/>
    <w:rsid w:val="003A501E"/>
    <w:rsid w:val="003B02FF"/>
    <w:rsid w:val="003B1212"/>
    <w:rsid w:val="003B25DF"/>
    <w:rsid w:val="003B2B3C"/>
    <w:rsid w:val="003B5FC8"/>
    <w:rsid w:val="003C2C6C"/>
    <w:rsid w:val="003F332D"/>
    <w:rsid w:val="00406804"/>
    <w:rsid w:val="004321A7"/>
    <w:rsid w:val="00435DB9"/>
    <w:rsid w:val="00443089"/>
    <w:rsid w:val="00452C9F"/>
    <w:rsid w:val="004552A6"/>
    <w:rsid w:val="00460F12"/>
    <w:rsid w:val="00465631"/>
    <w:rsid w:val="00465D6B"/>
    <w:rsid w:val="0048231F"/>
    <w:rsid w:val="004849FD"/>
    <w:rsid w:val="004D1E1C"/>
    <w:rsid w:val="004D30F4"/>
    <w:rsid w:val="004E37CA"/>
    <w:rsid w:val="004E5451"/>
    <w:rsid w:val="004E78BF"/>
    <w:rsid w:val="004F1EAD"/>
    <w:rsid w:val="004F5178"/>
    <w:rsid w:val="00501483"/>
    <w:rsid w:val="00534C97"/>
    <w:rsid w:val="005648F6"/>
    <w:rsid w:val="005654DA"/>
    <w:rsid w:val="00570C35"/>
    <w:rsid w:val="005828CD"/>
    <w:rsid w:val="005A41FE"/>
    <w:rsid w:val="005F4688"/>
    <w:rsid w:val="005F60DA"/>
    <w:rsid w:val="00604CA9"/>
    <w:rsid w:val="0061723F"/>
    <w:rsid w:val="00630DAA"/>
    <w:rsid w:val="00662553"/>
    <w:rsid w:val="00695018"/>
    <w:rsid w:val="006969DD"/>
    <w:rsid w:val="006E293E"/>
    <w:rsid w:val="006E434C"/>
    <w:rsid w:val="006F36C3"/>
    <w:rsid w:val="006F4C08"/>
    <w:rsid w:val="006F6F03"/>
    <w:rsid w:val="00701FB1"/>
    <w:rsid w:val="00720003"/>
    <w:rsid w:val="00723612"/>
    <w:rsid w:val="00725B97"/>
    <w:rsid w:val="0078582E"/>
    <w:rsid w:val="0081246B"/>
    <w:rsid w:val="00816F61"/>
    <w:rsid w:val="00832C3C"/>
    <w:rsid w:val="00833059"/>
    <w:rsid w:val="0083423D"/>
    <w:rsid w:val="00847093"/>
    <w:rsid w:val="00856B8C"/>
    <w:rsid w:val="00864308"/>
    <w:rsid w:val="0087199F"/>
    <w:rsid w:val="008825E1"/>
    <w:rsid w:val="00883693"/>
    <w:rsid w:val="00883ED0"/>
    <w:rsid w:val="008846A7"/>
    <w:rsid w:val="008A7AED"/>
    <w:rsid w:val="008C1C9C"/>
    <w:rsid w:val="008C20A2"/>
    <w:rsid w:val="008E7327"/>
    <w:rsid w:val="008F4E55"/>
    <w:rsid w:val="008F6018"/>
    <w:rsid w:val="008F67A7"/>
    <w:rsid w:val="00903AA1"/>
    <w:rsid w:val="00916640"/>
    <w:rsid w:val="00916846"/>
    <w:rsid w:val="009515D3"/>
    <w:rsid w:val="00960572"/>
    <w:rsid w:val="00963852"/>
    <w:rsid w:val="0097241A"/>
    <w:rsid w:val="009B1946"/>
    <w:rsid w:val="009D6348"/>
    <w:rsid w:val="009E6A2A"/>
    <w:rsid w:val="009E6F6E"/>
    <w:rsid w:val="00A003E9"/>
    <w:rsid w:val="00A010C3"/>
    <w:rsid w:val="00A06AFD"/>
    <w:rsid w:val="00A31ED5"/>
    <w:rsid w:val="00A51A60"/>
    <w:rsid w:val="00A532FB"/>
    <w:rsid w:val="00A95E14"/>
    <w:rsid w:val="00AC4783"/>
    <w:rsid w:val="00AE73B1"/>
    <w:rsid w:val="00B27EF8"/>
    <w:rsid w:val="00B301EF"/>
    <w:rsid w:val="00B331E9"/>
    <w:rsid w:val="00B50DF7"/>
    <w:rsid w:val="00B903F5"/>
    <w:rsid w:val="00B95703"/>
    <w:rsid w:val="00BC0D88"/>
    <w:rsid w:val="00BC0E92"/>
    <w:rsid w:val="00BC27D3"/>
    <w:rsid w:val="00BF0416"/>
    <w:rsid w:val="00BF5F73"/>
    <w:rsid w:val="00C1211F"/>
    <w:rsid w:val="00C13A08"/>
    <w:rsid w:val="00C1532F"/>
    <w:rsid w:val="00C467F0"/>
    <w:rsid w:val="00C62DF1"/>
    <w:rsid w:val="00C66DCF"/>
    <w:rsid w:val="00C717A2"/>
    <w:rsid w:val="00C71B7A"/>
    <w:rsid w:val="00C8603E"/>
    <w:rsid w:val="00CB302B"/>
    <w:rsid w:val="00CB7262"/>
    <w:rsid w:val="00CC6A5A"/>
    <w:rsid w:val="00D1438B"/>
    <w:rsid w:val="00D1590D"/>
    <w:rsid w:val="00D40345"/>
    <w:rsid w:val="00D435CF"/>
    <w:rsid w:val="00D571B7"/>
    <w:rsid w:val="00D63376"/>
    <w:rsid w:val="00D65CDD"/>
    <w:rsid w:val="00D744B5"/>
    <w:rsid w:val="00D766C4"/>
    <w:rsid w:val="00D931CB"/>
    <w:rsid w:val="00DA0F0D"/>
    <w:rsid w:val="00DA3FE6"/>
    <w:rsid w:val="00DA68ED"/>
    <w:rsid w:val="00DD7471"/>
    <w:rsid w:val="00DF5822"/>
    <w:rsid w:val="00E07593"/>
    <w:rsid w:val="00E169BD"/>
    <w:rsid w:val="00E2161D"/>
    <w:rsid w:val="00E32300"/>
    <w:rsid w:val="00E34CC7"/>
    <w:rsid w:val="00E44D0A"/>
    <w:rsid w:val="00E72062"/>
    <w:rsid w:val="00E73DE8"/>
    <w:rsid w:val="00E83595"/>
    <w:rsid w:val="00E869AE"/>
    <w:rsid w:val="00EA0BCD"/>
    <w:rsid w:val="00EA1BDB"/>
    <w:rsid w:val="00EC032E"/>
    <w:rsid w:val="00EC640F"/>
    <w:rsid w:val="00EE5EB9"/>
    <w:rsid w:val="00F11A36"/>
    <w:rsid w:val="00F22C58"/>
    <w:rsid w:val="00F2712C"/>
    <w:rsid w:val="00F314A1"/>
    <w:rsid w:val="00F35DD2"/>
    <w:rsid w:val="00F60EBC"/>
    <w:rsid w:val="00F6189C"/>
    <w:rsid w:val="00F61EF8"/>
    <w:rsid w:val="00F97431"/>
    <w:rsid w:val="00FA7A00"/>
    <w:rsid w:val="00FD3D0F"/>
    <w:rsid w:val="00FD69D7"/>
    <w:rsid w:val="01917894"/>
    <w:rsid w:val="01F95703"/>
    <w:rsid w:val="01FA2C0B"/>
    <w:rsid w:val="01FD2C1A"/>
    <w:rsid w:val="02064CB5"/>
    <w:rsid w:val="025F68E9"/>
    <w:rsid w:val="02A900DE"/>
    <w:rsid w:val="030C6666"/>
    <w:rsid w:val="031D2F23"/>
    <w:rsid w:val="03306128"/>
    <w:rsid w:val="035D3B47"/>
    <w:rsid w:val="03D34DCC"/>
    <w:rsid w:val="042F236B"/>
    <w:rsid w:val="04737FBB"/>
    <w:rsid w:val="048B5FB4"/>
    <w:rsid w:val="049D0D0D"/>
    <w:rsid w:val="051E41F2"/>
    <w:rsid w:val="06022278"/>
    <w:rsid w:val="060A3D7B"/>
    <w:rsid w:val="060B16EF"/>
    <w:rsid w:val="061C4744"/>
    <w:rsid w:val="062570C3"/>
    <w:rsid w:val="06443FD4"/>
    <w:rsid w:val="06B523B4"/>
    <w:rsid w:val="06D6265A"/>
    <w:rsid w:val="07277E4A"/>
    <w:rsid w:val="07312958"/>
    <w:rsid w:val="07583439"/>
    <w:rsid w:val="076D44D9"/>
    <w:rsid w:val="07BF4B46"/>
    <w:rsid w:val="07CF67A4"/>
    <w:rsid w:val="07D33E57"/>
    <w:rsid w:val="07E07279"/>
    <w:rsid w:val="085E77F2"/>
    <w:rsid w:val="088C4F4E"/>
    <w:rsid w:val="08A301E0"/>
    <w:rsid w:val="08A877C5"/>
    <w:rsid w:val="08F22A9E"/>
    <w:rsid w:val="09573DEF"/>
    <w:rsid w:val="096C547C"/>
    <w:rsid w:val="097D251D"/>
    <w:rsid w:val="098047A7"/>
    <w:rsid w:val="0A030533"/>
    <w:rsid w:val="0A960A6B"/>
    <w:rsid w:val="0AD00539"/>
    <w:rsid w:val="0B4F2300"/>
    <w:rsid w:val="0B8F309E"/>
    <w:rsid w:val="0BC4723C"/>
    <w:rsid w:val="0BE74F15"/>
    <w:rsid w:val="0C213484"/>
    <w:rsid w:val="0C337593"/>
    <w:rsid w:val="0D102BB5"/>
    <w:rsid w:val="0D177805"/>
    <w:rsid w:val="0DC30CBA"/>
    <w:rsid w:val="0E09061B"/>
    <w:rsid w:val="0E1B3897"/>
    <w:rsid w:val="0E407913"/>
    <w:rsid w:val="0E6E2065"/>
    <w:rsid w:val="0EE5178E"/>
    <w:rsid w:val="0F457322"/>
    <w:rsid w:val="0F4C71A5"/>
    <w:rsid w:val="0F5428E3"/>
    <w:rsid w:val="0F5C6E37"/>
    <w:rsid w:val="10197A6D"/>
    <w:rsid w:val="1051674C"/>
    <w:rsid w:val="106D5EC4"/>
    <w:rsid w:val="109E016A"/>
    <w:rsid w:val="10B309F0"/>
    <w:rsid w:val="10C05D7B"/>
    <w:rsid w:val="115033D9"/>
    <w:rsid w:val="117048C5"/>
    <w:rsid w:val="118A2253"/>
    <w:rsid w:val="11A021F8"/>
    <w:rsid w:val="11B06995"/>
    <w:rsid w:val="11C0052E"/>
    <w:rsid w:val="11D16ECB"/>
    <w:rsid w:val="11E55591"/>
    <w:rsid w:val="12160F3D"/>
    <w:rsid w:val="12AB3870"/>
    <w:rsid w:val="12DF1144"/>
    <w:rsid w:val="137C1C8F"/>
    <w:rsid w:val="142F05CE"/>
    <w:rsid w:val="14360F37"/>
    <w:rsid w:val="152500E3"/>
    <w:rsid w:val="1574656B"/>
    <w:rsid w:val="15883C49"/>
    <w:rsid w:val="158D1EAF"/>
    <w:rsid w:val="15BC36F9"/>
    <w:rsid w:val="15CA4C2B"/>
    <w:rsid w:val="15E63244"/>
    <w:rsid w:val="15F25956"/>
    <w:rsid w:val="161E1735"/>
    <w:rsid w:val="16FA3DEE"/>
    <w:rsid w:val="16FE5A71"/>
    <w:rsid w:val="170B5EA3"/>
    <w:rsid w:val="175B0F1E"/>
    <w:rsid w:val="17BF6EB3"/>
    <w:rsid w:val="17E625C2"/>
    <w:rsid w:val="18335364"/>
    <w:rsid w:val="18511031"/>
    <w:rsid w:val="187212AC"/>
    <w:rsid w:val="18B36492"/>
    <w:rsid w:val="18F2497C"/>
    <w:rsid w:val="199A10B7"/>
    <w:rsid w:val="19FB6C73"/>
    <w:rsid w:val="1A0C2DCE"/>
    <w:rsid w:val="1A2B7B75"/>
    <w:rsid w:val="1A9D028E"/>
    <w:rsid w:val="1AA21277"/>
    <w:rsid w:val="1B1F174C"/>
    <w:rsid w:val="1B2A271F"/>
    <w:rsid w:val="1BBA4C58"/>
    <w:rsid w:val="1BD50639"/>
    <w:rsid w:val="1BD937BC"/>
    <w:rsid w:val="1BF06A09"/>
    <w:rsid w:val="1BF65128"/>
    <w:rsid w:val="1C1945A6"/>
    <w:rsid w:val="1C2D098F"/>
    <w:rsid w:val="1C4824DF"/>
    <w:rsid w:val="1C5967C2"/>
    <w:rsid w:val="1C656C23"/>
    <w:rsid w:val="1CE046C9"/>
    <w:rsid w:val="1D0667AD"/>
    <w:rsid w:val="1DB34357"/>
    <w:rsid w:val="1DFF4788"/>
    <w:rsid w:val="1E214C26"/>
    <w:rsid w:val="1E63486F"/>
    <w:rsid w:val="1EF32682"/>
    <w:rsid w:val="1F4C48BD"/>
    <w:rsid w:val="1FA84DA5"/>
    <w:rsid w:val="200E1C53"/>
    <w:rsid w:val="205632FF"/>
    <w:rsid w:val="20660D56"/>
    <w:rsid w:val="207E0F00"/>
    <w:rsid w:val="20A8765C"/>
    <w:rsid w:val="20AD01D7"/>
    <w:rsid w:val="20E9368B"/>
    <w:rsid w:val="21284ECA"/>
    <w:rsid w:val="2168390B"/>
    <w:rsid w:val="216C1524"/>
    <w:rsid w:val="2185375B"/>
    <w:rsid w:val="21AC1AFE"/>
    <w:rsid w:val="21AE0406"/>
    <w:rsid w:val="21B41808"/>
    <w:rsid w:val="21C1096F"/>
    <w:rsid w:val="21EA2970"/>
    <w:rsid w:val="21F47D0E"/>
    <w:rsid w:val="22135B75"/>
    <w:rsid w:val="221C138B"/>
    <w:rsid w:val="223009B6"/>
    <w:rsid w:val="22B304A2"/>
    <w:rsid w:val="22F36350"/>
    <w:rsid w:val="22F535FA"/>
    <w:rsid w:val="233F7DCA"/>
    <w:rsid w:val="23684505"/>
    <w:rsid w:val="237F77E2"/>
    <w:rsid w:val="23BD01DD"/>
    <w:rsid w:val="23BD3F0B"/>
    <w:rsid w:val="23FC7B97"/>
    <w:rsid w:val="243D7784"/>
    <w:rsid w:val="24A372DC"/>
    <w:rsid w:val="24C624D4"/>
    <w:rsid w:val="24F9018D"/>
    <w:rsid w:val="250A6132"/>
    <w:rsid w:val="252E36C2"/>
    <w:rsid w:val="255B7FD2"/>
    <w:rsid w:val="257B496A"/>
    <w:rsid w:val="25801456"/>
    <w:rsid w:val="25B215E3"/>
    <w:rsid w:val="25CE6DB4"/>
    <w:rsid w:val="267A05BA"/>
    <w:rsid w:val="26AA2146"/>
    <w:rsid w:val="27264473"/>
    <w:rsid w:val="27A44A0A"/>
    <w:rsid w:val="281C391F"/>
    <w:rsid w:val="289C5C7B"/>
    <w:rsid w:val="28D027C1"/>
    <w:rsid w:val="28D906B5"/>
    <w:rsid w:val="28EB2AD5"/>
    <w:rsid w:val="29195F6C"/>
    <w:rsid w:val="292B376C"/>
    <w:rsid w:val="29506674"/>
    <w:rsid w:val="29724C94"/>
    <w:rsid w:val="29BE6110"/>
    <w:rsid w:val="2A8D6CCA"/>
    <w:rsid w:val="2A9E58A2"/>
    <w:rsid w:val="2AAF0549"/>
    <w:rsid w:val="2AAF4247"/>
    <w:rsid w:val="2AB35CCC"/>
    <w:rsid w:val="2ABA1D25"/>
    <w:rsid w:val="2B122C35"/>
    <w:rsid w:val="2B3910D2"/>
    <w:rsid w:val="2B470F10"/>
    <w:rsid w:val="2B586026"/>
    <w:rsid w:val="2B88197A"/>
    <w:rsid w:val="2BA8442D"/>
    <w:rsid w:val="2C244A8B"/>
    <w:rsid w:val="2CAC29D6"/>
    <w:rsid w:val="2CAD2207"/>
    <w:rsid w:val="2D4F1427"/>
    <w:rsid w:val="2D773E84"/>
    <w:rsid w:val="2D8639BE"/>
    <w:rsid w:val="2D9124BA"/>
    <w:rsid w:val="2DAF13AE"/>
    <w:rsid w:val="2DB57E4B"/>
    <w:rsid w:val="2DB95E33"/>
    <w:rsid w:val="2DDA6624"/>
    <w:rsid w:val="2E0D0AEF"/>
    <w:rsid w:val="2EA22753"/>
    <w:rsid w:val="2EE97BBC"/>
    <w:rsid w:val="2F655F55"/>
    <w:rsid w:val="2FBF5CA8"/>
    <w:rsid w:val="2FD87B0B"/>
    <w:rsid w:val="2FE24FA7"/>
    <w:rsid w:val="30CC1770"/>
    <w:rsid w:val="30D435EB"/>
    <w:rsid w:val="31350C4C"/>
    <w:rsid w:val="31576C02"/>
    <w:rsid w:val="3182724D"/>
    <w:rsid w:val="319B00D5"/>
    <w:rsid w:val="321364C4"/>
    <w:rsid w:val="321F0552"/>
    <w:rsid w:val="326E688F"/>
    <w:rsid w:val="32B37965"/>
    <w:rsid w:val="32E766E9"/>
    <w:rsid w:val="33264137"/>
    <w:rsid w:val="333E6C3D"/>
    <w:rsid w:val="33583C44"/>
    <w:rsid w:val="33800718"/>
    <w:rsid w:val="340F6D18"/>
    <w:rsid w:val="346F3BA7"/>
    <w:rsid w:val="34740116"/>
    <w:rsid w:val="349A34DB"/>
    <w:rsid w:val="34CC4B3B"/>
    <w:rsid w:val="34E70AD6"/>
    <w:rsid w:val="35301450"/>
    <w:rsid w:val="35367747"/>
    <w:rsid w:val="358A3883"/>
    <w:rsid w:val="35DF2B69"/>
    <w:rsid w:val="360665DE"/>
    <w:rsid w:val="362D444E"/>
    <w:rsid w:val="362E3E38"/>
    <w:rsid w:val="364D63A5"/>
    <w:rsid w:val="36613E2D"/>
    <w:rsid w:val="36AF0406"/>
    <w:rsid w:val="36BF2124"/>
    <w:rsid w:val="37254F27"/>
    <w:rsid w:val="37292918"/>
    <w:rsid w:val="377A4B26"/>
    <w:rsid w:val="377E3A62"/>
    <w:rsid w:val="37DC6E40"/>
    <w:rsid w:val="37F66F6A"/>
    <w:rsid w:val="37F720AC"/>
    <w:rsid w:val="382B20B3"/>
    <w:rsid w:val="38465EC0"/>
    <w:rsid w:val="38495459"/>
    <w:rsid w:val="38817344"/>
    <w:rsid w:val="38B7563D"/>
    <w:rsid w:val="38DB7D7B"/>
    <w:rsid w:val="38EE3475"/>
    <w:rsid w:val="390A2089"/>
    <w:rsid w:val="390A3637"/>
    <w:rsid w:val="396665B7"/>
    <w:rsid w:val="39BB7346"/>
    <w:rsid w:val="3A1F0DF9"/>
    <w:rsid w:val="3ACB7183"/>
    <w:rsid w:val="3AE841F3"/>
    <w:rsid w:val="3B5B0FEB"/>
    <w:rsid w:val="3BB92E6A"/>
    <w:rsid w:val="3BDA7340"/>
    <w:rsid w:val="3C5B4A7D"/>
    <w:rsid w:val="3C6A38E9"/>
    <w:rsid w:val="3C7250F5"/>
    <w:rsid w:val="3C800A4A"/>
    <w:rsid w:val="3CC2331A"/>
    <w:rsid w:val="3CE202A8"/>
    <w:rsid w:val="3CE84891"/>
    <w:rsid w:val="3CF32897"/>
    <w:rsid w:val="3D0038A0"/>
    <w:rsid w:val="3D577B32"/>
    <w:rsid w:val="3DCC64A3"/>
    <w:rsid w:val="3E3948A1"/>
    <w:rsid w:val="3E4619B8"/>
    <w:rsid w:val="3E841CC2"/>
    <w:rsid w:val="3F572875"/>
    <w:rsid w:val="3FC020EA"/>
    <w:rsid w:val="4042792B"/>
    <w:rsid w:val="40FD3F09"/>
    <w:rsid w:val="411128F0"/>
    <w:rsid w:val="41151554"/>
    <w:rsid w:val="411D3BF2"/>
    <w:rsid w:val="4141765A"/>
    <w:rsid w:val="415146FD"/>
    <w:rsid w:val="415575CE"/>
    <w:rsid w:val="417C49FE"/>
    <w:rsid w:val="41C5325F"/>
    <w:rsid w:val="41CA788D"/>
    <w:rsid w:val="41D75A95"/>
    <w:rsid w:val="42390D6B"/>
    <w:rsid w:val="426104F4"/>
    <w:rsid w:val="428117D6"/>
    <w:rsid w:val="42831B60"/>
    <w:rsid w:val="428D00BE"/>
    <w:rsid w:val="42CC5625"/>
    <w:rsid w:val="43246398"/>
    <w:rsid w:val="434D6119"/>
    <w:rsid w:val="43542B90"/>
    <w:rsid w:val="43661FA0"/>
    <w:rsid w:val="437C1F45"/>
    <w:rsid w:val="43B83004"/>
    <w:rsid w:val="443570D7"/>
    <w:rsid w:val="450B0DDE"/>
    <w:rsid w:val="451A2516"/>
    <w:rsid w:val="451D2CC3"/>
    <w:rsid w:val="459B1F40"/>
    <w:rsid w:val="45A476A5"/>
    <w:rsid w:val="45C11FC0"/>
    <w:rsid w:val="45FD4563"/>
    <w:rsid w:val="460B5851"/>
    <w:rsid w:val="46A165AE"/>
    <w:rsid w:val="46D27A40"/>
    <w:rsid w:val="46E266F9"/>
    <w:rsid w:val="47082F5C"/>
    <w:rsid w:val="471F1551"/>
    <w:rsid w:val="474738A2"/>
    <w:rsid w:val="47474688"/>
    <w:rsid w:val="475A3339"/>
    <w:rsid w:val="47882E21"/>
    <w:rsid w:val="49AD606D"/>
    <w:rsid w:val="49C35B92"/>
    <w:rsid w:val="49F57B95"/>
    <w:rsid w:val="49FE565F"/>
    <w:rsid w:val="4A1A65A2"/>
    <w:rsid w:val="4A702F34"/>
    <w:rsid w:val="4A706FB0"/>
    <w:rsid w:val="4A9B0728"/>
    <w:rsid w:val="4B1F0795"/>
    <w:rsid w:val="4B281166"/>
    <w:rsid w:val="4B4D0F13"/>
    <w:rsid w:val="4BB212CB"/>
    <w:rsid w:val="4BDD4E1E"/>
    <w:rsid w:val="4C312059"/>
    <w:rsid w:val="4CE832B7"/>
    <w:rsid w:val="4D046F69"/>
    <w:rsid w:val="4D1122D4"/>
    <w:rsid w:val="4D37405A"/>
    <w:rsid w:val="4D663D60"/>
    <w:rsid w:val="4DC220FC"/>
    <w:rsid w:val="4DE52644"/>
    <w:rsid w:val="4E28352F"/>
    <w:rsid w:val="4E2C224E"/>
    <w:rsid w:val="4E650E01"/>
    <w:rsid w:val="4EA96124"/>
    <w:rsid w:val="4EB34D80"/>
    <w:rsid w:val="4EC004A5"/>
    <w:rsid w:val="4F044BD0"/>
    <w:rsid w:val="4F1672DC"/>
    <w:rsid w:val="4F971AC7"/>
    <w:rsid w:val="4FA139E1"/>
    <w:rsid w:val="501A5098"/>
    <w:rsid w:val="505E3468"/>
    <w:rsid w:val="50AF5037"/>
    <w:rsid w:val="510A7E4A"/>
    <w:rsid w:val="51150640"/>
    <w:rsid w:val="512166AA"/>
    <w:rsid w:val="51676676"/>
    <w:rsid w:val="520F4294"/>
    <w:rsid w:val="52295F56"/>
    <w:rsid w:val="53005373"/>
    <w:rsid w:val="53010E8A"/>
    <w:rsid w:val="539F0D5A"/>
    <w:rsid w:val="53BA7C97"/>
    <w:rsid w:val="53EE23BF"/>
    <w:rsid w:val="54646185"/>
    <w:rsid w:val="54650BF4"/>
    <w:rsid w:val="54A85071"/>
    <w:rsid w:val="54B7270E"/>
    <w:rsid w:val="54BF4C96"/>
    <w:rsid w:val="553A5043"/>
    <w:rsid w:val="556C60B3"/>
    <w:rsid w:val="55EB4403"/>
    <w:rsid w:val="55F22EC4"/>
    <w:rsid w:val="5606068F"/>
    <w:rsid w:val="56347BFE"/>
    <w:rsid w:val="565C2946"/>
    <w:rsid w:val="56890A8D"/>
    <w:rsid w:val="56C56EE2"/>
    <w:rsid w:val="56FB480C"/>
    <w:rsid w:val="57283E0B"/>
    <w:rsid w:val="576B5785"/>
    <w:rsid w:val="57EB51CE"/>
    <w:rsid w:val="582F7C9C"/>
    <w:rsid w:val="585C28AB"/>
    <w:rsid w:val="585E2296"/>
    <w:rsid w:val="58DB7B6B"/>
    <w:rsid w:val="58E00368"/>
    <w:rsid w:val="58ED4F64"/>
    <w:rsid w:val="59210902"/>
    <w:rsid w:val="593B3F1E"/>
    <w:rsid w:val="593E44C7"/>
    <w:rsid w:val="59517F0B"/>
    <w:rsid w:val="59654336"/>
    <w:rsid w:val="5A317220"/>
    <w:rsid w:val="5AAD49D1"/>
    <w:rsid w:val="5AB865E5"/>
    <w:rsid w:val="5AC445F6"/>
    <w:rsid w:val="5AE453BD"/>
    <w:rsid w:val="5AFA040B"/>
    <w:rsid w:val="5B1B5005"/>
    <w:rsid w:val="5B4535FC"/>
    <w:rsid w:val="5BA93A96"/>
    <w:rsid w:val="5BAD170D"/>
    <w:rsid w:val="5BFF6ACC"/>
    <w:rsid w:val="5C0A6E8C"/>
    <w:rsid w:val="5C8E760E"/>
    <w:rsid w:val="5C91292C"/>
    <w:rsid w:val="5CCD603F"/>
    <w:rsid w:val="5CFD7060"/>
    <w:rsid w:val="5D072428"/>
    <w:rsid w:val="5D187049"/>
    <w:rsid w:val="5D235F07"/>
    <w:rsid w:val="5D2E6FEF"/>
    <w:rsid w:val="5D444EF8"/>
    <w:rsid w:val="5DD14A36"/>
    <w:rsid w:val="5DFC702A"/>
    <w:rsid w:val="5E581E70"/>
    <w:rsid w:val="5E784311"/>
    <w:rsid w:val="5E8F1627"/>
    <w:rsid w:val="5F0D5B98"/>
    <w:rsid w:val="5F1D12CB"/>
    <w:rsid w:val="5F2B1033"/>
    <w:rsid w:val="5F4D3766"/>
    <w:rsid w:val="5F7D646E"/>
    <w:rsid w:val="5F821A41"/>
    <w:rsid w:val="5F824C39"/>
    <w:rsid w:val="5FB05B4B"/>
    <w:rsid w:val="5FB9411A"/>
    <w:rsid w:val="5FCF3CA0"/>
    <w:rsid w:val="5FEA7730"/>
    <w:rsid w:val="600D3631"/>
    <w:rsid w:val="60F6302D"/>
    <w:rsid w:val="61092F57"/>
    <w:rsid w:val="612A1F04"/>
    <w:rsid w:val="612B059A"/>
    <w:rsid w:val="61B424C8"/>
    <w:rsid w:val="620D6B6D"/>
    <w:rsid w:val="627B5213"/>
    <w:rsid w:val="629038C3"/>
    <w:rsid w:val="62D02F9C"/>
    <w:rsid w:val="62D1432C"/>
    <w:rsid w:val="635E1A4C"/>
    <w:rsid w:val="63653176"/>
    <w:rsid w:val="63831726"/>
    <w:rsid w:val="63A67290"/>
    <w:rsid w:val="63E044E9"/>
    <w:rsid w:val="64176014"/>
    <w:rsid w:val="6522377E"/>
    <w:rsid w:val="662B5608"/>
    <w:rsid w:val="663F7D97"/>
    <w:rsid w:val="66BA6E9B"/>
    <w:rsid w:val="67874E83"/>
    <w:rsid w:val="679A7B08"/>
    <w:rsid w:val="679C6B4C"/>
    <w:rsid w:val="680D3BC1"/>
    <w:rsid w:val="687F4C1D"/>
    <w:rsid w:val="68C2756A"/>
    <w:rsid w:val="68CB1738"/>
    <w:rsid w:val="690F0847"/>
    <w:rsid w:val="693D1B33"/>
    <w:rsid w:val="69896C65"/>
    <w:rsid w:val="6A3C4858"/>
    <w:rsid w:val="6A7241DA"/>
    <w:rsid w:val="6ABD7DF6"/>
    <w:rsid w:val="6ACB5C2B"/>
    <w:rsid w:val="6B116980"/>
    <w:rsid w:val="6B6C2B07"/>
    <w:rsid w:val="6BA26C22"/>
    <w:rsid w:val="6BAA7F11"/>
    <w:rsid w:val="6C6258FC"/>
    <w:rsid w:val="6D2032E6"/>
    <w:rsid w:val="6D871E5D"/>
    <w:rsid w:val="6DB7708E"/>
    <w:rsid w:val="6DF8337A"/>
    <w:rsid w:val="6E1C4E4E"/>
    <w:rsid w:val="6E3F5BBC"/>
    <w:rsid w:val="6E664226"/>
    <w:rsid w:val="6E6E15E1"/>
    <w:rsid w:val="6E9047F2"/>
    <w:rsid w:val="6EC07D65"/>
    <w:rsid w:val="6FC572DF"/>
    <w:rsid w:val="6FCE5BF7"/>
    <w:rsid w:val="7084221D"/>
    <w:rsid w:val="70995ECF"/>
    <w:rsid w:val="70C31153"/>
    <w:rsid w:val="70E37F25"/>
    <w:rsid w:val="710E3FF5"/>
    <w:rsid w:val="71321D8A"/>
    <w:rsid w:val="715B4FAC"/>
    <w:rsid w:val="7161477F"/>
    <w:rsid w:val="71717CF1"/>
    <w:rsid w:val="723513B9"/>
    <w:rsid w:val="72401A80"/>
    <w:rsid w:val="724463AD"/>
    <w:rsid w:val="72A4012B"/>
    <w:rsid w:val="72EE2D29"/>
    <w:rsid w:val="72F17CFC"/>
    <w:rsid w:val="73173CE2"/>
    <w:rsid w:val="73627B42"/>
    <w:rsid w:val="73704370"/>
    <w:rsid w:val="73A365F5"/>
    <w:rsid w:val="73DC4D25"/>
    <w:rsid w:val="73DF2697"/>
    <w:rsid w:val="7431777C"/>
    <w:rsid w:val="744A3547"/>
    <w:rsid w:val="745436E9"/>
    <w:rsid w:val="75933184"/>
    <w:rsid w:val="75B855D2"/>
    <w:rsid w:val="75C379FA"/>
    <w:rsid w:val="75F36C4E"/>
    <w:rsid w:val="76110225"/>
    <w:rsid w:val="762F086F"/>
    <w:rsid w:val="765A05BC"/>
    <w:rsid w:val="765D43FF"/>
    <w:rsid w:val="76BD6FDB"/>
    <w:rsid w:val="76EF1C48"/>
    <w:rsid w:val="775E513F"/>
    <w:rsid w:val="778B45B5"/>
    <w:rsid w:val="77FF6F6D"/>
    <w:rsid w:val="78BD7DA6"/>
    <w:rsid w:val="79876F3B"/>
    <w:rsid w:val="79C771E2"/>
    <w:rsid w:val="79F30AC2"/>
    <w:rsid w:val="7A1A5A52"/>
    <w:rsid w:val="7A9A52A7"/>
    <w:rsid w:val="7ACF2BC4"/>
    <w:rsid w:val="7B334F2B"/>
    <w:rsid w:val="7B5E4E76"/>
    <w:rsid w:val="7B673063"/>
    <w:rsid w:val="7BA060D4"/>
    <w:rsid w:val="7BB01186"/>
    <w:rsid w:val="7BEC38D9"/>
    <w:rsid w:val="7C092E3E"/>
    <w:rsid w:val="7C2B0D47"/>
    <w:rsid w:val="7CA61D68"/>
    <w:rsid w:val="7CEF6506"/>
    <w:rsid w:val="7CF66AAB"/>
    <w:rsid w:val="7CFA011A"/>
    <w:rsid w:val="7D330928"/>
    <w:rsid w:val="7D6D684D"/>
    <w:rsid w:val="7E11330D"/>
    <w:rsid w:val="7E207BF6"/>
    <w:rsid w:val="7E9E5C9C"/>
    <w:rsid w:val="7F0B7248"/>
    <w:rsid w:val="7F695182"/>
    <w:rsid w:val="7FB905E9"/>
    <w:rsid w:val="7FE83C6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4"/>
    <w:link w:val="48"/>
    <w:qFormat/>
    <w:uiPriority w:val="99"/>
    <w:pPr>
      <w:keepNext/>
      <w:keepLines/>
      <w:numPr>
        <w:ilvl w:val="0"/>
        <w:numId w:val="1"/>
      </w:numPr>
      <w:adjustRightInd w:val="0"/>
      <w:spacing w:before="160" w:after="160" w:line="160" w:lineRule="atLeast"/>
      <w:textAlignment w:val="baseline"/>
      <w:outlineLvl w:val="0"/>
    </w:pPr>
    <w:rPr>
      <w:rFonts w:ascii="黑体" w:eastAsia="黑体"/>
      <w:kern w:val="44"/>
      <w:sz w:val="32"/>
      <w:szCs w:val="20"/>
    </w:rPr>
  </w:style>
  <w:style w:type="paragraph" w:styleId="5">
    <w:name w:val="heading 2"/>
    <w:basedOn w:val="1"/>
    <w:next w:val="4"/>
    <w:link w:val="49"/>
    <w:qFormat/>
    <w:uiPriority w:val="99"/>
    <w:pPr>
      <w:keepNext/>
      <w:keepLines/>
      <w:numPr>
        <w:ilvl w:val="1"/>
        <w:numId w:val="1"/>
      </w:numPr>
      <w:tabs>
        <w:tab w:val="left" w:pos="0"/>
        <w:tab w:val="left" w:pos="360"/>
      </w:tabs>
      <w:adjustRightInd w:val="0"/>
      <w:spacing w:before="160" w:after="160" w:line="160" w:lineRule="atLeast"/>
      <w:ind w:left="851" w:hanging="284"/>
      <w:textAlignment w:val="baseline"/>
      <w:outlineLvl w:val="1"/>
    </w:pPr>
    <w:rPr>
      <w:rFonts w:ascii="黑体" w:eastAsia="黑体"/>
      <w:kern w:val="0"/>
      <w:sz w:val="28"/>
      <w:szCs w:val="20"/>
    </w:rPr>
  </w:style>
  <w:style w:type="paragraph" w:styleId="6">
    <w:name w:val="heading 3"/>
    <w:basedOn w:val="1"/>
    <w:next w:val="4"/>
    <w:link w:val="50"/>
    <w:qFormat/>
    <w:uiPriority w:val="99"/>
    <w:pPr>
      <w:keepNext/>
      <w:keepLines/>
      <w:numPr>
        <w:ilvl w:val="2"/>
        <w:numId w:val="1"/>
      </w:numPr>
      <w:tabs>
        <w:tab w:val="left" w:pos="360"/>
      </w:tabs>
      <w:adjustRightInd w:val="0"/>
      <w:spacing w:before="160" w:after="160" w:line="160" w:lineRule="atLeast"/>
      <w:ind w:hanging="284"/>
      <w:textAlignment w:val="baseline"/>
      <w:outlineLvl w:val="2"/>
    </w:pPr>
    <w:rPr>
      <w:rFonts w:ascii="黑体" w:eastAsia="黑体"/>
      <w:kern w:val="0"/>
      <w:sz w:val="28"/>
      <w:szCs w:val="20"/>
    </w:rPr>
  </w:style>
  <w:style w:type="paragraph" w:styleId="7">
    <w:name w:val="heading 4"/>
    <w:basedOn w:val="1"/>
    <w:next w:val="1"/>
    <w:link w:val="51"/>
    <w:qFormat/>
    <w:uiPriority w:val="99"/>
    <w:pPr>
      <w:keepNext/>
      <w:keepLines/>
      <w:numPr>
        <w:ilvl w:val="3"/>
        <w:numId w:val="1"/>
      </w:numPr>
      <w:tabs>
        <w:tab w:val="left" w:pos="0"/>
        <w:tab w:val="left" w:pos="360"/>
      </w:tab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52"/>
    <w:qFormat/>
    <w:uiPriority w:val="99"/>
    <w:pPr>
      <w:keepNext/>
      <w:keepLines/>
      <w:numPr>
        <w:ilvl w:val="4"/>
        <w:numId w:val="1"/>
      </w:numPr>
      <w:tabs>
        <w:tab w:val="left" w:pos="0"/>
        <w:tab w:val="left" w:pos="360"/>
      </w:tabs>
      <w:adjustRightInd w:val="0"/>
      <w:spacing w:before="280" w:after="290" w:line="376" w:lineRule="atLeast"/>
      <w:textAlignment w:val="baseline"/>
      <w:outlineLvl w:val="4"/>
    </w:pPr>
    <w:rPr>
      <w:rFonts w:ascii="Times New Roman" w:hAnsi="Times New Roman"/>
      <w:b/>
      <w:kern w:val="0"/>
      <w:sz w:val="28"/>
      <w:szCs w:val="20"/>
    </w:rPr>
  </w:style>
  <w:style w:type="paragraph" w:styleId="9">
    <w:name w:val="heading 6"/>
    <w:basedOn w:val="1"/>
    <w:next w:val="1"/>
    <w:link w:val="53"/>
    <w:qFormat/>
    <w:uiPriority w:val="99"/>
    <w:pPr>
      <w:keepNext/>
      <w:keepLines/>
      <w:numPr>
        <w:ilvl w:val="5"/>
        <w:numId w:val="1"/>
      </w:numPr>
      <w:tabs>
        <w:tab w:val="left" w:pos="0"/>
        <w:tab w:val="left" w:pos="360"/>
      </w:tabs>
      <w:adjustRightInd w:val="0"/>
      <w:spacing w:before="240" w:after="64" w:line="320" w:lineRule="atLeast"/>
      <w:textAlignment w:val="baseline"/>
      <w:outlineLvl w:val="5"/>
    </w:pPr>
    <w:rPr>
      <w:rFonts w:ascii="Arial" w:hAnsi="Arial" w:eastAsia="黑体"/>
      <w:b/>
      <w:kern w:val="0"/>
      <w:szCs w:val="20"/>
    </w:rPr>
  </w:style>
  <w:style w:type="paragraph" w:styleId="10">
    <w:name w:val="heading 7"/>
    <w:basedOn w:val="1"/>
    <w:next w:val="1"/>
    <w:link w:val="54"/>
    <w:qFormat/>
    <w:uiPriority w:val="99"/>
    <w:pPr>
      <w:keepNext/>
      <w:keepLines/>
      <w:numPr>
        <w:ilvl w:val="6"/>
        <w:numId w:val="1"/>
      </w:numPr>
      <w:tabs>
        <w:tab w:val="left" w:pos="0"/>
        <w:tab w:val="left" w:pos="360"/>
      </w:tabs>
      <w:adjustRightInd w:val="0"/>
      <w:spacing w:before="240" w:after="64" w:line="320" w:lineRule="atLeast"/>
      <w:textAlignment w:val="baseline"/>
      <w:outlineLvl w:val="6"/>
    </w:pPr>
    <w:rPr>
      <w:rFonts w:ascii="Times New Roman" w:hAnsi="Times New Roman"/>
      <w:b/>
      <w:kern w:val="0"/>
      <w:szCs w:val="20"/>
    </w:rPr>
  </w:style>
  <w:style w:type="paragraph" w:styleId="11">
    <w:name w:val="heading 8"/>
    <w:basedOn w:val="1"/>
    <w:next w:val="1"/>
    <w:link w:val="55"/>
    <w:qFormat/>
    <w:uiPriority w:val="99"/>
    <w:pPr>
      <w:keepNext/>
      <w:keepLines/>
      <w:numPr>
        <w:ilvl w:val="7"/>
        <w:numId w:val="1"/>
      </w:numPr>
      <w:tabs>
        <w:tab w:val="left" w:pos="0"/>
        <w:tab w:val="left" w:pos="360"/>
      </w:tabs>
      <w:adjustRightInd w:val="0"/>
      <w:spacing w:before="240" w:after="64" w:line="320" w:lineRule="atLeast"/>
      <w:textAlignment w:val="baseline"/>
      <w:outlineLvl w:val="7"/>
    </w:pPr>
    <w:rPr>
      <w:rFonts w:ascii="Arial" w:hAnsi="Arial" w:eastAsia="黑体"/>
      <w:kern w:val="0"/>
      <w:szCs w:val="20"/>
    </w:rPr>
  </w:style>
  <w:style w:type="paragraph" w:styleId="12">
    <w:name w:val="heading 9"/>
    <w:basedOn w:val="1"/>
    <w:next w:val="1"/>
    <w:link w:val="56"/>
    <w:qFormat/>
    <w:uiPriority w:val="99"/>
    <w:pPr>
      <w:keepNext/>
      <w:keepLines/>
      <w:numPr>
        <w:ilvl w:val="8"/>
        <w:numId w:val="1"/>
      </w:numPr>
      <w:tabs>
        <w:tab w:val="left" w:pos="0"/>
        <w:tab w:val="left" w:pos="360"/>
      </w:tabs>
      <w:adjustRightInd w:val="0"/>
      <w:spacing w:before="240" w:after="64" w:line="320" w:lineRule="atLeast"/>
      <w:textAlignment w:val="baseline"/>
      <w:outlineLvl w:val="8"/>
    </w:pPr>
    <w:rPr>
      <w:rFonts w:ascii="Arial" w:hAnsi="Arial" w:eastAsia="黑体"/>
      <w:kern w:val="0"/>
      <w:szCs w:val="20"/>
    </w:r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4">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3">
    <w:name w:val="List 3"/>
    <w:basedOn w:val="1"/>
    <w:qFormat/>
    <w:uiPriority w:val="99"/>
    <w:pPr>
      <w:ind w:left="600" w:leftChars="400" w:hanging="200" w:hangingChars="200"/>
    </w:pPr>
    <w:rPr>
      <w:rFonts w:ascii="Times New Roman" w:hAnsi="Times New Roman"/>
      <w:szCs w:val="20"/>
    </w:rPr>
  </w:style>
  <w:style w:type="paragraph" w:styleId="14">
    <w:name w:val="Normal Indent"/>
    <w:basedOn w:val="1"/>
    <w:link w:val="89"/>
    <w:qFormat/>
    <w:uiPriority w:val="0"/>
    <w:pPr>
      <w:ind w:firstLine="420"/>
    </w:pPr>
    <w:rPr>
      <w:rFonts w:ascii="Times New Roman" w:hAnsi="Times New Roman"/>
      <w:sz w:val="28"/>
      <w:szCs w:val="20"/>
    </w:rPr>
  </w:style>
  <w:style w:type="paragraph" w:styleId="15">
    <w:name w:val="caption"/>
    <w:basedOn w:val="1"/>
    <w:next w:val="1"/>
    <w:qFormat/>
    <w:uiPriority w:val="99"/>
    <w:pPr>
      <w:spacing w:before="152" w:after="160"/>
    </w:pPr>
    <w:rPr>
      <w:rFonts w:ascii="Arial" w:hAnsi="Arial" w:eastAsia="黑体" w:cs="Arial"/>
      <w:sz w:val="20"/>
      <w:szCs w:val="20"/>
    </w:rPr>
  </w:style>
  <w:style w:type="paragraph" w:styleId="16">
    <w:name w:val="annotation text"/>
    <w:basedOn w:val="1"/>
    <w:next w:val="14"/>
    <w:link w:val="57"/>
    <w:qFormat/>
    <w:uiPriority w:val="99"/>
    <w:pPr>
      <w:jc w:val="left"/>
    </w:pPr>
  </w:style>
  <w:style w:type="paragraph" w:styleId="17">
    <w:name w:val="Body Text 3"/>
    <w:basedOn w:val="1"/>
    <w:link w:val="59"/>
    <w:qFormat/>
    <w:uiPriority w:val="99"/>
    <w:pPr>
      <w:spacing w:after="120"/>
    </w:pPr>
    <w:rPr>
      <w:rFonts w:ascii="Times New Roman" w:hAnsi="Times New Roman"/>
      <w:sz w:val="16"/>
      <w:szCs w:val="16"/>
    </w:rPr>
  </w:style>
  <w:style w:type="paragraph" w:styleId="18">
    <w:name w:val="Body Text"/>
    <w:basedOn w:val="1"/>
    <w:link w:val="60"/>
    <w:qFormat/>
    <w:uiPriority w:val="99"/>
    <w:pPr>
      <w:spacing w:line="360" w:lineRule="auto"/>
    </w:pPr>
    <w:rPr>
      <w:rFonts w:ascii="Times New Roman" w:hAnsi="Times New Roman"/>
      <w:szCs w:val="20"/>
    </w:rPr>
  </w:style>
  <w:style w:type="paragraph" w:styleId="19">
    <w:name w:val="Body Text Indent"/>
    <w:basedOn w:val="1"/>
    <w:link w:val="61"/>
    <w:qFormat/>
    <w:uiPriority w:val="99"/>
    <w:pPr>
      <w:ind w:firstLine="645"/>
    </w:pPr>
    <w:rPr>
      <w:rFonts w:ascii="宋体"/>
      <w:sz w:val="32"/>
      <w:szCs w:val="20"/>
    </w:rPr>
  </w:style>
  <w:style w:type="paragraph" w:styleId="20">
    <w:name w:val="List 2"/>
    <w:basedOn w:val="1"/>
    <w:qFormat/>
    <w:uiPriority w:val="99"/>
    <w:pPr>
      <w:ind w:left="400" w:leftChars="200" w:hanging="200" w:hangingChars="200"/>
    </w:pPr>
    <w:rPr>
      <w:rFonts w:ascii="Times New Roman" w:hAnsi="Times New Roman"/>
      <w:szCs w:val="20"/>
    </w:rPr>
  </w:style>
  <w:style w:type="paragraph" w:styleId="21">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2">
    <w:name w:val="Plain Text"/>
    <w:basedOn w:val="1"/>
    <w:link w:val="62"/>
    <w:qFormat/>
    <w:uiPriority w:val="0"/>
    <w:pPr>
      <w:spacing w:line="360" w:lineRule="auto"/>
      <w:ind w:firstLine="200" w:firstLineChars="200"/>
    </w:pPr>
    <w:rPr>
      <w:rFonts w:ascii="宋体" w:hAnsi="宋体" w:eastAsia="仿宋_GB2312" w:cs="Courier New"/>
      <w:szCs w:val="21"/>
    </w:rPr>
  </w:style>
  <w:style w:type="paragraph" w:styleId="23">
    <w:name w:val="Date"/>
    <w:basedOn w:val="1"/>
    <w:next w:val="1"/>
    <w:link w:val="63"/>
    <w:qFormat/>
    <w:uiPriority w:val="99"/>
    <w:pPr>
      <w:ind w:left="2500" w:leftChars="2500"/>
    </w:pPr>
  </w:style>
  <w:style w:type="paragraph" w:styleId="24">
    <w:name w:val="Body Text Indent 2"/>
    <w:basedOn w:val="1"/>
    <w:link w:val="64"/>
    <w:qFormat/>
    <w:uiPriority w:val="99"/>
    <w:pPr>
      <w:ind w:firstLine="630"/>
    </w:pPr>
    <w:rPr>
      <w:rFonts w:ascii="宋体"/>
      <w:sz w:val="32"/>
      <w:szCs w:val="20"/>
    </w:rPr>
  </w:style>
  <w:style w:type="paragraph" w:styleId="25">
    <w:name w:val="List Continue 5"/>
    <w:basedOn w:val="1"/>
    <w:qFormat/>
    <w:uiPriority w:val="99"/>
    <w:pPr>
      <w:spacing w:after="120"/>
      <w:ind w:left="1000" w:leftChars="1000"/>
    </w:pPr>
    <w:rPr>
      <w:rFonts w:ascii="Times New Roman" w:hAnsi="Times New Roman"/>
      <w:szCs w:val="20"/>
    </w:rPr>
  </w:style>
  <w:style w:type="paragraph" w:styleId="26">
    <w:name w:val="Balloon Text"/>
    <w:basedOn w:val="1"/>
    <w:link w:val="65"/>
    <w:qFormat/>
    <w:uiPriority w:val="99"/>
    <w:rPr>
      <w:sz w:val="18"/>
      <w:szCs w:val="18"/>
    </w:rPr>
  </w:style>
  <w:style w:type="paragraph" w:styleId="27">
    <w:name w:val="footer"/>
    <w:basedOn w:val="1"/>
    <w:link w:val="66"/>
    <w:qFormat/>
    <w:uiPriority w:val="99"/>
    <w:pPr>
      <w:tabs>
        <w:tab w:val="center" w:pos="4153"/>
        <w:tab w:val="right" w:pos="8306"/>
      </w:tabs>
      <w:snapToGrid w:val="0"/>
      <w:jc w:val="left"/>
    </w:pPr>
    <w:rPr>
      <w:kern w:val="0"/>
      <w:sz w:val="18"/>
      <w:szCs w:val="18"/>
    </w:rPr>
  </w:style>
  <w:style w:type="paragraph" w:styleId="28">
    <w:name w:val="header"/>
    <w:basedOn w:val="1"/>
    <w:link w:val="67"/>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0">
    <w:name w:val="List Continue 4"/>
    <w:basedOn w:val="1"/>
    <w:qFormat/>
    <w:uiPriority w:val="99"/>
    <w:pPr>
      <w:spacing w:after="120"/>
      <w:ind w:left="800" w:leftChars="800"/>
    </w:pPr>
    <w:rPr>
      <w:rFonts w:ascii="Times New Roman" w:hAnsi="Times New Roman"/>
      <w:szCs w:val="20"/>
    </w:rPr>
  </w:style>
  <w:style w:type="paragraph" w:styleId="31">
    <w:name w:val="List"/>
    <w:basedOn w:val="1"/>
    <w:qFormat/>
    <w:uiPriority w:val="99"/>
    <w:pPr>
      <w:ind w:left="200" w:hanging="200" w:hangingChars="200"/>
    </w:pPr>
    <w:rPr>
      <w:rFonts w:ascii="Times New Roman" w:hAnsi="Times New Roman"/>
      <w:szCs w:val="20"/>
    </w:rPr>
  </w:style>
  <w:style w:type="paragraph" w:styleId="32">
    <w:name w:val="footnote text"/>
    <w:basedOn w:val="1"/>
    <w:link w:val="68"/>
    <w:qFormat/>
    <w:uiPriority w:val="99"/>
    <w:pPr>
      <w:adjustRightInd w:val="0"/>
      <w:spacing w:line="312" w:lineRule="atLeast"/>
      <w:jc w:val="left"/>
    </w:pPr>
    <w:rPr>
      <w:rFonts w:ascii="Times New Roman" w:hAnsi="Times New Roman"/>
      <w:kern w:val="0"/>
      <w:sz w:val="18"/>
      <w:szCs w:val="20"/>
    </w:rPr>
  </w:style>
  <w:style w:type="paragraph" w:styleId="33">
    <w:name w:val="List 5"/>
    <w:basedOn w:val="1"/>
    <w:qFormat/>
    <w:uiPriority w:val="99"/>
    <w:pPr>
      <w:ind w:left="1000" w:leftChars="800" w:hanging="200" w:hangingChars="200"/>
    </w:pPr>
    <w:rPr>
      <w:rFonts w:ascii="Times New Roman" w:hAnsi="Times New Roman"/>
      <w:szCs w:val="20"/>
    </w:rPr>
  </w:style>
  <w:style w:type="paragraph" w:styleId="34">
    <w:name w:val="Body Text Indent 3"/>
    <w:basedOn w:val="1"/>
    <w:link w:val="69"/>
    <w:qFormat/>
    <w:uiPriority w:val="99"/>
    <w:pPr>
      <w:spacing w:line="360" w:lineRule="auto"/>
      <w:ind w:firstLine="468"/>
    </w:pPr>
    <w:rPr>
      <w:rFonts w:ascii="Times New Roman" w:hAnsi="Times New Roman"/>
      <w:szCs w:val="20"/>
    </w:rPr>
  </w:style>
  <w:style w:type="paragraph" w:styleId="35">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36">
    <w:name w:val="Body Text 2"/>
    <w:basedOn w:val="1"/>
    <w:link w:val="70"/>
    <w:qFormat/>
    <w:uiPriority w:val="99"/>
    <w:pPr>
      <w:spacing w:after="120" w:line="480" w:lineRule="auto"/>
    </w:pPr>
    <w:rPr>
      <w:rFonts w:ascii="Times New Roman" w:hAnsi="Times New Roman"/>
      <w:szCs w:val="20"/>
    </w:rPr>
  </w:style>
  <w:style w:type="paragraph" w:styleId="37">
    <w:name w:val="List 4"/>
    <w:basedOn w:val="1"/>
    <w:qFormat/>
    <w:uiPriority w:val="99"/>
    <w:pPr>
      <w:ind w:left="800" w:leftChars="600" w:hanging="200" w:hangingChars="200"/>
    </w:pPr>
    <w:rPr>
      <w:rFonts w:ascii="Times New Roman" w:hAnsi="Times New Roman"/>
      <w:szCs w:val="20"/>
    </w:rPr>
  </w:style>
  <w:style w:type="paragraph" w:styleId="38">
    <w:name w:val="List Continue 2"/>
    <w:basedOn w:val="1"/>
    <w:qFormat/>
    <w:uiPriority w:val="99"/>
    <w:pPr>
      <w:spacing w:after="120"/>
      <w:ind w:left="400" w:leftChars="400"/>
    </w:pPr>
    <w:rPr>
      <w:rFonts w:ascii="Times New Roman" w:hAnsi="Times New Roman"/>
      <w:szCs w:val="20"/>
    </w:rPr>
  </w:style>
  <w:style w:type="paragraph" w:styleId="39">
    <w:name w:val="Normal (Web)"/>
    <w:basedOn w:val="1"/>
    <w:qFormat/>
    <w:uiPriority w:val="99"/>
    <w:pPr>
      <w:widowControl/>
      <w:spacing w:before="100" w:beforeAutospacing="1" w:after="100" w:afterAutospacing="1"/>
      <w:jc w:val="left"/>
    </w:pPr>
    <w:rPr>
      <w:rFonts w:ascii="宋体"/>
      <w:kern w:val="0"/>
      <w:szCs w:val="24"/>
    </w:rPr>
  </w:style>
  <w:style w:type="paragraph" w:styleId="40">
    <w:name w:val="List Continue 3"/>
    <w:basedOn w:val="1"/>
    <w:qFormat/>
    <w:uiPriority w:val="99"/>
    <w:pPr>
      <w:spacing w:after="120"/>
      <w:ind w:left="600" w:leftChars="600"/>
    </w:pPr>
    <w:rPr>
      <w:rFonts w:ascii="Times New Roman" w:hAnsi="Times New Roman"/>
      <w:szCs w:val="20"/>
    </w:rPr>
  </w:style>
  <w:style w:type="paragraph" w:styleId="41">
    <w:name w:val="annotation subject"/>
    <w:basedOn w:val="16"/>
    <w:next w:val="16"/>
    <w:link w:val="58"/>
    <w:qFormat/>
    <w:uiPriority w:val="99"/>
    <w:rPr>
      <w:b/>
      <w:bCs/>
    </w:rPr>
  </w:style>
  <w:style w:type="character" w:styleId="44">
    <w:name w:val="page number"/>
    <w:qFormat/>
    <w:uiPriority w:val="0"/>
    <w:rPr>
      <w:rFonts w:cs="Times New Roman"/>
    </w:rPr>
  </w:style>
  <w:style w:type="character" w:styleId="45">
    <w:name w:val="FollowedHyperlink"/>
    <w:qFormat/>
    <w:uiPriority w:val="99"/>
    <w:rPr>
      <w:rFonts w:cs="Times New Roman"/>
      <w:color w:val="800080"/>
      <w:u w:val="single"/>
    </w:rPr>
  </w:style>
  <w:style w:type="character" w:styleId="46">
    <w:name w:val="Hyperlink"/>
    <w:qFormat/>
    <w:uiPriority w:val="99"/>
    <w:rPr>
      <w:rFonts w:cs="Times New Roman"/>
      <w:color w:val="0000FF"/>
      <w:u w:val="single"/>
    </w:rPr>
  </w:style>
  <w:style w:type="character" w:styleId="47">
    <w:name w:val="annotation reference"/>
    <w:qFormat/>
    <w:uiPriority w:val="99"/>
    <w:rPr>
      <w:rFonts w:cs="Times New Roman"/>
      <w:sz w:val="21"/>
      <w:szCs w:val="21"/>
    </w:rPr>
  </w:style>
  <w:style w:type="character" w:customStyle="1" w:styleId="48">
    <w:name w:val="标题 1 Char"/>
    <w:link w:val="3"/>
    <w:qFormat/>
    <w:uiPriority w:val="9"/>
    <w:rPr>
      <w:rFonts w:ascii="Calibri" w:hAnsi="Calibri"/>
      <w:b/>
      <w:bCs/>
      <w:kern w:val="44"/>
      <w:sz w:val="44"/>
      <w:szCs w:val="44"/>
    </w:rPr>
  </w:style>
  <w:style w:type="character" w:customStyle="1" w:styleId="49">
    <w:name w:val="标题 2 Char"/>
    <w:link w:val="5"/>
    <w:semiHidden/>
    <w:qFormat/>
    <w:uiPriority w:val="9"/>
    <w:rPr>
      <w:rFonts w:ascii="Cambria" w:hAnsi="Cambria" w:eastAsia="宋体" w:cs="Times New Roman"/>
      <w:b/>
      <w:bCs/>
      <w:sz w:val="32"/>
      <w:szCs w:val="32"/>
    </w:rPr>
  </w:style>
  <w:style w:type="character" w:customStyle="1" w:styleId="50">
    <w:name w:val="标题 3 Char"/>
    <w:link w:val="6"/>
    <w:semiHidden/>
    <w:qFormat/>
    <w:uiPriority w:val="9"/>
    <w:rPr>
      <w:rFonts w:ascii="Calibri" w:hAnsi="Calibri"/>
      <w:b/>
      <w:bCs/>
      <w:sz w:val="32"/>
      <w:szCs w:val="32"/>
    </w:rPr>
  </w:style>
  <w:style w:type="character" w:customStyle="1" w:styleId="51">
    <w:name w:val="标题 4 Char"/>
    <w:link w:val="7"/>
    <w:semiHidden/>
    <w:qFormat/>
    <w:uiPriority w:val="9"/>
    <w:rPr>
      <w:rFonts w:ascii="Cambria" w:hAnsi="Cambria" w:eastAsia="宋体" w:cs="Times New Roman"/>
      <w:b/>
      <w:bCs/>
      <w:sz w:val="28"/>
      <w:szCs w:val="28"/>
    </w:rPr>
  </w:style>
  <w:style w:type="character" w:customStyle="1" w:styleId="52">
    <w:name w:val="标题 5 Char"/>
    <w:link w:val="8"/>
    <w:semiHidden/>
    <w:qFormat/>
    <w:uiPriority w:val="9"/>
    <w:rPr>
      <w:rFonts w:ascii="Calibri" w:hAnsi="Calibri"/>
      <w:b/>
      <w:bCs/>
      <w:sz w:val="28"/>
      <w:szCs w:val="28"/>
    </w:rPr>
  </w:style>
  <w:style w:type="character" w:customStyle="1" w:styleId="53">
    <w:name w:val="标题 6 Char"/>
    <w:link w:val="9"/>
    <w:semiHidden/>
    <w:qFormat/>
    <w:uiPriority w:val="9"/>
    <w:rPr>
      <w:rFonts w:ascii="Cambria" w:hAnsi="Cambria" w:eastAsia="宋体" w:cs="Times New Roman"/>
      <w:b/>
      <w:bCs/>
      <w:sz w:val="24"/>
      <w:szCs w:val="24"/>
    </w:rPr>
  </w:style>
  <w:style w:type="character" w:customStyle="1" w:styleId="54">
    <w:name w:val="标题 7 Char"/>
    <w:link w:val="10"/>
    <w:semiHidden/>
    <w:qFormat/>
    <w:uiPriority w:val="9"/>
    <w:rPr>
      <w:rFonts w:ascii="Calibri" w:hAnsi="Calibri"/>
      <w:b/>
      <w:bCs/>
      <w:sz w:val="24"/>
      <w:szCs w:val="24"/>
    </w:rPr>
  </w:style>
  <w:style w:type="character" w:customStyle="1" w:styleId="55">
    <w:name w:val="标题 8 Char"/>
    <w:link w:val="11"/>
    <w:semiHidden/>
    <w:qFormat/>
    <w:uiPriority w:val="9"/>
    <w:rPr>
      <w:rFonts w:ascii="Cambria" w:hAnsi="Cambria" w:eastAsia="宋体" w:cs="Times New Roman"/>
      <w:sz w:val="24"/>
      <w:szCs w:val="24"/>
    </w:rPr>
  </w:style>
  <w:style w:type="character" w:customStyle="1" w:styleId="56">
    <w:name w:val="标题 9 Char"/>
    <w:link w:val="12"/>
    <w:semiHidden/>
    <w:qFormat/>
    <w:uiPriority w:val="9"/>
    <w:rPr>
      <w:rFonts w:ascii="Cambria" w:hAnsi="Cambria" w:eastAsia="宋体" w:cs="Times New Roman"/>
      <w:szCs w:val="21"/>
    </w:rPr>
  </w:style>
  <w:style w:type="character" w:customStyle="1" w:styleId="57">
    <w:name w:val="批注文字 Char"/>
    <w:link w:val="16"/>
    <w:semiHidden/>
    <w:qFormat/>
    <w:uiPriority w:val="99"/>
    <w:rPr>
      <w:rFonts w:ascii="Calibri" w:hAnsi="Calibri"/>
    </w:rPr>
  </w:style>
  <w:style w:type="character" w:customStyle="1" w:styleId="58">
    <w:name w:val="批注主题 Char"/>
    <w:link w:val="41"/>
    <w:semiHidden/>
    <w:qFormat/>
    <w:uiPriority w:val="99"/>
    <w:rPr>
      <w:rFonts w:ascii="Calibri" w:hAnsi="Calibri"/>
      <w:b/>
      <w:bCs/>
    </w:rPr>
  </w:style>
  <w:style w:type="character" w:customStyle="1" w:styleId="59">
    <w:name w:val="正文文本 3 Char"/>
    <w:link w:val="17"/>
    <w:semiHidden/>
    <w:qFormat/>
    <w:uiPriority w:val="99"/>
    <w:rPr>
      <w:rFonts w:ascii="Calibri" w:hAnsi="Calibri"/>
      <w:sz w:val="16"/>
      <w:szCs w:val="16"/>
    </w:rPr>
  </w:style>
  <w:style w:type="character" w:customStyle="1" w:styleId="60">
    <w:name w:val="正文文本 Char"/>
    <w:link w:val="18"/>
    <w:semiHidden/>
    <w:qFormat/>
    <w:uiPriority w:val="99"/>
    <w:rPr>
      <w:rFonts w:ascii="Calibri" w:hAnsi="Calibri"/>
    </w:rPr>
  </w:style>
  <w:style w:type="character" w:customStyle="1" w:styleId="61">
    <w:name w:val="正文文本缩进 Char"/>
    <w:link w:val="19"/>
    <w:semiHidden/>
    <w:qFormat/>
    <w:uiPriority w:val="99"/>
    <w:rPr>
      <w:rFonts w:ascii="Calibri" w:hAnsi="Calibri"/>
    </w:rPr>
  </w:style>
  <w:style w:type="character" w:customStyle="1" w:styleId="62">
    <w:name w:val="纯文本 Char"/>
    <w:link w:val="22"/>
    <w:semiHidden/>
    <w:qFormat/>
    <w:uiPriority w:val="99"/>
    <w:rPr>
      <w:rFonts w:ascii="宋体" w:hAnsi="Courier New" w:cs="Courier New"/>
      <w:szCs w:val="21"/>
    </w:rPr>
  </w:style>
  <w:style w:type="character" w:customStyle="1" w:styleId="63">
    <w:name w:val="日期 Char"/>
    <w:link w:val="23"/>
    <w:semiHidden/>
    <w:qFormat/>
    <w:uiPriority w:val="99"/>
    <w:rPr>
      <w:rFonts w:ascii="Calibri" w:hAnsi="Calibri"/>
    </w:rPr>
  </w:style>
  <w:style w:type="character" w:customStyle="1" w:styleId="64">
    <w:name w:val="正文文本缩进 2 Char"/>
    <w:link w:val="24"/>
    <w:semiHidden/>
    <w:qFormat/>
    <w:uiPriority w:val="99"/>
    <w:rPr>
      <w:rFonts w:ascii="Calibri" w:hAnsi="Calibri"/>
    </w:rPr>
  </w:style>
  <w:style w:type="character" w:customStyle="1" w:styleId="65">
    <w:name w:val="批注框文本 Char"/>
    <w:link w:val="26"/>
    <w:semiHidden/>
    <w:qFormat/>
    <w:uiPriority w:val="99"/>
    <w:rPr>
      <w:rFonts w:ascii="Calibri" w:hAnsi="Calibri"/>
      <w:sz w:val="0"/>
      <w:szCs w:val="0"/>
    </w:rPr>
  </w:style>
  <w:style w:type="character" w:customStyle="1" w:styleId="66">
    <w:name w:val="页脚 Char1"/>
    <w:link w:val="27"/>
    <w:qFormat/>
    <w:uiPriority w:val="99"/>
    <w:rPr>
      <w:rFonts w:ascii="Calibri" w:hAnsi="Calibri"/>
      <w:sz w:val="18"/>
      <w:szCs w:val="18"/>
    </w:rPr>
  </w:style>
  <w:style w:type="character" w:customStyle="1" w:styleId="67">
    <w:name w:val="页眉 Char1"/>
    <w:link w:val="28"/>
    <w:semiHidden/>
    <w:qFormat/>
    <w:uiPriority w:val="99"/>
    <w:rPr>
      <w:rFonts w:ascii="Calibri" w:hAnsi="Calibri"/>
      <w:sz w:val="18"/>
      <w:szCs w:val="18"/>
    </w:rPr>
  </w:style>
  <w:style w:type="character" w:customStyle="1" w:styleId="68">
    <w:name w:val="脚注文本 Char"/>
    <w:link w:val="32"/>
    <w:semiHidden/>
    <w:qFormat/>
    <w:uiPriority w:val="99"/>
    <w:rPr>
      <w:rFonts w:ascii="Calibri" w:hAnsi="Calibri"/>
      <w:sz w:val="18"/>
      <w:szCs w:val="18"/>
    </w:rPr>
  </w:style>
  <w:style w:type="character" w:customStyle="1" w:styleId="69">
    <w:name w:val="正文文本缩进 3 Char"/>
    <w:link w:val="34"/>
    <w:semiHidden/>
    <w:qFormat/>
    <w:uiPriority w:val="99"/>
    <w:rPr>
      <w:rFonts w:ascii="Calibri" w:hAnsi="Calibri"/>
      <w:sz w:val="16"/>
      <w:szCs w:val="16"/>
    </w:rPr>
  </w:style>
  <w:style w:type="character" w:customStyle="1" w:styleId="70">
    <w:name w:val="正文文本 2 Char"/>
    <w:link w:val="36"/>
    <w:semiHidden/>
    <w:qFormat/>
    <w:uiPriority w:val="99"/>
    <w:rPr>
      <w:rFonts w:ascii="Calibri" w:hAnsi="Calibri"/>
    </w:rPr>
  </w:style>
  <w:style w:type="paragraph" w:customStyle="1" w:styleId="71">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2">
    <w:name w:val="简单回函地址"/>
    <w:basedOn w:val="1"/>
    <w:qFormat/>
    <w:uiPriority w:val="99"/>
    <w:rPr>
      <w:rFonts w:ascii="Times New Roman" w:hAnsi="Times New Roman"/>
      <w:szCs w:val="20"/>
    </w:rPr>
  </w:style>
  <w:style w:type="paragraph" w:customStyle="1" w:styleId="73">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74">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75">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76">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77">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78">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79">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0">
    <w:name w:val="正文内容"/>
    <w:basedOn w:val="1"/>
    <w:qFormat/>
    <w:uiPriority w:val="99"/>
    <w:pPr>
      <w:widowControl/>
      <w:jc w:val="left"/>
    </w:pPr>
    <w:rPr>
      <w:rFonts w:ascii="宋体" w:cs="宋体"/>
      <w:kern w:val="0"/>
      <w:sz w:val="28"/>
      <w:szCs w:val="24"/>
    </w:rPr>
  </w:style>
  <w:style w:type="paragraph" w:customStyle="1" w:styleId="81">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2">
    <w:name w:val="_Style 6"/>
    <w:basedOn w:val="1"/>
    <w:qFormat/>
    <w:uiPriority w:val="99"/>
    <w:pPr>
      <w:adjustRightInd w:val="0"/>
      <w:spacing w:line="360" w:lineRule="atLeast"/>
    </w:pPr>
    <w:rPr>
      <w:rFonts w:ascii="Times New Roman" w:hAnsi="Times New Roman"/>
      <w:szCs w:val="24"/>
    </w:rPr>
  </w:style>
  <w:style w:type="paragraph" w:customStyle="1" w:styleId="83">
    <w:name w:val="p0"/>
    <w:basedOn w:val="1"/>
    <w:qFormat/>
    <w:uiPriority w:val="99"/>
    <w:pPr>
      <w:widowControl/>
    </w:pPr>
    <w:rPr>
      <w:rFonts w:ascii="Times New Roman" w:hAnsi="Times New Roman"/>
      <w:kern w:val="0"/>
      <w:szCs w:val="21"/>
    </w:rPr>
  </w:style>
  <w:style w:type="character" w:customStyle="1" w:styleId="84">
    <w:name w:val="1051"/>
    <w:qFormat/>
    <w:uiPriority w:val="99"/>
    <w:rPr>
      <w:rFonts w:cs="Times New Roman"/>
      <w:sz w:val="21"/>
      <w:szCs w:val="21"/>
    </w:rPr>
  </w:style>
  <w:style w:type="character" w:customStyle="1" w:styleId="85">
    <w:name w:val="ca-10"/>
    <w:basedOn w:val="43"/>
    <w:qFormat/>
    <w:uiPriority w:val="0"/>
  </w:style>
  <w:style w:type="character" w:customStyle="1" w:styleId="86">
    <w:name w:val="ca-12"/>
    <w:basedOn w:val="43"/>
    <w:qFormat/>
    <w:uiPriority w:val="0"/>
  </w:style>
  <w:style w:type="character" w:customStyle="1" w:styleId="87">
    <w:name w:val="页眉 Char"/>
    <w:qFormat/>
    <w:uiPriority w:val="0"/>
    <w:rPr>
      <w:sz w:val="18"/>
      <w:szCs w:val="18"/>
    </w:rPr>
  </w:style>
  <w:style w:type="character" w:customStyle="1" w:styleId="88">
    <w:name w:val="页脚 Char"/>
    <w:qFormat/>
    <w:uiPriority w:val="0"/>
    <w:rPr>
      <w:sz w:val="18"/>
      <w:szCs w:val="18"/>
    </w:rPr>
  </w:style>
  <w:style w:type="character" w:customStyle="1" w:styleId="89">
    <w:name w:val="正文缩进 Char"/>
    <w:link w:val="14"/>
    <w:qFormat/>
    <w:uiPriority w:val="0"/>
    <w:rPr>
      <w:kern w:val="2"/>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9800</Words>
  <Characters>1971</Characters>
  <Lines>16</Lines>
  <Paragraphs>23</Paragraphs>
  <TotalTime>2</TotalTime>
  <ScaleCrop>false</ScaleCrop>
  <LinksUpToDate>false</LinksUpToDate>
  <CharactersWithSpaces>11748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2020-12-21T02:03:00Z</dcterms:created>
  <dc:creator>张鹏飞</dc:creator>
  <cp:lastModifiedBy>Yao.</cp:lastModifiedBy>
  <cp:lastPrinted>2020-12-19T01:03:00Z</cp:lastPrinted>
  <dcterms:modified xsi:type="dcterms:W3CDTF">2020-12-28T09:00:12Z</dcterms:modified>
  <dc:title>洛</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