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spacing w:beforeLines="50" w:afterLines="50" w:line="360" w:lineRule="auto"/>
        <w:ind w:right="120" w:rightChars="50"/>
        <w:jc w:val="center"/>
        <w:outlineLvl w:val="0"/>
        <w:rPr>
          <w:rFonts w:ascii="宋体" w:hAnsi="宋体" w:cs="宋体"/>
          <w:b/>
          <w:sz w:val="28"/>
          <w:szCs w:val="28"/>
          <w:highlight w:val="none"/>
        </w:rPr>
      </w:pPr>
      <w:r>
        <w:rPr>
          <w:rFonts w:ascii="宋体" w:hAnsi="宋体"/>
          <w:szCs w:val="24"/>
          <w:highlight w:val="none"/>
        </w:rPr>
        <w:t xml:space="preserve">  </w:t>
      </w:r>
    </w:p>
    <w:p>
      <w:pPr>
        <w:spacing w:beforeLines="50" w:afterLines="50" w:line="360" w:lineRule="auto"/>
        <w:ind w:left="120" w:leftChars="50" w:right="120" w:rightChars="50" w:firstLine="482" w:firstLineChars="200"/>
        <w:jc w:val="center"/>
        <w:rPr>
          <w:rStyle w:val="90"/>
          <w:rFonts w:ascii="宋体" w:hAnsi="宋体"/>
          <w:b/>
          <w:bCs/>
          <w:szCs w:val="24"/>
          <w:highlight w:val="none"/>
        </w:rPr>
      </w:pPr>
    </w:p>
    <w:p>
      <w:pPr>
        <w:spacing w:beforeLines="50" w:afterLines="50" w:line="360" w:lineRule="auto"/>
        <w:ind w:left="120" w:leftChars="50" w:right="120" w:rightChars="50" w:firstLine="482" w:firstLineChars="200"/>
        <w:rPr>
          <w:rStyle w:val="90"/>
          <w:rFonts w:ascii="宋体" w:hAnsi="宋体"/>
          <w:b/>
          <w:bCs/>
          <w:szCs w:val="24"/>
          <w:highlight w:val="none"/>
        </w:rPr>
      </w:pPr>
    </w:p>
    <w:p>
      <w:pPr>
        <w:spacing w:beforeLines="50" w:afterLines="50" w:line="360" w:lineRule="auto"/>
        <w:ind w:left="120" w:leftChars="50" w:right="120" w:rightChars="50" w:firstLine="482" w:firstLineChars="200"/>
        <w:rPr>
          <w:rStyle w:val="90"/>
          <w:rFonts w:ascii="宋体" w:hAnsi="宋体"/>
          <w:b/>
          <w:bCs/>
          <w:szCs w:val="24"/>
          <w:highlight w:val="none"/>
        </w:rPr>
      </w:pPr>
    </w:p>
    <w:p>
      <w:pPr>
        <w:spacing w:beforeLines="50" w:afterLines="50" w:line="360" w:lineRule="auto"/>
        <w:ind w:left="120" w:leftChars="50" w:right="120" w:rightChars="50" w:firstLine="964" w:firstLineChars="200"/>
        <w:jc w:val="center"/>
        <w:rPr>
          <w:rStyle w:val="91"/>
          <w:rFonts w:hint="eastAsia" w:ascii="宋体" w:hAnsi="宋体" w:cs="宋体"/>
          <w:b/>
          <w:bCs/>
          <w:sz w:val="48"/>
          <w:szCs w:val="48"/>
          <w:highlight w:val="none"/>
        </w:rPr>
      </w:pPr>
      <w:r>
        <w:rPr>
          <w:rStyle w:val="91"/>
          <w:rFonts w:hint="eastAsia" w:ascii="宋体" w:hAnsi="宋体" w:cs="宋体"/>
          <w:b/>
          <w:bCs/>
          <w:sz w:val="48"/>
          <w:szCs w:val="48"/>
          <w:highlight w:val="none"/>
        </w:rPr>
        <w:t>宜阳山水文苑</w:t>
      </w:r>
    </w:p>
    <w:p>
      <w:pPr>
        <w:spacing w:beforeLines="50" w:afterLines="50" w:line="360" w:lineRule="auto"/>
        <w:ind w:left="120" w:leftChars="50" w:right="120" w:rightChars="50" w:firstLine="964" w:firstLineChars="200"/>
        <w:jc w:val="center"/>
        <w:rPr>
          <w:rFonts w:ascii="宋体" w:hAnsi="宋体" w:cs="宋体"/>
          <w:b/>
          <w:bCs/>
          <w:sz w:val="48"/>
          <w:szCs w:val="48"/>
          <w:highlight w:val="none"/>
        </w:rPr>
      </w:pPr>
      <w:r>
        <w:rPr>
          <w:rStyle w:val="91"/>
          <w:rFonts w:hint="eastAsia" w:ascii="宋体" w:hAnsi="宋体" w:cs="宋体"/>
          <w:b/>
          <w:bCs/>
          <w:sz w:val="48"/>
          <w:szCs w:val="48"/>
          <w:highlight w:val="none"/>
        </w:rPr>
        <w:t>防火门制作及安装工程</w:t>
      </w:r>
      <w:r>
        <w:rPr>
          <w:rFonts w:hint="eastAsia" w:ascii="宋体" w:hAnsi="宋体" w:cs="宋体"/>
          <w:b/>
          <w:bCs/>
          <w:sz w:val="48"/>
          <w:szCs w:val="48"/>
          <w:highlight w:val="none"/>
        </w:rPr>
        <w:t>合同</w:t>
      </w:r>
    </w:p>
    <w:p>
      <w:pPr>
        <w:spacing w:beforeLines="50" w:afterLines="50" w:line="360" w:lineRule="auto"/>
        <w:ind w:right="120" w:rightChars="50"/>
        <w:rPr>
          <w:rFonts w:ascii="宋体" w:hAnsi="宋体"/>
          <w:b/>
          <w:bCs/>
          <w:szCs w:val="24"/>
          <w:highlight w:val="none"/>
        </w:rPr>
      </w:pPr>
    </w:p>
    <w:p>
      <w:pPr>
        <w:spacing w:beforeLines="50" w:afterLines="50" w:line="360" w:lineRule="auto"/>
        <w:ind w:left="120" w:leftChars="50" w:right="120" w:rightChars="50" w:firstLine="482" w:firstLineChars="200"/>
        <w:rPr>
          <w:rFonts w:ascii="宋体" w:hAnsi="宋体" w:cs="宋体"/>
          <w:b/>
          <w:bCs/>
          <w:szCs w:val="24"/>
          <w:highlight w:val="none"/>
        </w:rPr>
      </w:pPr>
    </w:p>
    <w:p>
      <w:pPr>
        <w:spacing w:beforeLines="50" w:afterLines="50" w:line="360" w:lineRule="auto"/>
        <w:ind w:left="120" w:leftChars="50" w:right="120" w:rightChars="50" w:firstLine="482" w:firstLineChars="200"/>
        <w:rPr>
          <w:rFonts w:ascii="宋体" w:hAnsi="宋体" w:cs="宋体"/>
          <w:b/>
          <w:szCs w:val="24"/>
          <w:highlight w:val="none"/>
        </w:rPr>
      </w:pPr>
    </w:p>
    <w:p>
      <w:pPr>
        <w:spacing w:beforeLines="50" w:afterLines="50" w:line="360" w:lineRule="auto"/>
        <w:ind w:left="0" w:leftChars="0" w:right="120" w:rightChars="50" w:firstLine="0" w:firstLineChars="0"/>
        <w:rPr>
          <w:rFonts w:ascii="宋体" w:hAnsi="宋体" w:cs="宋体"/>
          <w:b/>
          <w:szCs w:val="24"/>
          <w:highlight w:val="none"/>
        </w:rPr>
      </w:pPr>
    </w:p>
    <w:p>
      <w:pPr>
        <w:widowControl/>
        <w:spacing w:beforeLines="-2147483648" w:afterLines="-2147483648" w:line="360" w:lineRule="auto"/>
        <w:ind w:left="0" w:leftChars="0" w:right="0" w:rightChars="0" w:firstLine="1638" w:firstLineChars="546"/>
        <w:rPr>
          <w:rFonts w:hint="eastAsia" w:ascii="宋体" w:hAnsi="宋体" w:cs="宋体"/>
          <w:b w:val="0"/>
          <w:sz w:val="30"/>
          <w:szCs w:val="30"/>
          <w:highlight w:val="none"/>
        </w:rPr>
      </w:pPr>
    </w:p>
    <w:p>
      <w:pPr>
        <w:widowControl/>
        <w:spacing w:line="360" w:lineRule="auto"/>
        <w:ind w:firstLine="1638" w:firstLineChars="546"/>
        <w:rPr>
          <w:rFonts w:hint="eastAsia" w:ascii="宋体" w:hAnsi="宋体" w:cs="宋体"/>
          <w:sz w:val="30"/>
          <w:szCs w:val="30"/>
          <w:highlight w:val="none"/>
        </w:rPr>
      </w:pPr>
      <w:r>
        <w:rPr>
          <w:rFonts w:hint="eastAsia" w:ascii="宋体" w:hAnsi="宋体" w:cs="宋体"/>
          <w:sz w:val="30"/>
          <w:szCs w:val="30"/>
          <w:highlight w:val="none"/>
        </w:rPr>
        <w:t xml:space="preserve">    成本代码：3.2.1.4</w:t>
      </w:r>
    </w:p>
    <w:p>
      <w:pPr>
        <w:widowControl/>
        <w:spacing w:line="360" w:lineRule="auto"/>
        <w:ind w:firstLine="1638" w:firstLineChars="546"/>
        <w:rPr>
          <w:rFonts w:hint="eastAsia" w:ascii="宋体" w:hAnsi="宋体" w:cs="宋体"/>
          <w:sz w:val="30"/>
          <w:szCs w:val="30"/>
          <w:highlight w:val="none"/>
        </w:rPr>
      </w:pPr>
      <w:r>
        <w:rPr>
          <w:rFonts w:hint="eastAsia" w:ascii="宋体" w:hAnsi="宋体" w:cs="宋体"/>
          <w:sz w:val="30"/>
          <w:szCs w:val="30"/>
          <w:highlight w:val="none"/>
        </w:rPr>
        <w:t xml:space="preserve">    合同编号：SSWY.01-JA-058</w:t>
      </w:r>
    </w:p>
    <w:p>
      <w:pPr>
        <w:widowControl/>
        <w:spacing w:line="360" w:lineRule="auto"/>
        <w:ind w:firstLine="441" w:firstLineChars="147"/>
        <w:rPr>
          <w:rFonts w:ascii="宋体" w:hAnsi="宋体" w:cs="宋体"/>
          <w:sz w:val="30"/>
          <w:szCs w:val="30"/>
          <w:highlight w:val="none"/>
        </w:rPr>
      </w:pPr>
    </w:p>
    <w:p>
      <w:pPr>
        <w:pStyle w:val="2"/>
        <w:rPr>
          <w:rFonts w:ascii="宋体" w:hAnsi="宋体" w:cs="宋体"/>
          <w:sz w:val="30"/>
          <w:szCs w:val="30"/>
          <w:highlight w:val="none"/>
        </w:rPr>
      </w:pPr>
    </w:p>
    <w:p>
      <w:pPr>
        <w:pStyle w:val="3"/>
        <w:rPr>
          <w:rFonts w:ascii="宋体" w:hAnsi="宋体" w:cs="宋体"/>
          <w:sz w:val="30"/>
          <w:szCs w:val="30"/>
          <w:highlight w:val="none"/>
        </w:rPr>
      </w:pPr>
    </w:p>
    <w:p>
      <w:pPr>
        <w:pStyle w:val="4"/>
      </w:pPr>
    </w:p>
    <w:p>
      <w:pPr>
        <w:widowControl/>
        <w:spacing w:line="360" w:lineRule="auto"/>
        <w:ind w:firstLine="441" w:firstLineChars="147"/>
        <w:rPr>
          <w:rFonts w:ascii="宋体" w:hAnsi="宋体" w:cs="宋体"/>
          <w:sz w:val="30"/>
          <w:szCs w:val="30"/>
          <w:highlight w:val="none"/>
        </w:rPr>
      </w:pPr>
      <w:r>
        <w:rPr>
          <w:rFonts w:hint="eastAsia" w:ascii="宋体" w:hAnsi="宋体" w:cs="宋体"/>
          <w:sz w:val="30"/>
          <w:szCs w:val="30"/>
          <w:highlight w:val="none"/>
        </w:rPr>
        <w:t xml:space="preserve">     </w:t>
      </w:r>
      <w:r>
        <w:rPr>
          <w:rFonts w:ascii="宋体" w:hAnsi="宋体" w:cs="宋体"/>
          <w:sz w:val="30"/>
          <w:szCs w:val="30"/>
          <w:highlight w:val="none"/>
        </w:rPr>
        <w:t xml:space="preserve">    </w:t>
      </w:r>
      <w:r>
        <w:rPr>
          <w:rFonts w:hint="eastAsia" w:ascii="宋体" w:hAnsi="宋体" w:cs="宋体"/>
          <w:sz w:val="30"/>
          <w:szCs w:val="30"/>
          <w:highlight w:val="none"/>
        </w:rPr>
        <w:t xml:space="preserve">甲方:洛阳莘子园置业有限公司     </w:t>
      </w:r>
      <w:r>
        <w:rPr>
          <w:rFonts w:ascii="宋体" w:hAnsi="宋体" w:cs="宋体"/>
          <w:sz w:val="30"/>
          <w:szCs w:val="30"/>
          <w:highlight w:val="none"/>
        </w:rPr>
        <w:t xml:space="preserve">   </w:t>
      </w:r>
    </w:p>
    <w:p>
      <w:pPr>
        <w:widowControl/>
        <w:spacing w:line="360" w:lineRule="auto"/>
        <w:ind w:firstLine="1638" w:firstLineChars="546"/>
        <w:rPr>
          <w:rFonts w:hint="eastAsia" w:ascii="宋体" w:hAnsi="宋体" w:eastAsia="宋体" w:cs="宋体"/>
          <w:szCs w:val="24"/>
          <w:highlight w:val="none"/>
          <w:lang w:eastAsia="zh-CN"/>
        </w:rPr>
      </w:pPr>
      <w:r>
        <w:rPr>
          <w:rFonts w:ascii="宋体" w:hAnsi="宋体" w:cs="宋体"/>
          <w:sz w:val="30"/>
          <w:szCs w:val="30"/>
          <w:highlight w:val="none"/>
        </w:rPr>
        <w:t xml:space="preserve"> </w:t>
      </w:r>
      <w:r>
        <w:rPr>
          <w:rFonts w:hint="eastAsia" w:ascii="宋体" w:hAnsi="宋体" w:cs="宋体"/>
          <w:sz w:val="30"/>
          <w:szCs w:val="30"/>
          <w:highlight w:val="none"/>
        </w:rPr>
        <w:t>乙方:</w:t>
      </w:r>
      <w:r>
        <w:rPr>
          <w:rFonts w:hint="eastAsia" w:ascii="宋体" w:hAnsi="宋体" w:cs="宋体"/>
          <w:szCs w:val="24"/>
          <w:highlight w:val="none"/>
        </w:rPr>
        <w:t xml:space="preserve"> </w:t>
      </w:r>
      <w:r>
        <w:rPr>
          <w:rFonts w:hint="eastAsia" w:ascii="宋体" w:hAnsi="宋体" w:cs="宋体"/>
          <w:sz w:val="30"/>
          <w:szCs w:val="30"/>
          <w:highlight w:val="none"/>
          <w:lang w:eastAsia="zh-CN"/>
        </w:rPr>
        <w:t>河南聚泰实业有限公司</w:t>
      </w:r>
    </w:p>
    <w:p>
      <w:pPr>
        <w:pStyle w:val="52"/>
        <w:ind w:firstLine="1800" w:firstLineChars="600"/>
        <w:rPr>
          <w:rFonts w:hint="eastAsia"/>
          <w:b w:val="0"/>
          <w:bCs/>
          <w:sz w:val="30"/>
          <w:szCs w:val="30"/>
          <w:highlight w:val="none"/>
          <w:lang w:val="en-US" w:eastAsia="zh-CN"/>
        </w:rPr>
      </w:pPr>
      <w:r>
        <w:rPr>
          <w:rFonts w:hint="eastAsia"/>
          <w:b w:val="0"/>
          <w:bCs/>
          <w:sz w:val="30"/>
          <w:szCs w:val="30"/>
          <w:highlight w:val="none"/>
        </w:rPr>
        <w:t>签订时间：</w:t>
      </w:r>
      <w:r>
        <w:rPr>
          <w:rFonts w:hint="eastAsia"/>
          <w:b w:val="0"/>
          <w:bCs/>
          <w:sz w:val="30"/>
          <w:szCs w:val="30"/>
          <w:highlight w:val="none"/>
          <w:lang w:val="en-US" w:eastAsia="zh-CN"/>
        </w:rPr>
        <w:t>二零二一年元月</w:t>
      </w:r>
    </w:p>
    <w:p>
      <w:pPr>
        <w:pStyle w:val="52"/>
        <w:ind w:firstLine="0" w:firstLineChars="0"/>
        <w:rPr>
          <w:rFonts w:hint="default"/>
          <w:b w:val="0"/>
          <w:bCs/>
          <w:sz w:val="30"/>
          <w:szCs w:val="30"/>
          <w:highlight w:val="none"/>
          <w:lang w:val="en-US" w:eastAsia="zh-CN"/>
        </w:rPr>
      </w:pPr>
      <w:bookmarkStart w:id="0" w:name="_GoBack"/>
      <w:bookmarkEnd w:id="0"/>
    </w:p>
    <w:p>
      <w:pPr>
        <w:widowControl/>
        <w:spacing w:beforeLines="50" w:afterLines="50" w:line="360" w:lineRule="auto"/>
        <w:ind w:left="120" w:leftChars="50" w:right="120" w:rightChars="50" w:firstLine="1606" w:firstLineChars="500"/>
        <w:jc w:val="both"/>
        <w:rPr>
          <w:rFonts w:hint="eastAsia" w:ascii="宋体" w:hAnsi="宋体" w:cs="宋体"/>
          <w:szCs w:val="24"/>
          <w:highlight w:val="none"/>
        </w:rPr>
      </w:pPr>
      <w:r>
        <w:rPr>
          <w:rStyle w:val="91"/>
          <w:rFonts w:hint="eastAsia" w:ascii="宋体" w:hAnsi="宋体" w:cs="宋体"/>
          <w:b/>
          <w:bCs/>
          <w:sz w:val="32"/>
          <w:szCs w:val="32"/>
          <w:highlight w:val="none"/>
        </w:rPr>
        <w:t>宜阳山水文苑防火门制作及安装工程</w:t>
      </w:r>
      <w:r>
        <w:rPr>
          <w:rFonts w:hint="eastAsia" w:ascii="宋体" w:hAnsi="宋体" w:cs="宋体"/>
          <w:b/>
          <w:bCs/>
          <w:sz w:val="32"/>
          <w:szCs w:val="32"/>
          <w:highlight w:val="none"/>
        </w:rPr>
        <w:t>合同</w:t>
      </w:r>
    </w:p>
    <w:p>
      <w:pPr>
        <w:widowControl/>
        <w:spacing w:line="360" w:lineRule="auto"/>
        <w:rPr>
          <w:rFonts w:ascii="宋体" w:hAnsi="宋体" w:cs="宋体"/>
          <w:szCs w:val="24"/>
          <w:highlight w:val="none"/>
          <w:u w:val="single"/>
        </w:rPr>
      </w:pPr>
      <w:r>
        <w:rPr>
          <w:rFonts w:hint="eastAsia" w:ascii="宋体" w:hAnsi="宋体" w:cs="宋体"/>
          <w:szCs w:val="24"/>
          <w:highlight w:val="none"/>
        </w:rPr>
        <w:t>甲方（全称）：</w:t>
      </w:r>
      <w:r>
        <w:rPr>
          <w:rFonts w:hint="eastAsia" w:ascii="宋体" w:hAnsi="宋体" w:cs="宋体"/>
          <w:szCs w:val="24"/>
          <w:highlight w:val="none"/>
          <w:u w:val="single"/>
        </w:rPr>
        <w:t>洛阳莘子园置业有限公司</w:t>
      </w:r>
    </w:p>
    <w:p>
      <w:pPr>
        <w:widowControl/>
        <w:spacing w:line="360" w:lineRule="auto"/>
        <w:rPr>
          <w:rFonts w:ascii="宋体" w:hAnsi="宋体" w:cs="宋体"/>
          <w:color w:val="000000"/>
          <w:szCs w:val="24"/>
          <w:highlight w:val="none"/>
          <w:u w:val="single"/>
        </w:rPr>
      </w:pPr>
      <w:r>
        <w:rPr>
          <w:rFonts w:hint="eastAsia" w:ascii="宋体" w:hAnsi="宋体" w:cs="宋体"/>
          <w:szCs w:val="24"/>
          <w:highlight w:val="none"/>
        </w:rPr>
        <w:t>乙方（全称）：</w:t>
      </w:r>
      <w:r>
        <w:rPr>
          <w:rFonts w:hint="eastAsia" w:ascii="宋体" w:hAnsi="宋体" w:cs="宋体"/>
          <w:szCs w:val="24"/>
          <w:highlight w:val="none"/>
          <w:u w:val="single"/>
          <w:lang w:eastAsia="zh-CN"/>
        </w:rPr>
        <w:t>河南聚泰实业有限公司</w:t>
      </w:r>
      <w:r>
        <w:rPr>
          <w:rFonts w:hint="eastAsia" w:ascii="宋体" w:hAnsi="宋体" w:cs="宋体"/>
          <w:szCs w:val="24"/>
          <w:highlight w:val="none"/>
          <w:u w:val="single"/>
        </w:rPr>
        <w:t xml:space="preserve">  </w:t>
      </w:r>
    </w:p>
    <w:p>
      <w:pPr>
        <w:widowControl/>
        <w:spacing w:line="500" w:lineRule="exact"/>
        <w:ind w:firstLine="352" w:firstLineChars="147"/>
        <w:rPr>
          <w:rFonts w:ascii="宋体" w:hAnsi="宋体" w:cs="宋体"/>
          <w:szCs w:val="24"/>
          <w:highlight w:val="none"/>
        </w:rPr>
      </w:pPr>
      <w:r>
        <w:rPr>
          <w:rFonts w:hint="eastAsia" w:ascii="宋体" w:hAnsi="宋体" w:cs="宋体"/>
          <w:szCs w:val="24"/>
          <w:highlight w:val="none"/>
        </w:rPr>
        <w:t>依照《中华人民共和国合同法》、《中华人民共和国建筑法》及其他有关法律、行政法规，遵循平等、自愿、公平和诚实信用的原则，双方就宜阳山水文苑防火门制作及安装工程施工事项协商一致，订立本合同。</w:t>
      </w:r>
    </w:p>
    <w:p>
      <w:pPr>
        <w:widowControl/>
        <w:tabs>
          <w:tab w:val="left" w:pos="0"/>
        </w:tabs>
        <w:spacing w:line="500" w:lineRule="exact"/>
        <w:rPr>
          <w:rFonts w:ascii="宋体" w:hAnsi="宋体" w:cs="宋体"/>
          <w:b/>
          <w:bCs/>
          <w:szCs w:val="24"/>
          <w:highlight w:val="none"/>
        </w:rPr>
      </w:pPr>
      <w:r>
        <w:rPr>
          <w:rFonts w:hint="eastAsia" w:ascii="宋体" w:hAnsi="宋体" w:cs="宋体"/>
          <w:b/>
          <w:bCs/>
          <w:szCs w:val="24"/>
          <w:highlight w:val="none"/>
        </w:rPr>
        <w:t>一、工程概况</w:t>
      </w:r>
    </w:p>
    <w:p>
      <w:pPr>
        <w:widowControl/>
        <w:spacing w:line="500" w:lineRule="exact"/>
        <w:ind w:left="1793" w:leftChars="147" w:hanging="1440" w:hangingChars="600"/>
        <w:rPr>
          <w:rFonts w:ascii="宋体" w:hAnsi="宋体" w:cs="宋体"/>
          <w:szCs w:val="24"/>
          <w:highlight w:val="none"/>
        </w:rPr>
      </w:pPr>
      <w:r>
        <w:rPr>
          <w:rFonts w:hint="eastAsia" w:ascii="宋体" w:hAnsi="宋体" w:cs="宋体"/>
          <w:szCs w:val="24"/>
          <w:highlight w:val="none"/>
        </w:rPr>
        <w:t>1、工程名称：宜阳山水文苑防火门制作及安装工程；</w:t>
      </w:r>
    </w:p>
    <w:p>
      <w:pPr>
        <w:widowControl/>
        <w:spacing w:line="500" w:lineRule="exact"/>
        <w:ind w:firstLine="360" w:firstLineChars="150"/>
        <w:rPr>
          <w:rFonts w:ascii="宋体" w:hAnsi="宋体" w:cs="宋体"/>
          <w:szCs w:val="24"/>
          <w:highlight w:val="none"/>
        </w:rPr>
      </w:pPr>
      <w:r>
        <w:rPr>
          <w:rFonts w:hint="eastAsia" w:ascii="宋体" w:hAnsi="宋体" w:cs="宋体"/>
          <w:szCs w:val="24"/>
          <w:highlight w:val="none"/>
        </w:rPr>
        <w:t>2、工程地点：河南省洛阳市宜阳县香鹿山镇滨河北路与锦龙大桥交汇处</w:t>
      </w:r>
    </w:p>
    <w:p>
      <w:pPr>
        <w:spacing w:line="360" w:lineRule="auto"/>
        <w:ind w:firstLine="360" w:firstLineChars="150"/>
        <w:rPr>
          <w:rFonts w:ascii="宋体" w:hAnsi="宋体" w:cs="宋体"/>
          <w:szCs w:val="24"/>
          <w:highlight w:val="none"/>
        </w:rPr>
      </w:pPr>
      <w:r>
        <w:rPr>
          <w:rFonts w:hint="eastAsia" w:ascii="宋体" w:hAnsi="宋体" w:cs="宋体"/>
          <w:szCs w:val="24"/>
          <w:highlight w:val="none"/>
        </w:rPr>
        <w:t>3、工程规模：</w:t>
      </w:r>
      <w:r>
        <w:rPr>
          <w:rFonts w:hint="eastAsia" w:ascii="宋体" w:hAnsi="宋体" w:cs="宋体"/>
          <w:szCs w:val="21"/>
          <w:highlight w:val="none"/>
        </w:rPr>
        <w:t>建面约130000㎡</w:t>
      </w:r>
    </w:p>
    <w:p>
      <w:pPr>
        <w:spacing w:line="360" w:lineRule="auto"/>
        <w:rPr>
          <w:rFonts w:ascii="宋体" w:hAnsi="宋体" w:cs="宋体"/>
          <w:b/>
          <w:szCs w:val="24"/>
          <w:highlight w:val="none"/>
        </w:rPr>
      </w:pPr>
      <w:r>
        <w:rPr>
          <w:rFonts w:hint="eastAsia" w:ascii="宋体" w:hAnsi="宋体" w:cs="宋体"/>
          <w:b/>
          <w:szCs w:val="24"/>
          <w:highlight w:val="none"/>
        </w:rPr>
        <w:t>二、工程承包范围</w:t>
      </w:r>
    </w:p>
    <w:p>
      <w:pPr>
        <w:spacing w:line="360" w:lineRule="auto"/>
        <w:ind w:left="1200" w:hanging="1200" w:hangingChars="500"/>
        <w:rPr>
          <w:rFonts w:ascii="宋体" w:hAnsi="宋体"/>
          <w:highlight w:val="none"/>
        </w:rPr>
      </w:pPr>
      <w:r>
        <w:rPr>
          <w:rFonts w:hint="eastAsia" w:ascii="宋体" w:hAnsi="宋体"/>
          <w:highlight w:val="none"/>
        </w:rPr>
        <w:t>1、承包范围：</w:t>
      </w:r>
      <w:r>
        <w:rPr>
          <w:rFonts w:hint="eastAsia" w:ascii="宋体" w:hAnsi="宋体" w:cs="宋体"/>
          <w:szCs w:val="24"/>
          <w:highlight w:val="none"/>
        </w:rPr>
        <w:t>宜阳山水文苑</w:t>
      </w:r>
      <w:r>
        <w:rPr>
          <w:rFonts w:hint="eastAsia" w:ascii="宋体" w:hAnsi="宋体" w:cs="宋体"/>
          <w:szCs w:val="24"/>
          <w:highlight w:val="none"/>
          <w:lang w:eastAsia="zh-CN"/>
        </w:rPr>
        <w:t>项目</w:t>
      </w:r>
      <w:r>
        <w:rPr>
          <w:rFonts w:hint="eastAsia" w:ascii="宋体" w:hAnsi="宋体" w:cs="宋体"/>
          <w:szCs w:val="24"/>
          <w:highlight w:val="none"/>
        </w:rPr>
        <w:t>防火门制作及安装</w:t>
      </w:r>
      <w:r>
        <w:rPr>
          <w:rFonts w:hint="eastAsia" w:ascii="宋体" w:hAnsi="宋体"/>
          <w:highlight w:val="none"/>
        </w:rPr>
        <w:t>。</w:t>
      </w:r>
    </w:p>
    <w:p>
      <w:pPr>
        <w:spacing w:line="360" w:lineRule="auto"/>
        <w:ind w:right="410" w:rightChars="171"/>
        <w:rPr>
          <w:rFonts w:ascii="宋体" w:hAnsi="宋体"/>
          <w:highlight w:val="none"/>
        </w:rPr>
      </w:pPr>
      <w:r>
        <w:rPr>
          <w:rFonts w:hint="eastAsia" w:ascii="宋体" w:hAnsi="宋体"/>
          <w:highlight w:val="none"/>
        </w:rPr>
        <w:t>2、承包方式：包含人工费、材料费、机械费、管理费、安装费、运输费、措施费、风险、利润、税金、验收等一切可能发生的费用。</w:t>
      </w:r>
    </w:p>
    <w:p>
      <w:pPr>
        <w:spacing w:line="360" w:lineRule="auto"/>
        <w:ind w:right="410" w:rightChars="171"/>
        <w:rPr>
          <w:rFonts w:ascii="宋体" w:hAnsi="宋体"/>
          <w:highlight w:val="none"/>
        </w:rPr>
      </w:pPr>
      <w:r>
        <w:rPr>
          <w:rFonts w:hint="eastAsia" w:ascii="宋体" w:hAnsi="宋体"/>
          <w:highlight w:val="none"/>
        </w:rPr>
        <w:t>3、工期</w:t>
      </w:r>
      <w:r>
        <w:rPr>
          <w:rFonts w:hint="eastAsia" w:ascii="宋体" w:hAnsi="宋体"/>
          <w:spacing w:val="-14"/>
          <w:highlight w:val="none"/>
        </w:rPr>
        <w:t>：</w:t>
      </w:r>
      <w:r>
        <w:rPr>
          <w:rFonts w:hint="eastAsia" w:ascii="宋体" w:hAnsi="宋体" w:cs="宋体"/>
          <w:bCs/>
          <w:spacing w:val="12"/>
          <w:szCs w:val="21"/>
          <w:highlight w:val="none"/>
          <w:lang w:eastAsia="zh-CN"/>
        </w:rPr>
        <w:t>分批次制作与安装，每批次</w:t>
      </w:r>
      <w:r>
        <w:rPr>
          <w:rFonts w:hint="eastAsia" w:ascii="宋体" w:hAnsi="宋体" w:cs="宋体"/>
          <w:bCs/>
          <w:spacing w:val="12"/>
          <w:szCs w:val="21"/>
          <w:highlight w:val="none"/>
        </w:rPr>
        <w:t>5</w:t>
      </w:r>
      <w:r>
        <w:rPr>
          <w:rFonts w:ascii="宋体" w:hAnsi="宋体" w:cs="宋体"/>
          <w:bCs/>
          <w:spacing w:val="12"/>
          <w:szCs w:val="21"/>
          <w:highlight w:val="none"/>
        </w:rPr>
        <w:t>0</w:t>
      </w:r>
      <w:r>
        <w:rPr>
          <w:rFonts w:hint="eastAsia" w:ascii="宋体" w:hAnsi="宋体" w:cs="宋体"/>
          <w:bCs/>
          <w:spacing w:val="12"/>
          <w:szCs w:val="21"/>
          <w:highlight w:val="none"/>
        </w:rPr>
        <w:t>日历天</w:t>
      </w:r>
      <w:r>
        <w:rPr>
          <w:rFonts w:hint="eastAsia" w:ascii="宋体" w:hAnsi="宋体"/>
          <w:spacing w:val="-14"/>
          <w:highlight w:val="none"/>
        </w:rPr>
        <w:t>，</w:t>
      </w:r>
      <w:r>
        <w:rPr>
          <w:rFonts w:hint="eastAsia" w:ascii="宋体" w:hAnsi="宋体" w:cs="宋体"/>
          <w:bCs/>
          <w:spacing w:val="12"/>
          <w:szCs w:val="21"/>
          <w:highlight w:val="none"/>
          <w:lang w:eastAsia="zh-CN"/>
        </w:rPr>
        <w:t>每批次</w:t>
      </w:r>
      <w:r>
        <w:rPr>
          <w:rFonts w:hint="eastAsia" w:ascii="宋体" w:hAnsi="宋体"/>
          <w:highlight w:val="none"/>
        </w:rPr>
        <w:t>乙方</w:t>
      </w:r>
      <w:r>
        <w:rPr>
          <w:rFonts w:hint="eastAsia" w:ascii="宋体" w:hAnsi="宋体"/>
          <w:highlight w:val="none"/>
          <w:lang w:eastAsia="zh-CN"/>
        </w:rPr>
        <w:t>在接甲方书面通知后</w:t>
      </w:r>
      <w:r>
        <w:rPr>
          <w:rFonts w:hint="eastAsia" w:ascii="宋体" w:hAnsi="宋体"/>
          <w:highlight w:val="none"/>
          <w:lang w:val="en-US" w:eastAsia="zh-CN"/>
        </w:rPr>
        <w:t>15天进场</w:t>
      </w:r>
      <w:r>
        <w:rPr>
          <w:rFonts w:hint="eastAsia" w:ascii="宋体" w:hAnsi="宋体"/>
          <w:highlight w:val="none"/>
        </w:rPr>
        <w:t>。</w:t>
      </w:r>
      <w:r>
        <w:rPr>
          <w:rFonts w:hint="eastAsia" w:ascii="宋体" w:hAnsi="宋体"/>
          <w:spacing w:val="-14"/>
          <w:highlight w:val="none"/>
        </w:rPr>
        <w:t>具体进场时间以甲方</w:t>
      </w:r>
      <w:r>
        <w:rPr>
          <w:rFonts w:hint="eastAsia" w:ascii="宋体" w:hAnsi="宋体"/>
          <w:spacing w:val="-14"/>
          <w:highlight w:val="none"/>
          <w:lang w:eastAsia="zh-CN"/>
        </w:rPr>
        <w:t>书面</w:t>
      </w:r>
      <w:r>
        <w:rPr>
          <w:rFonts w:hint="eastAsia" w:ascii="宋体" w:hAnsi="宋体"/>
          <w:spacing w:val="-14"/>
          <w:highlight w:val="none"/>
        </w:rPr>
        <w:t>通知为准</w:t>
      </w:r>
      <w:r>
        <w:rPr>
          <w:rFonts w:hint="eastAsia" w:ascii="宋体" w:hAnsi="宋体"/>
          <w:highlight w:val="none"/>
        </w:rPr>
        <w:t>。</w:t>
      </w:r>
      <w:r>
        <w:rPr>
          <w:rFonts w:hint="eastAsia" w:ascii="宋体" w:hAnsi="宋体"/>
          <w:spacing w:val="-14"/>
          <w:highlight w:val="none"/>
        </w:rPr>
        <w:t>（或以监理单位书面下发的开工令为准）</w:t>
      </w:r>
      <w:r>
        <w:rPr>
          <w:rFonts w:hint="eastAsia" w:ascii="宋体" w:hAnsi="宋体"/>
          <w:highlight w:val="none"/>
        </w:rPr>
        <w:t>。</w:t>
      </w:r>
    </w:p>
    <w:p>
      <w:pPr>
        <w:spacing w:line="360" w:lineRule="auto"/>
        <w:ind w:right="410" w:rightChars="171"/>
        <w:rPr>
          <w:rFonts w:hint="eastAsia" w:ascii="宋体" w:hAnsi="宋体" w:eastAsia="宋体"/>
          <w:highlight w:val="none"/>
          <w:lang w:eastAsia="zh-CN"/>
        </w:rPr>
      </w:pPr>
      <w:r>
        <w:rPr>
          <w:rFonts w:hint="eastAsia" w:ascii="宋体" w:hAnsi="宋体"/>
          <w:highlight w:val="none"/>
        </w:rPr>
        <w:t>4、工程质量：合格</w:t>
      </w:r>
      <w:r>
        <w:rPr>
          <w:rFonts w:hint="eastAsia" w:ascii="宋体" w:hAnsi="宋体"/>
          <w:highlight w:val="none"/>
          <w:lang w:eastAsia="zh-CN"/>
        </w:rPr>
        <w:t>。</w:t>
      </w:r>
    </w:p>
    <w:p>
      <w:pPr>
        <w:spacing w:line="360" w:lineRule="auto"/>
        <w:ind w:right="410" w:rightChars="171"/>
        <w:rPr>
          <w:rFonts w:hint="eastAsia" w:ascii="宋体" w:hAnsi="宋体" w:eastAsia="宋体"/>
          <w:highlight w:val="none"/>
          <w:lang w:eastAsia="zh-CN"/>
        </w:rPr>
      </w:pPr>
      <w:r>
        <w:rPr>
          <w:rFonts w:hint="eastAsia" w:ascii="宋体" w:hAnsi="宋体"/>
          <w:highlight w:val="none"/>
        </w:rPr>
        <w:t>5、安装方式：净口安装</w:t>
      </w:r>
      <w:r>
        <w:rPr>
          <w:rFonts w:hint="eastAsia" w:ascii="宋体" w:hAnsi="宋体"/>
          <w:highlight w:val="none"/>
          <w:lang w:eastAsia="zh-CN"/>
        </w:rPr>
        <w:t>。</w:t>
      </w:r>
    </w:p>
    <w:p>
      <w:pPr>
        <w:spacing w:line="360" w:lineRule="auto"/>
        <w:ind w:right="410" w:rightChars="171"/>
        <w:rPr>
          <w:rFonts w:ascii="宋体" w:hAnsi="宋体"/>
          <w:b/>
          <w:bCs/>
          <w:highlight w:val="none"/>
        </w:rPr>
      </w:pPr>
      <w:r>
        <w:rPr>
          <w:rFonts w:hint="eastAsia" w:ascii="宋体" w:hAnsi="宋体"/>
          <w:b/>
          <w:bCs/>
          <w:highlight w:val="none"/>
        </w:rPr>
        <w:t>三、合同价款</w:t>
      </w:r>
    </w:p>
    <w:p>
      <w:pPr>
        <w:widowControl/>
        <w:spacing w:beforeLines="50" w:afterLines="50" w:line="360" w:lineRule="auto"/>
        <w:ind w:left="120" w:leftChars="50" w:right="120" w:rightChars="50" w:firstLine="480" w:firstLineChars="200"/>
        <w:rPr>
          <w:rFonts w:ascii="宋体" w:hAnsi="宋体" w:cs="宋体"/>
          <w:szCs w:val="24"/>
          <w:highlight w:val="none"/>
        </w:rPr>
      </w:pPr>
      <w:r>
        <w:rPr>
          <w:rFonts w:hint="eastAsia" w:ascii="宋体" w:hAnsi="宋体"/>
          <w:highlight w:val="none"/>
        </w:rPr>
        <w:t>本合同采用</w:t>
      </w:r>
      <w:r>
        <w:rPr>
          <w:rFonts w:hint="eastAsia" w:ascii="宋体" w:hAnsi="宋体"/>
          <w:b/>
          <w:bCs/>
          <w:highlight w:val="none"/>
        </w:rPr>
        <w:t>固定综合单价</w:t>
      </w:r>
      <w:r>
        <w:rPr>
          <w:rFonts w:hint="eastAsia" w:ascii="宋体" w:hAnsi="宋体"/>
          <w:highlight w:val="none"/>
        </w:rPr>
        <w:t>包干的承包方式，本固定综合单价一次性包干，不随任何因素的变化而调整，防火门的暂定工程量及每平方米固定综合单价见附表。</w:t>
      </w:r>
      <w:r>
        <w:rPr>
          <w:rFonts w:hint="eastAsia" w:ascii="宋体" w:hAnsi="宋体" w:cs="宋体"/>
          <w:szCs w:val="24"/>
          <w:highlight w:val="none"/>
        </w:rPr>
        <w:t>本工程措施费包含在固定综合单价中，其中包括且不仅限于：垂直运输费用、脚手架费用、机械进出场费、安全文明施工费、成品保护等各种施工措施费。</w:t>
      </w:r>
    </w:p>
    <w:p>
      <w:pPr>
        <w:spacing w:line="360" w:lineRule="auto"/>
        <w:ind w:firstLine="480" w:firstLineChars="200"/>
        <w:rPr>
          <w:rFonts w:ascii="宋体" w:hAnsi="宋体"/>
          <w:highlight w:val="none"/>
        </w:rPr>
      </w:pPr>
      <w:r>
        <w:rPr>
          <w:rFonts w:ascii="宋体" w:hAnsi="宋体"/>
          <w:highlight w:val="none"/>
        </w:rPr>
        <w:t>本工程实行总包管理，乙方应服从总包单位的统一管理，对于进度、场地、施工计划，内墙粉刷施工配合等方面需与总包方协商进行。</w:t>
      </w:r>
    </w:p>
    <w:p>
      <w:pPr>
        <w:widowControl/>
        <w:spacing w:beforeLines="50" w:afterLines="50" w:line="360" w:lineRule="auto"/>
        <w:ind w:left="120" w:leftChars="50" w:right="120" w:rightChars="50" w:firstLine="480" w:firstLineChars="200"/>
        <w:rPr>
          <w:rFonts w:ascii="宋体" w:hAnsi="宋体" w:cs="宋体"/>
          <w:szCs w:val="24"/>
          <w:highlight w:val="none"/>
        </w:rPr>
      </w:pPr>
      <w:r>
        <w:rPr>
          <w:rFonts w:ascii="宋体" w:hAnsi="宋体"/>
          <w:highlight w:val="none"/>
        </w:rPr>
        <w:t>本工程过程发生的水电费用均由乙方承担，发生的水电费用由总包单位进行计量并由乙方与其协商后收取。</w:t>
      </w:r>
    </w:p>
    <w:p>
      <w:pPr>
        <w:spacing w:line="360" w:lineRule="auto"/>
        <w:ind w:firstLine="480" w:firstLineChars="200"/>
        <w:rPr>
          <w:rFonts w:ascii="宋体" w:hAnsi="宋体"/>
          <w:highlight w:val="none"/>
        </w:rPr>
      </w:pPr>
      <w:r>
        <w:rPr>
          <w:rFonts w:hint="eastAsia" w:ascii="宋体" w:hAnsi="宋体"/>
          <w:highlight w:val="none"/>
        </w:rPr>
        <w:t>合同总价款为：￥：</w:t>
      </w:r>
      <w:r>
        <w:rPr>
          <w:rFonts w:hint="eastAsia" w:ascii="宋体" w:hAnsi="宋体"/>
          <w:highlight w:val="none"/>
          <w:lang w:val="en-US" w:eastAsia="zh-CN"/>
        </w:rPr>
        <w:t>741809.64</w:t>
      </w:r>
      <w:r>
        <w:rPr>
          <w:rFonts w:hint="eastAsia" w:ascii="宋体" w:hAnsi="宋体"/>
          <w:highlight w:val="none"/>
        </w:rPr>
        <w:t>元，大写</w:t>
      </w:r>
      <w:r>
        <w:rPr>
          <w:rFonts w:hint="eastAsia" w:ascii="宋体" w:hAnsi="宋体"/>
          <w:highlight w:val="none"/>
          <w:lang w:eastAsia="zh-CN"/>
        </w:rPr>
        <w:t>柒拾肆万壹仟捌佰零玖元陆角肆分人民币</w:t>
      </w:r>
      <w:r>
        <w:rPr>
          <w:rFonts w:hint="eastAsia" w:ascii="宋体" w:hAnsi="宋体"/>
          <w:highlight w:val="none"/>
        </w:rPr>
        <w:t>，上述金额为含税金额其中，不含税金额为【</w:t>
      </w:r>
      <w:r>
        <w:rPr>
          <w:rFonts w:hint="eastAsia" w:ascii="宋体" w:hAnsi="宋体"/>
          <w:highlight w:val="none"/>
          <w:lang w:val="en-US" w:eastAsia="zh-CN"/>
        </w:rPr>
        <w:t>656468.71</w:t>
      </w:r>
      <w:r>
        <w:rPr>
          <w:rFonts w:hint="eastAsia" w:ascii="宋体" w:hAnsi="宋体"/>
          <w:highlight w:val="none"/>
        </w:rPr>
        <w:t>】元，增值税率为【</w:t>
      </w:r>
      <w:r>
        <w:rPr>
          <w:rFonts w:hint="eastAsia" w:ascii="宋体" w:hAnsi="宋体"/>
          <w:highlight w:val="none"/>
          <w:lang w:val="en-US" w:eastAsia="zh-CN"/>
        </w:rPr>
        <w:t>13</w:t>
      </w:r>
      <w:r>
        <w:rPr>
          <w:rFonts w:hint="eastAsia" w:ascii="宋体" w:hAnsi="宋体"/>
          <w:highlight w:val="none"/>
        </w:rPr>
        <w:t>】%，税款为【</w:t>
      </w:r>
      <w:r>
        <w:rPr>
          <w:rFonts w:hint="eastAsia" w:ascii="宋体" w:hAnsi="宋体"/>
          <w:highlight w:val="none"/>
          <w:lang w:val="en-US" w:eastAsia="zh-CN"/>
        </w:rPr>
        <w:t>85340.93</w:t>
      </w:r>
      <w:r>
        <w:rPr>
          <w:rFonts w:hint="eastAsia" w:ascii="宋体" w:hAnsi="宋体"/>
          <w:highlight w:val="none"/>
        </w:rPr>
        <w:t>】元。</w:t>
      </w:r>
    </w:p>
    <w:p>
      <w:pPr>
        <w:spacing w:line="360" w:lineRule="auto"/>
        <w:rPr>
          <w:rFonts w:ascii="宋体" w:hAnsi="宋体"/>
          <w:b/>
          <w:bCs/>
          <w:highlight w:val="none"/>
        </w:rPr>
      </w:pPr>
      <w:r>
        <w:rPr>
          <w:rFonts w:hint="eastAsia" w:ascii="宋体" w:hAnsi="宋体"/>
          <w:b/>
          <w:bCs/>
          <w:highlight w:val="none"/>
        </w:rPr>
        <w:t>四、技术要求</w:t>
      </w:r>
    </w:p>
    <w:p>
      <w:pPr>
        <w:spacing w:line="360" w:lineRule="auto"/>
        <w:ind w:firstLine="480" w:firstLineChars="200"/>
        <w:rPr>
          <w:rFonts w:ascii="宋体" w:hAnsi="宋体" w:cs="宋体"/>
          <w:highlight w:val="none"/>
        </w:rPr>
      </w:pPr>
      <w:r>
        <w:rPr>
          <w:rFonts w:hint="eastAsia" w:ascii="宋体" w:hAnsi="宋体" w:cs="宋体"/>
          <w:highlight w:val="none"/>
        </w:rPr>
        <w:t>防火门的颜色、样式待订货</w:t>
      </w:r>
      <w:r>
        <w:rPr>
          <w:rFonts w:ascii="宋体" w:hAnsi="宋体" w:cs="宋体"/>
          <w:highlight w:val="none"/>
        </w:rPr>
        <w:t>安装</w:t>
      </w:r>
      <w:r>
        <w:rPr>
          <w:rFonts w:hint="eastAsia" w:ascii="宋体" w:hAnsi="宋体" w:cs="宋体"/>
          <w:highlight w:val="none"/>
        </w:rPr>
        <w:t>前</w:t>
      </w:r>
      <w:r>
        <w:rPr>
          <w:rFonts w:ascii="宋体" w:hAnsi="宋体" w:cs="宋体"/>
          <w:highlight w:val="none"/>
        </w:rPr>
        <w:t>确定</w:t>
      </w:r>
      <w:r>
        <w:rPr>
          <w:rFonts w:hint="eastAsia" w:ascii="宋体" w:hAnsi="宋体" w:cs="宋体"/>
          <w:highlight w:val="none"/>
        </w:rPr>
        <w:t>样板。</w:t>
      </w:r>
    </w:p>
    <w:p>
      <w:pPr>
        <w:spacing w:line="360" w:lineRule="auto"/>
        <w:ind w:firstLine="480" w:firstLineChars="200"/>
        <w:rPr>
          <w:rFonts w:ascii="宋体" w:hAnsi="宋体" w:cs="宋体"/>
          <w:highlight w:val="none"/>
        </w:rPr>
      </w:pPr>
      <w:r>
        <w:rPr>
          <w:rFonts w:hint="eastAsia" w:ascii="宋体" w:hAnsi="宋体" w:cs="宋体"/>
          <w:highlight w:val="none"/>
        </w:rPr>
        <w:t>4.1、耐火性能</w:t>
      </w:r>
    </w:p>
    <w:p>
      <w:pPr>
        <w:spacing w:line="360" w:lineRule="auto"/>
        <w:ind w:firstLine="360" w:firstLineChars="150"/>
        <w:rPr>
          <w:rFonts w:ascii="宋体" w:hAnsi="宋体" w:cs="宋体"/>
          <w:highlight w:val="none"/>
        </w:rPr>
      </w:pPr>
      <w:r>
        <w:rPr>
          <w:rFonts w:hint="eastAsia" w:ascii="宋体" w:hAnsi="宋体" w:cs="宋体"/>
          <w:highlight w:val="none"/>
        </w:rPr>
        <w:t>（1）耐火等级为丙级，耐火隔热性≥0.50h，耐火完整性≥0.50h。</w:t>
      </w:r>
    </w:p>
    <w:p>
      <w:pPr>
        <w:spacing w:line="360" w:lineRule="auto"/>
        <w:ind w:firstLine="360" w:firstLineChars="150"/>
        <w:rPr>
          <w:rFonts w:ascii="宋体" w:hAnsi="宋体" w:cs="宋体"/>
          <w:highlight w:val="none"/>
        </w:rPr>
      </w:pPr>
      <w:r>
        <w:rPr>
          <w:rFonts w:hint="eastAsia" w:ascii="宋体" w:hAnsi="宋体" w:cs="宋体"/>
          <w:highlight w:val="none"/>
        </w:rPr>
        <w:t>（2）耐火等级为乙级，耐火隔热性≥1.00h，耐火完整性≥1.00h。</w:t>
      </w:r>
    </w:p>
    <w:p>
      <w:pPr>
        <w:spacing w:line="360" w:lineRule="auto"/>
        <w:ind w:firstLine="360" w:firstLineChars="150"/>
        <w:rPr>
          <w:rFonts w:ascii="宋体" w:hAnsi="宋体" w:cs="宋体"/>
          <w:highlight w:val="none"/>
        </w:rPr>
      </w:pPr>
      <w:r>
        <w:rPr>
          <w:rFonts w:hint="eastAsia" w:ascii="宋体" w:hAnsi="宋体" w:cs="宋体"/>
          <w:highlight w:val="none"/>
        </w:rPr>
        <w:t>（3）耐火等级为甲级，耐火隔热性≥1.50h，耐火完整性≥1.50h。</w:t>
      </w:r>
    </w:p>
    <w:p>
      <w:pPr>
        <w:spacing w:line="360" w:lineRule="auto"/>
        <w:ind w:firstLine="480" w:firstLineChars="200"/>
        <w:rPr>
          <w:rFonts w:ascii="宋体" w:hAnsi="宋体" w:cs="宋体"/>
          <w:highlight w:val="none"/>
        </w:rPr>
      </w:pPr>
      <w:r>
        <w:rPr>
          <w:rFonts w:hint="eastAsia" w:ascii="宋体" w:hAnsi="宋体" w:cs="宋体"/>
          <w:highlight w:val="none"/>
        </w:rPr>
        <w:t>4.2、材料</w:t>
      </w:r>
    </w:p>
    <w:p>
      <w:pPr>
        <w:spacing w:line="360" w:lineRule="auto"/>
        <w:ind w:firstLine="480" w:firstLineChars="200"/>
        <w:rPr>
          <w:rFonts w:ascii="宋体" w:hAnsi="宋体" w:cs="宋体"/>
          <w:highlight w:val="none"/>
        </w:rPr>
      </w:pPr>
      <w:r>
        <w:rPr>
          <w:rFonts w:hint="eastAsia" w:ascii="宋体" w:hAnsi="宋体" w:cs="宋体"/>
          <w:highlight w:val="none"/>
        </w:rPr>
        <w:t>防火门的门扇内若填充材料，则应填充对人体无毒无害的防火隔热材料。防火门门扇填充的对人体无毒无害的防火隔热材料，应经国家认可授权检测机构检验达到GB 8624规定燃烧性能A1级要求和GB/T 20285规定产烟毒性危险分级ZA2级要求。</w:t>
      </w:r>
    </w:p>
    <w:p>
      <w:pPr>
        <w:spacing w:line="360" w:lineRule="auto"/>
        <w:ind w:firstLine="480" w:firstLineChars="200"/>
        <w:rPr>
          <w:rFonts w:ascii="宋体" w:hAnsi="宋体" w:cs="宋体"/>
          <w:highlight w:val="none"/>
        </w:rPr>
      </w:pPr>
      <w:r>
        <w:rPr>
          <w:rFonts w:hint="eastAsia" w:ascii="宋体" w:hAnsi="宋体" w:cs="宋体"/>
          <w:highlight w:val="none"/>
        </w:rPr>
        <w:t>（1）木材及人造板</w:t>
      </w:r>
    </w:p>
    <w:p>
      <w:pPr>
        <w:spacing w:line="360" w:lineRule="auto"/>
        <w:ind w:firstLine="360" w:firstLineChars="150"/>
        <w:rPr>
          <w:rFonts w:ascii="宋体" w:hAnsi="宋体" w:cs="宋体"/>
          <w:highlight w:val="none"/>
        </w:rPr>
      </w:pPr>
      <w:r>
        <w:rPr>
          <w:rFonts w:hint="eastAsia" w:ascii="宋体" w:hAnsi="宋体" w:cs="宋体"/>
          <w:highlight w:val="none"/>
        </w:rPr>
        <w:t xml:space="preserve"> 防火门所用木材及人造板应符合JG／T 122中有关材质要求，木材应为阻燃木材或采用防火板包裹的复合材。所用木材及人造板应经国家认可授权检测机构按照GB／T 862检验达到该标准第7章难燃性要求，木材和人造板进行阻燃处理再进行干燥处理后的含水率不应大于12％，在制成防火门后的含水率不应大于当地的平衡含水率。</w:t>
      </w:r>
    </w:p>
    <w:p>
      <w:pPr>
        <w:spacing w:line="360" w:lineRule="auto"/>
        <w:ind w:firstLine="360" w:firstLineChars="150"/>
        <w:rPr>
          <w:rFonts w:ascii="宋体" w:hAnsi="宋体" w:cs="宋体"/>
          <w:highlight w:val="none"/>
        </w:rPr>
      </w:pPr>
      <w:r>
        <w:rPr>
          <w:rFonts w:hint="eastAsia" w:ascii="宋体" w:hAnsi="宋体" w:cs="宋体"/>
          <w:highlight w:val="none"/>
        </w:rPr>
        <w:t>（2）钢材</w:t>
      </w:r>
    </w:p>
    <w:p>
      <w:pPr>
        <w:spacing w:line="360" w:lineRule="auto"/>
        <w:ind w:firstLine="360" w:firstLineChars="150"/>
        <w:rPr>
          <w:rFonts w:hint="eastAsia" w:ascii="宋体" w:hAnsi="宋体" w:cs="宋体"/>
          <w:highlight w:val="none"/>
        </w:rPr>
      </w:pPr>
      <w:r>
        <w:rPr>
          <w:rFonts w:hint="eastAsia" w:ascii="宋体" w:hAnsi="宋体" w:cs="宋体"/>
          <w:highlight w:val="none"/>
        </w:rPr>
        <w:t xml:space="preserve"> 防火门框、门扇面板应采用性能不低于冷轧薄钢板的钢质材料，冷轧薄钢板应符合GB/T 708的规定。防火门所用加固件可采用性能不低于热轧钢材的钢质材料，热轧钢材应符合GB/T 709的规定。防火门所用钢质材料厚度应符合《防火门》GB 12955中表3的规定</w:t>
      </w:r>
      <w:r>
        <w:rPr>
          <w:rFonts w:hint="eastAsia" w:ascii="宋体" w:hAnsi="宋体" w:cs="宋体"/>
          <w:highlight w:val="none"/>
          <w:lang w:eastAsia="zh-CN"/>
        </w:rPr>
        <w:t>，如下表所示：</w:t>
      </w:r>
    </w:p>
    <w:tbl>
      <w:tblPr>
        <w:tblStyle w:val="45"/>
        <w:tblpPr w:leftFromText="180" w:rightFromText="180" w:vertAnchor="text" w:horzAnchor="page" w:tblpX="2015" w:tblpY="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hint="eastAsia" w:ascii="宋体" w:hAnsi="宋体" w:eastAsia="宋体" w:cs="宋体"/>
                <w:color w:val="auto"/>
                <w:highlight w:val="none"/>
                <w:vertAlign w:val="baseline"/>
                <w:lang w:eastAsia="zh-CN"/>
              </w:rPr>
            </w:pPr>
            <w:r>
              <w:rPr>
                <w:rFonts w:hint="eastAsia" w:ascii="宋体" w:hAnsi="宋体" w:cs="宋体"/>
                <w:color w:val="auto"/>
                <w:highlight w:val="none"/>
                <w:vertAlign w:val="baseline"/>
                <w:lang w:eastAsia="zh-CN"/>
              </w:rPr>
              <w:t>部件名称</w:t>
            </w:r>
          </w:p>
        </w:tc>
        <w:tc>
          <w:tcPr>
            <w:tcW w:w="5200" w:type="dxa"/>
          </w:tcPr>
          <w:p>
            <w:pPr>
              <w:spacing w:line="360" w:lineRule="auto"/>
              <w:jc w:val="center"/>
              <w:rPr>
                <w:rFonts w:hint="eastAsia" w:ascii="宋体" w:hAnsi="宋体" w:eastAsia="宋体" w:cs="宋体"/>
                <w:color w:val="auto"/>
                <w:highlight w:val="none"/>
                <w:vertAlign w:val="baseline"/>
                <w:lang w:eastAsia="zh-CN"/>
              </w:rPr>
            </w:pPr>
            <w:r>
              <w:rPr>
                <w:rFonts w:hint="eastAsia" w:ascii="宋体" w:hAnsi="宋体" w:cs="宋体"/>
                <w:color w:val="auto"/>
                <w:highlight w:val="none"/>
                <w:vertAlign w:val="baseline"/>
                <w:lang w:eastAsia="zh-CN"/>
              </w:rPr>
              <w:t>材料厚度（单位：</w:t>
            </w:r>
            <w:r>
              <w:rPr>
                <w:rFonts w:hint="eastAsia" w:ascii="宋体" w:hAnsi="宋体" w:cs="宋体"/>
                <w:color w:val="auto"/>
                <w:highlight w:val="none"/>
                <w:vertAlign w:val="baseline"/>
                <w:lang w:val="en-US" w:eastAsia="zh-CN"/>
              </w:rPr>
              <w:t>mm</w:t>
            </w:r>
            <w:r>
              <w:rPr>
                <w:rFonts w:hint="eastAsia" w:ascii="宋体" w:hAnsi="宋体" w:cs="宋体"/>
                <w:color w:val="auto"/>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hint="default" w:ascii="宋体" w:hAnsi="宋体" w:eastAsia="宋体" w:cs="宋体"/>
                <w:color w:val="auto"/>
                <w:highlight w:val="none"/>
                <w:vertAlign w:val="baseline"/>
                <w:lang w:val="en-US" w:eastAsia="zh-CN"/>
              </w:rPr>
            </w:pPr>
            <w:r>
              <w:rPr>
                <w:rFonts w:hint="eastAsia" w:ascii="宋体" w:hAnsi="宋体" w:cs="宋体"/>
                <w:color w:val="auto"/>
                <w:highlight w:val="none"/>
                <w:vertAlign w:val="baseline"/>
                <w:lang w:eastAsia="zh-CN"/>
              </w:rPr>
              <w:t>门扇</w:t>
            </w:r>
            <w:r>
              <w:rPr>
                <w:rFonts w:hint="eastAsia" w:ascii="宋体" w:hAnsi="宋体" w:cs="宋体"/>
                <w:color w:val="auto"/>
                <w:highlight w:val="none"/>
                <w:vertAlign w:val="baseline"/>
                <w:lang w:val="en-US" w:eastAsia="zh-CN"/>
              </w:rPr>
              <w:t>面板</w:t>
            </w:r>
          </w:p>
        </w:tc>
        <w:tc>
          <w:tcPr>
            <w:tcW w:w="5200" w:type="dxa"/>
          </w:tcPr>
          <w:p>
            <w:pPr>
              <w:spacing w:line="360" w:lineRule="auto"/>
              <w:jc w:val="center"/>
              <w:rPr>
                <w:rFonts w:hint="default" w:ascii="宋体" w:hAnsi="宋体" w:eastAsia="宋体" w:cs="宋体"/>
                <w:color w:val="auto"/>
                <w:highlight w:val="none"/>
                <w:vertAlign w:val="baseline"/>
                <w:lang w:val="en-US" w:eastAsia="zh-CN"/>
              </w:rPr>
            </w:pPr>
            <w:r>
              <w:rPr>
                <w:rFonts w:hint="eastAsia" w:ascii="宋体" w:hAnsi="宋体" w:cs="宋体"/>
                <w:color w:val="auto"/>
                <w:highlight w:val="none"/>
                <w:vertAlign w:val="baseline"/>
                <w:lang w:eastAsia="zh-CN"/>
              </w:rPr>
              <w:t>≥</w:t>
            </w:r>
            <w:r>
              <w:rPr>
                <w:rFonts w:hint="eastAsia" w:ascii="宋体" w:hAnsi="宋体" w:cs="宋体"/>
                <w:color w:val="auto"/>
                <w:highlight w:val="none"/>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hint="eastAsia" w:ascii="宋体" w:hAnsi="宋体" w:eastAsia="宋体" w:cs="宋体"/>
                <w:color w:val="auto"/>
                <w:highlight w:val="none"/>
                <w:vertAlign w:val="baseline"/>
                <w:lang w:eastAsia="zh-CN"/>
              </w:rPr>
            </w:pPr>
            <w:r>
              <w:rPr>
                <w:rFonts w:hint="eastAsia" w:ascii="宋体" w:hAnsi="宋体" w:cs="宋体"/>
                <w:color w:val="auto"/>
                <w:highlight w:val="none"/>
                <w:vertAlign w:val="baseline"/>
                <w:lang w:eastAsia="zh-CN"/>
              </w:rPr>
              <w:t>门框版</w:t>
            </w:r>
          </w:p>
        </w:tc>
        <w:tc>
          <w:tcPr>
            <w:tcW w:w="5200" w:type="dxa"/>
          </w:tcPr>
          <w:p>
            <w:pPr>
              <w:spacing w:line="360" w:lineRule="auto"/>
              <w:jc w:val="center"/>
              <w:rPr>
                <w:rFonts w:hint="default" w:ascii="宋体" w:hAnsi="宋体" w:cs="宋体"/>
                <w:color w:val="auto"/>
                <w:highlight w:val="none"/>
                <w:vertAlign w:val="baseline"/>
                <w:lang w:val="en-US"/>
              </w:rPr>
            </w:pPr>
            <w:r>
              <w:rPr>
                <w:rFonts w:hint="eastAsia" w:ascii="宋体" w:hAnsi="宋体" w:cs="宋体"/>
                <w:color w:val="auto"/>
                <w:highlight w:val="none"/>
                <w:vertAlign w:val="baseline"/>
                <w:lang w:eastAsia="zh-CN"/>
              </w:rPr>
              <w:t>≥</w:t>
            </w:r>
            <w:r>
              <w:rPr>
                <w:rFonts w:hint="eastAsia" w:ascii="宋体" w:hAnsi="宋体" w:cs="宋体"/>
                <w:color w:val="auto"/>
                <w:highlight w:val="none"/>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hint="eastAsia" w:ascii="宋体" w:hAnsi="宋体" w:eastAsia="宋体" w:cs="宋体"/>
                <w:color w:val="auto"/>
                <w:highlight w:val="none"/>
                <w:vertAlign w:val="baseline"/>
                <w:lang w:eastAsia="zh-CN"/>
              </w:rPr>
            </w:pPr>
            <w:r>
              <w:rPr>
                <w:rFonts w:hint="eastAsia" w:ascii="宋体" w:hAnsi="宋体" w:cs="宋体"/>
                <w:color w:val="auto"/>
                <w:highlight w:val="none"/>
                <w:vertAlign w:val="baseline"/>
                <w:lang w:eastAsia="zh-CN"/>
              </w:rPr>
              <w:t>铰链板</w:t>
            </w:r>
          </w:p>
        </w:tc>
        <w:tc>
          <w:tcPr>
            <w:tcW w:w="5200" w:type="dxa"/>
          </w:tcPr>
          <w:p>
            <w:pPr>
              <w:spacing w:line="360" w:lineRule="auto"/>
              <w:jc w:val="center"/>
              <w:rPr>
                <w:rFonts w:hint="default" w:ascii="宋体" w:hAnsi="宋体" w:cs="宋体"/>
                <w:color w:val="auto"/>
                <w:highlight w:val="none"/>
                <w:vertAlign w:val="baseline"/>
                <w:lang w:val="en-US"/>
              </w:rPr>
            </w:pPr>
            <w:r>
              <w:rPr>
                <w:rFonts w:hint="eastAsia" w:ascii="宋体" w:hAnsi="宋体" w:cs="宋体"/>
                <w:color w:val="auto"/>
                <w:highlight w:val="none"/>
                <w:vertAlign w:val="baseline"/>
                <w:lang w:eastAsia="zh-CN"/>
              </w:rPr>
              <w:t>≥</w:t>
            </w:r>
            <w:r>
              <w:rPr>
                <w:rFonts w:hint="eastAsia" w:ascii="宋体" w:hAnsi="宋体" w:cs="宋体"/>
                <w:color w:val="auto"/>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hint="eastAsia" w:ascii="宋体" w:hAnsi="宋体" w:eastAsia="宋体" w:cs="宋体"/>
                <w:color w:val="auto"/>
                <w:highlight w:val="none"/>
                <w:vertAlign w:val="baseline"/>
                <w:lang w:eastAsia="zh-CN"/>
              </w:rPr>
            </w:pPr>
            <w:r>
              <w:rPr>
                <w:rFonts w:hint="eastAsia" w:ascii="宋体" w:hAnsi="宋体" w:cs="宋体"/>
                <w:color w:val="auto"/>
                <w:highlight w:val="none"/>
                <w:vertAlign w:val="baseline"/>
                <w:lang w:eastAsia="zh-CN"/>
              </w:rPr>
              <w:t>不带螺孔的加固件</w:t>
            </w:r>
          </w:p>
        </w:tc>
        <w:tc>
          <w:tcPr>
            <w:tcW w:w="5200" w:type="dxa"/>
          </w:tcPr>
          <w:p>
            <w:pPr>
              <w:spacing w:line="360" w:lineRule="auto"/>
              <w:jc w:val="center"/>
              <w:rPr>
                <w:rFonts w:hint="default" w:ascii="宋体" w:hAnsi="宋体" w:cs="宋体"/>
                <w:color w:val="auto"/>
                <w:highlight w:val="none"/>
                <w:vertAlign w:val="baseline"/>
                <w:lang w:val="en-US"/>
              </w:rPr>
            </w:pPr>
            <w:r>
              <w:rPr>
                <w:rFonts w:hint="eastAsia" w:ascii="宋体" w:hAnsi="宋体" w:cs="宋体"/>
                <w:color w:val="auto"/>
                <w:highlight w:val="none"/>
                <w:vertAlign w:val="baseline"/>
                <w:lang w:eastAsia="zh-CN"/>
              </w:rPr>
              <w:t>≥</w:t>
            </w:r>
            <w:r>
              <w:rPr>
                <w:rFonts w:hint="eastAsia" w:ascii="宋体" w:hAnsi="宋体" w:cs="宋体"/>
                <w:color w:val="auto"/>
                <w:highlight w:val="none"/>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tcPr>
          <w:p>
            <w:pPr>
              <w:spacing w:line="360" w:lineRule="auto"/>
              <w:jc w:val="center"/>
              <w:rPr>
                <w:rFonts w:hint="eastAsia" w:ascii="宋体" w:hAnsi="宋体" w:eastAsia="宋体" w:cs="宋体"/>
                <w:color w:val="auto"/>
                <w:highlight w:val="none"/>
                <w:vertAlign w:val="baseline"/>
                <w:lang w:eastAsia="zh-CN"/>
              </w:rPr>
            </w:pPr>
            <w:r>
              <w:rPr>
                <w:rFonts w:hint="eastAsia" w:ascii="宋体" w:hAnsi="宋体" w:cs="宋体"/>
                <w:color w:val="auto"/>
                <w:highlight w:val="none"/>
                <w:vertAlign w:val="baseline"/>
                <w:lang w:eastAsia="zh-CN"/>
              </w:rPr>
              <w:t>带螺孔的加固件</w:t>
            </w:r>
          </w:p>
        </w:tc>
        <w:tc>
          <w:tcPr>
            <w:tcW w:w="5200" w:type="dxa"/>
          </w:tcPr>
          <w:p>
            <w:pPr>
              <w:spacing w:line="360" w:lineRule="auto"/>
              <w:jc w:val="center"/>
              <w:rPr>
                <w:rFonts w:hint="default" w:ascii="宋体" w:hAnsi="宋体" w:cs="宋体"/>
                <w:color w:val="auto"/>
                <w:highlight w:val="none"/>
                <w:vertAlign w:val="baseline"/>
                <w:lang w:val="en-US"/>
              </w:rPr>
            </w:pPr>
            <w:r>
              <w:rPr>
                <w:rFonts w:hint="eastAsia" w:ascii="宋体" w:hAnsi="宋体" w:cs="宋体"/>
                <w:color w:val="auto"/>
                <w:highlight w:val="none"/>
                <w:vertAlign w:val="baseline"/>
                <w:lang w:eastAsia="zh-CN"/>
              </w:rPr>
              <w:t>≥</w:t>
            </w:r>
            <w:r>
              <w:rPr>
                <w:rFonts w:hint="eastAsia" w:ascii="宋体" w:hAnsi="宋体" w:cs="宋体"/>
                <w:color w:val="auto"/>
                <w:highlight w:val="none"/>
                <w:vertAlign w:val="baseline"/>
                <w:lang w:val="en-US" w:eastAsia="zh-CN"/>
              </w:rPr>
              <w:t>3.0</w:t>
            </w:r>
          </w:p>
        </w:tc>
      </w:tr>
    </w:tbl>
    <w:p>
      <w:pPr>
        <w:pStyle w:val="52"/>
        <w:rPr>
          <w:highlight w:val="none"/>
        </w:rPr>
      </w:pPr>
    </w:p>
    <w:p>
      <w:pPr>
        <w:spacing w:line="360" w:lineRule="auto"/>
        <w:ind w:firstLine="0" w:firstLineChars="0"/>
        <w:rPr>
          <w:rFonts w:hint="eastAsia" w:ascii="宋体" w:hAnsi="宋体" w:cs="宋体"/>
          <w:highlight w:val="none"/>
        </w:rPr>
      </w:pPr>
    </w:p>
    <w:p>
      <w:pPr>
        <w:spacing w:line="360" w:lineRule="auto"/>
        <w:ind w:firstLine="480" w:firstLineChars="200"/>
        <w:rPr>
          <w:rFonts w:hint="eastAsia" w:ascii="宋体" w:hAnsi="宋体" w:cs="宋体"/>
          <w:highlight w:val="none"/>
        </w:rPr>
      </w:pPr>
    </w:p>
    <w:p>
      <w:pPr>
        <w:spacing w:line="360" w:lineRule="auto"/>
        <w:ind w:firstLine="480" w:firstLineChars="200"/>
        <w:rPr>
          <w:rFonts w:hint="eastAsia" w:ascii="宋体" w:hAnsi="宋体" w:cs="宋体"/>
          <w:highlight w:val="none"/>
        </w:rPr>
      </w:pPr>
    </w:p>
    <w:p>
      <w:pPr>
        <w:spacing w:line="360" w:lineRule="auto"/>
        <w:ind w:firstLine="480" w:firstLineChars="200"/>
        <w:rPr>
          <w:rFonts w:hint="eastAsia" w:ascii="宋体" w:hAnsi="宋体" w:cs="宋体"/>
          <w:highlight w:val="none"/>
        </w:rPr>
      </w:pPr>
    </w:p>
    <w:p>
      <w:pPr>
        <w:spacing w:line="360" w:lineRule="auto"/>
        <w:ind w:firstLine="480" w:firstLineChars="200"/>
        <w:rPr>
          <w:rFonts w:hint="eastAsia" w:ascii="宋体" w:hAnsi="宋体" w:cs="宋体"/>
          <w:highlight w:val="none"/>
        </w:rPr>
      </w:pPr>
    </w:p>
    <w:p>
      <w:pPr>
        <w:spacing w:line="360" w:lineRule="auto"/>
        <w:ind w:firstLine="480" w:firstLineChars="200"/>
        <w:rPr>
          <w:rFonts w:hint="eastAsia" w:ascii="宋体" w:hAnsi="宋体" w:cs="宋体"/>
          <w:highlight w:val="none"/>
        </w:rPr>
      </w:pPr>
    </w:p>
    <w:p>
      <w:pPr>
        <w:spacing w:line="360" w:lineRule="auto"/>
        <w:ind w:firstLine="480" w:firstLineChars="200"/>
        <w:rPr>
          <w:rFonts w:ascii="宋体" w:hAnsi="宋体" w:cs="宋体"/>
          <w:bCs/>
          <w:highlight w:val="none"/>
        </w:rPr>
      </w:pPr>
      <w:r>
        <w:rPr>
          <w:rFonts w:hint="eastAsia" w:ascii="宋体" w:hAnsi="宋体" w:cs="宋体"/>
          <w:highlight w:val="none"/>
        </w:rPr>
        <w:t>4.3</w:t>
      </w:r>
      <w:r>
        <w:rPr>
          <w:rFonts w:hint="eastAsia" w:ascii="宋体" w:hAnsi="宋体" w:cs="宋体"/>
          <w:bCs/>
          <w:highlight w:val="none"/>
        </w:rPr>
        <w:t>、配件</w:t>
      </w:r>
    </w:p>
    <w:p>
      <w:pPr>
        <w:spacing w:line="360" w:lineRule="auto"/>
        <w:ind w:firstLine="480" w:firstLineChars="200"/>
        <w:rPr>
          <w:rFonts w:ascii="宋体" w:hAnsi="宋体" w:cs="宋体"/>
          <w:bCs/>
          <w:highlight w:val="none"/>
        </w:rPr>
      </w:pPr>
      <w:r>
        <w:rPr>
          <w:rFonts w:hint="eastAsia" w:ascii="宋体" w:hAnsi="宋体" w:cs="宋体"/>
          <w:bCs/>
          <w:highlight w:val="none"/>
        </w:rPr>
        <w:t>（1）防火门安装的门锁应是防火锁，在门扇的有锁芯机构处，防火锁均应有执手或推杠机构，不允许以圆形或球形旋钮代替执手(特殊部位使用除外，如管道井门等)。防火锁应经国家认可授权检测机构检验合格，耐火性能应符合安装使用的防火门耐火性能及相应规定要求。</w:t>
      </w:r>
    </w:p>
    <w:p>
      <w:pPr>
        <w:spacing w:line="360" w:lineRule="auto"/>
        <w:ind w:firstLine="480" w:firstLineChars="200"/>
        <w:rPr>
          <w:rFonts w:ascii="宋体" w:hAnsi="宋体" w:cs="宋体"/>
          <w:bCs/>
          <w:highlight w:val="none"/>
        </w:rPr>
      </w:pPr>
      <w:r>
        <w:rPr>
          <w:rFonts w:hint="eastAsia" w:ascii="宋体" w:hAnsi="宋体" w:cs="宋体"/>
          <w:bCs/>
          <w:highlight w:val="none"/>
        </w:rPr>
        <w:t>（2）防火门用合页(铰链)板厚应不少于3mm。耐火性能应符合安装使用的防火门耐火性能及相应规定要求。</w:t>
      </w:r>
    </w:p>
    <w:p>
      <w:pPr>
        <w:spacing w:line="360" w:lineRule="auto"/>
        <w:ind w:firstLine="480" w:firstLineChars="200"/>
        <w:rPr>
          <w:rFonts w:ascii="宋体" w:hAnsi="宋体" w:cs="宋体"/>
          <w:bCs/>
          <w:highlight w:val="none"/>
        </w:rPr>
      </w:pPr>
      <w:r>
        <w:rPr>
          <w:rFonts w:hint="eastAsia" w:ascii="宋体" w:hAnsi="宋体" w:cs="宋体"/>
          <w:bCs/>
          <w:highlight w:val="none"/>
        </w:rPr>
        <w:t>（3）防火门应安装防火门闭门器，或设置让常开防火门在火灾发生时能自动关闭门扇的闭门装置(特殊部位使用除外，如管道井门等)。防火门闭门器和自动关闭门扇的闭门装置耐火性能应符合规范要求并经国家认可授权检测机构检验合格。</w:t>
      </w:r>
    </w:p>
    <w:p>
      <w:pPr>
        <w:ind w:firstLine="480" w:firstLineChars="200"/>
        <w:rPr>
          <w:highlight w:val="none"/>
        </w:rPr>
      </w:pPr>
      <w:r>
        <w:rPr>
          <w:rFonts w:hint="eastAsia"/>
          <w:highlight w:val="none"/>
        </w:rPr>
        <w:t>4.4、其它未尽事项应符合设计图纸，及《防火门》GB 12955等国家（地方）相关规范、规程、标准等的要求。</w:t>
      </w:r>
    </w:p>
    <w:p>
      <w:pPr>
        <w:rPr>
          <w:b/>
          <w:highlight w:val="none"/>
        </w:rPr>
      </w:pPr>
    </w:p>
    <w:p>
      <w:pPr>
        <w:rPr>
          <w:rFonts w:ascii="宋体" w:hAnsi="宋体"/>
          <w:b/>
          <w:bCs/>
          <w:highlight w:val="none"/>
        </w:rPr>
      </w:pPr>
      <w:r>
        <w:rPr>
          <w:rFonts w:hint="eastAsia" w:ascii="宋体" w:hAnsi="宋体"/>
          <w:b/>
          <w:bCs/>
          <w:highlight w:val="none"/>
        </w:rPr>
        <w:t>五、安装质量要求</w:t>
      </w:r>
    </w:p>
    <w:p>
      <w:pPr>
        <w:spacing w:line="360" w:lineRule="auto"/>
        <w:ind w:firstLine="480" w:firstLineChars="200"/>
        <w:rPr>
          <w:rFonts w:ascii="宋体" w:hAnsi="宋体" w:cs="宋体"/>
          <w:highlight w:val="none"/>
        </w:rPr>
      </w:pPr>
      <w:r>
        <w:rPr>
          <w:rFonts w:hint="eastAsia" w:ascii="宋体" w:hAnsi="宋体" w:cs="宋体"/>
          <w:highlight w:val="none"/>
        </w:rPr>
        <w:t>5.1</w:t>
      </w:r>
      <w:r>
        <w:rPr>
          <w:rFonts w:ascii="宋体" w:hAnsi="宋体" w:cs="宋体"/>
          <w:highlight w:val="none"/>
        </w:rPr>
        <w:t xml:space="preserve"> </w:t>
      </w:r>
      <w:r>
        <w:rPr>
          <w:rFonts w:hint="eastAsia" w:ascii="宋体" w:hAnsi="宋体" w:cs="宋体"/>
          <w:highlight w:val="none"/>
        </w:rPr>
        <w:t>防火门加工工艺和</w:t>
      </w:r>
      <w:r>
        <w:rPr>
          <w:rFonts w:ascii="宋体" w:hAnsi="宋体" w:cs="宋体"/>
          <w:highlight w:val="none"/>
        </w:rPr>
        <w:t>外观质量应满足</w:t>
      </w:r>
      <w:r>
        <w:rPr>
          <w:rFonts w:hint="eastAsia" w:ascii="宋体" w:hAnsi="宋体" w:cs="宋体"/>
          <w:highlight w:val="none"/>
        </w:rPr>
        <w:t>《防火门》GB12955-2008中</w:t>
      </w:r>
      <w:r>
        <w:rPr>
          <w:rFonts w:ascii="宋体" w:hAnsi="宋体" w:cs="宋体"/>
          <w:highlight w:val="none"/>
        </w:rPr>
        <w:t>第</w:t>
      </w:r>
      <w:r>
        <w:rPr>
          <w:rFonts w:hint="eastAsia" w:ascii="宋体" w:hAnsi="宋体" w:cs="宋体"/>
          <w:highlight w:val="none"/>
        </w:rPr>
        <w:t>5.4条中</w:t>
      </w:r>
      <w:r>
        <w:rPr>
          <w:rFonts w:ascii="宋体" w:hAnsi="宋体" w:cs="宋体"/>
          <w:highlight w:val="none"/>
        </w:rPr>
        <w:t>防火门</w:t>
      </w:r>
      <w:r>
        <w:rPr>
          <w:rFonts w:hint="eastAsia" w:ascii="宋体" w:hAnsi="宋体" w:cs="宋体"/>
          <w:highlight w:val="none"/>
        </w:rPr>
        <w:t>的</w:t>
      </w:r>
      <w:r>
        <w:rPr>
          <w:rFonts w:ascii="宋体" w:hAnsi="宋体" w:cs="宋体"/>
          <w:highlight w:val="none"/>
        </w:rPr>
        <w:t>相关要求。</w:t>
      </w:r>
    </w:p>
    <w:p>
      <w:pPr>
        <w:spacing w:line="360" w:lineRule="auto"/>
        <w:ind w:firstLine="480" w:firstLineChars="200"/>
        <w:rPr>
          <w:rFonts w:ascii="宋体" w:hAnsi="宋体" w:cs="宋体"/>
          <w:highlight w:val="none"/>
        </w:rPr>
      </w:pPr>
      <w:r>
        <w:rPr>
          <w:rFonts w:hint="eastAsia" w:ascii="宋体" w:hAnsi="宋体" w:cs="宋体"/>
          <w:highlight w:val="none"/>
        </w:rPr>
        <w:t>5.2</w:t>
      </w:r>
      <w:r>
        <w:rPr>
          <w:rFonts w:ascii="宋体" w:hAnsi="宋体" w:cs="宋体"/>
          <w:highlight w:val="none"/>
        </w:rPr>
        <w:t xml:space="preserve"> </w:t>
      </w:r>
      <w:r>
        <w:rPr>
          <w:rFonts w:hint="eastAsia" w:ascii="宋体" w:hAnsi="宋体" w:cs="宋体"/>
          <w:highlight w:val="none"/>
        </w:rPr>
        <w:t>尺寸极限偏差满足《防火门》GB12955-2008中</w:t>
      </w:r>
      <w:r>
        <w:rPr>
          <w:rFonts w:ascii="宋体" w:hAnsi="宋体" w:cs="宋体"/>
          <w:highlight w:val="none"/>
        </w:rPr>
        <w:t>第</w:t>
      </w:r>
      <w:r>
        <w:rPr>
          <w:rFonts w:hint="eastAsia" w:ascii="宋体" w:hAnsi="宋体" w:cs="宋体"/>
          <w:highlight w:val="none"/>
        </w:rPr>
        <w:t>5.</w:t>
      </w:r>
      <w:r>
        <w:rPr>
          <w:rFonts w:ascii="宋体" w:hAnsi="宋体" w:cs="宋体"/>
          <w:highlight w:val="none"/>
        </w:rPr>
        <w:t>6</w:t>
      </w:r>
      <w:r>
        <w:rPr>
          <w:rFonts w:hint="eastAsia" w:ascii="宋体" w:hAnsi="宋体" w:cs="宋体"/>
          <w:highlight w:val="none"/>
        </w:rPr>
        <w:t>条中的</w:t>
      </w:r>
      <w:r>
        <w:rPr>
          <w:rFonts w:ascii="宋体" w:hAnsi="宋体" w:cs="宋体"/>
          <w:highlight w:val="none"/>
        </w:rPr>
        <w:t>相关要求。</w:t>
      </w:r>
    </w:p>
    <w:p>
      <w:pPr>
        <w:spacing w:line="360" w:lineRule="auto"/>
        <w:ind w:firstLine="480" w:firstLineChars="200"/>
        <w:rPr>
          <w:rFonts w:ascii="宋体" w:hAnsi="宋体" w:cs="宋体"/>
          <w:highlight w:val="none"/>
        </w:rPr>
      </w:pPr>
      <w:r>
        <w:rPr>
          <w:rFonts w:hint="eastAsia" w:ascii="宋体" w:hAnsi="宋体" w:cs="宋体"/>
          <w:highlight w:val="none"/>
        </w:rPr>
        <w:t>5.3</w:t>
      </w:r>
      <w:r>
        <w:rPr>
          <w:rFonts w:ascii="宋体" w:hAnsi="宋体" w:cs="宋体"/>
          <w:highlight w:val="none"/>
        </w:rPr>
        <w:t xml:space="preserve"> </w:t>
      </w:r>
      <w:r>
        <w:rPr>
          <w:rFonts w:hint="eastAsia" w:ascii="宋体" w:hAnsi="宋体" w:cs="宋体"/>
          <w:highlight w:val="none"/>
        </w:rPr>
        <w:t>形位公差</w:t>
      </w:r>
      <w:r>
        <w:rPr>
          <w:rFonts w:ascii="宋体" w:hAnsi="宋体" w:cs="宋体"/>
          <w:highlight w:val="none"/>
        </w:rPr>
        <w:t>、配合公差分别满足</w:t>
      </w:r>
      <w:r>
        <w:rPr>
          <w:rFonts w:hint="eastAsia" w:ascii="宋体" w:hAnsi="宋体" w:cs="宋体"/>
          <w:highlight w:val="none"/>
        </w:rPr>
        <w:t>《防火门》GB12955-2008中</w:t>
      </w:r>
      <w:r>
        <w:rPr>
          <w:rFonts w:ascii="宋体" w:hAnsi="宋体" w:cs="宋体"/>
          <w:highlight w:val="none"/>
        </w:rPr>
        <w:t>第</w:t>
      </w:r>
      <w:r>
        <w:rPr>
          <w:rFonts w:hint="eastAsia" w:ascii="宋体" w:hAnsi="宋体" w:cs="宋体"/>
          <w:highlight w:val="none"/>
        </w:rPr>
        <w:t>5.</w:t>
      </w:r>
      <w:r>
        <w:rPr>
          <w:rFonts w:ascii="宋体" w:hAnsi="宋体" w:cs="宋体"/>
          <w:highlight w:val="none"/>
        </w:rPr>
        <w:t>7、5.8</w:t>
      </w:r>
      <w:r>
        <w:rPr>
          <w:rFonts w:hint="eastAsia" w:ascii="宋体" w:hAnsi="宋体" w:cs="宋体"/>
          <w:highlight w:val="none"/>
        </w:rPr>
        <w:t>条中的</w:t>
      </w:r>
      <w:r>
        <w:rPr>
          <w:rFonts w:ascii="宋体" w:hAnsi="宋体" w:cs="宋体"/>
          <w:highlight w:val="none"/>
        </w:rPr>
        <w:t>相关要求。</w:t>
      </w:r>
    </w:p>
    <w:p>
      <w:pPr>
        <w:spacing w:line="360" w:lineRule="auto"/>
        <w:ind w:firstLine="480" w:firstLineChars="200"/>
        <w:rPr>
          <w:rFonts w:ascii="宋体" w:hAnsi="宋体" w:cs="宋体"/>
          <w:highlight w:val="none"/>
        </w:rPr>
      </w:pPr>
      <w:r>
        <w:rPr>
          <w:rFonts w:ascii="宋体" w:hAnsi="宋体" w:cs="宋体"/>
          <w:highlight w:val="none"/>
        </w:rPr>
        <w:t xml:space="preserve">5.4 </w:t>
      </w:r>
      <w:r>
        <w:rPr>
          <w:rFonts w:hint="eastAsia" w:ascii="宋体" w:hAnsi="宋体" w:cs="宋体"/>
          <w:highlight w:val="none"/>
        </w:rPr>
        <w:t>灵活性</w:t>
      </w:r>
      <w:r>
        <w:rPr>
          <w:rFonts w:ascii="宋体" w:hAnsi="宋体" w:cs="宋体"/>
          <w:highlight w:val="none"/>
        </w:rPr>
        <w:t>、可靠性</w:t>
      </w:r>
      <w:r>
        <w:rPr>
          <w:rFonts w:hint="eastAsia" w:ascii="宋体" w:hAnsi="宋体" w:cs="宋体"/>
          <w:highlight w:val="none"/>
        </w:rPr>
        <w:t>均</w:t>
      </w:r>
      <w:r>
        <w:rPr>
          <w:rFonts w:ascii="宋体" w:hAnsi="宋体" w:cs="宋体"/>
          <w:highlight w:val="none"/>
        </w:rPr>
        <w:t>满足</w:t>
      </w:r>
      <w:r>
        <w:rPr>
          <w:rFonts w:hint="eastAsia" w:ascii="宋体" w:hAnsi="宋体" w:cs="宋体"/>
          <w:highlight w:val="none"/>
        </w:rPr>
        <w:t>《防火门》GB12955-2008中</w:t>
      </w:r>
      <w:r>
        <w:rPr>
          <w:rFonts w:ascii="宋体" w:hAnsi="宋体" w:cs="宋体"/>
          <w:highlight w:val="none"/>
        </w:rPr>
        <w:t>相关</w:t>
      </w:r>
      <w:r>
        <w:rPr>
          <w:rFonts w:hint="eastAsia" w:ascii="宋体" w:hAnsi="宋体" w:cs="宋体"/>
          <w:highlight w:val="none"/>
        </w:rPr>
        <w:t>条款的</w:t>
      </w:r>
      <w:r>
        <w:rPr>
          <w:rFonts w:ascii="宋体" w:hAnsi="宋体" w:cs="宋体"/>
          <w:highlight w:val="none"/>
        </w:rPr>
        <w:t>要求。</w:t>
      </w:r>
    </w:p>
    <w:p>
      <w:pPr>
        <w:spacing w:line="360" w:lineRule="auto"/>
        <w:ind w:left="480" w:leftChars="200"/>
        <w:rPr>
          <w:rFonts w:ascii="宋体" w:hAnsi="宋体" w:cs="宋体"/>
          <w:highlight w:val="none"/>
        </w:rPr>
      </w:pPr>
      <w:r>
        <w:rPr>
          <w:rFonts w:hint="eastAsia" w:ascii="宋体" w:hAnsi="宋体" w:cs="宋体"/>
          <w:highlight w:val="none"/>
        </w:rPr>
        <w:t xml:space="preserve">5.5.防火门必须在显著位置设置永久性标志铭牌。注明生产厂家、产品名称、耐火等级、产品代号及出厂日期。 </w:t>
      </w:r>
    </w:p>
    <w:p>
      <w:pPr>
        <w:spacing w:line="360" w:lineRule="auto"/>
        <w:ind w:firstLine="480" w:firstLineChars="200"/>
        <w:rPr>
          <w:rFonts w:ascii="宋体" w:hAnsi="宋体"/>
          <w:highlight w:val="none"/>
        </w:rPr>
      </w:pPr>
      <w:r>
        <w:rPr>
          <w:rFonts w:hint="eastAsia" w:ascii="宋体" w:hAnsi="宋体"/>
          <w:highlight w:val="none"/>
        </w:rPr>
        <w:t xml:space="preserve">发货时必须将出厂检验单随同发货单给予甲方。其中注明： </w:t>
      </w:r>
    </w:p>
    <w:p>
      <w:pPr>
        <w:spacing w:line="360" w:lineRule="auto"/>
        <w:ind w:firstLine="480" w:firstLineChars="200"/>
        <w:rPr>
          <w:rFonts w:ascii="宋体" w:hAnsi="宋体" w:cs="宋体"/>
          <w:highlight w:val="none"/>
        </w:rPr>
      </w:pPr>
      <w:r>
        <w:rPr>
          <w:rFonts w:hint="eastAsia" w:ascii="宋体" w:hAnsi="宋体" w:cs="宋体"/>
          <w:highlight w:val="none"/>
        </w:rPr>
        <w:t xml:space="preserve">（1） 证明书编号； </w:t>
      </w:r>
    </w:p>
    <w:p>
      <w:pPr>
        <w:spacing w:line="360" w:lineRule="auto"/>
        <w:ind w:firstLine="480" w:firstLineChars="200"/>
        <w:rPr>
          <w:rFonts w:ascii="宋体" w:hAnsi="宋体" w:cs="宋体"/>
          <w:highlight w:val="none"/>
        </w:rPr>
      </w:pPr>
      <w:r>
        <w:rPr>
          <w:rFonts w:hint="eastAsia" w:ascii="宋体" w:hAnsi="宋体" w:cs="宋体"/>
          <w:highlight w:val="none"/>
        </w:rPr>
        <w:t xml:space="preserve">（2）生产厂名称、厂址； </w:t>
      </w:r>
    </w:p>
    <w:p>
      <w:pPr>
        <w:spacing w:line="360" w:lineRule="auto"/>
        <w:ind w:firstLine="480" w:firstLineChars="200"/>
        <w:rPr>
          <w:rFonts w:ascii="宋体" w:hAnsi="宋体" w:cs="宋体"/>
          <w:highlight w:val="none"/>
        </w:rPr>
      </w:pPr>
      <w:r>
        <w:rPr>
          <w:rFonts w:hint="eastAsia" w:ascii="宋体" w:hAnsi="宋体" w:cs="宋体"/>
          <w:highlight w:val="none"/>
        </w:rPr>
        <w:t xml:space="preserve">（3）产品名称、级别、规格、数量及生产日期； </w:t>
      </w:r>
    </w:p>
    <w:p>
      <w:pPr>
        <w:spacing w:line="360" w:lineRule="auto"/>
        <w:ind w:firstLine="480" w:firstLineChars="200"/>
        <w:rPr>
          <w:rFonts w:ascii="宋体" w:hAnsi="宋体" w:cs="宋体"/>
          <w:highlight w:val="none"/>
        </w:rPr>
      </w:pPr>
      <w:r>
        <w:rPr>
          <w:rFonts w:hint="eastAsia" w:ascii="宋体" w:hAnsi="宋体" w:cs="宋体"/>
          <w:highlight w:val="none"/>
        </w:rPr>
        <w:t xml:space="preserve">（4） 产品性能检验结果； </w:t>
      </w:r>
    </w:p>
    <w:p>
      <w:pPr>
        <w:spacing w:line="360" w:lineRule="auto"/>
        <w:ind w:firstLine="480" w:firstLineChars="200"/>
        <w:rPr>
          <w:rFonts w:ascii="宋体" w:hAnsi="宋体" w:cs="宋体"/>
          <w:highlight w:val="none"/>
        </w:rPr>
      </w:pPr>
      <w:r>
        <w:rPr>
          <w:rFonts w:hint="eastAsia" w:ascii="宋体" w:hAnsi="宋体" w:cs="宋体"/>
          <w:highlight w:val="none"/>
        </w:rPr>
        <w:t>（5）生产厂检验部门及检验人员签名盖章。</w:t>
      </w:r>
    </w:p>
    <w:p>
      <w:pPr>
        <w:spacing w:line="360" w:lineRule="auto"/>
        <w:ind w:firstLine="480" w:firstLineChars="200"/>
        <w:rPr>
          <w:rFonts w:hint="eastAsia" w:ascii="宋体" w:hAnsi="宋体"/>
          <w:highlight w:val="none"/>
        </w:rPr>
      </w:pPr>
      <w:r>
        <w:rPr>
          <w:rFonts w:hint="eastAsia" w:ascii="宋体" w:hAnsi="宋体" w:cs="宋体"/>
          <w:highlight w:val="none"/>
        </w:rPr>
        <w:t>（6）门框安装为净口安装，净口安装两侧土建差距±30mm内的由乙方自行处理进行安</w:t>
      </w:r>
      <w:r>
        <w:rPr>
          <w:rFonts w:hint="eastAsia" w:ascii="宋体" w:hAnsi="宋体"/>
          <w:highlight w:val="none"/>
        </w:rPr>
        <w:t>装，超过±30mm的由土建总包单位进行修正。由乙方自行负责土建门洞尺寸复核。</w:t>
      </w:r>
    </w:p>
    <w:p>
      <w:pPr>
        <w:spacing w:line="360" w:lineRule="auto"/>
        <w:ind w:firstLine="480" w:firstLineChars="200"/>
        <w:rPr>
          <w:rFonts w:hint="eastAsia" w:ascii="宋体" w:hAnsi="宋体" w:cs="宋体"/>
          <w:highlight w:val="none"/>
        </w:rPr>
      </w:pPr>
      <w:r>
        <w:rPr>
          <w:rFonts w:ascii="宋体" w:hAnsi="宋体" w:cs="宋体"/>
          <w:highlight w:val="none"/>
        </w:rPr>
        <w:t>5.6</w:t>
      </w:r>
      <w:r>
        <w:rPr>
          <w:rFonts w:hint="eastAsia" w:ascii="宋体" w:hAnsi="宋体" w:cs="宋体"/>
          <w:highlight w:val="none"/>
        </w:rPr>
        <w:t xml:space="preserve"> 成品保护：安装完成后，需用泡沫或塑料专用保护膜进行成品保护。</w:t>
      </w:r>
    </w:p>
    <w:p>
      <w:pPr>
        <w:spacing w:line="360" w:lineRule="auto"/>
        <w:ind w:firstLine="480" w:firstLineChars="200"/>
        <w:rPr>
          <w:rFonts w:ascii="宋体" w:hAnsi="宋体" w:cs="宋体"/>
          <w:highlight w:val="none"/>
        </w:rPr>
      </w:pPr>
      <w:r>
        <w:rPr>
          <w:rFonts w:hint="eastAsia" w:ascii="宋体" w:hAnsi="宋体" w:cs="宋体"/>
          <w:highlight w:val="none"/>
        </w:rPr>
        <w:t>5.7</w:t>
      </w:r>
      <w:r>
        <w:rPr>
          <w:rFonts w:ascii="宋体" w:hAnsi="宋体" w:cs="宋体"/>
          <w:highlight w:val="none"/>
        </w:rPr>
        <w:t xml:space="preserve"> </w:t>
      </w:r>
      <w:r>
        <w:rPr>
          <w:rFonts w:hint="eastAsia" w:ascii="宋体" w:hAnsi="宋体" w:cs="宋体"/>
          <w:highlight w:val="none"/>
        </w:rPr>
        <w:t>防火门与公区精装区交界处收口内、外耐候胶由</w:t>
      </w:r>
      <w:r>
        <w:rPr>
          <w:rFonts w:hint="eastAsia" w:ascii="宋体" w:hAnsi="宋体" w:cs="宋体"/>
          <w:highlight w:val="none"/>
          <w:lang w:eastAsia="zh-CN"/>
        </w:rPr>
        <w:t>乙方</w:t>
      </w:r>
      <w:r>
        <w:rPr>
          <w:rFonts w:hint="eastAsia" w:ascii="宋体" w:hAnsi="宋体" w:cs="宋体"/>
          <w:highlight w:val="none"/>
        </w:rPr>
        <w:t>承担。</w:t>
      </w:r>
    </w:p>
    <w:p>
      <w:pPr>
        <w:spacing w:line="360" w:lineRule="auto"/>
        <w:ind w:firstLine="480" w:firstLineChars="200"/>
        <w:rPr>
          <w:rFonts w:ascii="宋体" w:hAnsi="宋体" w:cs="宋体"/>
          <w:highlight w:val="none"/>
        </w:rPr>
      </w:pPr>
      <w:r>
        <w:rPr>
          <w:rFonts w:hint="eastAsia" w:ascii="宋体" w:hAnsi="宋体" w:cs="宋体"/>
          <w:highlight w:val="none"/>
        </w:rPr>
        <w:t>5.8 本次工程中的所有防火门必须符合有关国家及消防部门验收标准，成品及配件必须有出厂合格证及检测报告。保证防火门工程一次通过消防部门的验收。</w:t>
      </w:r>
    </w:p>
    <w:p>
      <w:pPr>
        <w:pStyle w:val="52"/>
        <w:rPr>
          <w:highlight w:val="none"/>
        </w:rPr>
      </w:pPr>
      <w:r>
        <w:rPr>
          <w:rFonts w:hint="eastAsia" w:hAnsi="宋体" w:cs="宋体"/>
          <w:b w:val="0"/>
          <w:highlight w:val="none"/>
        </w:rPr>
        <w:t>5.9 净口安装的门框与建筑墙体间缝隙由乙方负责填补，填补缝隙须满足消防要求。</w:t>
      </w:r>
    </w:p>
    <w:p>
      <w:pPr>
        <w:rPr>
          <w:rFonts w:ascii="宋体" w:hAnsi="宋体"/>
          <w:highlight w:val="none"/>
        </w:rPr>
      </w:pPr>
      <w:r>
        <w:rPr>
          <w:rFonts w:hint="eastAsia" w:ascii="宋体" w:hAnsi="宋体"/>
          <w:b/>
          <w:bCs/>
          <w:highlight w:val="none"/>
        </w:rPr>
        <w:t>六、付款方式</w:t>
      </w:r>
    </w:p>
    <w:p>
      <w:pPr>
        <w:spacing w:line="360" w:lineRule="auto"/>
        <w:ind w:firstLine="480" w:firstLineChars="200"/>
        <w:rPr>
          <w:rFonts w:hint="eastAsia" w:ascii="宋体" w:hAnsi="宋体" w:eastAsia="宋体" w:cs="宋体"/>
          <w:highlight w:val="none"/>
          <w:lang w:eastAsia="zh-CN"/>
        </w:rPr>
      </w:pPr>
      <w:r>
        <w:rPr>
          <w:rFonts w:ascii="宋体" w:hAnsi="宋体" w:cs="宋体"/>
          <w:highlight w:val="none"/>
        </w:rPr>
        <w:t>本工程付款方式如下：</w:t>
      </w:r>
      <w:r>
        <w:rPr>
          <w:rFonts w:hint="eastAsia" w:ascii="宋体" w:hAnsi="宋体" w:cs="宋体"/>
          <w:highlight w:val="none"/>
          <w:lang w:eastAsia="zh-CN"/>
        </w:rPr>
        <w:t>分批次制作与安装分批次付款</w:t>
      </w:r>
    </w:p>
    <w:p>
      <w:pPr>
        <w:spacing w:line="360" w:lineRule="auto"/>
        <w:ind w:firstLine="480" w:firstLineChars="200"/>
        <w:rPr>
          <w:rFonts w:ascii="宋体" w:hAnsi="宋体"/>
          <w:highlight w:val="none"/>
        </w:rPr>
      </w:pPr>
      <w:r>
        <w:rPr>
          <w:rFonts w:hint="eastAsia" w:ascii="宋体" w:hAnsi="宋体"/>
          <w:highlight w:val="none"/>
          <w:lang w:val="en-US" w:eastAsia="zh-CN"/>
        </w:rPr>
        <w:t>1、</w:t>
      </w:r>
      <w:r>
        <w:rPr>
          <w:rFonts w:hint="eastAsia" w:ascii="宋体" w:hAnsi="宋体"/>
          <w:highlight w:val="none"/>
          <w:lang w:eastAsia="zh-CN"/>
        </w:rPr>
        <w:t>每批次</w:t>
      </w:r>
      <w:r>
        <w:rPr>
          <w:rFonts w:hint="eastAsia" w:ascii="宋体" w:hAnsi="宋体"/>
          <w:highlight w:val="none"/>
        </w:rPr>
        <w:t>依据已完工程进度，安装完成全部工程量的50%，经甲方、监理及相关部门验收合格后，支付至</w:t>
      </w:r>
      <w:r>
        <w:rPr>
          <w:rFonts w:hint="eastAsia" w:ascii="宋体" w:hAnsi="宋体"/>
          <w:highlight w:val="none"/>
          <w:lang w:eastAsia="zh-CN"/>
        </w:rPr>
        <w:t>该批次</w:t>
      </w:r>
      <w:r>
        <w:rPr>
          <w:rFonts w:hint="eastAsia" w:ascii="宋体" w:hAnsi="宋体"/>
          <w:highlight w:val="none"/>
        </w:rPr>
        <w:t>已完工程造价的80%；</w:t>
      </w:r>
    </w:p>
    <w:p>
      <w:pPr>
        <w:spacing w:line="360" w:lineRule="auto"/>
        <w:ind w:left="398" w:leftChars="166" w:firstLine="0" w:firstLineChars="0"/>
        <w:rPr>
          <w:rFonts w:hint="eastAsia" w:ascii="宋体" w:hAnsi="宋体" w:eastAsia="宋体"/>
          <w:highlight w:val="none"/>
          <w:lang w:eastAsia="zh-CN"/>
        </w:rPr>
      </w:pPr>
      <w:r>
        <w:rPr>
          <w:rFonts w:hint="eastAsia" w:ascii="宋体" w:hAnsi="宋体"/>
          <w:highlight w:val="none"/>
          <w:lang w:val="en-US" w:eastAsia="zh-CN"/>
        </w:rPr>
        <w:t>2、</w:t>
      </w:r>
      <w:r>
        <w:rPr>
          <w:rFonts w:hint="eastAsia" w:ascii="宋体" w:hAnsi="宋体"/>
          <w:highlight w:val="none"/>
        </w:rPr>
        <w:t>工程安装完毕，经甲方、监理及相关部门验收合格后，支付至已完工程造价的80%；</w:t>
      </w:r>
      <w:r>
        <w:rPr>
          <w:rFonts w:hint="eastAsia" w:ascii="宋体" w:hAnsi="宋体"/>
          <w:highlight w:val="none"/>
          <w:lang w:val="en-US" w:eastAsia="zh-CN"/>
        </w:rPr>
        <w:t>3、</w:t>
      </w:r>
      <w:r>
        <w:rPr>
          <w:rFonts w:ascii="宋体" w:hAnsi="宋体"/>
          <w:highlight w:val="none"/>
        </w:rPr>
        <w:t>工程全部施工完毕，经消防部门最终验收通过后，乙方需报送完备的工程结算资料并配合甲方办理结算完成，支付结算价款的95%，余5%作为质保金，质保期满无质量问题后一次性无息付清该质保金，质保期两年，自全部工程完工经甲方及相关部门验收合格并通过消防部门验收之日起计算</w:t>
      </w:r>
      <w:r>
        <w:rPr>
          <w:rFonts w:hint="eastAsia" w:ascii="宋体" w:hAnsi="宋体"/>
          <w:highlight w:val="none"/>
          <w:lang w:eastAsia="zh-CN"/>
        </w:rPr>
        <w:t>；</w:t>
      </w:r>
    </w:p>
    <w:p>
      <w:pPr>
        <w:snapToGrid w:val="0"/>
        <w:spacing w:line="360" w:lineRule="auto"/>
        <w:ind w:firstLine="480" w:firstLineChars="200"/>
        <w:rPr>
          <w:rFonts w:ascii="宋体" w:hAnsi="宋体"/>
          <w:highlight w:val="none"/>
        </w:rPr>
      </w:pPr>
      <w:r>
        <w:rPr>
          <w:rFonts w:hint="eastAsia" w:ascii="宋体" w:hAnsi="宋体"/>
          <w:highlight w:val="none"/>
          <w:lang w:val="en-US" w:eastAsia="zh-CN"/>
        </w:rPr>
        <w:t>4、</w:t>
      </w:r>
      <w:r>
        <w:rPr>
          <w:rFonts w:hint="eastAsia" w:ascii="宋体" w:hAnsi="宋体"/>
          <w:highlight w:val="none"/>
        </w:rPr>
        <w:t>每次付款前，乙方应按甲方要求出具合法有效的增值税【专用】发票。当甲方向乙方累计支付款项至本合同结算值的95％时，乙方须向甲方开具结算值100％的合法有效的发票。如乙方未按甲方要求出具相应发票，甲方有权拒绝支付该批次工程款。</w:t>
      </w:r>
    </w:p>
    <w:p>
      <w:pPr>
        <w:spacing w:line="360" w:lineRule="auto"/>
        <w:rPr>
          <w:rFonts w:ascii="宋体" w:hAnsi="宋体"/>
          <w:b/>
          <w:bCs/>
          <w:highlight w:val="none"/>
        </w:rPr>
      </w:pPr>
      <w:r>
        <w:rPr>
          <w:rFonts w:hint="eastAsia" w:ascii="宋体" w:hAnsi="宋体"/>
          <w:b/>
          <w:bCs/>
          <w:highlight w:val="none"/>
        </w:rPr>
        <w:t>七、结算方式</w:t>
      </w:r>
    </w:p>
    <w:p>
      <w:pPr>
        <w:spacing w:line="360" w:lineRule="auto"/>
        <w:ind w:firstLine="480" w:firstLineChars="200"/>
        <w:rPr>
          <w:rFonts w:ascii="宋体" w:hAnsi="宋体" w:cs="宋体"/>
          <w:highlight w:val="none"/>
        </w:rPr>
      </w:pPr>
      <w:r>
        <w:rPr>
          <w:rFonts w:hint="eastAsia" w:ascii="宋体" w:hAnsi="宋体" w:cs="宋体"/>
          <w:highlight w:val="none"/>
        </w:rPr>
        <w:t>本工程结算方式如下：</w:t>
      </w:r>
    </w:p>
    <w:p>
      <w:pPr>
        <w:spacing w:line="360" w:lineRule="auto"/>
        <w:rPr>
          <w:rFonts w:ascii="宋体" w:hAnsi="宋体"/>
          <w:szCs w:val="24"/>
          <w:highlight w:val="none"/>
        </w:rPr>
      </w:pPr>
      <w:r>
        <w:rPr>
          <w:rFonts w:hint="eastAsia" w:ascii="宋体" w:hAnsi="宋体"/>
          <w:szCs w:val="24"/>
          <w:highlight w:val="none"/>
        </w:rPr>
        <w:t>结算金额=Σ固定综合单价*施工图的门洞净口面积±变更签证-应扣费用</w:t>
      </w:r>
    </w:p>
    <w:p>
      <w:pPr>
        <w:widowControl/>
        <w:spacing w:line="360" w:lineRule="auto"/>
        <w:ind w:firstLine="480" w:firstLineChars="200"/>
        <w:rPr>
          <w:rFonts w:ascii="宋体" w:hAnsi="宋体" w:cs="宋体"/>
          <w:szCs w:val="24"/>
          <w:highlight w:val="none"/>
        </w:rPr>
      </w:pPr>
      <w:r>
        <w:rPr>
          <w:rFonts w:hint="eastAsia" w:ascii="宋体" w:hAnsi="宋体" w:cs="宋体"/>
          <w:szCs w:val="24"/>
          <w:highlight w:val="none"/>
        </w:rPr>
        <w:t>最终按实际供货量和附表中的综合单价进行结算。工程竣工经过消防验收合格并备案后办理结算手续。结算数量以甲方、乙方、监理签字确定的实际安装数量为准。</w:t>
      </w:r>
    </w:p>
    <w:p>
      <w:pPr>
        <w:widowControl/>
        <w:spacing w:line="360" w:lineRule="auto"/>
        <w:ind w:firstLine="480" w:firstLineChars="200"/>
        <w:rPr>
          <w:rFonts w:ascii="宋体" w:hAnsi="宋体"/>
          <w:highlight w:val="none"/>
        </w:rPr>
      </w:pPr>
      <w:r>
        <w:rPr>
          <w:rFonts w:hint="eastAsia" w:ascii="宋体" w:hAnsi="宋体" w:cs="宋体"/>
          <w:szCs w:val="24"/>
          <w:highlight w:val="none"/>
        </w:rPr>
        <w:t>如本工程施工过程中，需增加非本合同范围内的其它门型时，需经甲方确认单价后方可进行施工，如未经甲方认可，结算时按甲方认为的可行的单价进行结算。</w:t>
      </w:r>
    </w:p>
    <w:p>
      <w:pPr>
        <w:adjustRightInd w:val="0"/>
        <w:snapToGrid w:val="0"/>
        <w:spacing w:line="360" w:lineRule="auto"/>
        <w:ind w:firstLine="480" w:firstLineChars="200"/>
        <w:jc w:val="left"/>
        <w:rPr>
          <w:rFonts w:ascii="宋体" w:hAnsi="宋体" w:cs="宋体"/>
          <w:kern w:val="0"/>
          <w:szCs w:val="24"/>
          <w:highlight w:val="none"/>
        </w:rPr>
      </w:pPr>
      <w:r>
        <w:rPr>
          <w:rFonts w:hint="eastAsia" w:ascii="宋体" w:hAnsi="宋体" w:cs="宋体"/>
          <w:szCs w:val="24"/>
          <w:highlight w:val="none"/>
        </w:rPr>
        <w:t>乙方报送结算书应诚实准确，若最终审减额超过结算金额的5%则需要乙方向甲方支付超</w:t>
      </w:r>
      <w:r>
        <w:rPr>
          <w:rFonts w:hint="eastAsia" w:ascii="宋体" w:hAnsi="宋体" w:cs="宋体"/>
          <w:kern w:val="0"/>
          <w:szCs w:val="24"/>
          <w:highlight w:val="none"/>
        </w:rPr>
        <w:t>出部分费用的3%作为扣款，在结算报告中一次扣除。</w:t>
      </w:r>
    </w:p>
    <w:p>
      <w:pPr>
        <w:rPr>
          <w:rFonts w:hint="eastAsia" w:ascii="宋体" w:hAnsi="宋体" w:cs="Times New Roman"/>
          <w:b/>
          <w:bCs/>
          <w:szCs w:val="22"/>
          <w:highlight w:val="none"/>
        </w:rPr>
      </w:pPr>
      <w:r>
        <w:rPr>
          <w:rFonts w:hint="eastAsia" w:ascii="宋体" w:hAnsi="宋体" w:cs="Times New Roman"/>
          <w:b/>
          <w:bCs/>
          <w:szCs w:val="22"/>
          <w:highlight w:val="none"/>
        </w:rPr>
        <w:t>八、工程变更</w:t>
      </w:r>
    </w:p>
    <w:p>
      <w:pPr>
        <w:snapToGrid w:val="0"/>
        <w:spacing w:line="360" w:lineRule="auto"/>
        <w:ind w:firstLine="480" w:firstLineChars="200"/>
        <w:jc w:val="left"/>
        <w:rPr>
          <w:rFonts w:ascii="宋体" w:hAnsi="宋体"/>
          <w:highlight w:val="none"/>
        </w:rPr>
      </w:pPr>
      <w:r>
        <w:rPr>
          <w:rFonts w:hint="eastAsia" w:ascii="宋体" w:hAnsi="宋体"/>
          <w:highlight w:val="none"/>
        </w:rPr>
        <w:t>1、乙方应严格按照经甲方核审签认的施工图纸施工，不得随意变更；若确须变更，应按程序报甲方书面同意后，方可变更施工。否则造成的一切后果均由乙方负责。</w:t>
      </w:r>
    </w:p>
    <w:p>
      <w:pPr>
        <w:snapToGrid w:val="0"/>
        <w:spacing w:line="360" w:lineRule="auto"/>
        <w:ind w:firstLine="480" w:firstLineChars="200"/>
        <w:jc w:val="left"/>
        <w:rPr>
          <w:rFonts w:ascii="宋体" w:hAnsi="宋体"/>
          <w:highlight w:val="none"/>
        </w:rPr>
      </w:pPr>
      <w:r>
        <w:rPr>
          <w:rFonts w:hint="eastAsia" w:ascii="宋体" w:hAnsi="宋体"/>
          <w:highlight w:val="none"/>
        </w:rPr>
        <w:t>2、施工过程中，若甲方需要增减项目或变更项目应提前以书面形式通知乙方。</w:t>
      </w:r>
    </w:p>
    <w:p>
      <w:pPr>
        <w:snapToGrid w:val="0"/>
        <w:spacing w:line="360" w:lineRule="auto"/>
        <w:ind w:firstLine="480" w:firstLineChars="200"/>
        <w:jc w:val="left"/>
        <w:rPr>
          <w:rFonts w:ascii="宋体" w:hAnsi="宋体"/>
          <w:highlight w:val="none"/>
        </w:rPr>
      </w:pPr>
      <w:r>
        <w:rPr>
          <w:rFonts w:hint="eastAsia" w:ascii="宋体" w:hAnsi="宋体"/>
          <w:highlight w:val="none"/>
        </w:rPr>
        <w:t>3、变更签证结算办法：若因乙方原因引起的设计变更，增加的费用由乙方承担，减少的费用结算时扣除。若因甲方设计原因引起的设计变更，由甲方出具设计变更单。因设计变更引起工程量增减项，该项目在合同清单中有相同价格的执行相同合同单价，有类似价格的执行类似合同单价，合同中无适用或类似价格的，双方协商确定。</w:t>
      </w:r>
    </w:p>
    <w:p>
      <w:pPr>
        <w:pStyle w:val="2"/>
        <w:rPr>
          <w:rFonts w:hint="eastAsia" w:ascii="宋体" w:hAnsi="宋体" w:cs="Times New Roman"/>
          <w:b/>
          <w:bCs/>
          <w:kern w:val="2"/>
          <w:sz w:val="24"/>
          <w:szCs w:val="22"/>
          <w:highlight w:val="none"/>
        </w:rPr>
      </w:pPr>
      <w:r>
        <w:rPr>
          <w:rFonts w:hint="eastAsia" w:ascii="宋体" w:hAnsi="宋体" w:cs="Times New Roman"/>
          <w:b/>
          <w:bCs/>
          <w:kern w:val="2"/>
          <w:sz w:val="24"/>
          <w:szCs w:val="22"/>
          <w:highlight w:val="none"/>
        </w:rPr>
        <w:t>九、不可抗力</w:t>
      </w:r>
    </w:p>
    <w:p>
      <w:pPr>
        <w:snapToGrid w:val="0"/>
        <w:spacing w:line="360" w:lineRule="auto"/>
        <w:ind w:firstLine="480" w:firstLineChars="200"/>
        <w:jc w:val="left"/>
        <w:rPr>
          <w:rFonts w:ascii="宋体" w:hAnsi="宋体"/>
          <w:highlight w:val="none"/>
        </w:rPr>
      </w:pPr>
      <w:r>
        <w:rPr>
          <w:rFonts w:hint="eastAsia" w:ascii="宋体" w:hAnsi="宋体"/>
          <w:highlight w:val="none"/>
        </w:rPr>
        <w:t>1、不可抗力指因战争</w:t>
      </w:r>
      <w:r>
        <w:rPr>
          <w:rFonts w:hint="eastAsia" w:ascii="宋体" w:hAnsi="宋体"/>
          <w:highlight w:val="none"/>
          <w:lang w:eastAsia="zh-CN"/>
        </w:rPr>
        <w:t>、</w:t>
      </w:r>
      <w:r>
        <w:rPr>
          <w:rFonts w:hint="eastAsia" w:ascii="宋体" w:hAnsi="宋体"/>
          <w:highlight w:val="none"/>
        </w:rPr>
        <w:t>动乱、空中飞行物坠落或其他非双方责任造成的爆炸、火灾以及9级以上的台风、7级及7级以上的地震、政府确认的瘟疫等。（以当地行业主管部门的公告为准 ）</w:t>
      </w:r>
    </w:p>
    <w:p>
      <w:pPr>
        <w:snapToGrid w:val="0"/>
        <w:spacing w:line="360" w:lineRule="auto"/>
        <w:ind w:firstLine="480" w:firstLineChars="200"/>
        <w:jc w:val="left"/>
        <w:rPr>
          <w:rFonts w:ascii="宋体" w:hAnsi="宋体"/>
          <w:highlight w:val="none"/>
        </w:rPr>
      </w:pPr>
      <w:r>
        <w:rPr>
          <w:rFonts w:hint="eastAsia" w:ascii="宋体" w:hAnsi="宋体"/>
          <w:highlight w:val="none"/>
        </w:rPr>
        <w:t>2、不可抗力发生后，乙方应迅速采取措施，尽力减少损失，并在24小时内向甲方通报受害情况，在事件发生后10日内向甲方报告损失情况和清理、修复的费用。</w:t>
      </w:r>
    </w:p>
    <w:p>
      <w:pPr>
        <w:snapToGrid w:val="0"/>
        <w:spacing w:line="360" w:lineRule="auto"/>
        <w:ind w:firstLine="480" w:firstLineChars="200"/>
        <w:jc w:val="left"/>
        <w:rPr>
          <w:rFonts w:ascii="宋体" w:hAnsi="宋体"/>
          <w:highlight w:val="none"/>
        </w:rPr>
      </w:pPr>
      <w:r>
        <w:rPr>
          <w:rFonts w:hint="eastAsia" w:ascii="宋体" w:hAnsi="宋体"/>
          <w:highlight w:val="none"/>
        </w:rPr>
        <w:t>3、因灾害所需清理修复工作的费用由双方承担：</w:t>
      </w:r>
    </w:p>
    <w:p>
      <w:pPr>
        <w:snapToGrid w:val="0"/>
        <w:spacing w:line="360" w:lineRule="auto"/>
        <w:ind w:firstLine="480" w:firstLineChars="200"/>
        <w:jc w:val="left"/>
        <w:rPr>
          <w:rFonts w:ascii="宋体" w:hAnsi="宋体"/>
          <w:highlight w:val="none"/>
        </w:rPr>
      </w:pPr>
      <w:r>
        <w:rPr>
          <w:rFonts w:hint="eastAsia" w:ascii="宋体" w:hAnsi="宋体"/>
          <w:highlight w:val="none"/>
        </w:rPr>
        <w:t>（1）人员伤亡由所属单位负责，并承担相应费用；</w:t>
      </w:r>
    </w:p>
    <w:p>
      <w:pPr>
        <w:snapToGrid w:val="0"/>
        <w:spacing w:line="360" w:lineRule="auto"/>
        <w:ind w:firstLine="480" w:firstLineChars="200"/>
        <w:jc w:val="left"/>
        <w:rPr>
          <w:rFonts w:ascii="宋体" w:hAnsi="宋体"/>
          <w:highlight w:val="none"/>
        </w:rPr>
      </w:pPr>
      <w:r>
        <w:rPr>
          <w:rFonts w:hint="eastAsia" w:ascii="宋体" w:hAnsi="宋体"/>
          <w:highlight w:val="none"/>
        </w:rPr>
        <w:t>（2）造成乙方工程设备、机械的损失等损失由乙方承担；</w:t>
      </w:r>
    </w:p>
    <w:p>
      <w:pPr>
        <w:adjustRightInd w:val="0"/>
        <w:snapToGrid w:val="0"/>
        <w:spacing w:line="360" w:lineRule="auto"/>
        <w:ind w:firstLine="480" w:firstLineChars="200"/>
        <w:jc w:val="left"/>
        <w:rPr>
          <w:rFonts w:ascii="宋体" w:hAnsi="宋体" w:cs="宋体"/>
          <w:kern w:val="0"/>
          <w:szCs w:val="24"/>
          <w:highlight w:val="none"/>
        </w:rPr>
      </w:pPr>
      <w:r>
        <w:rPr>
          <w:rFonts w:hint="eastAsia" w:ascii="宋体" w:hAnsi="宋体"/>
          <w:highlight w:val="none"/>
        </w:rPr>
        <w:t>（3）所需清理修复工作的责任与费用的承担，双方另行商定。</w:t>
      </w:r>
    </w:p>
    <w:p>
      <w:pPr>
        <w:spacing w:line="360" w:lineRule="auto"/>
        <w:rPr>
          <w:rFonts w:ascii="宋体" w:hAnsi="宋体"/>
          <w:b/>
          <w:bCs/>
          <w:highlight w:val="none"/>
        </w:rPr>
      </w:pPr>
      <w:r>
        <w:rPr>
          <w:rFonts w:hint="eastAsia" w:ascii="宋体" w:hAnsi="宋体"/>
          <w:b/>
          <w:bCs/>
          <w:highlight w:val="none"/>
        </w:rPr>
        <w:t>十、其它要求</w:t>
      </w:r>
    </w:p>
    <w:p>
      <w:pPr>
        <w:snapToGrid w:val="0"/>
        <w:spacing w:line="360" w:lineRule="auto"/>
        <w:ind w:firstLine="480" w:firstLineChars="200"/>
        <w:rPr>
          <w:rFonts w:ascii="宋体" w:hAnsi="宋体"/>
          <w:highlight w:val="none"/>
        </w:rPr>
      </w:pPr>
      <w:r>
        <w:rPr>
          <w:rFonts w:ascii="宋体" w:hAnsi="宋体"/>
          <w:highlight w:val="none"/>
        </w:rPr>
        <w:t>1</w:t>
      </w:r>
      <w:r>
        <w:rPr>
          <w:rFonts w:hint="eastAsia" w:ascii="宋体" w:hAnsi="宋体"/>
          <w:highlight w:val="none"/>
        </w:rPr>
        <w:t>、在合同签订后，乙方应在安装前提供施工中所用防火门的刨面样板及所用锁具和五金件，作为甲方及监理方验收产品材质之依据。</w:t>
      </w:r>
    </w:p>
    <w:p>
      <w:pPr>
        <w:snapToGrid w:val="0"/>
        <w:spacing w:line="360" w:lineRule="auto"/>
        <w:ind w:firstLine="480" w:firstLineChars="200"/>
        <w:rPr>
          <w:rFonts w:ascii="宋体" w:hAnsi="宋体"/>
          <w:highlight w:val="none"/>
        </w:rPr>
      </w:pPr>
      <w:r>
        <w:rPr>
          <w:rFonts w:ascii="宋体" w:hAnsi="宋体"/>
          <w:highlight w:val="none"/>
        </w:rPr>
        <w:t>2</w:t>
      </w:r>
      <w:r>
        <w:rPr>
          <w:rFonts w:hint="eastAsia" w:ascii="宋体" w:hAnsi="宋体"/>
          <w:highlight w:val="none"/>
        </w:rPr>
        <w:t>、乙方在进场正式施工前，应安装至少一套成品防火门样板，经甲方及监理单位验收合格后方可大面积施工。</w:t>
      </w:r>
    </w:p>
    <w:p>
      <w:pPr>
        <w:snapToGrid w:val="0"/>
        <w:spacing w:line="360" w:lineRule="auto"/>
        <w:ind w:firstLine="480" w:firstLineChars="200"/>
        <w:rPr>
          <w:rFonts w:ascii="宋体" w:hAnsi="宋体"/>
          <w:highlight w:val="none"/>
        </w:rPr>
      </w:pPr>
      <w:r>
        <w:rPr>
          <w:rFonts w:ascii="宋体" w:hAnsi="宋体"/>
          <w:highlight w:val="none"/>
        </w:rPr>
        <w:t>3</w:t>
      </w:r>
      <w:r>
        <w:rPr>
          <w:rFonts w:hint="eastAsia" w:ascii="宋体" w:hAnsi="宋体"/>
          <w:highlight w:val="none"/>
        </w:rPr>
        <w:t>、凡由乙方采购的材料如不符合质量要求或规格有差异，应禁止使用。若已使用，对工程造成的损失由乙方负责，甲方有权对乙方进行2000元/次的罚款。</w:t>
      </w:r>
    </w:p>
    <w:p>
      <w:pPr>
        <w:snapToGrid w:val="0"/>
        <w:spacing w:line="360" w:lineRule="auto"/>
        <w:ind w:firstLine="480" w:firstLineChars="200"/>
        <w:rPr>
          <w:rFonts w:ascii="宋体" w:hAnsi="宋体" w:cs="宋体"/>
          <w:szCs w:val="24"/>
          <w:highlight w:val="none"/>
        </w:rPr>
      </w:pPr>
      <w:r>
        <w:rPr>
          <w:rFonts w:ascii="宋体" w:hAnsi="宋体" w:cs="宋体"/>
          <w:szCs w:val="24"/>
          <w:highlight w:val="none"/>
        </w:rPr>
        <w:t>4</w:t>
      </w:r>
      <w:r>
        <w:rPr>
          <w:rFonts w:hint="eastAsia" w:ascii="宋体" w:hAnsi="宋体" w:cs="宋体"/>
          <w:szCs w:val="24"/>
          <w:highlight w:val="none"/>
        </w:rPr>
        <w:t>.甲方发现乙方将用于本项目的材料/设备转作他用，导致供应单位或建设单位损失，举报经查属实，给予责任单位10000元-30000元/次的违约处罚，并按实赔偿供应单位或者建设单位的一切损失。</w:t>
      </w:r>
    </w:p>
    <w:p>
      <w:pPr>
        <w:spacing w:line="360" w:lineRule="auto"/>
        <w:ind w:right="410" w:rightChars="171"/>
        <w:rPr>
          <w:rFonts w:ascii="宋体" w:hAnsi="宋体"/>
          <w:b/>
          <w:bCs/>
          <w:highlight w:val="none"/>
        </w:rPr>
      </w:pPr>
      <w:r>
        <w:rPr>
          <w:rFonts w:hint="eastAsia" w:ascii="宋体" w:hAnsi="宋体"/>
          <w:b/>
          <w:bCs/>
          <w:highlight w:val="none"/>
        </w:rPr>
        <w:t>十一、甲方权利及义务</w:t>
      </w:r>
    </w:p>
    <w:p>
      <w:pPr>
        <w:tabs>
          <w:tab w:val="left" w:pos="720"/>
          <w:tab w:val="left" w:pos="2820"/>
        </w:tabs>
        <w:spacing w:line="360" w:lineRule="auto"/>
        <w:ind w:right="410" w:rightChars="171" w:firstLine="480" w:firstLineChars="200"/>
        <w:rPr>
          <w:rFonts w:ascii="宋体" w:hAnsi="宋体"/>
          <w:highlight w:val="none"/>
        </w:rPr>
      </w:pPr>
      <w:r>
        <w:rPr>
          <w:rFonts w:hint="eastAsia" w:ascii="宋体" w:hAnsi="宋体"/>
          <w:highlight w:val="none"/>
        </w:rPr>
        <w:t>1、</w:t>
      </w:r>
      <w:r>
        <w:rPr>
          <w:rFonts w:hint="eastAsia" w:ascii="宋体" w:hAnsi="宋体"/>
          <w:highlight w:val="none"/>
          <w:lang w:eastAsia="zh-CN"/>
        </w:rPr>
        <w:t>甲方</w:t>
      </w:r>
      <w:r>
        <w:rPr>
          <w:rFonts w:hint="eastAsia" w:ascii="宋体" w:hAnsi="宋体"/>
          <w:highlight w:val="none"/>
        </w:rPr>
        <w:t>指派</w:t>
      </w:r>
      <w:r>
        <w:rPr>
          <w:rFonts w:hint="eastAsia" w:ascii="宋体" w:hAnsi="宋体"/>
          <w:highlight w:val="none"/>
          <w:u w:val="none"/>
          <w:lang w:eastAsia="zh-CN"/>
        </w:rPr>
        <w:t>李中伟</w:t>
      </w:r>
      <w:r>
        <w:rPr>
          <w:rFonts w:hint="eastAsia" w:ascii="宋体" w:hAnsi="宋体"/>
          <w:highlight w:val="none"/>
          <w:u w:val="none"/>
          <w:lang w:val="en-US" w:eastAsia="zh-CN"/>
        </w:rPr>
        <w:t xml:space="preserve"> </w:t>
      </w:r>
      <w:r>
        <w:rPr>
          <w:rFonts w:hint="eastAsia" w:ascii="宋体" w:hAnsi="宋体"/>
          <w:highlight w:val="none"/>
          <w:u w:val="none"/>
          <w:lang w:eastAsia="zh-CN"/>
        </w:rPr>
        <w:t>电话：</w:t>
      </w:r>
      <w:r>
        <w:rPr>
          <w:rFonts w:hint="eastAsia" w:ascii="宋体" w:hAnsi="宋体"/>
          <w:highlight w:val="none"/>
          <w:u w:val="none"/>
          <w:lang w:val="en-US" w:eastAsia="zh-CN"/>
        </w:rPr>
        <w:t>15137930543</w:t>
      </w:r>
      <w:r>
        <w:rPr>
          <w:rFonts w:hint="eastAsia" w:ascii="宋体" w:hAnsi="宋体"/>
          <w:highlight w:val="none"/>
          <w:u w:val="none"/>
        </w:rPr>
        <w:t xml:space="preserve"> </w:t>
      </w:r>
      <w:r>
        <w:rPr>
          <w:rFonts w:hint="eastAsia" w:ascii="宋体" w:hAnsi="宋体"/>
          <w:highlight w:val="none"/>
        </w:rPr>
        <w:t>为甲方驻工地代表，负责合同履行。对工程质量、进度进行监督检查、办理验收、变更、登记手续和其它事宜。</w:t>
      </w:r>
    </w:p>
    <w:p>
      <w:pPr>
        <w:tabs>
          <w:tab w:val="left" w:pos="720"/>
          <w:tab w:val="left" w:pos="2820"/>
        </w:tabs>
        <w:spacing w:line="360" w:lineRule="auto"/>
        <w:ind w:right="410" w:rightChars="171" w:firstLine="480" w:firstLineChars="200"/>
        <w:rPr>
          <w:rFonts w:ascii="宋体" w:hAnsi="宋体"/>
          <w:highlight w:val="none"/>
        </w:rPr>
      </w:pPr>
      <w:r>
        <w:rPr>
          <w:rFonts w:hint="eastAsia" w:ascii="宋体" w:hAnsi="宋体"/>
          <w:highlight w:val="none"/>
        </w:rPr>
        <w:t>2、按合同约定支付乙方工程款。</w:t>
      </w:r>
    </w:p>
    <w:p>
      <w:pPr>
        <w:spacing w:line="360" w:lineRule="auto"/>
        <w:ind w:right="410" w:rightChars="171" w:firstLine="480" w:firstLineChars="200"/>
        <w:rPr>
          <w:rFonts w:ascii="宋体" w:hAnsi="宋体"/>
          <w:b/>
          <w:bCs/>
          <w:highlight w:val="none"/>
        </w:rPr>
      </w:pPr>
      <w:r>
        <w:rPr>
          <w:rFonts w:ascii="宋体" w:hAnsi="宋体"/>
          <w:highlight w:val="none"/>
        </w:rPr>
        <w:t>3</w:t>
      </w:r>
      <w:r>
        <w:rPr>
          <w:rFonts w:hint="eastAsia" w:ascii="宋体" w:hAnsi="宋体"/>
          <w:highlight w:val="none"/>
        </w:rPr>
        <w:t>、向总包单位支付施工配合费用。</w:t>
      </w:r>
    </w:p>
    <w:p>
      <w:pPr>
        <w:spacing w:line="360" w:lineRule="auto"/>
        <w:ind w:right="410" w:rightChars="171"/>
        <w:rPr>
          <w:rFonts w:ascii="宋体" w:hAnsi="宋体"/>
          <w:b/>
          <w:bCs/>
          <w:highlight w:val="none"/>
        </w:rPr>
      </w:pPr>
      <w:r>
        <w:rPr>
          <w:rFonts w:hint="eastAsia" w:ascii="宋体" w:hAnsi="宋体"/>
          <w:b/>
          <w:bCs/>
          <w:highlight w:val="none"/>
        </w:rPr>
        <w:t>十二、乙方权利及义务</w:t>
      </w:r>
    </w:p>
    <w:p>
      <w:pPr>
        <w:spacing w:line="360" w:lineRule="auto"/>
        <w:ind w:left="470" w:leftChars="196" w:right="410" w:rightChars="171"/>
        <w:rPr>
          <w:rFonts w:ascii="宋体" w:hAnsi="宋体"/>
          <w:highlight w:val="none"/>
        </w:rPr>
      </w:pPr>
      <w:r>
        <w:rPr>
          <w:rFonts w:hint="eastAsia" w:ascii="宋体" w:hAnsi="宋体"/>
          <w:highlight w:val="none"/>
        </w:rPr>
        <w:t>1、负责配合甲方及总包单位现场土建准备工作。</w:t>
      </w:r>
    </w:p>
    <w:p>
      <w:pPr>
        <w:spacing w:line="360" w:lineRule="auto"/>
        <w:ind w:left="470" w:leftChars="196" w:right="410" w:rightChars="171"/>
        <w:rPr>
          <w:rFonts w:ascii="宋体" w:hAnsi="宋体"/>
          <w:highlight w:val="none"/>
        </w:rPr>
      </w:pPr>
      <w:r>
        <w:rPr>
          <w:rFonts w:hint="eastAsia" w:ascii="宋体" w:hAnsi="宋体"/>
          <w:highlight w:val="none"/>
        </w:rPr>
        <w:t>2、服从甲方及监理单位指令，如有不服从，或变相不服从，一次罚款</w:t>
      </w:r>
      <w:r>
        <w:rPr>
          <w:rFonts w:hint="eastAsia" w:ascii="宋体" w:hAnsi="宋体"/>
          <w:highlight w:val="none"/>
          <w:lang w:val="en-US" w:eastAsia="zh-CN"/>
        </w:rPr>
        <w:t>2</w:t>
      </w:r>
      <w:r>
        <w:rPr>
          <w:rFonts w:hint="eastAsia" w:ascii="宋体" w:hAnsi="宋体"/>
          <w:highlight w:val="none"/>
        </w:rPr>
        <w:t>000元。</w:t>
      </w:r>
    </w:p>
    <w:p>
      <w:pPr>
        <w:spacing w:line="360" w:lineRule="auto"/>
        <w:ind w:left="470" w:leftChars="196" w:right="410" w:rightChars="171"/>
        <w:rPr>
          <w:rFonts w:ascii="宋体" w:hAnsi="宋体"/>
          <w:highlight w:val="none"/>
        </w:rPr>
      </w:pPr>
      <w:r>
        <w:rPr>
          <w:rFonts w:hint="eastAsia" w:ascii="宋体" w:hAnsi="宋体"/>
          <w:highlight w:val="none"/>
        </w:rPr>
        <w:t>3、服从甲方及监理单位现场工作管理要求，服从总包单位安全文明施工管理，配合总包及各分包的施工作业。</w:t>
      </w:r>
    </w:p>
    <w:p>
      <w:pPr>
        <w:spacing w:line="360" w:lineRule="auto"/>
        <w:ind w:left="470" w:leftChars="196" w:right="410" w:rightChars="171"/>
        <w:rPr>
          <w:rFonts w:ascii="宋体" w:hAnsi="宋体"/>
          <w:highlight w:val="none"/>
        </w:rPr>
      </w:pPr>
      <w:r>
        <w:rPr>
          <w:rFonts w:hint="eastAsia" w:ascii="宋体" w:hAnsi="宋体"/>
          <w:highlight w:val="none"/>
          <w:lang w:val="en-US" w:eastAsia="zh-CN"/>
        </w:rPr>
        <w:t>4、乙方</w:t>
      </w:r>
      <w:r>
        <w:rPr>
          <w:rFonts w:hint="eastAsia" w:ascii="宋体" w:hAnsi="宋体"/>
          <w:highlight w:val="none"/>
        </w:rPr>
        <w:t>指派宋有胜电话13939197566身份证号410823196302250032为乙方驻工地代表，负责合同履行。按要求组织施工、保质、保量、按期完成施工任务，解决由乙方负责的各项事宜。</w:t>
      </w:r>
    </w:p>
    <w:p>
      <w:pPr>
        <w:spacing w:line="360" w:lineRule="auto"/>
        <w:ind w:left="470" w:leftChars="196" w:right="410" w:rightChars="171"/>
        <w:rPr>
          <w:rFonts w:ascii="宋体" w:hAnsi="宋体"/>
          <w:highlight w:val="none"/>
        </w:rPr>
      </w:pPr>
      <w:r>
        <w:rPr>
          <w:rFonts w:hint="eastAsia" w:ascii="宋体" w:hAnsi="宋体"/>
          <w:highlight w:val="none"/>
        </w:rPr>
        <w:t>5、严格执行施工规范、安全操作规程、防火安全规定、环境保护规定。严格按照图纸或作法说明进行施工，做好各项质量检查记录。</w:t>
      </w:r>
    </w:p>
    <w:p>
      <w:pPr>
        <w:spacing w:line="360" w:lineRule="auto"/>
        <w:ind w:left="470" w:leftChars="196" w:right="410" w:rightChars="171"/>
        <w:rPr>
          <w:rFonts w:ascii="宋体" w:hAnsi="宋体"/>
          <w:highlight w:val="none"/>
        </w:rPr>
      </w:pPr>
      <w:r>
        <w:rPr>
          <w:rFonts w:hint="eastAsia" w:ascii="宋体" w:hAnsi="宋体"/>
          <w:highlight w:val="none"/>
        </w:rPr>
        <w:t>6、施工中未经甲方同意或有关部门批准，不得随意拆改原建筑物结构及各种设备管线。</w:t>
      </w:r>
    </w:p>
    <w:p>
      <w:pPr>
        <w:spacing w:line="360" w:lineRule="auto"/>
        <w:ind w:left="410" w:leftChars="171" w:right="410" w:rightChars="171" w:firstLine="60" w:firstLineChars="25"/>
        <w:rPr>
          <w:rFonts w:ascii="宋体" w:hAnsi="宋体"/>
          <w:highlight w:val="none"/>
        </w:rPr>
      </w:pPr>
      <w:r>
        <w:rPr>
          <w:rFonts w:hint="eastAsia" w:ascii="宋体" w:hAnsi="宋体"/>
          <w:highlight w:val="none"/>
        </w:rPr>
        <w:t>7、工程竣工未移交甲方之前，负责工地现场的一切工程成品的保护工作。</w:t>
      </w:r>
    </w:p>
    <w:p>
      <w:pPr>
        <w:spacing w:line="360" w:lineRule="auto"/>
        <w:ind w:left="410" w:leftChars="171" w:right="410" w:rightChars="171" w:firstLine="60" w:firstLineChars="25"/>
        <w:rPr>
          <w:rFonts w:ascii="宋体" w:hAnsi="宋体"/>
          <w:highlight w:val="none"/>
        </w:rPr>
      </w:pPr>
      <w:r>
        <w:rPr>
          <w:rFonts w:hint="eastAsia" w:ascii="宋体" w:hAnsi="宋体"/>
          <w:highlight w:val="none"/>
        </w:rPr>
        <w:t>8、乙方负责整理、收集所分包项目的资料，竣工验收时交付总包单位归档整理，资料整理应满足总包单位及甲方要求。</w:t>
      </w:r>
    </w:p>
    <w:p>
      <w:pPr>
        <w:spacing w:line="360" w:lineRule="auto"/>
        <w:ind w:left="410" w:leftChars="171" w:right="410" w:rightChars="171" w:firstLine="60" w:firstLineChars="25"/>
        <w:rPr>
          <w:rFonts w:ascii="宋体" w:hAnsi="宋体"/>
          <w:highlight w:val="none"/>
        </w:rPr>
      </w:pPr>
      <w:r>
        <w:rPr>
          <w:rFonts w:hint="eastAsia" w:ascii="宋体" w:hAnsi="宋体"/>
          <w:highlight w:val="none"/>
        </w:rPr>
        <w:t>9、施工期间的安全责任由乙方负责，如发生人身及施工安全问题乙方承担一切责任。</w:t>
      </w:r>
    </w:p>
    <w:p>
      <w:pPr>
        <w:spacing w:line="360" w:lineRule="auto"/>
        <w:ind w:left="410" w:leftChars="171" w:right="410" w:rightChars="171" w:firstLine="60" w:firstLineChars="25"/>
        <w:rPr>
          <w:rFonts w:ascii="宋体" w:hAnsi="宋体"/>
          <w:highlight w:val="none"/>
        </w:rPr>
      </w:pPr>
      <w:r>
        <w:rPr>
          <w:rFonts w:hint="eastAsia" w:ascii="宋体" w:hAnsi="宋体"/>
          <w:highlight w:val="none"/>
        </w:rPr>
        <w:t>10、工程未移交甲方之前，负责对现场工程成品进行保护。</w:t>
      </w:r>
    </w:p>
    <w:p>
      <w:pPr>
        <w:spacing w:line="360" w:lineRule="auto"/>
        <w:ind w:firstLine="480" w:firstLineChars="200"/>
        <w:rPr>
          <w:rFonts w:ascii="宋体" w:hAnsi="宋体" w:cs="宋体"/>
          <w:szCs w:val="24"/>
          <w:highlight w:val="none"/>
        </w:rPr>
      </w:pPr>
      <w:r>
        <w:rPr>
          <w:rFonts w:hint="eastAsia" w:ascii="宋体" w:hAnsi="宋体"/>
          <w:highlight w:val="none"/>
        </w:rPr>
        <w:t>11、</w:t>
      </w:r>
      <w:r>
        <w:rPr>
          <w:rFonts w:hint="eastAsia" w:ascii="宋体" w:hAnsi="宋体" w:cs="宋体"/>
          <w:szCs w:val="24"/>
          <w:highlight w:val="none"/>
        </w:rPr>
        <w:t>.乙方必须服从甲方及监理单位和总包单位管理，项目经理每周</w:t>
      </w:r>
      <w:r>
        <w:rPr>
          <w:rFonts w:hint="eastAsia" w:ascii="宋体" w:hAnsi="宋体" w:cs="宋体"/>
          <w:szCs w:val="24"/>
          <w:highlight w:val="none"/>
          <w:lang w:eastAsia="zh-CN"/>
        </w:rPr>
        <w:t>四</w:t>
      </w:r>
      <w:r>
        <w:rPr>
          <w:rFonts w:hint="eastAsia" w:ascii="宋体" w:hAnsi="宋体" w:cs="宋体"/>
          <w:szCs w:val="24"/>
          <w:highlight w:val="none"/>
        </w:rPr>
        <w:t>上午按时参加监理例会，乙方已了解和熟知相关现场管理办法，愿意接受管理和考核。</w:t>
      </w:r>
    </w:p>
    <w:p>
      <w:pPr>
        <w:spacing w:line="360" w:lineRule="auto"/>
        <w:ind w:right="410" w:rightChars="171"/>
        <w:rPr>
          <w:rFonts w:ascii="宋体" w:hAnsi="宋体"/>
          <w:b/>
          <w:bCs/>
          <w:highlight w:val="none"/>
        </w:rPr>
      </w:pPr>
      <w:r>
        <w:rPr>
          <w:rFonts w:hint="eastAsia" w:ascii="宋体" w:hAnsi="宋体"/>
          <w:b/>
          <w:bCs/>
          <w:highlight w:val="none"/>
        </w:rPr>
        <w:t>十三、质保期</w:t>
      </w:r>
    </w:p>
    <w:p>
      <w:pPr>
        <w:spacing w:line="360" w:lineRule="auto"/>
        <w:ind w:firstLine="480" w:firstLineChars="200"/>
        <w:rPr>
          <w:rFonts w:ascii="宋体" w:hAnsi="宋体" w:cs="宋体"/>
          <w:szCs w:val="24"/>
          <w:highlight w:val="none"/>
        </w:rPr>
      </w:pPr>
      <w:r>
        <w:rPr>
          <w:rFonts w:hint="eastAsia" w:ascii="宋体" w:hAnsi="宋体"/>
          <w:highlight w:val="none"/>
        </w:rPr>
        <w:t>保修期为两年，保修期限内如因为乙方原因出现质量问题，乙方免费维修。乙方</w:t>
      </w:r>
      <w:r>
        <w:rPr>
          <w:highlight w:val="none"/>
        </w:rPr>
        <w:t>应在接到甲方修理通知后24</w:t>
      </w:r>
      <w:r>
        <w:rPr>
          <w:rFonts w:ascii="宋体" w:hAnsi="宋体"/>
          <w:highlight w:val="none"/>
        </w:rPr>
        <w:t>小时内派人维修，否则甲方自行组织人员维修，其费用在保修费内扣除，不足部分由</w:t>
      </w:r>
      <w:r>
        <w:rPr>
          <w:rFonts w:hint="eastAsia" w:ascii="宋体" w:hAnsi="宋体"/>
          <w:highlight w:val="none"/>
        </w:rPr>
        <w:t>乙方</w:t>
      </w:r>
      <w:r>
        <w:rPr>
          <w:highlight w:val="none"/>
        </w:rPr>
        <w:t>支付。</w:t>
      </w:r>
    </w:p>
    <w:p>
      <w:pPr>
        <w:spacing w:line="360" w:lineRule="auto"/>
        <w:ind w:right="410" w:rightChars="171"/>
        <w:rPr>
          <w:rFonts w:ascii="宋体" w:hAnsi="宋体"/>
          <w:b/>
          <w:bCs/>
          <w:highlight w:val="none"/>
        </w:rPr>
      </w:pPr>
      <w:r>
        <w:rPr>
          <w:rFonts w:hint="eastAsia" w:ascii="宋体" w:hAnsi="宋体"/>
          <w:b/>
          <w:bCs/>
          <w:highlight w:val="none"/>
        </w:rPr>
        <w:t>十四、工期</w:t>
      </w:r>
      <w:r>
        <w:rPr>
          <w:rFonts w:hint="eastAsia" w:ascii="宋体" w:hAnsi="宋体"/>
          <w:b/>
          <w:bCs/>
          <w:highlight w:val="none"/>
          <w:lang w:eastAsia="zh-CN"/>
        </w:rPr>
        <w:t>及</w:t>
      </w:r>
      <w:r>
        <w:rPr>
          <w:rFonts w:hint="eastAsia" w:ascii="宋体" w:hAnsi="宋体"/>
          <w:b/>
          <w:bCs/>
          <w:highlight w:val="none"/>
        </w:rPr>
        <w:t>顺延</w:t>
      </w:r>
      <w:r>
        <w:rPr>
          <w:rFonts w:hint="eastAsia" w:ascii="宋体" w:hAnsi="宋体"/>
          <w:b/>
          <w:bCs/>
          <w:highlight w:val="none"/>
          <w:lang w:eastAsia="zh-CN"/>
        </w:rPr>
        <w:t>的</w:t>
      </w:r>
      <w:r>
        <w:rPr>
          <w:rFonts w:hint="eastAsia" w:ascii="宋体" w:hAnsi="宋体"/>
          <w:b/>
          <w:bCs/>
          <w:highlight w:val="none"/>
        </w:rPr>
        <w:t>说明</w:t>
      </w:r>
    </w:p>
    <w:p>
      <w:pPr>
        <w:spacing w:line="360" w:lineRule="auto"/>
        <w:ind w:right="410" w:rightChars="171"/>
        <w:rPr>
          <w:rFonts w:ascii="宋体" w:hAnsi="宋体"/>
          <w:highlight w:val="none"/>
        </w:rPr>
      </w:pPr>
      <w:r>
        <w:rPr>
          <w:rFonts w:hint="eastAsia" w:ascii="宋体" w:hAnsi="宋体"/>
          <w:highlight w:val="none"/>
        </w:rPr>
        <w:t xml:space="preserve">  1、 乙方必须服从甲方管理和进度要求，确保工程按期完成。</w:t>
      </w:r>
    </w:p>
    <w:p>
      <w:pPr>
        <w:spacing w:line="360" w:lineRule="auto"/>
        <w:ind w:right="410" w:rightChars="171"/>
        <w:rPr>
          <w:rFonts w:ascii="宋体" w:hAnsi="宋体"/>
          <w:highlight w:val="none"/>
        </w:rPr>
      </w:pPr>
      <w:r>
        <w:rPr>
          <w:rFonts w:hint="eastAsia" w:ascii="宋体" w:hAnsi="宋体"/>
          <w:highlight w:val="none"/>
        </w:rPr>
        <w:t xml:space="preserve">  </w:t>
      </w:r>
      <w:r>
        <w:rPr>
          <w:rFonts w:hint="eastAsia" w:ascii="宋体" w:hAnsi="宋体"/>
          <w:highlight w:val="none"/>
          <w:lang w:val="en-US" w:eastAsia="zh-CN"/>
        </w:rPr>
        <w:t>2</w:t>
      </w:r>
      <w:r>
        <w:rPr>
          <w:rFonts w:hint="eastAsia" w:ascii="宋体" w:hAnsi="宋体"/>
          <w:highlight w:val="none"/>
        </w:rPr>
        <w:t>、因以下原因造成工期延误经甲方确认工期相应顺延：</w:t>
      </w:r>
    </w:p>
    <w:p>
      <w:pPr>
        <w:spacing w:line="360" w:lineRule="auto"/>
        <w:ind w:left="410" w:leftChars="171" w:right="410" w:rightChars="171"/>
        <w:rPr>
          <w:rFonts w:ascii="宋体" w:hAnsi="宋体"/>
          <w:highlight w:val="none"/>
        </w:rPr>
      </w:pPr>
      <w:r>
        <w:rPr>
          <w:rFonts w:hint="eastAsia" w:ascii="宋体" w:hAnsi="宋体"/>
          <w:highlight w:val="none"/>
        </w:rPr>
        <w:t>（1）甲方不能按约定提供开工条件。</w:t>
      </w:r>
    </w:p>
    <w:p>
      <w:pPr>
        <w:spacing w:line="360" w:lineRule="auto"/>
        <w:ind w:left="410" w:leftChars="171" w:right="410" w:rightChars="171"/>
        <w:rPr>
          <w:rFonts w:ascii="宋体" w:hAnsi="宋体"/>
          <w:highlight w:val="none"/>
        </w:rPr>
      </w:pPr>
      <w:r>
        <w:rPr>
          <w:rFonts w:hint="eastAsia" w:ascii="宋体" w:hAnsi="宋体"/>
          <w:highlight w:val="none"/>
        </w:rPr>
        <w:t>（2）设计变更和工程量增加。</w:t>
      </w:r>
    </w:p>
    <w:p>
      <w:pPr>
        <w:spacing w:line="360" w:lineRule="auto"/>
        <w:ind w:left="410" w:leftChars="171" w:right="410" w:rightChars="171"/>
        <w:rPr>
          <w:rFonts w:ascii="宋体" w:hAnsi="宋体"/>
          <w:highlight w:val="none"/>
        </w:rPr>
      </w:pPr>
      <w:r>
        <w:rPr>
          <w:rFonts w:hint="eastAsia" w:ascii="宋体" w:hAnsi="宋体"/>
          <w:highlight w:val="none"/>
        </w:rPr>
        <w:t>（3）甲方同意相应顺延的其他情况。</w:t>
      </w:r>
    </w:p>
    <w:p>
      <w:pPr>
        <w:spacing w:line="360" w:lineRule="auto"/>
        <w:ind w:left="218" w:right="171" w:hanging="218" w:hangingChars="91"/>
        <w:rPr>
          <w:rFonts w:ascii="宋体" w:hAnsi="宋体"/>
          <w:highlight w:val="none"/>
        </w:rPr>
      </w:pPr>
      <w:r>
        <w:rPr>
          <w:rFonts w:hint="eastAsia" w:ascii="宋体" w:hAnsi="宋体"/>
          <w:highlight w:val="none"/>
        </w:rPr>
        <w:t xml:space="preserve">  </w:t>
      </w:r>
      <w:r>
        <w:rPr>
          <w:rFonts w:hint="eastAsia" w:ascii="宋体" w:hAnsi="宋体"/>
          <w:highlight w:val="none"/>
          <w:lang w:val="en-US" w:eastAsia="zh-CN"/>
        </w:rPr>
        <w:t>3</w:t>
      </w:r>
      <w:r>
        <w:rPr>
          <w:rFonts w:hint="eastAsia" w:ascii="宋体" w:hAnsi="宋体"/>
          <w:highlight w:val="none"/>
        </w:rPr>
        <w:t>、</w:t>
      </w:r>
      <w:r>
        <w:rPr>
          <w:rFonts w:hint="eastAsia" w:ascii="宋体" w:hAnsi="宋体"/>
          <w:szCs w:val="24"/>
          <w:highlight w:val="none"/>
        </w:rPr>
        <w:t>乙方逾期竣工的，每逾期一天，乙方支付甲方</w:t>
      </w:r>
      <w:r>
        <w:rPr>
          <w:rFonts w:hint="eastAsia" w:ascii="宋体" w:hAnsi="宋体"/>
          <w:szCs w:val="24"/>
          <w:highlight w:val="none"/>
          <w:u w:val="single"/>
          <w:lang w:val="en-US" w:eastAsia="zh-CN"/>
        </w:rPr>
        <w:t>5</w:t>
      </w:r>
      <w:r>
        <w:rPr>
          <w:rFonts w:hint="eastAsia" w:ascii="宋体" w:hAnsi="宋体"/>
          <w:szCs w:val="24"/>
          <w:highlight w:val="none"/>
          <w:u w:val="single"/>
        </w:rPr>
        <w:t>000</w:t>
      </w:r>
      <w:r>
        <w:rPr>
          <w:rFonts w:hint="eastAsia" w:ascii="宋体" w:hAnsi="宋体"/>
          <w:szCs w:val="24"/>
          <w:highlight w:val="none"/>
        </w:rPr>
        <w:t>元/天的违约金。逾期超过7日历天的，乙方除按前述约定承担违约金外，甲方还有权解除本合同并将乙方所承包工程另行发包，乙方应当于合同解除当日无条件立即退场，甲方以乙方所完工程量70%作结算。</w:t>
      </w:r>
    </w:p>
    <w:p>
      <w:pPr>
        <w:spacing w:line="360" w:lineRule="auto"/>
        <w:ind w:right="171" w:firstLine="118" w:firstLineChars="49"/>
        <w:rPr>
          <w:rFonts w:ascii="宋体" w:hAnsi="宋体"/>
          <w:b/>
          <w:bCs/>
          <w:highlight w:val="none"/>
        </w:rPr>
      </w:pPr>
      <w:r>
        <w:rPr>
          <w:rFonts w:hint="eastAsia" w:ascii="宋体" w:hAnsi="宋体"/>
          <w:b/>
          <w:bCs/>
          <w:highlight w:val="none"/>
        </w:rPr>
        <w:t>十五、关于工程质量及验收的约定</w:t>
      </w:r>
    </w:p>
    <w:p>
      <w:pPr>
        <w:spacing w:line="360" w:lineRule="auto"/>
        <w:ind w:left="540" w:right="171" w:firstLine="240" w:firstLineChars="100"/>
        <w:rPr>
          <w:rFonts w:ascii="宋体" w:hAnsi="宋体"/>
          <w:highlight w:val="none"/>
        </w:rPr>
      </w:pPr>
      <w:r>
        <w:rPr>
          <w:rFonts w:hint="eastAsia" w:ascii="宋体" w:hAnsi="宋体"/>
          <w:highlight w:val="none"/>
        </w:rPr>
        <w:t>本工程的施工图纸、作法说明、设计变更和有关国家标准作为本工程质量评定验收标准。</w:t>
      </w:r>
    </w:p>
    <w:p>
      <w:pPr>
        <w:spacing w:line="360" w:lineRule="auto"/>
        <w:ind w:left="540" w:right="171"/>
        <w:rPr>
          <w:rFonts w:ascii="宋体" w:hAnsi="宋体"/>
          <w:highlight w:val="none"/>
        </w:rPr>
      </w:pPr>
      <w:r>
        <w:rPr>
          <w:rFonts w:hint="eastAsia" w:ascii="宋体" w:hAnsi="宋体"/>
          <w:highlight w:val="none"/>
        </w:rPr>
        <w:t>1、本工程质量应达到质量评定合格标准并符合甲方及相关部门的要求。</w:t>
      </w:r>
    </w:p>
    <w:p>
      <w:pPr>
        <w:spacing w:line="360" w:lineRule="auto"/>
        <w:ind w:left="540" w:right="171"/>
        <w:rPr>
          <w:rFonts w:ascii="宋体" w:hAnsi="宋体"/>
          <w:highlight w:val="none"/>
        </w:rPr>
      </w:pPr>
      <w:r>
        <w:rPr>
          <w:rFonts w:hint="eastAsia" w:ascii="宋体" w:hAnsi="宋体"/>
          <w:highlight w:val="none"/>
        </w:rPr>
        <w:t>2、由于乙方原因造成质量事故，其返工费用由乙方承担，工期不顺延。</w:t>
      </w:r>
    </w:p>
    <w:p>
      <w:pPr>
        <w:spacing w:line="360" w:lineRule="auto"/>
        <w:ind w:left="540" w:right="171"/>
        <w:rPr>
          <w:rFonts w:ascii="宋体" w:hAnsi="宋体"/>
          <w:szCs w:val="21"/>
          <w:highlight w:val="none"/>
        </w:rPr>
      </w:pPr>
      <w:r>
        <w:rPr>
          <w:rFonts w:hint="eastAsia" w:ascii="宋体" w:hAnsi="宋体"/>
          <w:highlight w:val="none"/>
        </w:rPr>
        <w:t>3、本工程要求乙方达到100%验收合格，对于验收过程中发生的资料整理及消防审验部门的接洽均由乙方负责，其中发生的费用均由乙方承担，且已综合考虑在综合单价中。</w:t>
      </w:r>
      <w:r>
        <w:rPr>
          <w:rFonts w:hint="eastAsia" w:ascii="宋体" w:hAnsi="宋体"/>
          <w:szCs w:val="21"/>
          <w:highlight w:val="none"/>
        </w:rPr>
        <w:t xml:space="preserve">   </w:t>
      </w:r>
    </w:p>
    <w:p>
      <w:pPr>
        <w:spacing w:line="360" w:lineRule="auto"/>
        <w:ind w:right="410" w:rightChars="171" w:firstLine="118" w:firstLineChars="49"/>
        <w:rPr>
          <w:rFonts w:ascii="宋体" w:hAnsi="宋体"/>
          <w:b/>
          <w:bCs/>
          <w:highlight w:val="none"/>
        </w:rPr>
      </w:pPr>
      <w:r>
        <w:rPr>
          <w:rFonts w:hint="eastAsia" w:ascii="宋体" w:hAnsi="宋体"/>
          <w:b/>
          <w:bCs/>
          <w:highlight w:val="none"/>
        </w:rPr>
        <w:t>十六、有关安全生产和防火的约定</w:t>
      </w:r>
    </w:p>
    <w:p>
      <w:pPr>
        <w:spacing w:line="360" w:lineRule="auto"/>
        <w:ind w:left="550" w:leftChars="229" w:right="410" w:rightChars="171"/>
        <w:jc w:val="left"/>
        <w:rPr>
          <w:rFonts w:ascii="宋体" w:hAnsi="宋体"/>
          <w:highlight w:val="none"/>
        </w:rPr>
      </w:pPr>
      <w:r>
        <w:rPr>
          <w:rFonts w:hint="eastAsia" w:ascii="宋体" w:hAnsi="宋体"/>
          <w:highlight w:val="none"/>
        </w:rPr>
        <w:t>1、乙方在施工期间应严格遵守《建筑安装工程安全技术规程》、《建筑安装工人安全操作规程》和其它相关的法规、规范。</w:t>
      </w:r>
    </w:p>
    <w:p>
      <w:pPr>
        <w:spacing w:line="360" w:lineRule="auto"/>
        <w:ind w:left="552" w:leftChars="230" w:right="410" w:rightChars="171"/>
        <w:jc w:val="left"/>
        <w:rPr>
          <w:rFonts w:ascii="宋体" w:hAnsi="宋体"/>
          <w:highlight w:val="none"/>
        </w:rPr>
      </w:pPr>
      <w:r>
        <w:rPr>
          <w:rFonts w:hint="eastAsia" w:ascii="宋体" w:hAnsi="宋体"/>
          <w:highlight w:val="none"/>
        </w:rPr>
        <w:t>2、由于乙方在施工生产过程中违反有关安全操作规程，导致发生安全事故，乙方应承担由此引发的一切经济损失。</w:t>
      </w:r>
    </w:p>
    <w:p>
      <w:pPr>
        <w:spacing w:line="360" w:lineRule="auto"/>
        <w:ind w:right="410" w:rightChars="171" w:firstLine="118" w:firstLineChars="49"/>
        <w:rPr>
          <w:rFonts w:ascii="宋体" w:hAnsi="宋体"/>
          <w:b/>
          <w:bCs/>
          <w:highlight w:val="none"/>
        </w:rPr>
      </w:pPr>
      <w:r>
        <w:rPr>
          <w:rFonts w:hint="eastAsia" w:ascii="宋体" w:hAnsi="宋体"/>
          <w:b/>
          <w:bCs/>
          <w:highlight w:val="none"/>
        </w:rPr>
        <w:t>十七、违约责任</w:t>
      </w:r>
    </w:p>
    <w:p>
      <w:pPr>
        <w:spacing w:line="360" w:lineRule="auto"/>
        <w:ind w:left="550" w:leftChars="229" w:right="410" w:rightChars="171"/>
        <w:jc w:val="left"/>
        <w:rPr>
          <w:rFonts w:ascii="宋体" w:hAnsi="宋体"/>
          <w:highlight w:val="none"/>
        </w:rPr>
      </w:pPr>
      <w:r>
        <w:rPr>
          <w:rFonts w:hint="eastAsia" w:ascii="宋体" w:hAnsi="宋体"/>
          <w:highlight w:val="none"/>
        </w:rPr>
        <w:t>1、未经甲方同意乙方擅自拆改原建筑物结构或设备管线，由此发生的损失或事故（包括罚款）由乙方负责并承担损失。</w:t>
      </w:r>
    </w:p>
    <w:p>
      <w:pPr>
        <w:snapToGrid w:val="0"/>
        <w:spacing w:line="360" w:lineRule="auto"/>
        <w:ind w:right="410" w:rightChars="171" w:firstLine="480" w:firstLineChars="200"/>
        <w:jc w:val="left"/>
        <w:rPr>
          <w:rFonts w:ascii="宋体" w:hAnsi="宋体"/>
          <w:highlight w:val="none"/>
        </w:rPr>
      </w:pPr>
      <w:r>
        <w:rPr>
          <w:rFonts w:hint="eastAsia" w:ascii="宋体" w:hAnsi="宋体"/>
          <w:highlight w:val="none"/>
        </w:rPr>
        <w:t>2、因乙方原因，合同无法继续履行时，应2</w:t>
      </w:r>
      <w:r>
        <w:rPr>
          <w:rFonts w:ascii="宋体" w:hAnsi="宋体"/>
          <w:highlight w:val="none"/>
        </w:rPr>
        <w:t>4</w:t>
      </w:r>
      <w:r>
        <w:rPr>
          <w:rFonts w:hint="eastAsia" w:ascii="宋体" w:hAnsi="宋体"/>
          <w:highlight w:val="none"/>
        </w:rPr>
        <w:t>小时内通知甲方，双方协商后办理合同终止协议，并由责任方赔偿对方由此造成的经济损失。若未在时限内通知甲方，乙方赔偿甲方由此造成的相应损失。</w:t>
      </w:r>
    </w:p>
    <w:p>
      <w:pPr>
        <w:snapToGrid w:val="0"/>
        <w:spacing w:line="360" w:lineRule="auto"/>
        <w:ind w:right="410" w:rightChars="171" w:firstLine="480" w:firstLineChars="200"/>
        <w:jc w:val="left"/>
        <w:rPr>
          <w:rFonts w:hint="eastAsia" w:ascii="宋体" w:hAnsi="宋体"/>
          <w:szCs w:val="24"/>
          <w:highlight w:val="none"/>
        </w:rPr>
      </w:pPr>
      <w:r>
        <w:rPr>
          <w:rFonts w:hint="eastAsia" w:ascii="宋体" w:hAnsi="宋体"/>
          <w:highlight w:val="none"/>
        </w:rPr>
        <w:t>3、</w:t>
      </w:r>
      <w:r>
        <w:rPr>
          <w:rFonts w:hint="eastAsia" w:ascii="宋体" w:hAnsi="宋体"/>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rPr>
          <w:rFonts w:ascii="宋体" w:hAnsi="宋体"/>
          <w:b/>
          <w:bCs/>
          <w:szCs w:val="24"/>
          <w:highlight w:val="none"/>
        </w:rPr>
      </w:pPr>
      <w:r>
        <w:rPr>
          <w:rFonts w:hint="eastAsia" w:ascii="宋体" w:hAnsi="宋体"/>
          <w:b/>
          <w:bCs/>
          <w:szCs w:val="24"/>
          <w:highlight w:val="none"/>
        </w:rPr>
        <w:t>十八、送达条款</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甲乙双方明确送达信息如下：</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甲方确认的送达信息为：</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送达地址：</w:t>
      </w:r>
      <w:r>
        <w:rPr>
          <w:rFonts w:hint="eastAsia" w:ascii="宋体" w:hAnsi="宋体"/>
          <w:szCs w:val="24"/>
          <w:highlight w:val="none"/>
          <w:lang w:eastAsia="zh-CN"/>
        </w:rPr>
        <w:t>洛阳市洛龙区开元大道与长厦门街交叉口开元壹号营销中心三楼</w:t>
      </w:r>
      <w:r>
        <w:rPr>
          <w:rFonts w:hint="eastAsia" w:ascii="宋体" w:hAnsi="宋体"/>
          <w:szCs w:val="24"/>
          <w:highlight w:val="none"/>
        </w:rPr>
        <w:t xml:space="preserve">                                                </w:t>
      </w:r>
    </w:p>
    <w:p>
      <w:pPr>
        <w:tabs>
          <w:tab w:val="left" w:pos="1080"/>
        </w:tabs>
        <w:spacing w:line="360" w:lineRule="auto"/>
        <w:ind w:right="410" w:rightChars="171" w:firstLine="480" w:firstLineChars="200"/>
        <w:rPr>
          <w:rFonts w:hint="eastAsia" w:ascii="宋体" w:hAnsi="宋体" w:eastAsia="宋体"/>
          <w:szCs w:val="24"/>
          <w:highlight w:val="none"/>
          <w:lang w:eastAsia="zh-CN"/>
        </w:rPr>
      </w:pPr>
      <w:r>
        <w:rPr>
          <w:rFonts w:hint="eastAsia" w:ascii="宋体" w:hAnsi="宋体"/>
          <w:szCs w:val="24"/>
          <w:highlight w:val="none"/>
        </w:rPr>
        <w:t>联系人：</w:t>
      </w:r>
      <w:r>
        <w:rPr>
          <w:rFonts w:hint="eastAsia" w:ascii="宋体" w:hAnsi="宋体"/>
          <w:szCs w:val="24"/>
          <w:highlight w:val="none"/>
          <w:lang w:eastAsia="zh-CN"/>
        </w:rPr>
        <w:t>张女士</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联系方式：</w:t>
      </w:r>
      <w:r>
        <w:rPr>
          <w:rFonts w:hint="eastAsia" w:ascii="宋体" w:hAnsi="宋体"/>
          <w:szCs w:val="24"/>
          <w:highlight w:val="none"/>
          <w:lang w:val="en-US" w:eastAsia="zh-CN"/>
        </w:rPr>
        <w:t>15037954375</w:t>
      </w:r>
      <w:r>
        <w:rPr>
          <w:rFonts w:hint="eastAsia" w:ascii="宋体" w:hAnsi="宋体"/>
          <w:szCs w:val="24"/>
          <w:highlight w:val="none"/>
        </w:rPr>
        <w:t xml:space="preserve">                                         </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乙方确认的送达信息为：</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送达地址：焦作市武陟县迎宾大道50号聚泰实业</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联系人：宋有胜</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联系方式：13939197566  </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 xml:space="preserve">公司地址:焦作市武陟县迎宾大道50号                                    </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szCs w:val="24"/>
          <w:highlight w:val="none"/>
        </w:rPr>
      </w:pPr>
      <w:r>
        <w:rPr>
          <w:rFonts w:hint="eastAsia" w:ascii="宋体" w:hAnsi="宋体"/>
          <w:b/>
          <w:bCs/>
          <w:szCs w:val="24"/>
          <w:highlight w:val="none"/>
        </w:rPr>
        <w:t>十九、发票开具要求及责任</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2、对发票不合规的约定</w:t>
      </w:r>
    </w:p>
    <w:p>
      <w:pPr>
        <w:tabs>
          <w:tab w:val="left" w:pos="1080"/>
        </w:tabs>
        <w:spacing w:line="360" w:lineRule="auto"/>
        <w:ind w:right="410" w:rightChars="171" w:firstLine="480" w:firstLineChars="200"/>
        <w:rPr>
          <w:rFonts w:ascii="宋体" w:hAnsi="宋体"/>
          <w:szCs w:val="24"/>
          <w:highlight w:val="none"/>
        </w:rPr>
      </w:pPr>
      <w:r>
        <w:rPr>
          <w:rFonts w:hint="eastAsia" w:ascii="宋体" w:hAnsi="宋体"/>
          <w:szCs w:val="24"/>
          <w:highlight w:val="none"/>
        </w:rPr>
        <w:t>（1）乙方提供的发票为增值税专用发票的，因乙方迟延送达、开具错误等原因导致其提供的增值税专用发票没有通过税务部门认证，造成甲方不能抵扣的，甲方有权拒绝接收。</w:t>
      </w:r>
    </w:p>
    <w:p>
      <w:pPr>
        <w:tabs>
          <w:tab w:val="left" w:pos="1080"/>
        </w:tabs>
        <w:spacing w:line="360" w:lineRule="auto"/>
        <w:ind w:right="410" w:rightChars="171" w:firstLine="480" w:firstLineChars="200"/>
        <w:rPr>
          <w:rFonts w:hint="eastAsia" w:ascii="宋体" w:hAnsi="宋体"/>
          <w:szCs w:val="24"/>
          <w:highlight w:val="none"/>
        </w:rPr>
      </w:pPr>
      <w:r>
        <w:rPr>
          <w:rFonts w:hint="eastAsia" w:ascii="宋体" w:hAnsi="宋体"/>
          <w:szCs w:val="24"/>
          <w:highlight w:val="none"/>
        </w:rPr>
        <w:t>（2）乙方开具虚假、作废等无效发票或者违反国家法律法规开具、提供发票的，乙方应自行承担相应法律责任，并应向甲方支付合同总价</w:t>
      </w:r>
      <w:r>
        <w:rPr>
          <w:rFonts w:hint="eastAsia" w:ascii="宋体" w:hAnsi="宋体"/>
          <w:szCs w:val="24"/>
          <w:highlight w:val="none"/>
          <w:u w:val="single"/>
        </w:rPr>
        <w:t>_</w:t>
      </w:r>
      <w:r>
        <w:rPr>
          <w:rFonts w:ascii="宋体" w:hAnsi="宋体"/>
          <w:szCs w:val="24"/>
          <w:highlight w:val="none"/>
          <w:u w:val="single"/>
        </w:rPr>
        <w:t>20</w:t>
      </w:r>
      <w:r>
        <w:rPr>
          <w:rFonts w:hint="eastAsia" w:ascii="宋体" w:hAnsi="宋体"/>
          <w:szCs w:val="24"/>
          <w:highlight w:val="none"/>
          <w:u w:val="single"/>
        </w:rPr>
        <w:t>_</w:t>
      </w:r>
      <w:r>
        <w:rPr>
          <w:rFonts w:hint="eastAsia" w:ascii="宋体" w:hAnsi="宋体"/>
          <w:szCs w:val="24"/>
          <w:highlight w:val="none"/>
        </w:rPr>
        <w:t>_%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52"/>
        <w:spacing w:line="360" w:lineRule="auto"/>
        <w:ind w:firstLine="480" w:firstLineChars="200"/>
        <w:rPr>
          <w:rFonts w:hint="eastAsia" w:ascii="宋体" w:hAnsi="宋体" w:cs="Times New Roman"/>
          <w:b w:val="0"/>
          <w:dstrike w:val="0"/>
          <w:kern w:val="2"/>
          <w:position w:val="0"/>
          <w:sz w:val="24"/>
          <w:szCs w:val="24"/>
          <w:highlight w:val="none"/>
          <w:lang w:val="en-US" w:eastAsia="zh-CN"/>
        </w:rPr>
      </w:pPr>
      <w:r>
        <w:rPr>
          <w:rFonts w:hint="eastAsia" w:hAnsi="宋体" w:cs="Times New Roman"/>
          <w:b w:val="0"/>
          <w:dstrike w:val="0"/>
          <w:kern w:val="2"/>
          <w:position w:val="0"/>
          <w:sz w:val="24"/>
          <w:szCs w:val="24"/>
          <w:highlight w:val="none"/>
          <w:lang w:val="en-US" w:eastAsia="zh-CN"/>
        </w:rPr>
        <w:t>3、</w:t>
      </w:r>
      <w:r>
        <w:rPr>
          <w:rFonts w:hint="eastAsia" w:ascii="宋体" w:hAnsi="宋体" w:cs="Times New Roman"/>
          <w:b w:val="0"/>
          <w:dstrike w:val="0"/>
          <w:kern w:val="2"/>
          <w:position w:val="0"/>
          <w:sz w:val="24"/>
          <w:szCs w:val="24"/>
          <w:highlight w:val="none"/>
          <w:lang w:val="en-US" w:eastAsia="zh-CN"/>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pStyle w:val="52"/>
        <w:spacing w:line="360" w:lineRule="auto"/>
        <w:ind w:firstLine="480"/>
        <w:rPr>
          <w:rFonts w:hint="eastAsia" w:ascii="宋体" w:hAnsi="宋体" w:cs="宋体"/>
          <w:b w:val="0"/>
          <w:bCs/>
          <w:dstrike w:val="0"/>
          <w:color w:val="auto"/>
          <w:sz w:val="24"/>
          <w:szCs w:val="24"/>
          <w:highlight w:val="none"/>
          <w:lang w:val="en-US" w:eastAsia="zh-CN"/>
        </w:rPr>
      </w:pPr>
      <w:r>
        <w:rPr>
          <w:rFonts w:hint="eastAsia" w:ascii="宋体" w:hAnsi="宋体" w:cs="Times New Roman"/>
          <w:b w:val="0"/>
          <w:dstrike w:val="0"/>
          <w:kern w:val="2"/>
          <w:position w:val="0"/>
          <w:sz w:val="24"/>
          <w:szCs w:val="24"/>
          <w:highlight w:val="none"/>
          <w:lang w:val="en-US" w:eastAsia="zh-CN"/>
        </w:rPr>
        <w:t>若非因国家税收政策变动，</w:t>
      </w:r>
      <w:r>
        <w:rPr>
          <w:rFonts w:hint="eastAsia" w:ascii="宋体" w:hAnsi="宋体" w:cs="Times New Roman"/>
          <w:b w:val="0"/>
          <w:dstrike w:val="0"/>
          <w:kern w:val="2"/>
          <w:position w:val="0"/>
          <w:sz w:val="24"/>
          <w:szCs w:val="24"/>
          <w:highlight w:val="none"/>
        </w:rPr>
        <w:t>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Times New Roman"/>
          <w:b w:val="0"/>
          <w:dstrike w:val="0"/>
          <w:kern w:val="2"/>
          <w:position w:val="0"/>
          <w:sz w:val="24"/>
          <w:szCs w:val="24"/>
          <w:highlight w:val="none"/>
          <w:u w:val="none"/>
        </w:rPr>
        <w:t>_20</w:t>
      </w:r>
      <w:r>
        <w:rPr>
          <w:rFonts w:hint="eastAsia" w:ascii="宋体" w:hAnsi="宋体" w:cs="Times New Roman"/>
          <w:b w:val="0"/>
          <w:dstrike w:val="0"/>
          <w:kern w:val="2"/>
          <w:position w:val="0"/>
          <w:sz w:val="24"/>
          <w:szCs w:val="24"/>
          <w:highlight w:val="none"/>
        </w:rPr>
        <w:t>_%的违约金，违约金不足以弥补甲方损失的，乙方应予赔偿，甲方有权终止合同。</w:t>
      </w:r>
    </w:p>
    <w:p>
      <w:pPr>
        <w:pStyle w:val="52"/>
        <w:spacing w:line="360" w:lineRule="auto"/>
        <w:ind w:firstLine="480"/>
        <w:rPr>
          <w:rFonts w:ascii="宋体" w:hAnsi="宋体" w:cs="宋体"/>
          <w:b w:val="0"/>
          <w:bCs/>
          <w:color w:val="auto"/>
          <w:sz w:val="24"/>
          <w:szCs w:val="24"/>
          <w:highlight w:val="none"/>
        </w:rPr>
      </w:pPr>
      <w:r>
        <w:rPr>
          <w:rFonts w:hint="eastAsia"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rPr>
        <w:t>其它税务风险的合同约定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如果甲方丢失增值税专用发票联和抵扣联，乙方应向甲方提供专用发票记账联复印件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并加盖乙方发票专用章</w:t>
      </w:r>
      <w:r>
        <w:rPr>
          <w:rFonts w:hint="eastAsia" w:ascii="宋体" w:hAnsi="宋体" w:cs="宋体"/>
          <w:color w:val="auto"/>
          <w:sz w:val="24"/>
          <w:szCs w:val="24"/>
          <w:highlight w:val="none"/>
        </w:rPr>
        <w:t>。</w:t>
      </w:r>
    </w:p>
    <w:p>
      <w:pPr>
        <w:pStyle w:val="94"/>
        <w:autoSpaceDE w:val="0"/>
        <w:autoSpaceDN w:val="0"/>
        <w:adjustRightInd w:val="0"/>
        <w:snapToGrid w:val="0"/>
        <w:spacing w:line="360" w:lineRule="auto"/>
        <w:ind w:left="0" w:firstLine="480" w:firstLineChars="200"/>
        <w:jc w:val="left"/>
        <w:rPr>
          <w:rFonts w:hint="eastAsia"/>
          <w:color w:val="auto"/>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如果获得开具的汇总专用发票，则乙方应提供其防伪税控系统开具的《销售货物或者提供应税劳务清单》，并加盖发票专用章。</w:t>
      </w:r>
    </w:p>
    <w:p>
      <w:pPr>
        <w:widowControl/>
        <w:spacing w:beforeLines="50" w:afterLines="50" w:line="360" w:lineRule="auto"/>
        <w:ind w:right="120" w:rightChars="50"/>
        <w:rPr>
          <w:rFonts w:hint="eastAsia" w:ascii="宋体" w:hAnsi="宋体" w:eastAsia="宋体" w:cs="宋体"/>
          <w:b/>
          <w:bCs/>
          <w:szCs w:val="24"/>
          <w:highlight w:val="none"/>
          <w:lang w:eastAsia="zh-CN"/>
        </w:rPr>
      </w:pPr>
      <w:r>
        <w:rPr>
          <w:rFonts w:hint="eastAsia" w:ascii="宋体" w:hAnsi="宋体" w:cs="宋体"/>
          <w:b/>
          <w:bCs/>
          <w:szCs w:val="24"/>
          <w:highlight w:val="none"/>
        </w:rPr>
        <w:t>二十、合同生效</w:t>
      </w:r>
      <w:r>
        <w:rPr>
          <w:rFonts w:hint="eastAsia" w:ascii="宋体" w:hAnsi="宋体" w:cs="宋体"/>
          <w:b/>
          <w:bCs/>
          <w:szCs w:val="24"/>
          <w:highlight w:val="none"/>
          <w:lang w:eastAsia="zh-CN"/>
        </w:rPr>
        <w:t>与解约</w:t>
      </w:r>
    </w:p>
    <w:p>
      <w:pPr>
        <w:widowControl/>
        <w:spacing w:beforeLines="50" w:afterLines="50" w:line="360" w:lineRule="auto"/>
        <w:ind w:left="120" w:leftChars="50" w:right="120" w:rightChars="50" w:firstLine="480" w:firstLineChars="200"/>
        <w:rPr>
          <w:rFonts w:hint="eastAsia" w:ascii="宋体" w:hAnsi="宋体" w:cs="宋体"/>
          <w:szCs w:val="24"/>
          <w:highlight w:val="none"/>
        </w:rPr>
      </w:pPr>
      <w:r>
        <w:rPr>
          <w:rFonts w:hint="eastAsia" w:ascii="宋体" w:hAnsi="宋体" w:cs="宋体"/>
          <w:szCs w:val="24"/>
          <w:highlight w:val="none"/>
          <w:lang w:val="en-US" w:eastAsia="zh-CN"/>
        </w:rPr>
        <w:t>1、</w:t>
      </w:r>
      <w:r>
        <w:rPr>
          <w:rFonts w:hint="eastAsia" w:ascii="宋体" w:hAnsi="宋体" w:cs="宋体"/>
          <w:szCs w:val="24"/>
          <w:highlight w:val="none"/>
        </w:rPr>
        <w:t>合同双方盖章后2个工作日内，乙方向甲方提供</w:t>
      </w:r>
      <w:r>
        <w:rPr>
          <w:rFonts w:hint="eastAsia" w:ascii="宋体" w:hAnsi="宋体" w:cs="宋体"/>
          <w:szCs w:val="24"/>
          <w:highlight w:val="none"/>
          <w:lang w:val="en-US" w:eastAsia="zh-CN"/>
        </w:rPr>
        <w:t>肆万元</w:t>
      </w:r>
      <w:r>
        <w:rPr>
          <w:rFonts w:hint="eastAsia" w:ascii="宋体" w:hAnsi="宋体" w:cs="宋体"/>
          <w:szCs w:val="24"/>
          <w:highlight w:val="none"/>
        </w:rPr>
        <w:t>履约保证金后合同生效，两个工作日内不能足额提供履约保证金时，第三日本合同自行失效，由</w:t>
      </w:r>
      <w:r>
        <w:rPr>
          <w:rFonts w:hint="eastAsia" w:ascii="宋体" w:hAnsi="宋体" w:cs="宋体"/>
          <w:szCs w:val="24"/>
          <w:highlight w:val="none"/>
          <w:lang w:eastAsia="zh-CN"/>
        </w:rPr>
        <w:t>投标诚意金</w:t>
      </w:r>
      <w:r>
        <w:rPr>
          <w:rFonts w:hint="eastAsia" w:ascii="宋体" w:hAnsi="宋体" w:cs="宋体"/>
          <w:szCs w:val="24"/>
          <w:highlight w:val="none"/>
        </w:rPr>
        <w:t>转入的履约保证金不予退还。</w:t>
      </w:r>
    </w:p>
    <w:p>
      <w:pPr>
        <w:spacing w:line="360" w:lineRule="auto"/>
        <w:ind w:firstLine="240" w:firstLineChars="100"/>
        <w:rPr>
          <w:rFonts w:hint="eastAsia" w:ascii="宋体" w:hAnsi="宋体" w:cs="宋体"/>
          <w:color w:val="auto"/>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w:t>
      </w:r>
      <w:r>
        <w:rPr>
          <w:rFonts w:hint="eastAsia" w:ascii="宋体" w:hAnsi="宋体" w:cs="宋体"/>
          <w:color w:val="auto"/>
          <w:sz w:val="24"/>
          <w:szCs w:val="24"/>
          <w:highlight w:val="none"/>
        </w:rPr>
        <w:t>如发生以下情况之一的，甲方有权解除合同：</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非甲方书面认可的原因造成的累计停工7天以上的。</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甲方或监理方对同一施工问题连续下发三次整改通知书后乙方无作为或整改问题未解决。</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乙方购置假冒伪劣产品用于本工程。</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lang w:val="en-US" w:eastAsia="zh-CN" w:bidi="ar"/>
        </w:rPr>
        <w:t>2.1甲方解除合同的，</w:t>
      </w:r>
      <w:r>
        <w:rPr>
          <w:rFonts w:hint="eastAsia" w:ascii="宋体" w:hAnsi="宋体" w:cs="宋体"/>
          <w:sz w:val="24"/>
          <w:szCs w:val="24"/>
          <w:highlight w:val="none"/>
          <w:lang w:bidi="ar"/>
        </w:rPr>
        <w:t>对于乙方已完工部分质量合格的按照实际工程量给予结算</w:t>
      </w:r>
      <w:r>
        <w:rPr>
          <w:rFonts w:hint="eastAsia" w:ascii="宋体" w:hAnsi="宋体" w:cs="宋体"/>
          <w:sz w:val="24"/>
          <w:szCs w:val="24"/>
          <w:highlight w:val="none"/>
          <w:lang w:val="en-US" w:eastAsia="zh-CN" w:bidi="ar"/>
        </w:rPr>
        <w:t>9</w:t>
      </w:r>
      <w:r>
        <w:rPr>
          <w:rFonts w:hint="eastAsia" w:ascii="宋体" w:hAnsi="宋体" w:cs="宋体"/>
          <w:sz w:val="24"/>
          <w:szCs w:val="24"/>
          <w:highlight w:val="none"/>
          <w:lang w:bidi="ar"/>
        </w:rPr>
        <w:t>0%，对于不合格部分责令整改，整改合格后给予结算工程70%，若乙方拒绝整改或在甲方要求的整改期限内整改不到位的，甲方给予已施工完工程款30%，乙方清理现场撤离。</w:t>
      </w:r>
    </w:p>
    <w:p>
      <w:pPr>
        <w:spacing w:line="360" w:lineRule="auto"/>
        <w:ind w:firstLine="240" w:firstLineChars="100"/>
        <w:rPr>
          <w:rFonts w:hint="eastAsia" w:ascii="宋体" w:hAnsi="宋体" w:cs="宋体"/>
          <w:sz w:val="24"/>
          <w:szCs w:val="24"/>
          <w:highlight w:val="none"/>
          <w:lang w:bidi="ar"/>
        </w:rPr>
      </w:pPr>
      <w:r>
        <w:rPr>
          <w:rFonts w:hint="eastAsia" w:ascii="宋体" w:hAnsi="宋体" w:cs="宋体"/>
          <w:sz w:val="24"/>
          <w:szCs w:val="24"/>
          <w:highlight w:val="none"/>
          <w:lang w:val="en-US" w:eastAsia="zh-CN" w:bidi="ar"/>
        </w:rPr>
        <w:t>2.2</w:t>
      </w:r>
      <w:r>
        <w:rPr>
          <w:rFonts w:hint="eastAsia" w:ascii="宋体" w:hAnsi="宋体" w:cs="宋体"/>
          <w:sz w:val="24"/>
          <w:szCs w:val="24"/>
          <w:highlight w:val="none"/>
          <w:lang w:bidi="ar"/>
        </w:rPr>
        <w:t>如合同解约甲方有权委托其他公司进行施工。</w:t>
      </w:r>
    </w:p>
    <w:p>
      <w:pPr>
        <w:pStyle w:val="52"/>
        <w:rPr>
          <w:highlight w:val="none"/>
        </w:rPr>
      </w:pPr>
    </w:p>
    <w:p>
      <w:pPr>
        <w:spacing w:line="360" w:lineRule="auto"/>
        <w:ind w:right="410" w:rightChars="171"/>
        <w:rPr>
          <w:rFonts w:ascii="宋体" w:hAnsi="宋体"/>
          <w:b/>
          <w:bCs/>
          <w:highlight w:val="none"/>
        </w:rPr>
      </w:pPr>
      <w:r>
        <w:rPr>
          <w:rFonts w:hint="eastAsia" w:ascii="宋体" w:hAnsi="宋体"/>
          <w:b/>
          <w:bCs/>
          <w:highlight w:val="none"/>
        </w:rPr>
        <w:t>二十一、争议或纠纷处理</w:t>
      </w:r>
    </w:p>
    <w:p>
      <w:pPr>
        <w:spacing w:line="360" w:lineRule="auto"/>
        <w:ind w:right="410" w:rightChars="171" w:firstLine="480" w:firstLineChars="200"/>
        <w:rPr>
          <w:rFonts w:ascii="宋体" w:hAnsi="宋体"/>
          <w:highlight w:val="none"/>
        </w:rPr>
      </w:pPr>
      <w:r>
        <w:rPr>
          <w:rFonts w:hint="eastAsia" w:ascii="宋体" w:hAnsi="宋体"/>
          <w:highlight w:val="none"/>
        </w:rPr>
        <w:t>合同在履行过程中发生争议时，合同双方及时协商解决。协商不成时，向甲方所在地人民法院起诉。</w:t>
      </w:r>
    </w:p>
    <w:p>
      <w:pPr>
        <w:spacing w:line="360" w:lineRule="auto"/>
        <w:ind w:right="410" w:rightChars="171"/>
        <w:rPr>
          <w:rFonts w:ascii="宋体" w:hAnsi="宋体"/>
          <w:b/>
          <w:bCs/>
          <w:highlight w:val="none"/>
        </w:rPr>
      </w:pPr>
      <w:r>
        <w:rPr>
          <w:rFonts w:hint="eastAsia" w:ascii="宋体" w:hAnsi="宋体"/>
          <w:b/>
          <w:bCs/>
          <w:highlight w:val="none"/>
        </w:rPr>
        <w:t>二十二、其他</w:t>
      </w:r>
    </w:p>
    <w:p>
      <w:pPr>
        <w:spacing w:line="360" w:lineRule="auto"/>
        <w:ind w:right="410" w:rightChars="171" w:firstLine="720" w:firstLineChars="300"/>
        <w:rPr>
          <w:rFonts w:ascii="宋体" w:hAnsi="宋体"/>
          <w:highlight w:val="none"/>
        </w:rPr>
      </w:pPr>
      <w:r>
        <w:rPr>
          <w:rFonts w:hint="eastAsia" w:ascii="宋体" w:hAnsi="宋体"/>
          <w:highlight w:val="none"/>
        </w:rPr>
        <w:t>1、本合同一式陆份，甲方执伍份，乙方执壹份，每份具有同等的法律效力。</w:t>
      </w:r>
    </w:p>
    <w:p>
      <w:pPr>
        <w:spacing w:line="360" w:lineRule="auto"/>
        <w:ind w:right="410" w:rightChars="171" w:firstLine="720" w:firstLineChars="300"/>
        <w:rPr>
          <w:rFonts w:ascii="宋体" w:hAnsi="宋体"/>
          <w:highlight w:val="none"/>
        </w:rPr>
      </w:pPr>
      <w:r>
        <w:rPr>
          <w:rFonts w:hint="eastAsia" w:ascii="宋体" w:hAnsi="宋体"/>
          <w:highlight w:val="none"/>
        </w:rPr>
        <w:t xml:space="preserve">2、未尽事宜，双方另行补充。补充协议与本合同具有同等法律效力。 </w:t>
      </w:r>
    </w:p>
    <w:p>
      <w:pPr>
        <w:spacing w:line="360" w:lineRule="auto"/>
        <w:ind w:right="410" w:rightChars="171" w:firstLine="720" w:firstLineChars="300"/>
        <w:rPr>
          <w:rFonts w:ascii="宋体" w:hAnsi="宋体"/>
          <w:highlight w:val="none"/>
        </w:rPr>
      </w:pPr>
      <w:r>
        <w:rPr>
          <w:rFonts w:hint="eastAsia" w:ascii="宋体" w:hAnsi="宋体"/>
          <w:highlight w:val="none"/>
        </w:rPr>
        <w:t>3、合同自双方法定代表人或委托代理人签字</w:t>
      </w:r>
      <w:r>
        <w:rPr>
          <w:rFonts w:hint="eastAsia" w:ascii="宋体" w:hAnsi="宋体"/>
          <w:highlight w:val="none"/>
          <w:lang w:eastAsia="zh-CN"/>
        </w:rPr>
        <w:t>或</w:t>
      </w:r>
      <w:r>
        <w:rPr>
          <w:rFonts w:hint="eastAsia" w:ascii="宋体" w:hAnsi="宋体"/>
          <w:highlight w:val="none"/>
        </w:rPr>
        <w:t>盖章之日起有效。</w:t>
      </w:r>
    </w:p>
    <w:p>
      <w:pPr>
        <w:spacing w:line="360" w:lineRule="auto"/>
        <w:ind w:right="410" w:rightChars="171"/>
        <w:rPr>
          <w:rFonts w:ascii="宋体" w:hAnsi="宋体"/>
          <w:b/>
          <w:bCs/>
          <w:highlight w:val="none"/>
        </w:rPr>
      </w:pPr>
      <w:r>
        <w:rPr>
          <w:rFonts w:hint="eastAsia" w:ascii="宋体" w:hAnsi="宋体"/>
          <w:b/>
          <w:bCs/>
          <w:highlight w:val="none"/>
        </w:rPr>
        <w:t>二十三、合同附件</w:t>
      </w:r>
    </w:p>
    <w:p>
      <w:pPr>
        <w:spacing w:line="360" w:lineRule="auto"/>
        <w:ind w:right="410" w:rightChars="171" w:firstLine="480" w:firstLineChars="200"/>
        <w:rPr>
          <w:rFonts w:hint="eastAsia" w:ascii="宋体" w:hAnsi="宋体"/>
          <w:highlight w:val="none"/>
        </w:rPr>
      </w:pPr>
      <w:r>
        <w:rPr>
          <w:rFonts w:hint="eastAsia" w:ascii="宋体" w:hAnsi="宋体"/>
          <w:highlight w:val="none"/>
        </w:rPr>
        <w:t>附件一:报价清单</w:t>
      </w:r>
    </w:p>
    <w:p>
      <w:pPr>
        <w:pStyle w:val="2"/>
        <w:ind w:firstLine="480" w:firstLineChars="200"/>
        <w:rPr>
          <w:rFonts w:hint="eastAsia" w:ascii="宋体" w:hAnsi="宋体" w:eastAsia="宋体"/>
          <w:kern w:val="2"/>
          <w:sz w:val="24"/>
          <w:szCs w:val="22"/>
          <w:highlight w:val="none"/>
          <w:lang w:eastAsia="zh-CN"/>
        </w:rPr>
      </w:pPr>
      <w:r>
        <w:rPr>
          <w:rFonts w:hint="eastAsia" w:ascii="宋体" w:hAnsi="宋体"/>
          <w:kern w:val="2"/>
          <w:sz w:val="24"/>
          <w:szCs w:val="22"/>
          <w:highlight w:val="none"/>
        </w:rPr>
        <w:t>附件</w:t>
      </w:r>
      <w:r>
        <w:rPr>
          <w:rFonts w:hint="eastAsia" w:ascii="宋体" w:hAnsi="宋体"/>
          <w:kern w:val="2"/>
          <w:sz w:val="24"/>
          <w:szCs w:val="22"/>
          <w:highlight w:val="none"/>
          <w:lang w:eastAsia="zh-CN"/>
        </w:rPr>
        <w:t>二</w:t>
      </w:r>
      <w:r>
        <w:rPr>
          <w:rFonts w:hint="eastAsia" w:ascii="宋体" w:hAnsi="宋体"/>
          <w:kern w:val="2"/>
          <w:sz w:val="24"/>
          <w:szCs w:val="22"/>
          <w:highlight w:val="none"/>
        </w:rPr>
        <w:t>:</w:t>
      </w:r>
      <w:r>
        <w:rPr>
          <w:rFonts w:hint="eastAsia" w:ascii="宋体" w:hAnsi="宋体"/>
          <w:kern w:val="2"/>
          <w:sz w:val="24"/>
          <w:szCs w:val="22"/>
          <w:highlight w:val="none"/>
          <w:lang w:eastAsia="zh-CN"/>
        </w:rPr>
        <w:t>廉政协议</w:t>
      </w:r>
    </w:p>
    <w:p>
      <w:pPr>
        <w:widowControl/>
        <w:spacing w:beforeLines="50" w:afterLines="50" w:line="360" w:lineRule="auto"/>
        <w:ind w:left="120" w:leftChars="50" w:right="120" w:rightChars="50" w:firstLine="480" w:firstLineChars="200"/>
        <w:rPr>
          <w:rFonts w:hint="eastAsia" w:ascii="宋体" w:hAnsi="宋体" w:cs="宋体"/>
          <w:szCs w:val="24"/>
          <w:highlight w:val="none"/>
        </w:rPr>
      </w:pPr>
      <w:r>
        <w:rPr>
          <w:rFonts w:hint="eastAsia" w:ascii="宋体" w:hAnsi="宋体" w:cs="宋体"/>
          <w:szCs w:val="24"/>
          <w:highlight w:val="none"/>
        </w:rPr>
        <w:t>（以下无正文）</w:t>
      </w:r>
    </w:p>
    <w:p>
      <w:pPr>
        <w:pStyle w:val="52"/>
        <w:rPr>
          <w:highlight w:val="none"/>
        </w:rPr>
      </w:pPr>
    </w:p>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 方：洛阳莘子园置业有限公司        乙 方：</w:t>
      </w:r>
      <w:r>
        <w:rPr>
          <w:rFonts w:hint="eastAsia" w:ascii="宋体" w:hAnsi="宋体" w:cs="宋体"/>
          <w:color w:val="auto"/>
          <w:kern w:val="0"/>
          <w:sz w:val="24"/>
          <w:szCs w:val="24"/>
          <w:highlight w:val="none"/>
          <w:lang w:eastAsia="zh-CN"/>
        </w:rPr>
        <w:t>河南聚泰实业有限公司</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法 人 代 表：               法 人 代 表：</w:t>
      </w:r>
    </w:p>
    <w:p>
      <w:pPr>
        <w:spacing w:line="360" w:lineRule="auto"/>
        <w:jc w:val="both"/>
        <w:rPr>
          <w:rFonts w:hint="eastAsia" w:ascii="宋体" w:hAnsi="宋体" w:cs="宋体"/>
          <w:snapToGrid w:val="0"/>
          <w:color w:val="auto"/>
          <w:kern w:val="0"/>
          <w:sz w:val="24"/>
          <w:szCs w:val="24"/>
          <w:highlight w:val="none"/>
          <w:lang w:val="en-US" w:eastAsia="zh-CN"/>
        </w:rPr>
      </w:pPr>
      <w:r>
        <w:rPr>
          <w:rFonts w:hint="eastAsia" w:ascii="宋体" w:hAnsi="宋体" w:cs="宋体"/>
          <w:color w:val="auto"/>
          <w:kern w:val="0"/>
          <w:sz w:val="24"/>
          <w:szCs w:val="24"/>
          <w:highlight w:val="none"/>
        </w:rPr>
        <w:t>或授权委托人：               或授权委托人：</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地址：河南省洛阳市宜阳县城关镇锦        地址</w:t>
      </w:r>
      <w:r>
        <w:rPr>
          <w:rFonts w:hint="eastAsia" w:ascii="宋体" w:hAnsi="宋体" w:cs="宋体"/>
          <w:color w:val="auto"/>
          <w:kern w:val="0"/>
          <w:sz w:val="24"/>
          <w:szCs w:val="24"/>
          <w:highlight w:val="none"/>
          <w:lang w:val="en-US" w:eastAsia="zh-CN"/>
        </w:rPr>
        <w:t>:</w:t>
      </w:r>
      <w:r>
        <w:rPr>
          <w:rFonts w:hint="eastAsia" w:ascii="宋体" w:hAnsi="宋体" w:cs="宋体"/>
          <w:snapToGrid w:val="0"/>
          <w:color w:val="auto"/>
          <w:kern w:val="0"/>
          <w:sz w:val="24"/>
          <w:szCs w:val="24"/>
          <w:highlight w:val="none"/>
          <w:lang w:val="en-US" w:eastAsia="zh-CN"/>
        </w:rPr>
        <w:t xml:space="preserve">  </w:t>
      </w:r>
      <w:r>
        <w:rPr>
          <w:rFonts w:hint="eastAsia" w:ascii="宋体" w:hAnsi="宋体"/>
          <w:szCs w:val="24"/>
          <w:highlight w:val="none"/>
        </w:rPr>
        <w:t>焦作市武陟县迎宾大道50号聚泰实业</w:t>
      </w:r>
      <w:r>
        <w:rPr>
          <w:rFonts w:hint="eastAsia" w:ascii="宋体" w:hAnsi="宋体" w:cs="宋体"/>
          <w:snapToGrid w:val="0"/>
          <w:color w:val="auto"/>
          <w:kern w:val="0"/>
          <w:sz w:val="24"/>
          <w:szCs w:val="24"/>
          <w:highlight w:val="none"/>
          <w:lang w:val="en-US" w:eastAsia="zh-CN"/>
        </w:rPr>
        <w:t xml:space="preserve">                                                                    </w:t>
      </w:r>
    </w:p>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龙大道亿江龙祥城2-401室                  </w:t>
      </w:r>
    </w:p>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联络人及联系方式：                      联络人及联系方式：                 </w:t>
      </w:r>
    </w:p>
    <w:p>
      <w:pPr>
        <w:spacing w:line="360" w:lineRule="auto"/>
        <w:ind w:firstLine="0"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税号：</w:t>
      </w:r>
      <w:r>
        <w:rPr>
          <w:rFonts w:hint="eastAsia" w:ascii="宋体" w:hAnsi="宋体" w:cs="宋体"/>
          <w:color w:val="auto"/>
          <w:kern w:val="0"/>
          <w:sz w:val="24"/>
          <w:szCs w:val="24"/>
          <w:highlight w:val="none"/>
          <w:lang w:val="en-US" w:eastAsia="zh-CN"/>
        </w:rPr>
        <w:t>91410327MA46Q3579G</w:t>
      </w: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税号： 410823567253623M     </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账户：</w:t>
      </w:r>
      <w:r>
        <w:rPr>
          <w:rFonts w:hint="eastAsia" w:ascii="宋体" w:hAnsi="宋体" w:cs="宋体"/>
          <w:snapToGrid w:val="0"/>
          <w:color w:val="auto"/>
          <w:kern w:val="0"/>
          <w:sz w:val="24"/>
          <w:szCs w:val="24"/>
          <w:highlight w:val="none"/>
        </w:rPr>
        <w:t xml:space="preserve">66121011800000498 </w:t>
      </w:r>
      <w:r>
        <w:rPr>
          <w:rFonts w:hint="eastAsia" w:ascii="宋体" w:hAnsi="宋体" w:cs="宋体"/>
          <w:color w:val="auto"/>
          <w:kern w:val="0"/>
          <w:sz w:val="24"/>
          <w:szCs w:val="24"/>
          <w:highlight w:val="none"/>
        </w:rPr>
        <w:t>          账户：16_322101040019280</w:t>
      </w:r>
    </w:p>
    <w:p>
      <w:pPr>
        <w:spacing w:line="360" w:lineRule="auto"/>
        <w:ind w:firstLine="0" w:firstLineChars="0"/>
        <w:rPr>
          <w:rFonts w:hint="eastAsia" w:ascii="宋体" w:hAnsi="宋体" w:cs="宋体"/>
          <w:snapToGrid w:val="0"/>
          <w:color w:val="auto"/>
          <w:kern w:val="0"/>
          <w:sz w:val="24"/>
          <w:szCs w:val="24"/>
          <w:highlight w:val="none"/>
          <w:lang w:val="en-US" w:eastAsia="zh-CN"/>
        </w:rPr>
      </w:pPr>
      <w:r>
        <w:rPr>
          <w:rFonts w:hint="eastAsia" w:ascii="宋体" w:hAnsi="宋体" w:cs="宋体"/>
          <w:color w:val="auto"/>
          <w:kern w:val="0"/>
          <w:sz w:val="24"/>
          <w:szCs w:val="24"/>
          <w:highlight w:val="none"/>
        </w:rPr>
        <w:t>开户行：</w:t>
      </w:r>
      <w:r>
        <w:rPr>
          <w:rFonts w:hint="eastAsia" w:ascii="宋体" w:hAnsi="宋体" w:cs="宋体"/>
          <w:snapToGrid w:val="0"/>
          <w:color w:val="auto"/>
          <w:kern w:val="0"/>
          <w:sz w:val="24"/>
          <w:szCs w:val="24"/>
          <w:highlight w:val="none"/>
        </w:rPr>
        <w:t>河南宜阳农村商业银行        开户行：中国农业银行武陟县支行</w:t>
      </w:r>
    </w:p>
    <w:p>
      <w:pPr>
        <w:spacing w:line="360" w:lineRule="auto"/>
        <w:ind w:firstLine="0" w:firstLineChars="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文化路支行                            行号：103501332213</w:t>
      </w:r>
    </w:p>
    <w:p>
      <w:pPr>
        <w:spacing w:line="360" w:lineRule="auto"/>
        <w:ind w:firstLine="960" w:firstLineChars="400"/>
        <w:rPr>
          <w:rFonts w:hint="eastAsia" w:ascii="宋体" w:hAnsi="宋体" w:eastAsia="宋体" w:cs="宋体"/>
          <w:snapToGrid w:val="0"/>
          <w:color w:val="auto"/>
          <w:kern w:val="0"/>
          <w:sz w:val="24"/>
          <w:szCs w:val="24"/>
          <w:highlight w:val="none"/>
          <w:lang w:eastAsia="zh-CN"/>
        </w:rPr>
      </w:pPr>
    </w:p>
    <w:p>
      <w:pPr>
        <w:pStyle w:val="2"/>
        <w:rPr>
          <w:rFonts w:hint="eastAsia" w:ascii="宋体" w:hAnsi="宋体" w:eastAsia="宋体" w:cs="宋体"/>
          <w:snapToGrid w:val="0"/>
          <w:color w:val="auto"/>
          <w:kern w:val="0"/>
          <w:sz w:val="24"/>
          <w:szCs w:val="24"/>
          <w:highlight w:val="none"/>
          <w:lang w:eastAsia="zh-CN"/>
        </w:rPr>
      </w:pPr>
    </w:p>
    <w:p>
      <w:pPr>
        <w:pStyle w:val="3"/>
        <w:rPr>
          <w:rFonts w:hint="eastAsia" w:ascii="宋体" w:hAnsi="宋体" w:eastAsia="宋体" w:cs="宋体"/>
          <w:snapToGrid w:val="0"/>
          <w:color w:val="auto"/>
          <w:kern w:val="0"/>
          <w:sz w:val="24"/>
          <w:szCs w:val="24"/>
          <w:highlight w:val="none"/>
          <w:lang w:eastAsia="zh-CN"/>
        </w:rPr>
      </w:pPr>
    </w:p>
    <w:p>
      <w:pPr>
        <w:pStyle w:val="4"/>
        <w:rPr>
          <w:rFonts w:hint="eastAsia" w:ascii="宋体" w:hAnsi="宋体" w:eastAsia="宋体" w:cs="宋体"/>
          <w:snapToGrid w:val="0"/>
          <w:color w:val="auto"/>
          <w:kern w:val="0"/>
          <w:sz w:val="24"/>
          <w:szCs w:val="24"/>
          <w:highlight w:val="none"/>
          <w:lang w:eastAsia="zh-CN"/>
        </w:rPr>
      </w:pPr>
    </w:p>
    <w:p>
      <w:pPr>
        <w:pStyle w:val="5"/>
        <w:rPr>
          <w:rFonts w:hint="eastAsia" w:ascii="宋体" w:hAnsi="宋体" w:eastAsia="宋体" w:cs="宋体"/>
          <w:snapToGrid w:val="0"/>
          <w:color w:val="auto"/>
          <w:kern w:val="0"/>
          <w:sz w:val="24"/>
          <w:szCs w:val="24"/>
          <w:highlight w:val="none"/>
          <w:lang w:eastAsia="zh-CN"/>
        </w:rPr>
      </w:pPr>
    </w:p>
    <w:p>
      <w:pPr>
        <w:pStyle w:val="2"/>
        <w:rPr>
          <w:rFonts w:hint="eastAsia" w:ascii="宋体" w:hAnsi="宋体" w:eastAsia="宋体" w:cs="宋体"/>
          <w:snapToGrid w:val="0"/>
          <w:color w:val="auto"/>
          <w:kern w:val="0"/>
          <w:sz w:val="24"/>
          <w:szCs w:val="24"/>
          <w:highlight w:val="none"/>
          <w:lang w:eastAsia="zh-CN"/>
        </w:rPr>
      </w:pPr>
    </w:p>
    <w:p>
      <w:pPr>
        <w:pStyle w:val="3"/>
        <w:rPr>
          <w:rFonts w:hint="eastAsia" w:ascii="宋体" w:hAnsi="宋体" w:eastAsia="宋体" w:cs="宋体"/>
          <w:snapToGrid w:val="0"/>
          <w:color w:val="auto"/>
          <w:kern w:val="0"/>
          <w:sz w:val="24"/>
          <w:szCs w:val="24"/>
          <w:highlight w:val="none"/>
          <w:lang w:eastAsia="zh-CN"/>
        </w:rPr>
      </w:pPr>
    </w:p>
    <w:p>
      <w:pPr>
        <w:pStyle w:val="4"/>
        <w:rPr>
          <w:rFonts w:hint="eastAsia"/>
          <w:lang w:eastAsia="zh-CN"/>
        </w:rPr>
      </w:pPr>
    </w:p>
    <w:p>
      <w:pPr>
        <w:pStyle w:val="2"/>
        <w:rPr>
          <w:rFonts w:hint="eastAsia" w:ascii="宋体" w:hAnsi="宋体" w:eastAsia="宋体" w:cs="宋体"/>
          <w:snapToGrid w:val="0"/>
          <w:color w:val="auto"/>
          <w:kern w:val="0"/>
          <w:sz w:val="24"/>
          <w:szCs w:val="24"/>
          <w:highlight w:val="none"/>
          <w:lang w:eastAsia="zh-CN"/>
        </w:rPr>
      </w:pPr>
    </w:p>
    <w:p>
      <w:pPr>
        <w:pStyle w:val="3"/>
        <w:rPr>
          <w:rFonts w:hint="eastAsia"/>
          <w:lang w:eastAsia="zh-CN"/>
        </w:rPr>
      </w:pPr>
    </w:p>
    <w:p>
      <w:pPr>
        <w:spacing w:line="360" w:lineRule="auto"/>
        <w:rPr>
          <w:rFonts w:ascii="宋体" w:hAnsi="宋体" w:cs="宋体"/>
          <w:color w:val="auto"/>
          <w:sz w:val="24"/>
          <w:szCs w:val="24"/>
          <w:highlight w:val="none"/>
        </w:rPr>
      </w:pPr>
      <w:r>
        <w:rPr>
          <w:rFonts w:hint="eastAsia" w:ascii="宋体" w:hAnsi="宋体"/>
          <w:highlight w:val="none"/>
        </w:rPr>
        <w:t>附件一</w:t>
      </w:r>
    </w:p>
    <w:tbl>
      <w:tblPr>
        <w:tblStyle w:val="45"/>
        <w:tblW w:w="9000" w:type="dxa"/>
        <w:tblInd w:w="0" w:type="dxa"/>
        <w:shd w:val="clear" w:color="auto" w:fill="auto"/>
        <w:tblLayout w:type="autofit"/>
        <w:tblCellMar>
          <w:top w:w="0" w:type="dxa"/>
          <w:left w:w="0" w:type="dxa"/>
          <w:bottom w:w="0" w:type="dxa"/>
          <w:right w:w="0" w:type="dxa"/>
        </w:tblCellMar>
      </w:tblPr>
      <w:tblGrid>
        <w:gridCol w:w="522"/>
        <w:gridCol w:w="1320"/>
        <w:gridCol w:w="947"/>
        <w:gridCol w:w="1366"/>
        <w:gridCol w:w="1367"/>
        <w:gridCol w:w="1304"/>
        <w:gridCol w:w="1351"/>
        <w:gridCol w:w="823"/>
      </w:tblGrid>
      <w:tr>
        <w:tblPrEx>
          <w:shd w:val="clear" w:color="auto" w:fill="auto"/>
          <w:tblCellMar>
            <w:top w:w="0" w:type="dxa"/>
            <w:left w:w="0" w:type="dxa"/>
            <w:bottom w:w="0" w:type="dxa"/>
            <w:right w:w="0" w:type="dxa"/>
          </w:tblCellMar>
        </w:tblPrEx>
        <w:trPr>
          <w:trHeight w:val="1240" w:hRule="atLeast"/>
        </w:trPr>
        <w:tc>
          <w:tcPr>
            <w:tcW w:w="9000"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宜阳山水文苑项目1-13#楼防火门</w:t>
            </w:r>
            <w:r>
              <w:rPr>
                <w:rFonts w:hint="eastAsia" w:ascii="宋体" w:hAnsi="宋体" w:cs="宋体"/>
                <w:b/>
                <w:i w:val="0"/>
                <w:color w:val="000000"/>
                <w:kern w:val="0"/>
                <w:sz w:val="32"/>
                <w:szCs w:val="32"/>
                <w:u w:val="none"/>
                <w:lang w:val="en-US" w:eastAsia="zh-CN" w:bidi="ar"/>
              </w:rPr>
              <w:t>报价</w:t>
            </w:r>
            <w:r>
              <w:rPr>
                <w:rFonts w:hint="eastAsia" w:ascii="宋体" w:hAnsi="宋体" w:eastAsia="宋体" w:cs="宋体"/>
                <w:b/>
                <w:i w:val="0"/>
                <w:color w:val="000000"/>
                <w:kern w:val="0"/>
                <w:sz w:val="32"/>
                <w:szCs w:val="32"/>
                <w:u w:val="none"/>
                <w:lang w:val="en-US" w:eastAsia="zh-CN" w:bidi="ar"/>
              </w:rPr>
              <w:t>清单（木质）</w:t>
            </w:r>
          </w:p>
        </w:tc>
      </w:tr>
      <w:tr>
        <w:tblPrEx>
          <w:tblCellMar>
            <w:top w:w="0" w:type="dxa"/>
            <w:left w:w="0" w:type="dxa"/>
            <w:bottom w:w="0" w:type="dxa"/>
            <w:right w:w="0"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甲级防火门</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乙级防火门</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丙级防火门</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小计（m2）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263.78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984.22</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73330.84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273613.16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394865.64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741809.64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741809.64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75"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860" w:hRule="atLeast"/>
        </w:trPr>
        <w:tc>
          <w:tcPr>
            <w:tcW w:w="9000"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1、热力小室（除7#楼）的门不提，有变更把砌体墙</w:t>
            </w:r>
            <w:r>
              <w:rPr>
                <w:rFonts w:hint="eastAsia" w:ascii="宋体" w:hAnsi="宋体" w:cs="宋体"/>
                <w:i w:val="0"/>
                <w:color w:val="000000"/>
                <w:kern w:val="0"/>
                <w:sz w:val="24"/>
                <w:szCs w:val="24"/>
                <w:u w:val="none"/>
                <w:lang w:val="en-US" w:eastAsia="zh-CN" w:bidi="ar"/>
              </w:rPr>
              <w:t>改</w:t>
            </w:r>
            <w:r>
              <w:rPr>
                <w:rFonts w:hint="eastAsia" w:ascii="宋体" w:hAnsi="宋体" w:eastAsia="宋体" w:cs="宋体"/>
                <w:i w:val="0"/>
                <w:color w:val="000000"/>
                <w:kern w:val="0"/>
                <w:sz w:val="24"/>
                <w:szCs w:val="24"/>
                <w:u w:val="none"/>
                <w:lang w:val="en-US" w:eastAsia="zh-CN" w:bidi="ar"/>
              </w:rPr>
              <w:t>为防护栏杆；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2、所有管道井的门均改为1800mm高；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3、配电间门未提（分包）；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4、加工前需和现场洞口尺寸复核无误后方可加工。</w:t>
            </w:r>
          </w:p>
        </w:tc>
      </w:tr>
    </w:tbl>
    <w:p>
      <w:pPr>
        <w:widowControl/>
        <w:spacing w:beforeLines="50" w:afterLines="50" w:line="360" w:lineRule="auto"/>
        <w:ind w:left="120" w:leftChars="50" w:right="120" w:rightChars="50" w:firstLine="480" w:firstLineChars="200"/>
        <w:rPr>
          <w:rFonts w:ascii="宋体" w:hAnsi="宋体" w:cs="宋体"/>
          <w:szCs w:val="24"/>
          <w:highlight w:val="none"/>
        </w:rPr>
      </w:pPr>
    </w:p>
    <w:p>
      <w:pPr>
        <w:pStyle w:val="2"/>
        <w:rPr>
          <w:rFonts w:ascii="宋体" w:hAnsi="宋体" w:cs="宋体"/>
          <w:szCs w:val="24"/>
          <w:highlight w:val="none"/>
        </w:rPr>
      </w:pPr>
    </w:p>
    <w:p>
      <w:pPr>
        <w:pStyle w:val="3"/>
        <w:rPr>
          <w:rFonts w:ascii="宋体" w:hAnsi="宋体" w:cs="宋体"/>
          <w:szCs w:val="24"/>
          <w:highlight w:val="none"/>
        </w:rPr>
      </w:pPr>
    </w:p>
    <w:tbl>
      <w:tblPr>
        <w:tblStyle w:val="45"/>
        <w:tblW w:w="9553" w:type="dxa"/>
        <w:tblInd w:w="0" w:type="dxa"/>
        <w:shd w:val="clear" w:color="auto" w:fill="auto"/>
        <w:tblLayout w:type="autofit"/>
        <w:tblCellMar>
          <w:top w:w="0" w:type="dxa"/>
          <w:left w:w="0" w:type="dxa"/>
          <w:bottom w:w="0" w:type="dxa"/>
          <w:right w:w="0" w:type="dxa"/>
        </w:tblCellMar>
      </w:tblPr>
      <w:tblGrid>
        <w:gridCol w:w="479"/>
        <w:gridCol w:w="972"/>
        <w:gridCol w:w="1484"/>
        <w:gridCol w:w="1979"/>
        <w:gridCol w:w="720"/>
        <w:gridCol w:w="971"/>
        <w:gridCol w:w="971"/>
        <w:gridCol w:w="972"/>
        <w:gridCol w:w="1005"/>
      </w:tblGrid>
      <w:tr>
        <w:tblPrEx>
          <w:shd w:val="clear" w:color="auto" w:fill="auto"/>
          <w:tblCellMar>
            <w:top w:w="0" w:type="dxa"/>
            <w:left w:w="0" w:type="dxa"/>
            <w:bottom w:w="0" w:type="dxa"/>
            <w:right w:w="0" w:type="dxa"/>
          </w:tblCellMar>
        </w:tblPrEx>
        <w:trPr>
          <w:trHeight w:val="408" w:hRule="atLeast"/>
        </w:trPr>
        <w:tc>
          <w:tcPr>
            <w:tcW w:w="9558" w:type="dxa"/>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single"/>
              </w:rPr>
            </w:pPr>
            <w:r>
              <w:rPr>
                <w:rFonts w:hint="eastAsia" w:ascii="宋体" w:hAnsi="宋体" w:eastAsia="宋体" w:cs="宋体"/>
                <w:b/>
                <w:i w:val="0"/>
                <w:color w:val="000000"/>
                <w:kern w:val="0"/>
                <w:sz w:val="32"/>
                <w:szCs w:val="32"/>
                <w:u w:val="single"/>
                <w:lang w:val="en-US" w:eastAsia="zh-CN" w:bidi="ar"/>
              </w:rPr>
              <w:t xml:space="preserve">  甲级防火门 </w:t>
            </w:r>
            <w:r>
              <w:rPr>
                <w:rStyle w:val="99"/>
                <w:u w:val="single"/>
                <w:lang w:val="en-US" w:eastAsia="zh-CN" w:bidi="ar"/>
              </w:rPr>
              <w:t>综合单价分析表</w:t>
            </w:r>
          </w:p>
        </w:tc>
      </w:tr>
      <w:tr>
        <w:tblPrEx>
          <w:tblCellMar>
            <w:top w:w="0" w:type="dxa"/>
            <w:left w:w="0" w:type="dxa"/>
            <w:bottom w:w="0" w:type="dxa"/>
            <w:right w:w="0" w:type="dxa"/>
          </w:tblCellMar>
        </w:tblPrEx>
        <w:trPr>
          <w:trHeight w:val="312" w:hRule="atLeast"/>
        </w:trPr>
        <w:tc>
          <w:tcPr>
            <w:tcW w:w="2937"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工程名称： 宜阳山水文苑甲级防火门</w:t>
            </w:r>
          </w:p>
        </w:tc>
        <w:tc>
          <w:tcPr>
            <w:tcW w:w="198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20" w:type="dxa"/>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972"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49"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门窗类型：甲级防火门</w:t>
            </w:r>
          </w:p>
        </w:tc>
      </w:tr>
      <w:tr>
        <w:tblPrEx>
          <w:tblCellMar>
            <w:top w:w="0" w:type="dxa"/>
            <w:left w:w="0" w:type="dxa"/>
            <w:bottom w:w="0" w:type="dxa"/>
            <w:right w:w="0" w:type="dxa"/>
          </w:tblCellMar>
        </w:tblPrEx>
        <w:trPr>
          <w:trHeight w:val="62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品牌产地</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r>
      <w:tr>
        <w:tblPrEx>
          <w:tblCellMar>
            <w:top w:w="0" w:type="dxa"/>
            <w:left w:w="0" w:type="dxa"/>
            <w:bottom w:w="0" w:type="dxa"/>
            <w:right w:w="0" w:type="dxa"/>
          </w:tblCellMar>
        </w:tblPrEx>
        <w:trPr>
          <w:trHeight w:val="312"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材料费</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single"/>
                <w:lang w:val="en-US" w:eastAsia="zh-CN" w:bidi="ar"/>
              </w:rPr>
              <w:t>门扇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密度纤维板</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single"/>
                <w:lang w:val="en-US" w:eastAsia="zh-CN" w:bidi="ar"/>
              </w:rPr>
              <w:t>门框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木材</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公斤</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77.76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五金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79.20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闭门器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丹阳文中</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合页</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CB-H-Z-L</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门锁</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CB-SIC</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执手</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顺位器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CB-WSI</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粘接剂</w:t>
            </w:r>
          </w:p>
        </w:tc>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FPJ-A-*15*2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公斤</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其他材料</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（300±30）kg/m3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8.59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8.59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一、材料费小计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162.79 </w:t>
            </w:r>
          </w:p>
        </w:tc>
      </w:tr>
      <w:tr>
        <w:tblPrEx>
          <w:tblCellMar>
            <w:top w:w="0" w:type="dxa"/>
            <w:left w:w="0" w:type="dxa"/>
            <w:bottom w:w="0" w:type="dxa"/>
            <w:right w:w="0" w:type="dxa"/>
          </w:tblCellMar>
        </w:tblPrEx>
        <w:trPr>
          <w:trHeight w:val="280"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二、人工、机械费（门窗）及其他费用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三、综合费用（一+二）*</w:t>
            </w:r>
            <w:r>
              <w:rPr>
                <w:rFonts w:hint="eastAsia" w:ascii="宋体" w:hAnsi="宋体" w:eastAsia="宋体" w:cs="宋体"/>
                <w:i w:val="0"/>
                <w:color w:val="000000"/>
                <w:kern w:val="0"/>
                <w:sz w:val="22"/>
                <w:szCs w:val="22"/>
                <w:u w:val="single"/>
                <w:lang w:val="en-US" w:eastAsia="zh-CN" w:bidi="ar"/>
              </w:rPr>
              <w:t>8</w:t>
            </w:r>
            <w:r>
              <w:rPr>
                <w:rFonts w:hint="eastAsia" w:ascii="宋体" w:hAnsi="宋体" w:eastAsia="宋体" w:cs="宋体"/>
                <w:i w:val="0"/>
                <w:color w:val="000000"/>
                <w:kern w:val="0"/>
                <w:sz w:val="22"/>
                <w:szCs w:val="22"/>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18.22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四、税前工程费（一+二+三）</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246.01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五、税金（一+二+三）*</w:t>
            </w:r>
            <w:r>
              <w:rPr>
                <w:rFonts w:hint="eastAsia" w:ascii="宋体" w:hAnsi="宋体" w:eastAsia="宋体" w:cs="宋体"/>
                <w:i w:val="0"/>
                <w:color w:val="000000"/>
                <w:kern w:val="0"/>
                <w:sz w:val="22"/>
                <w:szCs w:val="22"/>
                <w:u w:val="single"/>
                <w:lang w:val="en-US" w:eastAsia="zh-CN" w:bidi="ar"/>
              </w:rPr>
              <w:t>13</w:t>
            </w:r>
            <w:r>
              <w:rPr>
                <w:rFonts w:hint="eastAsia" w:ascii="宋体" w:hAnsi="宋体" w:eastAsia="宋体" w:cs="宋体"/>
                <w:i w:val="0"/>
                <w:color w:val="000000"/>
                <w:kern w:val="0"/>
                <w:sz w:val="22"/>
                <w:szCs w:val="22"/>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31.98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六、综合单价(元/㎡）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278.00 </w:t>
            </w: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8" w:hRule="atLeast"/>
        </w:trPr>
        <w:tc>
          <w:tcPr>
            <w:tcW w:w="9558" w:type="dxa"/>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single"/>
              </w:rPr>
            </w:pPr>
            <w:r>
              <w:rPr>
                <w:rFonts w:hint="eastAsia" w:ascii="宋体" w:hAnsi="宋体" w:eastAsia="宋体" w:cs="宋体"/>
                <w:b/>
                <w:i w:val="0"/>
                <w:color w:val="000000"/>
                <w:kern w:val="0"/>
                <w:sz w:val="32"/>
                <w:szCs w:val="32"/>
                <w:u w:val="single"/>
                <w:lang w:val="en-US" w:eastAsia="zh-CN" w:bidi="ar"/>
              </w:rPr>
              <w:t>乙级防火门 综合单价分析表</w:t>
            </w:r>
          </w:p>
        </w:tc>
      </w:tr>
      <w:tr>
        <w:tblPrEx>
          <w:tblCellMar>
            <w:top w:w="0" w:type="dxa"/>
            <w:left w:w="0" w:type="dxa"/>
            <w:bottom w:w="0" w:type="dxa"/>
            <w:right w:w="0" w:type="dxa"/>
          </w:tblCellMar>
        </w:tblPrEx>
        <w:trPr>
          <w:trHeight w:val="312" w:hRule="atLeast"/>
        </w:trPr>
        <w:tc>
          <w:tcPr>
            <w:tcW w:w="2937"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工程名称： 宜阳山水文苑乙级防火门</w:t>
            </w:r>
          </w:p>
        </w:tc>
        <w:tc>
          <w:tcPr>
            <w:tcW w:w="198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20" w:type="dxa"/>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972"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49"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门窗类型：乙级防火门</w:t>
            </w:r>
          </w:p>
        </w:tc>
      </w:tr>
      <w:tr>
        <w:tblPrEx>
          <w:tblCellMar>
            <w:top w:w="0" w:type="dxa"/>
            <w:left w:w="0" w:type="dxa"/>
            <w:bottom w:w="0" w:type="dxa"/>
            <w:right w:w="0" w:type="dxa"/>
          </w:tblCellMar>
        </w:tblPrEx>
        <w:trPr>
          <w:trHeight w:val="62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品牌产地</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r>
      <w:tr>
        <w:tblPrEx>
          <w:tblCellMar>
            <w:top w:w="0" w:type="dxa"/>
            <w:left w:w="0" w:type="dxa"/>
            <w:bottom w:w="0" w:type="dxa"/>
            <w:right w:w="0" w:type="dxa"/>
          </w:tblCellMar>
        </w:tblPrEx>
        <w:trPr>
          <w:trHeight w:val="312"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材料费</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single"/>
                <w:lang w:val="en-US" w:eastAsia="zh-CN" w:bidi="ar"/>
              </w:rPr>
              <w:t>门扇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密度纤维板</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single"/>
                <w:lang w:val="en-US" w:eastAsia="zh-CN" w:bidi="ar"/>
              </w:rPr>
              <w:t>门框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木材</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公斤</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77.76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五金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79.20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闭门器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丹阳文中</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合页</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CB-H-Z-L</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门锁</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CB-SIC</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执手</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顺位器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CB-WSI</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粘接剂</w:t>
            </w:r>
          </w:p>
        </w:tc>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FPJ-A-*15*2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公斤</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其他材料</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（300±30）kg/m3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8.59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8.59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一、材料费小计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162.79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二、人工、机械费（门窗）及其他费用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三、综合费用（一+二）*</w:t>
            </w:r>
            <w:r>
              <w:rPr>
                <w:rFonts w:hint="eastAsia" w:ascii="宋体" w:hAnsi="宋体" w:eastAsia="宋体" w:cs="宋体"/>
                <w:i w:val="0"/>
                <w:color w:val="000000"/>
                <w:kern w:val="0"/>
                <w:sz w:val="22"/>
                <w:szCs w:val="22"/>
                <w:u w:val="single"/>
                <w:lang w:val="en-US" w:eastAsia="zh-CN" w:bidi="ar"/>
              </w:rPr>
              <w:t>8</w:t>
            </w:r>
            <w:r>
              <w:rPr>
                <w:rFonts w:hint="eastAsia" w:ascii="宋体" w:hAnsi="宋体" w:eastAsia="宋体" w:cs="宋体"/>
                <w:i w:val="0"/>
                <w:color w:val="000000"/>
                <w:kern w:val="0"/>
                <w:sz w:val="22"/>
                <w:szCs w:val="22"/>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18.22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四、税前工程费（一+二+三）</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246.01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五、税金（一+二+三）*</w:t>
            </w:r>
            <w:r>
              <w:rPr>
                <w:rFonts w:hint="eastAsia" w:ascii="宋体" w:hAnsi="宋体" w:eastAsia="宋体" w:cs="宋体"/>
                <w:i w:val="0"/>
                <w:color w:val="000000"/>
                <w:kern w:val="0"/>
                <w:sz w:val="22"/>
                <w:szCs w:val="22"/>
                <w:u w:val="single"/>
                <w:lang w:val="en-US" w:eastAsia="zh-CN" w:bidi="ar"/>
              </w:rPr>
              <w:t>13</w:t>
            </w:r>
            <w:r>
              <w:rPr>
                <w:rFonts w:hint="eastAsia" w:ascii="宋体" w:hAnsi="宋体" w:eastAsia="宋体" w:cs="宋体"/>
                <w:i w:val="0"/>
                <w:color w:val="000000"/>
                <w:kern w:val="0"/>
                <w:sz w:val="22"/>
                <w:szCs w:val="22"/>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31.98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六、综合单价(元/㎡）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278.00 </w:t>
            </w:r>
          </w:p>
        </w:tc>
      </w:tr>
      <w:tr>
        <w:tblPrEx>
          <w:tblCellMar>
            <w:top w:w="0" w:type="dxa"/>
            <w:left w:w="0" w:type="dxa"/>
            <w:bottom w:w="0" w:type="dxa"/>
            <w:right w:w="0" w:type="dxa"/>
          </w:tblCellMar>
        </w:tblPrEx>
        <w:trPr>
          <w:trHeight w:val="312" w:hRule="atLeast"/>
        </w:trPr>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8" w:hRule="atLeast"/>
        </w:trPr>
        <w:tc>
          <w:tcPr>
            <w:tcW w:w="9558" w:type="dxa"/>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single"/>
              </w:rPr>
            </w:pPr>
            <w:r>
              <w:rPr>
                <w:rFonts w:hint="eastAsia" w:ascii="宋体" w:hAnsi="宋体" w:eastAsia="宋体" w:cs="宋体"/>
                <w:b/>
                <w:i w:val="0"/>
                <w:color w:val="000000"/>
                <w:kern w:val="0"/>
                <w:sz w:val="32"/>
                <w:szCs w:val="32"/>
                <w:u w:val="single"/>
                <w:lang w:val="en-US" w:eastAsia="zh-CN" w:bidi="ar"/>
              </w:rPr>
              <w:t xml:space="preserve">  丙级防火门 </w:t>
            </w:r>
            <w:r>
              <w:rPr>
                <w:rStyle w:val="99"/>
                <w:u w:val="single"/>
                <w:lang w:val="en-US" w:eastAsia="zh-CN" w:bidi="ar"/>
              </w:rPr>
              <w:t>综合单价分析表</w:t>
            </w:r>
          </w:p>
        </w:tc>
      </w:tr>
      <w:tr>
        <w:tblPrEx>
          <w:tblCellMar>
            <w:top w:w="0" w:type="dxa"/>
            <w:left w:w="0" w:type="dxa"/>
            <w:bottom w:w="0" w:type="dxa"/>
            <w:right w:w="0" w:type="dxa"/>
          </w:tblCellMar>
        </w:tblPrEx>
        <w:trPr>
          <w:trHeight w:val="312" w:hRule="atLeast"/>
        </w:trPr>
        <w:tc>
          <w:tcPr>
            <w:tcW w:w="2937"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工程名称： 宜阳山水文苑丙级防火门</w:t>
            </w:r>
          </w:p>
        </w:tc>
        <w:tc>
          <w:tcPr>
            <w:tcW w:w="198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20" w:type="dxa"/>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972"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49"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门窗类型：丙级防火门</w:t>
            </w:r>
          </w:p>
        </w:tc>
      </w:tr>
      <w:tr>
        <w:tblPrEx>
          <w:tblCellMar>
            <w:top w:w="0" w:type="dxa"/>
            <w:left w:w="0" w:type="dxa"/>
            <w:bottom w:w="0" w:type="dxa"/>
            <w:right w:w="0" w:type="dxa"/>
          </w:tblCellMar>
        </w:tblPrEx>
        <w:trPr>
          <w:trHeight w:val="62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品牌产地</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合价</w:t>
            </w:r>
          </w:p>
        </w:tc>
      </w:tr>
      <w:tr>
        <w:tblPrEx>
          <w:tblCellMar>
            <w:top w:w="0" w:type="dxa"/>
            <w:left w:w="0" w:type="dxa"/>
            <w:bottom w:w="0" w:type="dxa"/>
            <w:right w:w="0" w:type="dxa"/>
          </w:tblCellMar>
        </w:tblPrEx>
        <w:trPr>
          <w:trHeight w:val="312"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材料费</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single"/>
                <w:lang w:val="en-US" w:eastAsia="zh-CN" w:bidi="ar"/>
              </w:rPr>
              <w:t>门扇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密度纤维板</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single"/>
                <w:lang w:val="en-US" w:eastAsia="zh-CN" w:bidi="ar"/>
              </w:rPr>
              <w:t>门框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木材</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公斤</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77.76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33.10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五金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0" w:type="auto"/>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79.20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闭门器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丹阳文中</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合页</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CB-H-Z-L</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门锁</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CB-SIC</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执手</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顺位器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CB-WSI</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粘接剂</w:t>
            </w:r>
          </w:p>
        </w:tc>
        <w:tc>
          <w:tcPr>
            <w:tcW w:w="0" w:type="auto"/>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FPJ-A-*15*2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公斤</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 </w:t>
            </w:r>
          </w:p>
        </w:tc>
      </w:tr>
      <w:tr>
        <w:tblPrEx>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其他材料</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（300±30）kg/m3</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8.59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8.59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一、材料费小计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162.79 </w:t>
            </w:r>
          </w:p>
        </w:tc>
      </w:tr>
      <w:tr>
        <w:tblPrEx>
          <w:tblCellMar>
            <w:top w:w="0" w:type="dxa"/>
            <w:left w:w="0" w:type="dxa"/>
            <w:bottom w:w="0" w:type="dxa"/>
            <w:right w:w="0" w:type="dxa"/>
          </w:tblCellMar>
        </w:tblPrEx>
        <w:trPr>
          <w:trHeight w:val="560"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二、人工、机械费（门窗）及其他费用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65.00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三、综合费用（一+二）*</w:t>
            </w:r>
            <w:r>
              <w:rPr>
                <w:rFonts w:hint="eastAsia" w:ascii="宋体" w:hAnsi="宋体" w:eastAsia="宋体" w:cs="宋体"/>
                <w:i w:val="0"/>
                <w:color w:val="000000"/>
                <w:kern w:val="0"/>
                <w:sz w:val="22"/>
                <w:szCs w:val="22"/>
                <w:u w:val="single"/>
                <w:lang w:val="en-US" w:eastAsia="zh-CN" w:bidi="ar"/>
              </w:rPr>
              <w:t>8</w:t>
            </w:r>
            <w:r>
              <w:rPr>
                <w:rFonts w:hint="eastAsia" w:ascii="宋体" w:hAnsi="宋体" w:eastAsia="宋体" w:cs="宋体"/>
                <w:i w:val="0"/>
                <w:color w:val="000000"/>
                <w:kern w:val="0"/>
                <w:sz w:val="22"/>
                <w:szCs w:val="22"/>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18.22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四、税前工程费（一+二+三）</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246.01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五、税金（一+二+三）*</w:t>
            </w:r>
            <w:r>
              <w:rPr>
                <w:rFonts w:hint="eastAsia" w:ascii="宋体" w:hAnsi="宋体" w:eastAsia="宋体" w:cs="宋体"/>
                <w:i w:val="0"/>
                <w:color w:val="000000"/>
                <w:kern w:val="0"/>
                <w:sz w:val="22"/>
                <w:szCs w:val="22"/>
                <w:u w:val="single"/>
                <w:lang w:val="en-US" w:eastAsia="zh-CN" w:bidi="ar"/>
              </w:rPr>
              <w:t>13</w:t>
            </w:r>
            <w:r>
              <w:rPr>
                <w:rFonts w:hint="eastAsia" w:ascii="宋体" w:hAnsi="宋体" w:eastAsia="宋体" w:cs="宋体"/>
                <w:i w:val="0"/>
                <w:color w:val="000000"/>
                <w:kern w:val="0"/>
                <w:sz w:val="22"/>
                <w:szCs w:val="22"/>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31.98 </w:t>
            </w:r>
          </w:p>
        </w:tc>
      </w:tr>
      <w:tr>
        <w:tblPrEx>
          <w:tblCellMar>
            <w:top w:w="0" w:type="dxa"/>
            <w:left w:w="0" w:type="dxa"/>
            <w:bottom w:w="0" w:type="dxa"/>
            <w:right w:w="0" w:type="dxa"/>
          </w:tblCellMar>
        </w:tblPrEx>
        <w:trPr>
          <w:trHeight w:val="312" w:hRule="atLeast"/>
        </w:trPr>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六、综合单价(元/㎡）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278.00 </w:t>
            </w:r>
          </w:p>
        </w:tc>
      </w:tr>
    </w:tbl>
    <w:p>
      <w:pPr>
        <w:pStyle w:val="4"/>
        <w:rPr>
          <w:rFonts w:ascii="宋体" w:hAnsi="宋体" w:cs="宋体"/>
          <w:szCs w:val="24"/>
          <w:highlight w:val="none"/>
        </w:rPr>
      </w:pPr>
    </w:p>
    <w:p>
      <w:pPr>
        <w:pStyle w:val="5"/>
      </w:pPr>
    </w:p>
    <w:tbl>
      <w:tblPr>
        <w:tblStyle w:val="45"/>
        <w:tblW w:w="9890" w:type="dxa"/>
        <w:tblInd w:w="0" w:type="dxa"/>
        <w:shd w:val="clear" w:color="auto" w:fill="auto"/>
        <w:tblLayout w:type="fixed"/>
        <w:tblCellMar>
          <w:top w:w="0" w:type="dxa"/>
          <w:left w:w="0" w:type="dxa"/>
          <w:bottom w:w="0" w:type="dxa"/>
          <w:right w:w="0" w:type="dxa"/>
        </w:tblCellMar>
      </w:tblPr>
      <w:tblGrid>
        <w:gridCol w:w="598"/>
        <w:gridCol w:w="648"/>
        <w:gridCol w:w="700"/>
        <w:gridCol w:w="1024"/>
        <w:gridCol w:w="2093"/>
        <w:gridCol w:w="734"/>
        <w:gridCol w:w="1161"/>
        <w:gridCol w:w="2052"/>
        <w:gridCol w:w="880"/>
      </w:tblGrid>
      <w:tr>
        <w:tblPrEx>
          <w:shd w:val="clear" w:color="auto" w:fill="auto"/>
          <w:tblCellMar>
            <w:top w:w="0" w:type="dxa"/>
            <w:left w:w="0" w:type="dxa"/>
            <w:bottom w:w="0" w:type="dxa"/>
            <w:right w:w="0" w:type="dxa"/>
          </w:tblCellMar>
        </w:tblPrEx>
        <w:trPr>
          <w:trHeight w:val="760" w:hRule="atLeast"/>
        </w:trPr>
        <w:tc>
          <w:tcPr>
            <w:tcW w:w="9890" w:type="dxa"/>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宜阳项目1-13#楼防火门清单</w:t>
            </w: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楼号</w:t>
            </w:r>
          </w:p>
        </w:tc>
        <w:tc>
          <w:tcPr>
            <w:tcW w:w="102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房间</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樘数</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面积（㎡）</w:t>
            </w:r>
          </w:p>
        </w:tc>
        <w:tc>
          <w:tcPr>
            <w:tcW w:w="29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48"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洋房</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一梯两户，三个单元</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FM丙0918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FM丙1219</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FM丙0918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35.64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一梯两户，两个单元</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FM丙0518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81.51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FM丙0918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35.64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一梯两户，两个单元</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FM丙0518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FM甲1121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FM乙1821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83.79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一梯两户，三个单元</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FM丙0918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FM甲0821（RF)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117.01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FM丙0618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一梯两户，两个单元</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FM丙1318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FM丙1018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热力小室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77.49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一梯两户，三个单元</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FM丙0918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一梯两户，两个单元</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FM丙0918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FM丙1218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69.57</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一梯两户，三个单元</w:t>
            </w: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FM丙0718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FM丙0918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FM丙1218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648"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小高层</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FM丙1818(双扇）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116.64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一梯三户，两个单元</w:t>
            </w:r>
          </w:p>
        </w:tc>
      </w:tr>
      <w:tr>
        <w:tblPrEx>
          <w:tblCellMar>
            <w:top w:w="0" w:type="dxa"/>
            <w:left w:w="0" w:type="dxa"/>
            <w:bottom w:w="0" w:type="dxa"/>
            <w:right w:w="0" w:type="dxa"/>
          </w:tblCellMar>
        </w:tblPrEx>
        <w:trPr>
          <w:trHeight w:val="61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FM丙1018(双扇）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FM丙0618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楼梯间</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78.54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-1层；2~17层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FM甲1222（双扇）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79"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1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FM甲1221（双扇）（RF）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3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FM甲0821（单扇）（RF）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465.58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FM丙1818(双扇）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116.64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-1~17层</w:t>
            </w:r>
          </w:p>
        </w:tc>
        <w:tc>
          <w:tcPr>
            <w:tcW w:w="88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一梯三户，两个单元</w:t>
            </w:r>
          </w:p>
        </w:tc>
      </w:tr>
      <w:tr>
        <w:tblPrEx>
          <w:tblCellMar>
            <w:top w:w="0" w:type="dxa"/>
            <w:left w:w="0" w:type="dxa"/>
            <w:bottom w:w="0" w:type="dxa"/>
            <w:right w:w="0" w:type="dxa"/>
          </w:tblCellMar>
        </w:tblPrEx>
        <w:trPr>
          <w:trHeight w:val="56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FM丙1018(双扇）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FM丙0618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38.88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8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楼梯间</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78.54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-1层；2~17层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FM甲1222（双扇）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449.89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0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FM丙1818(双扇）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123.12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-1~18层</w:t>
            </w:r>
          </w:p>
        </w:tc>
        <w:tc>
          <w:tcPr>
            <w:tcW w:w="88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一梯三户，两个单元</w:t>
            </w:r>
          </w:p>
        </w:tc>
      </w:tr>
      <w:tr>
        <w:tblPrEx>
          <w:tblCellMar>
            <w:top w:w="0" w:type="dxa"/>
            <w:left w:w="0" w:type="dxa"/>
            <w:bottom w:w="0" w:type="dxa"/>
            <w:right w:w="0" w:type="dxa"/>
          </w:tblCellMar>
        </w:tblPrEx>
        <w:trPr>
          <w:trHeight w:val="93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FM丙1018(双扇）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FM丙0618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楼梯间</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83.16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-1层；2~18层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6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FM甲1222（双扇）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3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FM甲10215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FM甲1021</w:t>
            </w:r>
          </w:p>
        </w:tc>
        <w:tc>
          <w:tcPr>
            <w:tcW w:w="73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205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456.87</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3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水暖井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FM丙1818(双扇）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123.12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-1~18层</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一梯三户，两个单元</w:t>
            </w:r>
          </w:p>
        </w:tc>
      </w:tr>
      <w:tr>
        <w:tblPrEx>
          <w:tblCellMar>
            <w:top w:w="0" w:type="dxa"/>
            <w:left w:w="0" w:type="dxa"/>
            <w:bottom w:w="0" w:type="dxa"/>
            <w:right w:w="0" w:type="dxa"/>
          </w:tblCellMar>
        </w:tblPrEx>
        <w:trPr>
          <w:trHeight w:val="93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电井</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FM丙1018(双扇）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FM丙0618</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6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楼梯间</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FM乙1121(单扇）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83.16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-1层；2~18层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3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FM乙1221(双扇）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FM甲1222（双扇）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3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FM乙10215(单扇）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屋面层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电梯前室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FM甲1121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FM乙1821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FM甲1221（双扇）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3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FM甲1221（双扇）（RF）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4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FM甲1021（单扇）（RF）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FM甲1021（单扇）</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3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FM甲0821（单扇）（RF）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-1层</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648"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476.35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地库</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地库</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储油间</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甲2421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发电机房</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值班室</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乙1021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走道</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 甲12215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消防泵房</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FM甲2024</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通道</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FM甲12215</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送风机房</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二次供水加压泵站</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FM甲2024</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BJ~BB/41~45</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FM甲1521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P~V/41~43</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FM乙2021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FM甲1221（RF）</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FM甲1221</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extDirection w:val="tbRlV"/>
            <w:vAlign w:val="center"/>
          </w:tcPr>
          <w:p>
            <w:pPr>
              <w:jc w:val="center"/>
              <w:rPr>
                <w:rFonts w:hint="eastAsia" w:ascii="宋体" w:hAnsi="宋体" w:eastAsia="宋体" w:cs="宋体"/>
                <w:i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74.82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9010" w:type="dxa"/>
            <w:gridSpan w:val="8"/>
            <w:vMerge w:val="restart"/>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1、热力小室（除7#楼）的门不提，有变更把砌体墙该为防护栏杆；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2、所有管道井的门均改为1800mm高；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3、配电间门未提（分包）；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4、加工前需和现场洞口尺寸复核无误后方可加工。</w:t>
            </w:r>
          </w:p>
        </w:tc>
        <w:tc>
          <w:tcPr>
            <w:tcW w:w="88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9010" w:type="dxa"/>
            <w:gridSpan w:val="8"/>
            <w:vMerge w:val="continue"/>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88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9010" w:type="dxa"/>
            <w:gridSpan w:val="8"/>
            <w:vMerge w:val="continue"/>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88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9010" w:type="dxa"/>
            <w:gridSpan w:val="8"/>
            <w:vMerge w:val="continue"/>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88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9010" w:type="dxa"/>
            <w:gridSpan w:val="8"/>
            <w:vMerge w:val="continue"/>
            <w:tcBorders>
              <w:top w:val="nil"/>
              <w:left w:val="nil"/>
              <w:bottom w:val="nil"/>
              <w:right w:val="nil"/>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c>
          <w:tcPr>
            <w:tcW w:w="88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bl>
    <w:p>
      <w:pPr>
        <w:pStyle w:val="2"/>
        <w:rPr>
          <w:rFonts w:ascii="宋体" w:hAnsi="宋体" w:cs="宋体"/>
          <w:i w:val="0"/>
          <w:iCs w:val="0"/>
          <w:szCs w:val="24"/>
          <w:highlight w:val="none"/>
        </w:rPr>
      </w:pPr>
    </w:p>
    <w:p>
      <w:pPr>
        <w:pStyle w:val="52"/>
        <w:rPr>
          <w:rFonts w:ascii="宋体" w:hAnsi="宋体" w:cs="宋体"/>
          <w:szCs w:val="24"/>
          <w:highlight w:val="none"/>
        </w:rPr>
      </w:pPr>
    </w:p>
    <w:p>
      <w:pPr>
        <w:pStyle w:val="52"/>
        <w:rPr>
          <w:rFonts w:ascii="宋体" w:hAnsi="宋体" w:cs="宋体"/>
          <w:szCs w:val="24"/>
          <w:highlight w:val="none"/>
        </w:rPr>
      </w:pPr>
    </w:p>
    <w:p>
      <w:pPr>
        <w:pStyle w:val="52"/>
        <w:rPr>
          <w:rFonts w:ascii="宋体" w:hAnsi="宋体" w:cs="宋体"/>
          <w:szCs w:val="24"/>
          <w:highlight w:val="none"/>
        </w:rPr>
      </w:pPr>
    </w:p>
    <w:p>
      <w:pPr>
        <w:pStyle w:val="52"/>
        <w:rPr>
          <w:rFonts w:ascii="宋体" w:hAnsi="宋体" w:cs="宋体"/>
          <w:szCs w:val="24"/>
          <w:highlight w:val="none"/>
        </w:rPr>
      </w:pPr>
    </w:p>
    <w:p>
      <w:pPr>
        <w:pStyle w:val="52"/>
        <w:rPr>
          <w:rFonts w:ascii="宋体" w:hAnsi="宋体" w:cs="宋体"/>
          <w:szCs w:val="24"/>
          <w:highlight w:val="none"/>
        </w:rPr>
      </w:pPr>
    </w:p>
    <w:p>
      <w:pPr>
        <w:pStyle w:val="52"/>
        <w:rPr>
          <w:rFonts w:ascii="宋体" w:hAnsi="宋体" w:cs="宋体"/>
          <w:szCs w:val="24"/>
          <w:highlight w:val="none"/>
        </w:rPr>
      </w:pPr>
    </w:p>
    <w:p>
      <w:pPr>
        <w:pStyle w:val="52"/>
        <w:rPr>
          <w:rFonts w:ascii="宋体" w:hAnsi="宋体" w:cs="宋体"/>
          <w:szCs w:val="24"/>
          <w:highlight w:val="none"/>
        </w:rPr>
      </w:pPr>
    </w:p>
    <w:p>
      <w:pPr>
        <w:pStyle w:val="52"/>
        <w:rPr>
          <w:rFonts w:ascii="宋体" w:hAnsi="宋体" w:cs="宋体"/>
          <w:szCs w:val="24"/>
          <w:highlight w:val="none"/>
        </w:rPr>
      </w:pPr>
    </w:p>
    <w:p>
      <w:pPr>
        <w:pStyle w:val="52"/>
        <w:rPr>
          <w:rFonts w:ascii="宋体" w:hAnsi="宋体" w:cs="宋体"/>
          <w:szCs w:val="24"/>
          <w:highlight w:val="none"/>
        </w:rPr>
      </w:pPr>
    </w:p>
    <w:p>
      <w:pPr>
        <w:widowControl/>
        <w:spacing w:beforeLines="50" w:afterLines="50" w:line="360" w:lineRule="auto"/>
        <w:ind w:left="0" w:leftChars="0" w:right="120" w:rightChars="50" w:firstLine="0" w:firstLineChars="0"/>
        <w:rPr>
          <w:rFonts w:hint="eastAsia" w:ascii="宋体" w:hAnsi="宋体" w:eastAsia="宋体" w:cs="宋体"/>
          <w:szCs w:val="24"/>
          <w:highlight w:val="none"/>
          <w:lang w:eastAsia="zh-CN"/>
        </w:rPr>
      </w:pPr>
      <w:r>
        <w:rPr>
          <w:rFonts w:hint="eastAsia" w:ascii="宋体" w:hAnsi="宋体" w:cs="宋体"/>
          <w:szCs w:val="24"/>
          <w:highlight w:val="none"/>
          <w:lang w:eastAsia="zh-CN"/>
        </w:rPr>
        <w:t>附件二：</w:t>
      </w:r>
    </w:p>
    <w:p>
      <w:pPr>
        <w:spacing w:line="360" w:lineRule="auto"/>
        <w:jc w:val="center"/>
        <w:rPr>
          <w:rFonts w:ascii="宋体" w:hAnsi="宋体"/>
          <w:b/>
          <w:bCs/>
          <w:szCs w:val="24"/>
          <w:highlight w:val="none"/>
        </w:rPr>
      </w:pPr>
      <w:r>
        <w:rPr>
          <w:rFonts w:hint="eastAsia" w:ascii="宋体" w:hAnsi="宋体"/>
          <w:b/>
          <w:bCs/>
          <w:szCs w:val="24"/>
          <w:highlight w:val="none"/>
        </w:rPr>
        <w:t>廉政合作协议</w:t>
      </w:r>
    </w:p>
    <w:p>
      <w:pPr>
        <w:spacing w:line="360" w:lineRule="auto"/>
        <w:rPr>
          <w:rFonts w:ascii="宋体" w:hAnsi="宋体" w:cs="宋体"/>
          <w:szCs w:val="24"/>
          <w:highlight w:val="none"/>
        </w:rPr>
      </w:pPr>
    </w:p>
    <w:p>
      <w:pPr>
        <w:spacing w:line="360" w:lineRule="auto"/>
        <w:rPr>
          <w:rFonts w:hint="eastAsia" w:ascii="宋体" w:hAnsi="宋体" w:cs="宋体"/>
          <w:sz w:val="24"/>
          <w:szCs w:val="24"/>
          <w:highlight w:val="none"/>
        </w:rPr>
      </w:pPr>
      <w:r>
        <w:rPr>
          <w:rFonts w:hint="eastAsia" w:ascii="宋体" w:hAnsi="宋体" w:cs="宋体"/>
          <w:szCs w:val="24"/>
          <w:highlight w:val="none"/>
        </w:rPr>
        <w:t>甲方：</w:t>
      </w:r>
      <w:r>
        <w:rPr>
          <w:rFonts w:hint="eastAsia" w:ascii="宋体" w:hAnsi="宋体" w:cs="宋体"/>
          <w:sz w:val="24"/>
          <w:szCs w:val="24"/>
          <w:highlight w:val="none"/>
        </w:rPr>
        <w:t>洛阳莘子园置业有限公司</w:t>
      </w:r>
    </w:p>
    <w:p>
      <w:pPr>
        <w:spacing w:line="360" w:lineRule="auto"/>
        <w:rPr>
          <w:rFonts w:ascii="宋体" w:hAnsi="宋体" w:cs="宋体"/>
          <w:szCs w:val="24"/>
          <w:highlight w:val="none"/>
        </w:rPr>
      </w:pPr>
      <w:r>
        <w:rPr>
          <w:rFonts w:hint="eastAsia" w:ascii="宋体" w:hAnsi="宋体" w:cs="宋体"/>
          <w:szCs w:val="24"/>
          <w:highlight w:val="none"/>
        </w:rPr>
        <w:t>乙方：</w:t>
      </w:r>
      <w:r>
        <w:rPr>
          <w:rFonts w:hint="eastAsia" w:ascii="宋体" w:hAnsi="宋体" w:cs="宋体"/>
          <w:szCs w:val="24"/>
          <w:highlight w:val="none"/>
          <w:lang w:eastAsia="zh-CN"/>
        </w:rPr>
        <w:t>河南聚泰实业有限公司</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szCs w:val="24"/>
          <w:highlight w:val="none"/>
        </w:rPr>
      </w:pPr>
      <w:r>
        <w:rPr>
          <w:rFonts w:hint="eastAsia" w:ascii="宋体" w:hAnsi="宋体" w:cs="宋体"/>
          <w:b/>
          <w:bCs/>
          <w:szCs w:val="24"/>
          <w:highlight w:val="none"/>
        </w:rPr>
        <w:t>一．甲方责任</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1．甲方有责任向乙方介绍本单位有关廉政管理的各项制度和规定。</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2．甲方有责任对本单位项目管理人员进行廉政教育。</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5．甲方人员如违反廉政管理制度及本协议规定，甲方应视情节轻重、影响大小给予处罚。</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bCs/>
          <w:szCs w:val="24"/>
          <w:highlight w:val="none"/>
        </w:rPr>
      </w:pPr>
      <w:r>
        <w:rPr>
          <w:rFonts w:hint="eastAsia" w:ascii="宋体" w:hAnsi="宋体" w:cs="宋体"/>
          <w:b/>
          <w:bCs/>
          <w:szCs w:val="24"/>
          <w:highlight w:val="none"/>
        </w:rPr>
        <w:t>二．乙方责任</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2．乙方不得宴请甲方人员，不得以任何形式赠送实物、现金或礼券。</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4．乙方有责任接受甲方对乙方在项目建设期间廉政管理执行情况的监督。</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szCs w:val="24"/>
          <w:highlight w:val="none"/>
        </w:rPr>
      </w:pPr>
      <w:r>
        <w:rPr>
          <w:rFonts w:hint="eastAsia" w:ascii="宋体" w:hAnsi="宋体" w:cs="宋体"/>
          <w:szCs w:val="24"/>
          <w:highlight w:val="none"/>
        </w:rPr>
        <w:t xml:space="preserve">   </w:t>
      </w:r>
    </w:p>
    <w:p>
      <w:pPr>
        <w:spacing w:line="360" w:lineRule="auto"/>
        <w:rPr>
          <w:rFonts w:ascii="宋体" w:hAnsi="宋体" w:cs="宋体"/>
          <w:b/>
          <w:bCs/>
          <w:szCs w:val="24"/>
          <w:highlight w:val="none"/>
        </w:rPr>
      </w:pPr>
      <w:r>
        <w:rPr>
          <w:rFonts w:hint="eastAsia" w:ascii="宋体" w:hAnsi="宋体" w:cs="宋体"/>
          <w:szCs w:val="24"/>
          <w:highlight w:val="none"/>
        </w:rPr>
        <w:t xml:space="preserve"> </w:t>
      </w:r>
      <w:r>
        <w:rPr>
          <w:rFonts w:hint="eastAsia" w:ascii="宋体" w:hAnsi="宋体" w:cs="宋体"/>
          <w:b/>
          <w:bCs/>
          <w:szCs w:val="24"/>
          <w:highlight w:val="none"/>
        </w:rPr>
        <w:t>三、</w:t>
      </w:r>
      <w:r>
        <w:rPr>
          <w:highlight w:val="none"/>
        </w:rPr>
        <w:drawing>
          <wp:anchor distT="0" distB="0" distL="114300" distR="114300" simplePos="0" relativeHeight="1024" behindDoc="0" locked="0" layoutInCell="1" allowOverlap="1">
            <wp:simplePos x="0" y="0"/>
            <wp:positionH relativeFrom="column">
              <wp:posOffset>4038600</wp:posOffset>
            </wp:positionH>
            <wp:positionV relativeFrom="paragraph">
              <wp:posOffset>454025</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Theme="majorEastAsia" w:hAnsiTheme="majorEastAsia" w:eastAsiaTheme="majorEastAsia" w:cstheme="majorEastAsia"/>
          <w:kern w:val="0"/>
          <w:szCs w:val="24"/>
          <w:highlight w:val="none"/>
        </w:rPr>
        <w:t>为维护招标人和投标人的合法利益，营造良好的商务环境，我们建立了多种举报渠道。</w:t>
      </w:r>
      <w:r>
        <w:rPr>
          <w:rFonts w:hint="eastAsia" w:ascii="宋体" w:hAnsi="宋体" w:cs="宋体"/>
          <w:b/>
          <w:bCs/>
          <w:szCs w:val="24"/>
          <w:highlight w:val="none"/>
        </w:rPr>
        <w:t>甲方审计监察人员将恪守职业道德，严格履行保密义务！</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（1）电话：张先生：13903793259</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（2）电话：齐先生：18137710188</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（3）邮箱：314298756@qq.com</w:t>
      </w:r>
    </w:p>
    <w:p>
      <w:pPr>
        <w:spacing w:line="360" w:lineRule="auto"/>
        <w:ind w:left="1157" w:leftChars="257" w:hanging="540" w:hangingChars="225"/>
        <w:rPr>
          <w:rFonts w:asciiTheme="majorEastAsia" w:hAnsiTheme="majorEastAsia" w:eastAsiaTheme="majorEastAsia" w:cstheme="majorEastAsia"/>
          <w:kern w:val="0"/>
          <w:szCs w:val="24"/>
          <w:highlight w:val="none"/>
        </w:rPr>
      </w:pPr>
      <w:r>
        <w:rPr>
          <w:rFonts w:hint="eastAsia" w:ascii="宋体" w:hAnsi="宋体" w:cs="宋体"/>
          <w:szCs w:val="24"/>
          <w:highlight w:val="none"/>
        </w:rPr>
        <w:t>（4）直接和审计监察人员约定场所当面举报。</w:t>
      </w:r>
    </w:p>
    <w:p>
      <w:pPr>
        <w:spacing w:line="360" w:lineRule="auto"/>
        <w:ind w:firstLine="480" w:firstLineChars="200"/>
        <w:rPr>
          <w:rFonts w:asciiTheme="majorEastAsia" w:hAnsiTheme="majorEastAsia" w:eastAsiaTheme="majorEastAsia" w:cstheme="majorEastAsia"/>
          <w:kern w:val="0"/>
          <w:szCs w:val="24"/>
          <w:highlight w:val="none"/>
        </w:rPr>
      </w:pPr>
      <w:r>
        <w:rPr>
          <w:rFonts w:hint="eastAsia" w:asciiTheme="majorEastAsia" w:hAnsiTheme="majorEastAsia" w:eastAsiaTheme="majorEastAsia" w:cstheme="majorEastAsia"/>
          <w:kern w:val="0"/>
          <w:szCs w:val="24"/>
          <w:highlight w:val="none"/>
        </w:rPr>
        <w:t>有下列行为之一可通过上述渠道进行举报：</w:t>
      </w:r>
    </w:p>
    <w:p>
      <w:pPr>
        <w:spacing w:line="360" w:lineRule="auto"/>
        <w:ind w:firstLine="480" w:firstLineChars="200"/>
        <w:rPr>
          <w:rFonts w:ascii="宋体" w:hAnsi="宋体" w:cs="宋体"/>
          <w:szCs w:val="24"/>
          <w:highlight w:val="none"/>
        </w:rPr>
      </w:pPr>
    </w:p>
    <w:p>
      <w:pPr>
        <w:spacing w:line="360" w:lineRule="auto"/>
        <w:ind w:firstLine="482" w:firstLineChars="200"/>
        <w:rPr>
          <w:rFonts w:ascii="宋体" w:hAnsi="宋体" w:cs="宋体"/>
          <w:b/>
          <w:bCs/>
          <w:szCs w:val="24"/>
          <w:highlight w:val="none"/>
        </w:rPr>
      </w:pPr>
      <w:r>
        <w:rPr>
          <w:rFonts w:hint="eastAsia" w:ascii="宋体" w:hAnsi="宋体" w:cs="宋体"/>
          <w:b/>
          <w:bCs/>
          <w:szCs w:val="24"/>
          <w:highlight w:val="none"/>
        </w:rPr>
        <w:t>四、甲乙双方发现对方工作人员有下列行为之一的，可通过第三条约定的渠道进行举报：</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1.推诿扯皮、有责不负、处事消极、渎职失职、弄虚作假等行为。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2.以权谋私、滥用职权、处事不公、隐瞒事故、违章指挥造成公司严重事故隐患的行为。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3.贪污、受贿、盗窃、欺上瞒下等违法乱纪行为。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4.出卖、泄露公司商业机密等危害公司行为。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5.重大经济活动未按公司制度、流程执行的违规违纪行为。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6.利用职权，任人唯亲，拉帮结派，搞小利益团体或对同事正当行使权利进行打击报复的行为。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7.故意涂改公司文件或以公司名义谋私利，损害公司荣誉和利益的行为。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8.私自侵占、挪用公司财物，损坏公司重要设备或资产的行为。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9.破坏团队和谐，故意挑拨员工之间关系，对同事恶意侮辱、陷害、制造事端的行为。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11.其它违反法律或者招标人公司相关制度的行为。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（以下无正文）</w:t>
      </w:r>
    </w:p>
    <w:p>
      <w:pPr>
        <w:spacing w:line="360" w:lineRule="auto"/>
        <w:ind w:firstLine="480" w:firstLineChars="200"/>
        <w:rPr>
          <w:rFonts w:ascii="宋体" w:hAnsi="宋体" w:cs="宋体"/>
          <w:szCs w:val="24"/>
          <w:highlight w:val="none"/>
        </w:rPr>
      </w:pP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 xml:space="preserve">甲方： </w:t>
      </w:r>
      <w:r>
        <w:rPr>
          <w:rFonts w:ascii="宋体" w:hAnsi="宋体" w:cs="宋体"/>
          <w:szCs w:val="24"/>
          <w:highlight w:val="none"/>
        </w:rPr>
        <w:t xml:space="preserve">                            </w:t>
      </w:r>
      <w:r>
        <w:rPr>
          <w:rFonts w:hint="eastAsia" w:ascii="宋体" w:hAnsi="宋体" w:cs="宋体"/>
          <w:szCs w:val="24"/>
          <w:highlight w:val="none"/>
        </w:rPr>
        <w:t xml:space="preserve"> 乙方：</w:t>
      </w:r>
      <w:r>
        <w:rPr>
          <w:rFonts w:ascii="宋体" w:hAnsi="宋体" w:cs="宋体"/>
          <w:szCs w:val="24"/>
          <w:highlight w:val="none"/>
        </w:rPr>
        <w:t xml:space="preserve"> </w:t>
      </w:r>
    </w:p>
    <w:p>
      <w:pPr>
        <w:spacing w:line="360" w:lineRule="auto"/>
        <w:ind w:firstLine="480" w:firstLineChars="200"/>
        <w:rPr>
          <w:rFonts w:hint="default" w:ascii="宋体" w:hAnsi="宋体" w:eastAsia="宋体" w:cs="宋体"/>
          <w:szCs w:val="24"/>
          <w:highlight w:val="none"/>
          <w:lang w:val="en-US" w:eastAsia="zh-CN"/>
        </w:rPr>
      </w:pPr>
      <w:r>
        <w:rPr>
          <w:rFonts w:hint="eastAsia" w:ascii="宋体" w:hAnsi="宋体" w:cs="宋体"/>
          <w:szCs w:val="24"/>
          <w:highlight w:val="none"/>
        </w:rPr>
        <w:t>签署日期：</w:t>
      </w:r>
      <w:r>
        <w:rPr>
          <w:rFonts w:hint="eastAsia" w:ascii="宋体" w:hAnsi="宋体" w:cs="宋体"/>
          <w:szCs w:val="24"/>
          <w:highlight w:val="none"/>
          <w:lang w:val="en-US" w:eastAsia="zh-CN"/>
        </w:rPr>
        <w:t>2021年1月</w:t>
      </w:r>
      <w:r>
        <w:rPr>
          <w:rFonts w:ascii="宋体" w:hAnsi="宋体" w:cs="宋体"/>
          <w:szCs w:val="24"/>
          <w:highlight w:val="none"/>
        </w:rPr>
        <w:t xml:space="preserve">      </w:t>
      </w:r>
      <w:r>
        <w:rPr>
          <w:rFonts w:hint="eastAsia" w:ascii="宋体" w:hAnsi="宋体" w:cs="宋体"/>
          <w:szCs w:val="24"/>
          <w:highlight w:val="none"/>
        </w:rPr>
        <w:t xml:space="preserve">          签署日期：</w:t>
      </w:r>
      <w:r>
        <w:rPr>
          <w:rFonts w:hint="eastAsia" w:ascii="宋体" w:hAnsi="宋体" w:cs="宋体"/>
          <w:szCs w:val="24"/>
          <w:highlight w:val="none"/>
          <w:lang w:val="en-US" w:eastAsia="zh-CN"/>
        </w:rPr>
        <w:t>2021年1月</w:t>
      </w:r>
    </w:p>
    <w:p>
      <w:pPr>
        <w:spacing w:beforeLines="50" w:afterLines="50"/>
        <w:jc w:val="both"/>
        <w:rPr>
          <w:rFonts w:ascii="宋体" w:hAnsi="宋体" w:cs="宋体"/>
          <w:szCs w:val="32"/>
          <w:highlight w:val="none"/>
        </w:rPr>
      </w:pPr>
    </w:p>
    <w:sectPr>
      <w:headerReference r:id="rId3" w:type="default"/>
      <w:footerReference r:id="rId4" w:type="default"/>
      <w:pgSz w:w="11906" w:h="16838"/>
      <w:pgMar w:top="1134" w:right="932"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2</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42</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p>
    <w:pPr>
      <w:pStyle w:val="30"/>
      <w:pBdr>
        <w:top w:val="single" w:color="auto" w:sz="4" w:space="1"/>
      </w:pBdr>
      <w:ind w:left="-161" w:leftChars="-67" w:right="360"/>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firstLine="450" w:firstLineChars="250"/>
      <w:jc w:val="both"/>
      <w:rPr>
        <w:rFonts w:ascii="Batang"/>
        <w:color w:val="999999"/>
        <w:sz w:val="16"/>
        <w:szCs w:val="16"/>
      </w:rPr>
    </w:pPr>
    <w:r>
      <w:drawing>
        <wp:inline distT="0" distB="0" distL="114300" distR="114300">
          <wp:extent cx="1046480" cy="311150"/>
          <wp:effectExtent l="0" t="0" r="508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046480" cy="31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39E0"/>
    <w:rsid w:val="00014E6C"/>
    <w:rsid w:val="00016F0C"/>
    <w:rsid w:val="0002623D"/>
    <w:rsid w:val="00033465"/>
    <w:rsid w:val="00082A00"/>
    <w:rsid w:val="00085542"/>
    <w:rsid w:val="000936F9"/>
    <w:rsid w:val="000A118C"/>
    <w:rsid w:val="000B1E62"/>
    <w:rsid w:val="000D1A08"/>
    <w:rsid w:val="000D26C8"/>
    <w:rsid w:val="000D6B54"/>
    <w:rsid w:val="000D6C9F"/>
    <w:rsid w:val="00100C15"/>
    <w:rsid w:val="00111CD9"/>
    <w:rsid w:val="00112F37"/>
    <w:rsid w:val="00124114"/>
    <w:rsid w:val="00125D5C"/>
    <w:rsid w:val="001260CD"/>
    <w:rsid w:val="00137AEC"/>
    <w:rsid w:val="001566AF"/>
    <w:rsid w:val="00161F31"/>
    <w:rsid w:val="001621FC"/>
    <w:rsid w:val="00164A63"/>
    <w:rsid w:val="00166A13"/>
    <w:rsid w:val="00172A27"/>
    <w:rsid w:val="00176FF5"/>
    <w:rsid w:val="0018086F"/>
    <w:rsid w:val="001843B4"/>
    <w:rsid w:val="00191138"/>
    <w:rsid w:val="00192AC1"/>
    <w:rsid w:val="001A4FB5"/>
    <w:rsid w:val="001A6A80"/>
    <w:rsid w:val="001C761B"/>
    <w:rsid w:val="001F09EF"/>
    <w:rsid w:val="001F2C32"/>
    <w:rsid w:val="00200F8E"/>
    <w:rsid w:val="002074FF"/>
    <w:rsid w:val="00214FB5"/>
    <w:rsid w:val="00215528"/>
    <w:rsid w:val="0021788F"/>
    <w:rsid w:val="00217A46"/>
    <w:rsid w:val="00231D04"/>
    <w:rsid w:val="00234E52"/>
    <w:rsid w:val="0023640C"/>
    <w:rsid w:val="00242D2A"/>
    <w:rsid w:val="00263186"/>
    <w:rsid w:val="00294370"/>
    <w:rsid w:val="002A0538"/>
    <w:rsid w:val="002B0A59"/>
    <w:rsid w:val="002C6E09"/>
    <w:rsid w:val="002D2A5D"/>
    <w:rsid w:val="002D2E4E"/>
    <w:rsid w:val="002D7C34"/>
    <w:rsid w:val="002E299F"/>
    <w:rsid w:val="002F54E2"/>
    <w:rsid w:val="00332289"/>
    <w:rsid w:val="003347F4"/>
    <w:rsid w:val="00337E43"/>
    <w:rsid w:val="003441BD"/>
    <w:rsid w:val="003459DC"/>
    <w:rsid w:val="0034770B"/>
    <w:rsid w:val="00357A7D"/>
    <w:rsid w:val="00361A56"/>
    <w:rsid w:val="00361D86"/>
    <w:rsid w:val="00370177"/>
    <w:rsid w:val="0037275B"/>
    <w:rsid w:val="00375A68"/>
    <w:rsid w:val="00382FFC"/>
    <w:rsid w:val="00391934"/>
    <w:rsid w:val="00397162"/>
    <w:rsid w:val="003A6A7B"/>
    <w:rsid w:val="003B25DF"/>
    <w:rsid w:val="003B2B3C"/>
    <w:rsid w:val="003B5FC8"/>
    <w:rsid w:val="003C2C6C"/>
    <w:rsid w:val="003D3D56"/>
    <w:rsid w:val="003E1D77"/>
    <w:rsid w:val="003F4DA3"/>
    <w:rsid w:val="00400C75"/>
    <w:rsid w:val="00413734"/>
    <w:rsid w:val="00421B0F"/>
    <w:rsid w:val="00443089"/>
    <w:rsid w:val="00452B7B"/>
    <w:rsid w:val="00452C9F"/>
    <w:rsid w:val="00457B8D"/>
    <w:rsid w:val="004610E7"/>
    <w:rsid w:val="004939DD"/>
    <w:rsid w:val="004C4C29"/>
    <w:rsid w:val="004C5237"/>
    <w:rsid w:val="004C6F5C"/>
    <w:rsid w:val="004D1E1C"/>
    <w:rsid w:val="004D58E6"/>
    <w:rsid w:val="004E37CA"/>
    <w:rsid w:val="004E5451"/>
    <w:rsid w:val="004E78BF"/>
    <w:rsid w:val="004F1EAD"/>
    <w:rsid w:val="004F27B2"/>
    <w:rsid w:val="004F5178"/>
    <w:rsid w:val="00501483"/>
    <w:rsid w:val="00510CAD"/>
    <w:rsid w:val="005124F8"/>
    <w:rsid w:val="005225C0"/>
    <w:rsid w:val="00524DEA"/>
    <w:rsid w:val="00534C97"/>
    <w:rsid w:val="005530FF"/>
    <w:rsid w:val="005630F5"/>
    <w:rsid w:val="005648F6"/>
    <w:rsid w:val="00570C35"/>
    <w:rsid w:val="00577126"/>
    <w:rsid w:val="00580C3D"/>
    <w:rsid w:val="005828CD"/>
    <w:rsid w:val="005C42F8"/>
    <w:rsid w:val="005D2388"/>
    <w:rsid w:val="005D27B5"/>
    <w:rsid w:val="005E6644"/>
    <w:rsid w:val="005E75CD"/>
    <w:rsid w:val="005F28D7"/>
    <w:rsid w:val="005F4688"/>
    <w:rsid w:val="005F60DA"/>
    <w:rsid w:val="006224E6"/>
    <w:rsid w:val="00622EE2"/>
    <w:rsid w:val="006424D0"/>
    <w:rsid w:val="00643F97"/>
    <w:rsid w:val="0065413E"/>
    <w:rsid w:val="00680677"/>
    <w:rsid w:val="006828FA"/>
    <w:rsid w:val="006969DD"/>
    <w:rsid w:val="006A16F9"/>
    <w:rsid w:val="006C4142"/>
    <w:rsid w:val="006C712D"/>
    <w:rsid w:val="006D6390"/>
    <w:rsid w:val="006E434C"/>
    <w:rsid w:val="006E7F8B"/>
    <w:rsid w:val="006F36C3"/>
    <w:rsid w:val="00720003"/>
    <w:rsid w:val="0072227C"/>
    <w:rsid w:val="00723612"/>
    <w:rsid w:val="00725B97"/>
    <w:rsid w:val="00727225"/>
    <w:rsid w:val="00780B57"/>
    <w:rsid w:val="0078582E"/>
    <w:rsid w:val="00795614"/>
    <w:rsid w:val="007A6C93"/>
    <w:rsid w:val="007C3B7C"/>
    <w:rsid w:val="0080344C"/>
    <w:rsid w:val="00804FEB"/>
    <w:rsid w:val="0081246B"/>
    <w:rsid w:val="00833059"/>
    <w:rsid w:val="0083423D"/>
    <w:rsid w:val="00836F06"/>
    <w:rsid w:val="00864308"/>
    <w:rsid w:val="00864A83"/>
    <w:rsid w:val="008715C4"/>
    <w:rsid w:val="008825E1"/>
    <w:rsid w:val="00883693"/>
    <w:rsid w:val="00883ED0"/>
    <w:rsid w:val="008A368E"/>
    <w:rsid w:val="008B302A"/>
    <w:rsid w:val="008C20A2"/>
    <w:rsid w:val="008D5FB8"/>
    <w:rsid w:val="008E7327"/>
    <w:rsid w:val="008F67A7"/>
    <w:rsid w:val="00903AA1"/>
    <w:rsid w:val="00916846"/>
    <w:rsid w:val="00933379"/>
    <w:rsid w:val="00940B72"/>
    <w:rsid w:val="00942AF5"/>
    <w:rsid w:val="00947E5F"/>
    <w:rsid w:val="009515D3"/>
    <w:rsid w:val="00954AB2"/>
    <w:rsid w:val="00960572"/>
    <w:rsid w:val="00975064"/>
    <w:rsid w:val="00994224"/>
    <w:rsid w:val="009B1946"/>
    <w:rsid w:val="009D379C"/>
    <w:rsid w:val="00A003E9"/>
    <w:rsid w:val="00A010C3"/>
    <w:rsid w:val="00A248CC"/>
    <w:rsid w:val="00A33151"/>
    <w:rsid w:val="00A72EF7"/>
    <w:rsid w:val="00A76130"/>
    <w:rsid w:val="00A82C77"/>
    <w:rsid w:val="00A830AA"/>
    <w:rsid w:val="00A95E14"/>
    <w:rsid w:val="00A976CE"/>
    <w:rsid w:val="00AA5854"/>
    <w:rsid w:val="00AC4783"/>
    <w:rsid w:val="00AC6F6C"/>
    <w:rsid w:val="00B103BD"/>
    <w:rsid w:val="00B13BB6"/>
    <w:rsid w:val="00B22069"/>
    <w:rsid w:val="00B42469"/>
    <w:rsid w:val="00B510D7"/>
    <w:rsid w:val="00B558DE"/>
    <w:rsid w:val="00B95703"/>
    <w:rsid w:val="00BB2763"/>
    <w:rsid w:val="00BC0E92"/>
    <w:rsid w:val="00BC27D3"/>
    <w:rsid w:val="00BD7385"/>
    <w:rsid w:val="00BE1063"/>
    <w:rsid w:val="00BF0416"/>
    <w:rsid w:val="00BF53F0"/>
    <w:rsid w:val="00BF5F73"/>
    <w:rsid w:val="00C1211F"/>
    <w:rsid w:val="00C12BEA"/>
    <w:rsid w:val="00C17840"/>
    <w:rsid w:val="00C27889"/>
    <w:rsid w:val="00C309AF"/>
    <w:rsid w:val="00C5113C"/>
    <w:rsid w:val="00C60374"/>
    <w:rsid w:val="00C62DF1"/>
    <w:rsid w:val="00C73F7D"/>
    <w:rsid w:val="00C8603E"/>
    <w:rsid w:val="00CA7DE7"/>
    <w:rsid w:val="00CB1F29"/>
    <w:rsid w:val="00CE0F73"/>
    <w:rsid w:val="00CF1F58"/>
    <w:rsid w:val="00D22606"/>
    <w:rsid w:val="00D309DA"/>
    <w:rsid w:val="00D31257"/>
    <w:rsid w:val="00D40345"/>
    <w:rsid w:val="00D435CF"/>
    <w:rsid w:val="00D632CF"/>
    <w:rsid w:val="00D63376"/>
    <w:rsid w:val="00D65CDD"/>
    <w:rsid w:val="00D80562"/>
    <w:rsid w:val="00D93A42"/>
    <w:rsid w:val="00D97CD4"/>
    <w:rsid w:val="00DA0F0D"/>
    <w:rsid w:val="00DA3FE6"/>
    <w:rsid w:val="00DA68ED"/>
    <w:rsid w:val="00DC4A32"/>
    <w:rsid w:val="00DD7828"/>
    <w:rsid w:val="00DE403D"/>
    <w:rsid w:val="00E07312"/>
    <w:rsid w:val="00E2161D"/>
    <w:rsid w:val="00E26ED9"/>
    <w:rsid w:val="00E34CC7"/>
    <w:rsid w:val="00E44D0A"/>
    <w:rsid w:val="00E657DD"/>
    <w:rsid w:val="00E72062"/>
    <w:rsid w:val="00E869AE"/>
    <w:rsid w:val="00E921BE"/>
    <w:rsid w:val="00EA0BCD"/>
    <w:rsid w:val="00EA1BDB"/>
    <w:rsid w:val="00EB1F23"/>
    <w:rsid w:val="00EC640F"/>
    <w:rsid w:val="00EE357E"/>
    <w:rsid w:val="00EF2028"/>
    <w:rsid w:val="00F11A36"/>
    <w:rsid w:val="00F213F1"/>
    <w:rsid w:val="00F22C58"/>
    <w:rsid w:val="00F22E90"/>
    <w:rsid w:val="00F314A1"/>
    <w:rsid w:val="00F31550"/>
    <w:rsid w:val="00F32EAB"/>
    <w:rsid w:val="00F35DD2"/>
    <w:rsid w:val="00F46685"/>
    <w:rsid w:val="00F55462"/>
    <w:rsid w:val="00F60EBC"/>
    <w:rsid w:val="00F6189C"/>
    <w:rsid w:val="00F97431"/>
    <w:rsid w:val="00FB3517"/>
    <w:rsid w:val="00FD0809"/>
    <w:rsid w:val="00FD69D7"/>
    <w:rsid w:val="00FE375F"/>
    <w:rsid w:val="00FF03DB"/>
    <w:rsid w:val="00FF3D31"/>
    <w:rsid w:val="01917894"/>
    <w:rsid w:val="01F95703"/>
    <w:rsid w:val="01FA2C0B"/>
    <w:rsid w:val="01FD2C1A"/>
    <w:rsid w:val="02064CB5"/>
    <w:rsid w:val="025F68E9"/>
    <w:rsid w:val="030C6666"/>
    <w:rsid w:val="031D2F23"/>
    <w:rsid w:val="03306128"/>
    <w:rsid w:val="035D3B47"/>
    <w:rsid w:val="036C2532"/>
    <w:rsid w:val="03D34DCC"/>
    <w:rsid w:val="042F236B"/>
    <w:rsid w:val="04737FBB"/>
    <w:rsid w:val="048B5FB4"/>
    <w:rsid w:val="049D0D0D"/>
    <w:rsid w:val="051E41F2"/>
    <w:rsid w:val="06022278"/>
    <w:rsid w:val="060A3D7B"/>
    <w:rsid w:val="060B16EF"/>
    <w:rsid w:val="061C4744"/>
    <w:rsid w:val="062570C3"/>
    <w:rsid w:val="06443FD4"/>
    <w:rsid w:val="06B523B4"/>
    <w:rsid w:val="06D6265A"/>
    <w:rsid w:val="07277E4A"/>
    <w:rsid w:val="07312958"/>
    <w:rsid w:val="07583439"/>
    <w:rsid w:val="07BF4B46"/>
    <w:rsid w:val="07CF67A4"/>
    <w:rsid w:val="07D33E57"/>
    <w:rsid w:val="07E07279"/>
    <w:rsid w:val="085E77F2"/>
    <w:rsid w:val="08A301E0"/>
    <w:rsid w:val="08F22A9E"/>
    <w:rsid w:val="08F66379"/>
    <w:rsid w:val="09324CC1"/>
    <w:rsid w:val="09573DEF"/>
    <w:rsid w:val="096C547C"/>
    <w:rsid w:val="097D251D"/>
    <w:rsid w:val="098047A7"/>
    <w:rsid w:val="0A960A6B"/>
    <w:rsid w:val="0B4F2300"/>
    <w:rsid w:val="0BC4723C"/>
    <w:rsid w:val="0BCD36CD"/>
    <w:rsid w:val="0BE74F15"/>
    <w:rsid w:val="0C213484"/>
    <w:rsid w:val="0C337593"/>
    <w:rsid w:val="0D102BB5"/>
    <w:rsid w:val="0D177805"/>
    <w:rsid w:val="0DC30CBA"/>
    <w:rsid w:val="0E09061B"/>
    <w:rsid w:val="0E1B3897"/>
    <w:rsid w:val="0E3D7AF2"/>
    <w:rsid w:val="0E407913"/>
    <w:rsid w:val="0E6E2065"/>
    <w:rsid w:val="0EE5178E"/>
    <w:rsid w:val="0F457322"/>
    <w:rsid w:val="0F4C71A5"/>
    <w:rsid w:val="0F5C6E37"/>
    <w:rsid w:val="1051674C"/>
    <w:rsid w:val="10604BFA"/>
    <w:rsid w:val="106D5EC4"/>
    <w:rsid w:val="109E016A"/>
    <w:rsid w:val="10B309F0"/>
    <w:rsid w:val="10C05D7B"/>
    <w:rsid w:val="10D60C4A"/>
    <w:rsid w:val="115033D9"/>
    <w:rsid w:val="117048C5"/>
    <w:rsid w:val="118A2253"/>
    <w:rsid w:val="11A021F8"/>
    <w:rsid w:val="11B06995"/>
    <w:rsid w:val="11C0052E"/>
    <w:rsid w:val="11D16ECB"/>
    <w:rsid w:val="12160F3D"/>
    <w:rsid w:val="12AB3870"/>
    <w:rsid w:val="12DF1144"/>
    <w:rsid w:val="137C1C8F"/>
    <w:rsid w:val="13EF057A"/>
    <w:rsid w:val="142F05CE"/>
    <w:rsid w:val="14360F37"/>
    <w:rsid w:val="150A58BF"/>
    <w:rsid w:val="152500E3"/>
    <w:rsid w:val="156F3A17"/>
    <w:rsid w:val="1574656B"/>
    <w:rsid w:val="15883C49"/>
    <w:rsid w:val="158D1EAF"/>
    <w:rsid w:val="15BC36F9"/>
    <w:rsid w:val="15CA4C2B"/>
    <w:rsid w:val="15F25956"/>
    <w:rsid w:val="161E1735"/>
    <w:rsid w:val="16560F6A"/>
    <w:rsid w:val="16FA3DEE"/>
    <w:rsid w:val="16FE5A71"/>
    <w:rsid w:val="170B5EA3"/>
    <w:rsid w:val="175B0F1E"/>
    <w:rsid w:val="17BF6EB3"/>
    <w:rsid w:val="17E625C2"/>
    <w:rsid w:val="18335364"/>
    <w:rsid w:val="187212AC"/>
    <w:rsid w:val="18B36492"/>
    <w:rsid w:val="18F2497C"/>
    <w:rsid w:val="199A10B7"/>
    <w:rsid w:val="19C8343D"/>
    <w:rsid w:val="19FB6C73"/>
    <w:rsid w:val="1A2B7B75"/>
    <w:rsid w:val="1A9D028E"/>
    <w:rsid w:val="1AA21277"/>
    <w:rsid w:val="1B2A271F"/>
    <w:rsid w:val="1B696431"/>
    <w:rsid w:val="1BBA4C58"/>
    <w:rsid w:val="1BD50639"/>
    <w:rsid w:val="1BD937BC"/>
    <w:rsid w:val="1BF06A09"/>
    <w:rsid w:val="1BF65128"/>
    <w:rsid w:val="1C1945A6"/>
    <w:rsid w:val="1C2D098F"/>
    <w:rsid w:val="1C4824DF"/>
    <w:rsid w:val="1C5967C2"/>
    <w:rsid w:val="1C656C23"/>
    <w:rsid w:val="1CE046C9"/>
    <w:rsid w:val="1CF34DD3"/>
    <w:rsid w:val="1D0667AD"/>
    <w:rsid w:val="1DB34357"/>
    <w:rsid w:val="1DFF4788"/>
    <w:rsid w:val="1E214C26"/>
    <w:rsid w:val="1E63486F"/>
    <w:rsid w:val="1EF32682"/>
    <w:rsid w:val="1F4C48BD"/>
    <w:rsid w:val="1FA84DA5"/>
    <w:rsid w:val="200E1C53"/>
    <w:rsid w:val="205632FF"/>
    <w:rsid w:val="20660D56"/>
    <w:rsid w:val="207E0F00"/>
    <w:rsid w:val="20AD01D7"/>
    <w:rsid w:val="20E77339"/>
    <w:rsid w:val="20E9368B"/>
    <w:rsid w:val="21284ECA"/>
    <w:rsid w:val="2168390B"/>
    <w:rsid w:val="216C1524"/>
    <w:rsid w:val="2185375B"/>
    <w:rsid w:val="21B41808"/>
    <w:rsid w:val="21C1096F"/>
    <w:rsid w:val="21EA2970"/>
    <w:rsid w:val="21F47D0E"/>
    <w:rsid w:val="22135B75"/>
    <w:rsid w:val="221C138B"/>
    <w:rsid w:val="223009B6"/>
    <w:rsid w:val="22B304A2"/>
    <w:rsid w:val="22F36350"/>
    <w:rsid w:val="22F535FA"/>
    <w:rsid w:val="233F7DCA"/>
    <w:rsid w:val="23684505"/>
    <w:rsid w:val="237F77E2"/>
    <w:rsid w:val="23BD3F0B"/>
    <w:rsid w:val="23FC7B97"/>
    <w:rsid w:val="243D7784"/>
    <w:rsid w:val="24571D25"/>
    <w:rsid w:val="24911511"/>
    <w:rsid w:val="24C624D4"/>
    <w:rsid w:val="24F9018D"/>
    <w:rsid w:val="250A6132"/>
    <w:rsid w:val="252E36C2"/>
    <w:rsid w:val="255B7FD2"/>
    <w:rsid w:val="257B496A"/>
    <w:rsid w:val="25801456"/>
    <w:rsid w:val="25B215E3"/>
    <w:rsid w:val="27264473"/>
    <w:rsid w:val="27A44A0A"/>
    <w:rsid w:val="281C391F"/>
    <w:rsid w:val="289C5C7B"/>
    <w:rsid w:val="28D027C1"/>
    <w:rsid w:val="28D906B5"/>
    <w:rsid w:val="28EB2AD5"/>
    <w:rsid w:val="29195F6C"/>
    <w:rsid w:val="292B376C"/>
    <w:rsid w:val="29506674"/>
    <w:rsid w:val="29724C94"/>
    <w:rsid w:val="29794BB6"/>
    <w:rsid w:val="29BE6110"/>
    <w:rsid w:val="2A8D6CCA"/>
    <w:rsid w:val="2A9E58A2"/>
    <w:rsid w:val="2AAF0549"/>
    <w:rsid w:val="2AAF4247"/>
    <w:rsid w:val="2AB35CCC"/>
    <w:rsid w:val="2B122C35"/>
    <w:rsid w:val="2B3910D2"/>
    <w:rsid w:val="2B470F10"/>
    <w:rsid w:val="2B586026"/>
    <w:rsid w:val="2B88197A"/>
    <w:rsid w:val="2BA8442D"/>
    <w:rsid w:val="2C244A8B"/>
    <w:rsid w:val="2CAC29D6"/>
    <w:rsid w:val="2CB04A86"/>
    <w:rsid w:val="2D4F1427"/>
    <w:rsid w:val="2D634337"/>
    <w:rsid w:val="2D8639BE"/>
    <w:rsid w:val="2D9124BA"/>
    <w:rsid w:val="2DAF13AE"/>
    <w:rsid w:val="2DB57E4B"/>
    <w:rsid w:val="2DB95E33"/>
    <w:rsid w:val="2DDA6624"/>
    <w:rsid w:val="2E0D0AEF"/>
    <w:rsid w:val="2EA22753"/>
    <w:rsid w:val="2EE97BBC"/>
    <w:rsid w:val="2F655F55"/>
    <w:rsid w:val="2FBF5CA8"/>
    <w:rsid w:val="2FE24FA7"/>
    <w:rsid w:val="30CC1770"/>
    <w:rsid w:val="30D435EB"/>
    <w:rsid w:val="31350C4C"/>
    <w:rsid w:val="31576C02"/>
    <w:rsid w:val="3182724D"/>
    <w:rsid w:val="319B00D5"/>
    <w:rsid w:val="321364C4"/>
    <w:rsid w:val="321F0552"/>
    <w:rsid w:val="326E688F"/>
    <w:rsid w:val="32E766E9"/>
    <w:rsid w:val="33800718"/>
    <w:rsid w:val="346F3BA7"/>
    <w:rsid w:val="34740116"/>
    <w:rsid w:val="349A34DB"/>
    <w:rsid w:val="34CC4B3B"/>
    <w:rsid w:val="34E70AD6"/>
    <w:rsid w:val="35301450"/>
    <w:rsid w:val="35367747"/>
    <w:rsid w:val="35745FB7"/>
    <w:rsid w:val="358A3883"/>
    <w:rsid w:val="35DF2B69"/>
    <w:rsid w:val="360665DE"/>
    <w:rsid w:val="362D444E"/>
    <w:rsid w:val="362E3E38"/>
    <w:rsid w:val="364D63A5"/>
    <w:rsid w:val="36613E2D"/>
    <w:rsid w:val="36BF2124"/>
    <w:rsid w:val="37254F27"/>
    <w:rsid w:val="377A4B26"/>
    <w:rsid w:val="377E3A62"/>
    <w:rsid w:val="3788196A"/>
    <w:rsid w:val="37D806B0"/>
    <w:rsid w:val="37DC6E40"/>
    <w:rsid w:val="37F720AC"/>
    <w:rsid w:val="382B20B3"/>
    <w:rsid w:val="38465EC0"/>
    <w:rsid w:val="38495459"/>
    <w:rsid w:val="387D3937"/>
    <w:rsid w:val="38817344"/>
    <w:rsid w:val="38B20083"/>
    <w:rsid w:val="38B7563D"/>
    <w:rsid w:val="38DB7D7B"/>
    <w:rsid w:val="38EE3475"/>
    <w:rsid w:val="390A3637"/>
    <w:rsid w:val="396665B7"/>
    <w:rsid w:val="39BB7346"/>
    <w:rsid w:val="3A1F0DF9"/>
    <w:rsid w:val="3ACB7183"/>
    <w:rsid w:val="3AE841F3"/>
    <w:rsid w:val="3B5B0FEB"/>
    <w:rsid w:val="3BB92E6A"/>
    <w:rsid w:val="3BDA7340"/>
    <w:rsid w:val="3C5B4A7D"/>
    <w:rsid w:val="3C6A38E9"/>
    <w:rsid w:val="3C7250F5"/>
    <w:rsid w:val="3C800A4A"/>
    <w:rsid w:val="3CC2331A"/>
    <w:rsid w:val="3CE202A8"/>
    <w:rsid w:val="3CF32897"/>
    <w:rsid w:val="3D0038A0"/>
    <w:rsid w:val="3D577B32"/>
    <w:rsid w:val="3DD55112"/>
    <w:rsid w:val="3DF84971"/>
    <w:rsid w:val="3E3948A1"/>
    <w:rsid w:val="3E4619B8"/>
    <w:rsid w:val="3E841CC2"/>
    <w:rsid w:val="3FA52AC5"/>
    <w:rsid w:val="3FB650C5"/>
    <w:rsid w:val="3FC020EA"/>
    <w:rsid w:val="4042792B"/>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2DE14CD"/>
    <w:rsid w:val="43246398"/>
    <w:rsid w:val="43661FA0"/>
    <w:rsid w:val="437C1F45"/>
    <w:rsid w:val="43B83004"/>
    <w:rsid w:val="443570D7"/>
    <w:rsid w:val="450B0DDE"/>
    <w:rsid w:val="451A2516"/>
    <w:rsid w:val="459B1F40"/>
    <w:rsid w:val="45A476A5"/>
    <w:rsid w:val="45C11FC0"/>
    <w:rsid w:val="45EF0817"/>
    <w:rsid w:val="45FD4563"/>
    <w:rsid w:val="460B5851"/>
    <w:rsid w:val="46D27A40"/>
    <w:rsid w:val="46E266F9"/>
    <w:rsid w:val="47082F5C"/>
    <w:rsid w:val="471F1551"/>
    <w:rsid w:val="47474688"/>
    <w:rsid w:val="475A3339"/>
    <w:rsid w:val="47882E21"/>
    <w:rsid w:val="48217765"/>
    <w:rsid w:val="49AD606D"/>
    <w:rsid w:val="49C35B92"/>
    <w:rsid w:val="49F57B95"/>
    <w:rsid w:val="49FE565F"/>
    <w:rsid w:val="4A1A65A2"/>
    <w:rsid w:val="4A702F34"/>
    <w:rsid w:val="4A706FB0"/>
    <w:rsid w:val="4A9B0728"/>
    <w:rsid w:val="4B281166"/>
    <w:rsid w:val="4B4D0F13"/>
    <w:rsid w:val="4BA96510"/>
    <w:rsid w:val="4BB212CB"/>
    <w:rsid w:val="4BDD4E1E"/>
    <w:rsid w:val="4C312059"/>
    <w:rsid w:val="4CE832B7"/>
    <w:rsid w:val="4D046F69"/>
    <w:rsid w:val="4D1122D4"/>
    <w:rsid w:val="4D37405A"/>
    <w:rsid w:val="4D663D60"/>
    <w:rsid w:val="4DB15995"/>
    <w:rsid w:val="4DC220FC"/>
    <w:rsid w:val="4DE52644"/>
    <w:rsid w:val="4E28352F"/>
    <w:rsid w:val="4E2C224E"/>
    <w:rsid w:val="4EA96124"/>
    <w:rsid w:val="4EB34D80"/>
    <w:rsid w:val="4EC004A5"/>
    <w:rsid w:val="4F2810A8"/>
    <w:rsid w:val="4F967237"/>
    <w:rsid w:val="5016446C"/>
    <w:rsid w:val="501A5098"/>
    <w:rsid w:val="505E3468"/>
    <w:rsid w:val="50AF5037"/>
    <w:rsid w:val="510A7E4A"/>
    <w:rsid w:val="51150640"/>
    <w:rsid w:val="512166AA"/>
    <w:rsid w:val="51676676"/>
    <w:rsid w:val="520F4294"/>
    <w:rsid w:val="52295F56"/>
    <w:rsid w:val="52CA52DE"/>
    <w:rsid w:val="53005373"/>
    <w:rsid w:val="53010E8A"/>
    <w:rsid w:val="53620EEA"/>
    <w:rsid w:val="539F0D5A"/>
    <w:rsid w:val="53EE23BF"/>
    <w:rsid w:val="54A85071"/>
    <w:rsid w:val="54B7270E"/>
    <w:rsid w:val="54BF4C96"/>
    <w:rsid w:val="553A5043"/>
    <w:rsid w:val="556C60B3"/>
    <w:rsid w:val="55EB4403"/>
    <w:rsid w:val="55F22EC4"/>
    <w:rsid w:val="5606068F"/>
    <w:rsid w:val="56347BFE"/>
    <w:rsid w:val="565C2946"/>
    <w:rsid w:val="56890A8D"/>
    <w:rsid w:val="57283E0B"/>
    <w:rsid w:val="576B5785"/>
    <w:rsid w:val="57EB51CE"/>
    <w:rsid w:val="582F7C9C"/>
    <w:rsid w:val="585C28AB"/>
    <w:rsid w:val="58B74EA2"/>
    <w:rsid w:val="58D53867"/>
    <w:rsid w:val="58DB7B6B"/>
    <w:rsid w:val="58E00368"/>
    <w:rsid w:val="58ED4F64"/>
    <w:rsid w:val="59210902"/>
    <w:rsid w:val="593B3F1E"/>
    <w:rsid w:val="593E44C7"/>
    <w:rsid w:val="59517F0B"/>
    <w:rsid w:val="59654336"/>
    <w:rsid w:val="5A317220"/>
    <w:rsid w:val="5AAD49D1"/>
    <w:rsid w:val="5AB865E5"/>
    <w:rsid w:val="5AC445F6"/>
    <w:rsid w:val="5AE453BD"/>
    <w:rsid w:val="5AF15E47"/>
    <w:rsid w:val="5AFA040B"/>
    <w:rsid w:val="5B1B5005"/>
    <w:rsid w:val="5B4535FC"/>
    <w:rsid w:val="5BAD170D"/>
    <w:rsid w:val="5BFF6ACC"/>
    <w:rsid w:val="5C0A6E8C"/>
    <w:rsid w:val="5C2D0A59"/>
    <w:rsid w:val="5C8E760E"/>
    <w:rsid w:val="5C91292C"/>
    <w:rsid w:val="5CBA0E18"/>
    <w:rsid w:val="5CFD7060"/>
    <w:rsid w:val="5D072428"/>
    <w:rsid w:val="5D187049"/>
    <w:rsid w:val="5D235F07"/>
    <w:rsid w:val="5D2E6FEF"/>
    <w:rsid w:val="5D444EF8"/>
    <w:rsid w:val="5DD14A36"/>
    <w:rsid w:val="5DFC702A"/>
    <w:rsid w:val="5E581E70"/>
    <w:rsid w:val="5E784311"/>
    <w:rsid w:val="5E8F1627"/>
    <w:rsid w:val="5F0D5B98"/>
    <w:rsid w:val="5F1D12CB"/>
    <w:rsid w:val="5F2B1033"/>
    <w:rsid w:val="5F2F20EF"/>
    <w:rsid w:val="5F4D3766"/>
    <w:rsid w:val="5F7D646E"/>
    <w:rsid w:val="5F821A41"/>
    <w:rsid w:val="5F824C39"/>
    <w:rsid w:val="5F9937E6"/>
    <w:rsid w:val="5FB05B4B"/>
    <w:rsid w:val="5FB9411A"/>
    <w:rsid w:val="5FEA7730"/>
    <w:rsid w:val="600D3631"/>
    <w:rsid w:val="60F6302D"/>
    <w:rsid w:val="61092F57"/>
    <w:rsid w:val="612B059A"/>
    <w:rsid w:val="614601E6"/>
    <w:rsid w:val="61B424C8"/>
    <w:rsid w:val="620D6B6D"/>
    <w:rsid w:val="629038C3"/>
    <w:rsid w:val="62D1432C"/>
    <w:rsid w:val="62D5531A"/>
    <w:rsid w:val="635E1A4C"/>
    <w:rsid w:val="63831726"/>
    <w:rsid w:val="63A67290"/>
    <w:rsid w:val="63E044E9"/>
    <w:rsid w:val="64176014"/>
    <w:rsid w:val="6522377E"/>
    <w:rsid w:val="65BD729A"/>
    <w:rsid w:val="662B5608"/>
    <w:rsid w:val="663F7D97"/>
    <w:rsid w:val="67874E83"/>
    <w:rsid w:val="679A7B08"/>
    <w:rsid w:val="679C6B4C"/>
    <w:rsid w:val="67C37F29"/>
    <w:rsid w:val="687F4C1D"/>
    <w:rsid w:val="68C2756A"/>
    <w:rsid w:val="68CB1738"/>
    <w:rsid w:val="690F0847"/>
    <w:rsid w:val="693D1B33"/>
    <w:rsid w:val="69896C65"/>
    <w:rsid w:val="6A3C4858"/>
    <w:rsid w:val="6A7241DA"/>
    <w:rsid w:val="6ABD7DF6"/>
    <w:rsid w:val="6ACB5C2B"/>
    <w:rsid w:val="6ACD1429"/>
    <w:rsid w:val="6B6C2B07"/>
    <w:rsid w:val="6BD20DA7"/>
    <w:rsid w:val="6C074AA3"/>
    <w:rsid w:val="6C6258FC"/>
    <w:rsid w:val="6C700D4E"/>
    <w:rsid w:val="6D0149A6"/>
    <w:rsid w:val="6D2032E6"/>
    <w:rsid w:val="6D871E5D"/>
    <w:rsid w:val="6DB7708E"/>
    <w:rsid w:val="6DF8337A"/>
    <w:rsid w:val="6E1C4E4E"/>
    <w:rsid w:val="6E3F5BBC"/>
    <w:rsid w:val="6E643C75"/>
    <w:rsid w:val="6E664226"/>
    <w:rsid w:val="6E9047F2"/>
    <w:rsid w:val="6EC07D65"/>
    <w:rsid w:val="6FC572DF"/>
    <w:rsid w:val="6FCE5BF7"/>
    <w:rsid w:val="6FEA6407"/>
    <w:rsid w:val="7084221D"/>
    <w:rsid w:val="70995ECF"/>
    <w:rsid w:val="70C31153"/>
    <w:rsid w:val="70E37F25"/>
    <w:rsid w:val="710E3FF5"/>
    <w:rsid w:val="71321D8A"/>
    <w:rsid w:val="715B4FAC"/>
    <w:rsid w:val="7161477F"/>
    <w:rsid w:val="71717CF1"/>
    <w:rsid w:val="719C7601"/>
    <w:rsid w:val="723513B9"/>
    <w:rsid w:val="72401A80"/>
    <w:rsid w:val="724463AD"/>
    <w:rsid w:val="72A4012B"/>
    <w:rsid w:val="72F17CFC"/>
    <w:rsid w:val="73173CE2"/>
    <w:rsid w:val="73627B42"/>
    <w:rsid w:val="73704370"/>
    <w:rsid w:val="73A365F5"/>
    <w:rsid w:val="73DC4D25"/>
    <w:rsid w:val="73DF2697"/>
    <w:rsid w:val="7431777C"/>
    <w:rsid w:val="744A3547"/>
    <w:rsid w:val="745436E9"/>
    <w:rsid w:val="758B61EE"/>
    <w:rsid w:val="75933184"/>
    <w:rsid w:val="75B4308D"/>
    <w:rsid w:val="75B855D2"/>
    <w:rsid w:val="75C379FA"/>
    <w:rsid w:val="75F36C4E"/>
    <w:rsid w:val="76110225"/>
    <w:rsid w:val="762F086F"/>
    <w:rsid w:val="765A05BC"/>
    <w:rsid w:val="76BD6FDB"/>
    <w:rsid w:val="76EF1C48"/>
    <w:rsid w:val="775E513F"/>
    <w:rsid w:val="778B45B5"/>
    <w:rsid w:val="77FF6F6D"/>
    <w:rsid w:val="781F2BD4"/>
    <w:rsid w:val="78B02889"/>
    <w:rsid w:val="78BD7DA6"/>
    <w:rsid w:val="79227A7B"/>
    <w:rsid w:val="79876F3B"/>
    <w:rsid w:val="79C771E2"/>
    <w:rsid w:val="79F30AC2"/>
    <w:rsid w:val="7A1A5A52"/>
    <w:rsid w:val="7A9A52A7"/>
    <w:rsid w:val="7ACF2BC4"/>
    <w:rsid w:val="7B3151F3"/>
    <w:rsid w:val="7B334F2B"/>
    <w:rsid w:val="7B5E4E76"/>
    <w:rsid w:val="7B673063"/>
    <w:rsid w:val="7B68690A"/>
    <w:rsid w:val="7BA060D4"/>
    <w:rsid w:val="7BB01186"/>
    <w:rsid w:val="7BEC38D9"/>
    <w:rsid w:val="7C2B0D47"/>
    <w:rsid w:val="7CEF6506"/>
    <w:rsid w:val="7CF66AAB"/>
    <w:rsid w:val="7CFA011A"/>
    <w:rsid w:val="7D330928"/>
    <w:rsid w:val="7D6D684D"/>
    <w:rsid w:val="7E11330D"/>
    <w:rsid w:val="7E207BF6"/>
    <w:rsid w:val="7E9E5C9C"/>
    <w:rsid w:val="7F0B7248"/>
    <w:rsid w:val="7F316713"/>
    <w:rsid w:val="7F695182"/>
    <w:rsid w:val="7FE83C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10">
    <w:name w:val="heading 3"/>
    <w:basedOn w:val="1"/>
    <w:next w:val="8"/>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11">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12">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13">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4">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5">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6">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left="0" w:leftChars="0" w:firstLine="0" w:firstLineChars="0"/>
    </w:pPr>
  </w:style>
  <w:style w:type="paragraph" w:styleId="6">
    <w:name w:val="Body Text Indent"/>
    <w:basedOn w:val="1"/>
    <w:next w:val="2"/>
    <w:link w:val="66"/>
    <w:qFormat/>
    <w:uiPriority w:val="99"/>
    <w:pPr>
      <w:ind w:firstLine="645"/>
    </w:pPr>
    <w:rPr>
      <w:kern w:val="0"/>
      <w:sz w:val="20"/>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62"/>
    <w:qFormat/>
    <w:uiPriority w:val="0"/>
    <w:pPr>
      <w:jc w:val="left"/>
    </w:pPr>
    <w:rPr>
      <w:kern w:val="0"/>
      <w:sz w:val="20"/>
      <w:szCs w:val="20"/>
    </w:rPr>
  </w:style>
  <w:style w:type="paragraph" w:styleId="21">
    <w:name w:val="Body Text 3"/>
    <w:basedOn w:val="1"/>
    <w:link w:val="64"/>
    <w:qFormat/>
    <w:uiPriority w:val="99"/>
    <w:pPr>
      <w:spacing w:after="120"/>
    </w:pPr>
    <w:rPr>
      <w:kern w:val="0"/>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8"/>
    <w:qFormat/>
    <w:uiPriority w:val="99"/>
    <w:pPr>
      <w:ind w:left="2500" w:leftChars="2500"/>
    </w:pPr>
    <w:rPr>
      <w:kern w:val="0"/>
      <w:sz w:val="20"/>
      <w:szCs w:val="20"/>
    </w:rPr>
  </w:style>
  <w:style w:type="paragraph" w:styleId="27">
    <w:name w:val="Body Text Indent 2"/>
    <w:basedOn w:val="1"/>
    <w:link w:val="69"/>
    <w:qFormat/>
    <w:uiPriority w:val="99"/>
    <w:pPr>
      <w:ind w:firstLine="630"/>
    </w:pPr>
    <w:rPr>
      <w:kern w:val="0"/>
      <w:sz w:val="20"/>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kern w:val="0"/>
      <w:sz w:val="0"/>
      <w:szCs w:val="0"/>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kern w:val="0"/>
      <w:sz w:val="18"/>
      <w:szCs w:val="18"/>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kern w:val="0"/>
      <w:sz w:val="16"/>
      <w:szCs w:val="16"/>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kern w:val="0"/>
      <w:sz w:val="20"/>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table" w:styleId="46">
    <w:name w:val="Table Grid"/>
    <w:basedOn w:val="45"/>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Char"/>
    <w:link w:val="7"/>
    <w:qFormat/>
    <w:uiPriority w:val="9"/>
    <w:rPr>
      <w:rFonts w:ascii="Calibri" w:hAnsi="Calibri"/>
      <w:b/>
      <w:bCs/>
      <w:kern w:val="44"/>
      <w:sz w:val="44"/>
      <w:szCs w:val="44"/>
    </w:rPr>
  </w:style>
  <w:style w:type="character" w:customStyle="1" w:styleId="54">
    <w:name w:val="标题 2 Char"/>
    <w:link w:val="9"/>
    <w:semiHidden/>
    <w:qFormat/>
    <w:uiPriority w:val="9"/>
    <w:rPr>
      <w:rFonts w:ascii="Cambria" w:hAnsi="Cambria" w:eastAsia="宋体" w:cs="Times New Roman"/>
      <w:b/>
      <w:bCs/>
      <w:sz w:val="32"/>
      <w:szCs w:val="32"/>
    </w:rPr>
  </w:style>
  <w:style w:type="character" w:customStyle="1" w:styleId="55">
    <w:name w:val="标题 3 Char"/>
    <w:link w:val="10"/>
    <w:semiHidden/>
    <w:qFormat/>
    <w:uiPriority w:val="9"/>
    <w:rPr>
      <w:rFonts w:ascii="Calibri" w:hAnsi="Calibri"/>
      <w:b/>
      <w:bCs/>
      <w:sz w:val="32"/>
      <w:szCs w:val="32"/>
    </w:rPr>
  </w:style>
  <w:style w:type="character" w:customStyle="1" w:styleId="56">
    <w:name w:val="标题 4 Char"/>
    <w:link w:val="11"/>
    <w:semiHidden/>
    <w:qFormat/>
    <w:uiPriority w:val="9"/>
    <w:rPr>
      <w:rFonts w:ascii="Cambria" w:hAnsi="Cambria" w:eastAsia="宋体" w:cs="Times New Roman"/>
      <w:b/>
      <w:bCs/>
      <w:sz w:val="28"/>
      <w:szCs w:val="28"/>
    </w:rPr>
  </w:style>
  <w:style w:type="character" w:customStyle="1" w:styleId="57">
    <w:name w:val="标题 5 Char"/>
    <w:link w:val="12"/>
    <w:semiHidden/>
    <w:qFormat/>
    <w:uiPriority w:val="9"/>
    <w:rPr>
      <w:rFonts w:ascii="Calibri" w:hAnsi="Calibri"/>
      <w:b/>
      <w:bCs/>
      <w:sz w:val="28"/>
      <w:szCs w:val="28"/>
    </w:rPr>
  </w:style>
  <w:style w:type="character" w:customStyle="1" w:styleId="58">
    <w:name w:val="标题 6 Char"/>
    <w:link w:val="13"/>
    <w:semiHidden/>
    <w:qFormat/>
    <w:uiPriority w:val="9"/>
    <w:rPr>
      <w:rFonts w:ascii="Cambria" w:hAnsi="Cambria" w:eastAsia="宋体" w:cs="Times New Roman"/>
      <w:b/>
      <w:bCs/>
      <w:sz w:val="24"/>
      <w:szCs w:val="24"/>
    </w:rPr>
  </w:style>
  <w:style w:type="character" w:customStyle="1" w:styleId="59">
    <w:name w:val="标题 7 Char"/>
    <w:link w:val="14"/>
    <w:semiHidden/>
    <w:qFormat/>
    <w:uiPriority w:val="9"/>
    <w:rPr>
      <w:rFonts w:ascii="Calibri" w:hAnsi="Calibri"/>
      <w:b/>
      <w:bCs/>
      <w:sz w:val="24"/>
      <w:szCs w:val="24"/>
    </w:rPr>
  </w:style>
  <w:style w:type="character" w:customStyle="1" w:styleId="60">
    <w:name w:val="标题 8 Char"/>
    <w:link w:val="15"/>
    <w:semiHidden/>
    <w:qFormat/>
    <w:uiPriority w:val="9"/>
    <w:rPr>
      <w:rFonts w:ascii="Cambria" w:hAnsi="Cambria" w:eastAsia="宋体" w:cs="Times New Roman"/>
      <w:sz w:val="24"/>
      <w:szCs w:val="24"/>
    </w:rPr>
  </w:style>
  <w:style w:type="character" w:customStyle="1" w:styleId="61">
    <w:name w:val="标题 9 Char"/>
    <w:link w:val="16"/>
    <w:semiHidden/>
    <w:qFormat/>
    <w:uiPriority w:val="9"/>
    <w:rPr>
      <w:rFonts w:ascii="Cambria" w:hAnsi="Cambria" w:eastAsia="宋体" w:cs="Times New Roman"/>
      <w:szCs w:val="21"/>
    </w:rPr>
  </w:style>
  <w:style w:type="character" w:customStyle="1" w:styleId="62">
    <w:name w:val="批注文字 Char"/>
    <w:link w:val="20"/>
    <w:qFormat/>
    <w:uiPriority w:val="0"/>
    <w:rPr>
      <w:rFonts w:ascii="Calibri" w:hAnsi="Calibri"/>
    </w:rPr>
  </w:style>
  <w:style w:type="character" w:customStyle="1" w:styleId="63">
    <w:name w:val="批注主题 Char"/>
    <w:link w:val="44"/>
    <w:semiHidden/>
    <w:qFormat/>
    <w:uiPriority w:val="99"/>
    <w:rPr>
      <w:rFonts w:ascii="Calibri" w:hAnsi="Calibri"/>
      <w:b/>
      <w:bCs/>
    </w:rPr>
  </w:style>
  <w:style w:type="character" w:customStyle="1" w:styleId="64">
    <w:name w:val="正文文本 3 Char"/>
    <w:link w:val="21"/>
    <w:semiHidden/>
    <w:qFormat/>
    <w:uiPriority w:val="99"/>
    <w:rPr>
      <w:rFonts w:ascii="Calibri" w:hAnsi="Calibri"/>
      <w:sz w:val="16"/>
      <w:szCs w:val="16"/>
    </w:rPr>
  </w:style>
  <w:style w:type="character" w:customStyle="1" w:styleId="65">
    <w:name w:val="正文文本 Char"/>
    <w:link w:val="2"/>
    <w:semiHidden/>
    <w:qFormat/>
    <w:uiPriority w:val="99"/>
    <w:rPr>
      <w:rFonts w:ascii="Calibri" w:hAnsi="Calibri"/>
    </w:rPr>
  </w:style>
  <w:style w:type="character" w:customStyle="1" w:styleId="66">
    <w:name w:val="正文文本缩进 Char"/>
    <w:link w:val="6"/>
    <w:semiHidden/>
    <w:qFormat/>
    <w:uiPriority w:val="99"/>
    <w:rPr>
      <w:rFonts w:ascii="Calibri" w:hAnsi="Calibri"/>
    </w:rPr>
  </w:style>
  <w:style w:type="character" w:customStyle="1" w:styleId="67">
    <w:name w:val="纯文本 Char"/>
    <w:link w:val="25"/>
    <w:semiHidden/>
    <w:qFormat/>
    <w:uiPriority w:val="99"/>
    <w:rPr>
      <w:rFonts w:ascii="宋体" w:hAnsi="Courier New" w:cs="Courier New"/>
      <w:szCs w:val="21"/>
    </w:rPr>
  </w:style>
  <w:style w:type="character" w:customStyle="1" w:styleId="68">
    <w:name w:val="日期 Char"/>
    <w:link w:val="26"/>
    <w:semiHidden/>
    <w:qFormat/>
    <w:uiPriority w:val="99"/>
    <w:rPr>
      <w:rFonts w:ascii="Calibri" w:hAnsi="Calibri"/>
    </w:rPr>
  </w:style>
  <w:style w:type="character" w:customStyle="1" w:styleId="69">
    <w:name w:val="正文文本缩进 2 Char"/>
    <w:link w:val="27"/>
    <w:semiHidden/>
    <w:qFormat/>
    <w:uiPriority w:val="99"/>
    <w:rPr>
      <w:rFonts w:ascii="Calibri" w:hAnsi="Calibri"/>
    </w:rPr>
  </w:style>
  <w:style w:type="character" w:customStyle="1" w:styleId="70">
    <w:name w:val="批注框文本 Char"/>
    <w:link w:val="29"/>
    <w:semiHidden/>
    <w:qFormat/>
    <w:uiPriority w:val="99"/>
    <w:rPr>
      <w:rFonts w:ascii="Calibri" w:hAnsi="Calibri"/>
      <w:sz w:val="0"/>
      <w:szCs w:val="0"/>
    </w:rPr>
  </w:style>
  <w:style w:type="character" w:customStyle="1" w:styleId="71">
    <w:name w:val="页脚 Char1"/>
    <w:link w:val="30"/>
    <w:qFormat/>
    <w:uiPriority w:val="99"/>
    <w:rPr>
      <w:rFonts w:ascii="Calibri" w:hAnsi="Calibri"/>
      <w:sz w:val="18"/>
      <w:szCs w:val="18"/>
    </w:rPr>
  </w:style>
  <w:style w:type="character" w:customStyle="1" w:styleId="72">
    <w:name w:val="页眉 Char1"/>
    <w:link w:val="31"/>
    <w:semiHidden/>
    <w:qFormat/>
    <w:uiPriority w:val="99"/>
    <w:rPr>
      <w:rFonts w:ascii="Calibri" w:hAnsi="Calibri"/>
      <w:sz w:val="18"/>
      <w:szCs w:val="18"/>
    </w:rPr>
  </w:style>
  <w:style w:type="character" w:customStyle="1" w:styleId="73">
    <w:name w:val="脚注文本 Char"/>
    <w:link w:val="35"/>
    <w:semiHidden/>
    <w:qFormat/>
    <w:uiPriority w:val="99"/>
    <w:rPr>
      <w:rFonts w:ascii="Calibri" w:hAnsi="Calibri"/>
      <w:sz w:val="18"/>
      <w:szCs w:val="18"/>
    </w:rPr>
  </w:style>
  <w:style w:type="character" w:customStyle="1" w:styleId="74">
    <w:name w:val="正文文本缩进 3 Char"/>
    <w:link w:val="37"/>
    <w:semiHidden/>
    <w:qFormat/>
    <w:uiPriority w:val="99"/>
    <w:rPr>
      <w:rFonts w:ascii="Calibri" w:hAnsi="Calibri"/>
      <w:sz w:val="16"/>
      <w:szCs w:val="16"/>
    </w:rPr>
  </w:style>
  <w:style w:type="character" w:customStyle="1" w:styleId="75">
    <w:name w:val="正文文本 2 Char"/>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styleId="94">
    <w:name w:val="List Paragraph"/>
    <w:basedOn w:val="1"/>
    <w:qFormat/>
    <w:uiPriority w:val="34"/>
    <w:pPr>
      <w:widowControl/>
      <w:spacing w:after="160" w:line="259" w:lineRule="auto"/>
      <w:ind w:left="720"/>
      <w:contextualSpacing/>
      <w:jc w:val="left"/>
    </w:pPr>
    <w:rPr>
      <w:rFonts w:ascii="Calibri" w:hAnsi="Calibri" w:eastAsia="宋体" w:cs="Times New Roman"/>
      <w:kern w:val="0"/>
      <w:sz w:val="22"/>
      <w:szCs w:val="22"/>
      <w:lang w:bidi="he-IL"/>
    </w:rPr>
  </w:style>
  <w:style w:type="character" w:customStyle="1" w:styleId="95">
    <w:name w:val="font21"/>
    <w:basedOn w:val="47"/>
    <w:qFormat/>
    <w:uiPriority w:val="0"/>
    <w:rPr>
      <w:rFonts w:hint="eastAsia" w:ascii="宋体" w:hAnsi="宋体" w:eastAsia="宋体" w:cs="宋体"/>
      <w:b/>
      <w:color w:val="000000"/>
      <w:sz w:val="32"/>
      <w:szCs w:val="32"/>
      <w:u w:val="single"/>
    </w:rPr>
  </w:style>
  <w:style w:type="character" w:customStyle="1" w:styleId="96">
    <w:name w:val="font61"/>
    <w:basedOn w:val="47"/>
    <w:qFormat/>
    <w:uiPriority w:val="0"/>
    <w:rPr>
      <w:rFonts w:hint="eastAsia" w:ascii="宋体" w:hAnsi="宋体" w:eastAsia="宋体" w:cs="宋体"/>
      <w:b/>
      <w:color w:val="000000"/>
      <w:sz w:val="32"/>
      <w:szCs w:val="32"/>
      <w:u w:val="none"/>
    </w:rPr>
  </w:style>
  <w:style w:type="character" w:customStyle="1" w:styleId="97">
    <w:name w:val="font41"/>
    <w:basedOn w:val="47"/>
    <w:qFormat/>
    <w:uiPriority w:val="0"/>
    <w:rPr>
      <w:rFonts w:hint="eastAsia" w:ascii="宋体" w:hAnsi="宋体" w:eastAsia="宋体" w:cs="宋体"/>
      <w:color w:val="000000"/>
      <w:sz w:val="22"/>
      <w:szCs w:val="22"/>
      <w:u w:val="single"/>
    </w:rPr>
  </w:style>
  <w:style w:type="character" w:customStyle="1" w:styleId="98">
    <w:name w:val="font11"/>
    <w:basedOn w:val="47"/>
    <w:qFormat/>
    <w:uiPriority w:val="0"/>
    <w:rPr>
      <w:rFonts w:hint="eastAsia" w:ascii="宋体" w:hAnsi="宋体" w:eastAsia="宋体" w:cs="宋体"/>
      <w:color w:val="000000"/>
      <w:sz w:val="22"/>
      <w:szCs w:val="22"/>
      <w:u w:val="none"/>
    </w:rPr>
  </w:style>
  <w:style w:type="character" w:customStyle="1" w:styleId="99">
    <w:name w:val="font81"/>
    <w:basedOn w:val="47"/>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6F935-EF41-42AC-8EFD-967CCC5B67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11272</Words>
  <Characters>14198</Characters>
  <Lines>177</Lines>
  <Paragraphs>49</Paragraphs>
  <TotalTime>4</TotalTime>
  <ScaleCrop>false</ScaleCrop>
  <LinksUpToDate>false</LinksUpToDate>
  <CharactersWithSpaces>14835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DD</cp:lastModifiedBy>
  <cp:lastPrinted>2021-01-07T02:52:00Z</cp:lastPrinted>
  <dcterms:modified xsi:type="dcterms:W3CDTF">2021-01-09T07:55:14Z</dcterms:modified>
  <dc:title>洛</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