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135" w:firstLineChars="245"/>
        <w:rPr>
          <w:rFonts w:ascii="宋体" w:hAnsi="宋体"/>
          <w:b/>
          <w:bCs/>
          <w:color w:val="auto"/>
          <w:sz w:val="48"/>
          <w:szCs w:val="28"/>
          <w:highlight w:val="none"/>
        </w:rPr>
      </w:pPr>
    </w:p>
    <w:p>
      <w:pPr>
        <w:spacing w:line="580" w:lineRule="exact"/>
        <w:ind w:firstLine="1135" w:firstLineChars="245"/>
        <w:rPr>
          <w:rFonts w:ascii="宋体" w:hAnsi="宋体"/>
          <w:b/>
          <w:bCs/>
          <w:color w:val="auto"/>
          <w:sz w:val="48"/>
          <w:szCs w:val="28"/>
          <w:highlight w:val="none"/>
        </w:rPr>
      </w:pPr>
    </w:p>
    <w:p>
      <w:pPr>
        <w:spacing w:line="580" w:lineRule="exact"/>
        <w:rPr>
          <w:rFonts w:ascii="宋体" w:hAnsi="宋体" w:cs="宋体"/>
          <w:b/>
          <w:color w:val="auto"/>
          <w:sz w:val="52"/>
          <w:szCs w:val="52"/>
          <w:highlight w:val="none"/>
        </w:rPr>
      </w:pPr>
      <w:r>
        <w:rPr>
          <w:rFonts w:hint="eastAsia" w:ascii="宋体" w:hAnsi="宋体"/>
          <w:b/>
          <w:bCs/>
          <w:color w:val="auto"/>
          <w:sz w:val="48"/>
          <w:szCs w:val="28"/>
          <w:highlight w:val="none"/>
        </w:rPr>
        <w:t xml:space="preserve">   </w:t>
      </w:r>
    </w:p>
    <w:p>
      <w:pPr>
        <w:spacing w:line="360" w:lineRule="auto"/>
        <w:ind w:firstLine="503" w:firstLineChars="100"/>
        <w:rPr>
          <w:rFonts w:ascii="宋体" w:hAnsi="宋体" w:cs="宋体"/>
          <w:b/>
          <w:color w:val="auto"/>
          <w:sz w:val="52"/>
          <w:szCs w:val="52"/>
          <w:highlight w:val="none"/>
        </w:rPr>
      </w:pPr>
      <w:r>
        <w:rPr>
          <w:rFonts w:hint="eastAsia" w:ascii="宋体" w:hAnsi="宋体" w:cs="宋体"/>
          <w:b/>
          <w:color w:val="auto"/>
          <w:sz w:val="52"/>
          <w:szCs w:val="52"/>
          <w:highlight w:val="none"/>
        </w:rPr>
        <w:t>开元壹号6</w:t>
      </w:r>
      <w:r>
        <w:rPr>
          <w:rFonts w:hint="eastAsia" w:ascii="宋体" w:hAnsi="宋体" w:cs="宋体"/>
          <w:b/>
          <w:color w:val="auto"/>
          <w:sz w:val="52"/>
          <w:szCs w:val="52"/>
          <w:highlight w:val="none"/>
          <w:lang w:val="en-US" w:eastAsia="zh-CN"/>
        </w:rPr>
        <w:t>0</w:t>
      </w:r>
      <w:r>
        <w:rPr>
          <w:rFonts w:hint="eastAsia" w:ascii="宋体" w:hAnsi="宋体" w:cs="宋体"/>
          <w:b/>
          <w:color w:val="auto"/>
          <w:sz w:val="52"/>
          <w:szCs w:val="52"/>
          <w:highlight w:val="none"/>
        </w:rPr>
        <w:t>地块</w:t>
      </w:r>
      <w:r>
        <w:rPr>
          <w:rFonts w:hint="eastAsia" w:ascii="宋体" w:hAnsi="宋体" w:cs="宋体"/>
          <w:b/>
          <w:color w:val="auto"/>
          <w:sz w:val="52"/>
          <w:szCs w:val="52"/>
          <w:highlight w:val="none"/>
          <w:lang w:eastAsia="zh-CN"/>
        </w:rPr>
        <w:t>公寓</w:t>
      </w:r>
      <w:r>
        <w:rPr>
          <w:rFonts w:hint="eastAsia" w:ascii="宋体" w:hAnsi="宋体" w:cs="宋体"/>
          <w:b/>
          <w:color w:val="auto"/>
          <w:sz w:val="52"/>
          <w:szCs w:val="52"/>
          <w:highlight w:val="none"/>
        </w:rPr>
        <w:t>楼开关插座面板</w:t>
      </w:r>
    </w:p>
    <w:p>
      <w:pPr>
        <w:spacing w:line="360" w:lineRule="auto"/>
        <w:rPr>
          <w:rFonts w:ascii="宋体" w:hAnsi="宋体" w:cs="宋体"/>
          <w:b/>
          <w:color w:val="auto"/>
          <w:sz w:val="52"/>
          <w:szCs w:val="52"/>
          <w:highlight w:val="none"/>
        </w:rPr>
      </w:pPr>
      <w:r>
        <w:rPr>
          <w:rFonts w:hint="eastAsia" w:ascii="宋体" w:hAnsi="宋体" w:cs="宋体"/>
          <w:b/>
          <w:color w:val="auto"/>
          <w:sz w:val="52"/>
          <w:szCs w:val="52"/>
          <w:highlight w:val="none"/>
        </w:rPr>
        <w:t xml:space="preserve">      </w:t>
      </w:r>
    </w:p>
    <w:p>
      <w:pPr>
        <w:spacing w:line="360" w:lineRule="auto"/>
        <w:rPr>
          <w:rFonts w:ascii="宋体" w:hAnsi="宋体" w:cs="宋体"/>
          <w:b/>
          <w:color w:val="auto"/>
          <w:sz w:val="52"/>
          <w:szCs w:val="52"/>
          <w:highlight w:val="none"/>
        </w:rPr>
      </w:pPr>
      <w:r>
        <w:rPr>
          <w:rFonts w:hint="eastAsia" w:ascii="宋体" w:hAnsi="宋体" w:cs="宋体"/>
          <w:b/>
          <w:color w:val="auto"/>
          <w:sz w:val="52"/>
          <w:szCs w:val="52"/>
          <w:highlight w:val="none"/>
        </w:rPr>
        <w:t xml:space="preserve">               供货合同</w:t>
      </w:r>
    </w:p>
    <w:p>
      <w:pPr>
        <w:spacing w:line="360" w:lineRule="auto"/>
        <w:jc w:val="center"/>
        <w:rPr>
          <w:rFonts w:ascii="宋体" w:hAnsi="宋体" w:cs="宋体"/>
          <w:b/>
          <w:color w:val="auto"/>
          <w:sz w:val="52"/>
          <w:szCs w:val="5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 xml:space="preserve">            成本代码：3.2.1.2</w:t>
      </w:r>
    </w:p>
    <w:p>
      <w:pPr>
        <w:rPr>
          <w:rFonts w:ascii="宋体" w:hAnsi="宋体" w:cs="宋体"/>
          <w:b/>
          <w:color w:val="auto"/>
          <w:sz w:val="32"/>
          <w:szCs w:val="32"/>
          <w:highlight w:val="none"/>
        </w:rPr>
      </w:pPr>
      <w:r>
        <w:rPr>
          <w:rFonts w:hint="eastAsia" w:ascii="宋体" w:hAnsi="宋体" w:cs="宋体"/>
          <w:b/>
          <w:color w:val="auto"/>
          <w:sz w:val="32"/>
          <w:szCs w:val="32"/>
          <w:highlight w:val="none"/>
        </w:rPr>
        <w:t xml:space="preserve">            合同编号：KYYH.60B-JA-060</w:t>
      </w:r>
    </w:p>
    <w:p>
      <w:pPr>
        <w:ind w:firstLine="909" w:firstLineChars="300"/>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pPr>
        <w:ind w:firstLine="1818" w:firstLineChars="600"/>
        <w:rPr>
          <w:rFonts w:ascii="宋体" w:hAnsi="宋体" w:cs="宋体"/>
          <w:b/>
          <w:color w:val="auto"/>
          <w:sz w:val="32"/>
          <w:szCs w:val="32"/>
          <w:highlight w:val="none"/>
        </w:rPr>
      </w:pPr>
    </w:p>
    <w:p>
      <w:pPr>
        <w:ind w:firstLine="1818" w:firstLineChars="600"/>
        <w:rPr>
          <w:rFonts w:ascii="宋体" w:hAnsi="宋体" w:cs="宋体"/>
          <w:b/>
          <w:color w:val="auto"/>
          <w:sz w:val="32"/>
          <w:szCs w:val="32"/>
          <w:highlight w:val="none"/>
        </w:rPr>
      </w:pPr>
    </w:p>
    <w:p>
      <w:pPr>
        <w:ind w:firstLine="1818" w:firstLineChars="600"/>
        <w:rPr>
          <w:rFonts w:ascii="宋体" w:hAnsi="宋体" w:cs="宋体"/>
          <w:b/>
          <w:color w:val="auto"/>
          <w:sz w:val="32"/>
          <w:szCs w:val="32"/>
          <w:highlight w:val="none"/>
        </w:rPr>
      </w:pPr>
      <w:r>
        <w:rPr>
          <w:rFonts w:hint="eastAsia" w:ascii="宋体" w:hAnsi="宋体" w:cs="宋体"/>
          <w:b/>
          <w:color w:val="auto"/>
          <w:sz w:val="32"/>
          <w:szCs w:val="32"/>
          <w:highlight w:val="none"/>
        </w:rPr>
        <w:t xml:space="preserve">甲    方: 洛阳浩德鑫置地有限公司           </w:t>
      </w:r>
    </w:p>
    <w:p>
      <w:pPr>
        <w:ind w:firstLine="909" w:firstLineChars="300"/>
        <w:rPr>
          <w:rFonts w:ascii="宋体" w:hAnsi="宋体" w:cs="宋体"/>
          <w:b/>
          <w:color w:val="auto"/>
          <w:sz w:val="32"/>
          <w:szCs w:val="32"/>
          <w:highlight w:val="none"/>
        </w:rPr>
      </w:pPr>
      <w:r>
        <w:rPr>
          <w:rFonts w:hint="eastAsia" w:ascii="宋体" w:hAnsi="宋体" w:cs="宋体"/>
          <w:b/>
          <w:color w:val="auto"/>
          <w:sz w:val="32"/>
          <w:szCs w:val="32"/>
          <w:highlight w:val="none"/>
        </w:rPr>
        <w:t xml:space="preserve">      乙    方:</w:t>
      </w:r>
      <w:r>
        <w:rPr>
          <w:rFonts w:hint="eastAsia" w:ascii="宋体" w:hAnsi="宋体" w:cs="宋体"/>
          <w:b/>
          <w:color w:val="auto"/>
          <w:sz w:val="32"/>
          <w:szCs w:val="32"/>
          <w:highlight w:val="none"/>
          <w:lang w:val="en-US" w:eastAsia="zh-CN"/>
        </w:rPr>
        <w:t xml:space="preserve">  河南静殊科技有限公司 </w:t>
      </w:r>
      <w:r>
        <w:rPr>
          <w:rFonts w:hint="eastAsia" w:ascii="宋体" w:hAnsi="宋体" w:cs="宋体"/>
          <w:b/>
          <w:color w:val="auto"/>
          <w:sz w:val="32"/>
          <w:szCs w:val="32"/>
          <w:highlight w:val="none"/>
        </w:rPr>
        <w:t xml:space="preserve">    </w:t>
      </w:r>
    </w:p>
    <w:p>
      <w:pPr>
        <w:ind w:firstLine="1818" w:firstLineChars="600"/>
        <w:rPr>
          <w:rFonts w:ascii="宋体" w:hAnsi="宋体" w:cs="宋体"/>
          <w:b/>
          <w:color w:val="auto"/>
          <w:sz w:val="32"/>
          <w:szCs w:val="32"/>
          <w:highlight w:val="none"/>
        </w:rPr>
      </w:pPr>
      <w:r>
        <w:rPr>
          <w:rFonts w:hint="eastAsia" w:ascii="宋体" w:hAnsi="宋体" w:cs="宋体"/>
          <w:b/>
          <w:color w:val="auto"/>
          <w:sz w:val="32"/>
          <w:szCs w:val="32"/>
          <w:highlight w:val="none"/>
        </w:rPr>
        <w:t>签订日期: 20</w:t>
      </w:r>
      <w:r>
        <w:rPr>
          <w:rFonts w:hint="eastAsia" w:ascii="宋体" w:hAnsi="宋体" w:cs="宋体"/>
          <w:b/>
          <w:color w:val="auto"/>
          <w:sz w:val="32"/>
          <w:szCs w:val="32"/>
          <w:highlight w:val="none"/>
          <w:lang w:val="en-US" w:eastAsia="zh-CN"/>
        </w:rPr>
        <w:t>20</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12</w:t>
      </w:r>
      <w:r>
        <w:rPr>
          <w:rFonts w:hint="eastAsia" w:ascii="宋体" w:hAnsi="宋体" w:cs="宋体"/>
          <w:b/>
          <w:color w:val="auto"/>
          <w:sz w:val="32"/>
          <w:szCs w:val="32"/>
          <w:highlight w:val="none"/>
        </w:rPr>
        <w:t>月</w:t>
      </w:r>
    </w:p>
    <w:p>
      <w:pPr>
        <w:ind w:firstLine="909" w:firstLineChars="300"/>
        <w:rPr>
          <w:rFonts w:ascii="宋体" w:hAnsi="宋体" w:cs="宋体"/>
          <w:b/>
          <w:color w:val="auto"/>
          <w:sz w:val="32"/>
          <w:szCs w:val="32"/>
          <w:highlight w:val="none"/>
        </w:rPr>
        <w:sectPr>
          <w:headerReference r:id="rId3" w:type="default"/>
          <w:footerReference r:id="rId4" w:type="eve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312" w:charSpace="-3486"/>
        </w:sectPr>
      </w:pPr>
    </w:p>
    <w:p>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开元壹号6</w:t>
      </w:r>
      <w:r>
        <w:rPr>
          <w:rFonts w:hint="eastAsia" w:ascii="宋体" w:hAnsi="宋体" w:cs="宋体"/>
          <w:b/>
          <w:color w:val="auto"/>
          <w:sz w:val="36"/>
          <w:szCs w:val="36"/>
          <w:highlight w:val="none"/>
          <w:lang w:val="en-US" w:eastAsia="zh-CN"/>
        </w:rPr>
        <w:t>0</w:t>
      </w:r>
      <w:r>
        <w:rPr>
          <w:rFonts w:hint="eastAsia" w:ascii="宋体" w:hAnsi="宋体" w:cs="宋体"/>
          <w:b/>
          <w:color w:val="auto"/>
          <w:sz w:val="36"/>
          <w:szCs w:val="36"/>
          <w:highlight w:val="none"/>
        </w:rPr>
        <w:t>地块</w:t>
      </w:r>
      <w:r>
        <w:rPr>
          <w:rFonts w:hint="eastAsia" w:ascii="宋体" w:hAnsi="宋体" w:cs="宋体"/>
          <w:b/>
          <w:color w:val="auto"/>
          <w:sz w:val="36"/>
          <w:szCs w:val="36"/>
          <w:highlight w:val="none"/>
          <w:lang w:eastAsia="zh-CN"/>
        </w:rPr>
        <w:t>公寓</w:t>
      </w:r>
      <w:r>
        <w:rPr>
          <w:rFonts w:hint="eastAsia" w:ascii="宋体" w:hAnsi="宋体" w:cs="宋体"/>
          <w:b/>
          <w:color w:val="auto"/>
          <w:sz w:val="36"/>
          <w:szCs w:val="36"/>
          <w:highlight w:val="none"/>
        </w:rPr>
        <w:t>楼开关插座面板供货合同</w:t>
      </w:r>
    </w:p>
    <w:p>
      <w:pPr>
        <w:spacing w:line="360" w:lineRule="auto"/>
        <w:rPr>
          <w:rFonts w:ascii="宋体" w:hAnsi="宋体" w:cs="宋体"/>
          <w:color w:val="auto"/>
          <w:sz w:val="24"/>
          <w:highlight w:val="none"/>
        </w:rPr>
      </w:pPr>
    </w:p>
    <w:p>
      <w:pPr>
        <w:spacing w:line="360" w:lineRule="auto"/>
        <w:rPr>
          <w:rFonts w:ascii="宋体" w:hAnsi="宋体" w:cs="宋体"/>
          <w:b/>
          <w:color w:val="auto"/>
          <w:sz w:val="32"/>
          <w:szCs w:val="32"/>
          <w:highlight w:val="none"/>
        </w:rPr>
      </w:pPr>
      <w:r>
        <w:rPr>
          <w:rFonts w:hint="eastAsia" w:ascii="宋体" w:hAnsi="宋体" w:cs="宋体"/>
          <w:color w:val="auto"/>
          <w:sz w:val="24"/>
          <w:highlight w:val="none"/>
        </w:rPr>
        <w:t>甲方（需方）：洛阳浩德鑫置地有限公司</w:t>
      </w:r>
      <w:r>
        <w:rPr>
          <w:rFonts w:hint="eastAsia" w:ascii="宋体" w:hAnsi="宋体" w:cs="宋体"/>
          <w:color w:val="auto"/>
          <w:sz w:val="24"/>
          <w:highlight w:val="none"/>
        </w:rPr>
        <w:br w:type="textWrapping"/>
      </w:r>
      <w:r>
        <w:rPr>
          <w:rFonts w:hint="eastAsia" w:ascii="宋体" w:hAnsi="宋体" w:cs="宋体"/>
          <w:color w:val="auto"/>
          <w:sz w:val="24"/>
          <w:highlight w:val="none"/>
        </w:rPr>
        <w:t>乙方（供方）：</w:t>
      </w:r>
      <w:r>
        <w:rPr>
          <w:rFonts w:hint="eastAsia" w:ascii="宋体" w:hAnsi="宋体" w:cs="宋体"/>
          <w:color w:val="auto"/>
          <w:sz w:val="24"/>
          <w:szCs w:val="22"/>
          <w:highlight w:val="none"/>
          <w:lang w:val="en-US" w:eastAsia="zh-CN"/>
        </w:rPr>
        <w:t xml:space="preserve"> 河南静殊科技有限公司 </w:t>
      </w:r>
    </w:p>
    <w:p>
      <w:pPr>
        <w:spacing w:line="360" w:lineRule="auto"/>
        <w:rPr>
          <w:rFonts w:ascii="宋体" w:hAnsi="宋体" w:cs="宋体"/>
          <w:color w:val="auto"/>
          <w:sz w:val="24"/>
          <w:highlight w:val="none"/>
        </w:rPr>
      </w:pPr>
      <w:r>
        <w:rPr>
          <w:rFonts w:hint="eastAsia" w:ascii="宋体" w:hAnsi="宋体" w:cs="宋体"/>
          <w:color w:val="auto"/>
          <w:sz w:val="24"/>
          <w:highlight w:val="none"/>
        </w:rPr>
        <w:t>甲乙双方本着平等互利、协商一致的原则签订本合同，以资双方信守执行。</w:t>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一、材料名称、规格、品牌、数量、金额</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双方协定甲方向乙方订购以下商品</w:t>
      </w:r>
    </w:p>
    <w:tbl>
      <w:tblPr>
        <w:tblStyle w:val="16"/>
        <w:tblW w:w="5000" w:type="pct"/>
        <w:tblInd w:w="0" w:type="dxa"/>
        <w:shd w:val="clear" w:color="auto" w:fill="auto"/>
        <w:tblLayout w:type="fixed"/>
        <w:tblCellMar>
          <w:top w:w="0" w:type="dxa"/>
          <w:left w:w="0" w:type="dxa"/>
          <w:bottom w:w="0" w:type="dxa"/>
          <w:right w:w="0" w:type="dxa"/>
        </w:tblCellMar>
      </w:tblPr>
      <w:tblGrid>
        <w:gridCol w:w="395"/>
        <w:gridCol w:w="2001"/>
        <w:gridCol w:w="2057"/>
        <w:gridCol w:w="810"/>
        <w:gridCol w:w="720"/>
        <w:gridCol w:w="930"/>
        <w:gridCol w:w="870"/>
        <w:gridCol w:w="1273"/>
      </w:tblGrid>
      <w:tr>
        <w:tblPrEx>
          <w:shd w:val="clear" w:color="auto" w:fill="auto"/>
          <w:tblCellMar>
            <w:top w:w="0" w:type="dxa"/>
            <w:left w:w="0" w:type="dxa"/>
            <w:bottom w:w="0" w:type="dxa"/>
            <w:right w:w="0" w:type="dxa"/>
          </w:tblCellMar>
        </w:tblPrEx>
        <w:trPr>
          <w:trHeight w:val="438" w:hRule="atLeast"/>
        </w:trPr>
        <w:tc>
          <w:tcPr>
            <w:tcW w:w="5000" w:type="pct"/>
            <w:gridSpan w:val="8"/>
            <w:tcBorders>
              <w:top w:val="single" w:color="000000" w:sz="8"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60#公寓楼开关插座材料供货清单</w:t>
            </w:r>
          </w:p>
        </w:tc>
      </w:tr>
      <w:tr>
        <w:tblPrEx>
          <w:tblCellMar>
            <w:top w:w="0" w:type="dxa"/>
            <w:left w:w="0" w:type="dxa"/>
            <w:bottom w:w="0" w:type="dxa"/>
            <w:right w:w="0" w:type="dxa"/>
          </w:tblCellMar>
        </w:tblPrEx>
        <w:trPr>
          <w:trHeight w:val="442"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规格类别</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品牌</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合价</w:t>
            </w:r>
          </w:p>
        </w:tc>
      </w:tr>
      <w:tr>
        <w:tblPrEx>
          <w:tblCellMar>
            <w:top w:w="0" w:type="dxa"/>
            <w:left w:w="0" w:type="dxa"/>
            <w:bottom w:w="0" w:type="dxa"/>
            <w:right w:w="0" w:type="dxa"/>
          </w:tblCellMar>
        </w:tblPrEx>
        <w:trPr>
          <w:trHeight w:val="455"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4113.7</w:t>
            </w:r>
          </w:p>
        </w:tc>
      </w:tr>
      <w:tr>
        <w:tblPrEx>
          <w:tblCellMar>
            <w:top w:w="0" w:type="dxa"/>
            <w:left w:w="0" w:type="dxa"/>
            <w:bottom w:w="0" w:type="dxa"/>
            <w:right w:w="0" w:type="dxa"/>
          </w:tblCellMar>
        </w:tblPrEx>
        <w:trPr>
          <w:trHeight w:val="564"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MZ862K1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5485.9</w:t>
            </w:r>
          </w:p>
        </w:tc>
      </w:tr>
      <w:tr>
        <w:tblPrEx>
          <w:tblCellMar>
            <w:top w:w="0" w:type="dxa"/>
            <w:left w:w="0" w:type="dxa"/>
            <w:bottom w:w="0" w:type="dxa"/>
            <w:right w:w="0" w:type="dxa"/>
          </w:tblCellMar>
        </w:tblPrEx>
        <w:trPr>
          <w:trHeight w:val="425"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MZ863K1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5.28</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142.56</w:t>
            </w:r>
          </w:p>
        </w:tc>
      </w:tr>
      <w:tr>
        <w:tblPrEx>
          <w:tblCellMar>
            <w:top w:w="0" w:type="dxa"/>
            <w:left w:w="0" w:type="dxa"/>
            <w:bottom w:w="0" w:type="dxa"/>
            <w:right w:w="0" w:type="dxa"/>
          </w:tblCellMar>
        </w:tblPrEx>
        <w:trPr>
          <w:trHeight w:val="488"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四位跷板式暗开关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MZ864K1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6.48</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103.68</w:t>
            </w:r>
          </w:p>
        </w:tc>
      </w:tr>
      <w:tr>
        <w:tblPrEx>
          <w:tblCellMar>
            <w:top w:w="0" w:type="dxa"/>
            <w:left w:w="0" w:type="dxa"/>
            <w:bottom w:w="0" w:type="dxa"/>
            <w:right w:w="0" w:type="dxa"/>
          </w:tblCellMar>
        </w:tblPrEx>
        <w:trPr>
          <w:trHeight w:val="500"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3+2孔 10A</w:t>
            </w:r>
            <w:r>
              <w:rPr>
                <w:rFonts w:hint="eastAsia" w:ascii="宋体" w:hAnsi="宋体" w:cs="宋体"/>
                <w:i w:val="0"/>
                <w:color w:val="auto"/>
                <w:kern w:val="0"/>
                <w:sz w:val="20"/>
                <w:szCs w:val="20"/>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2252.92</w:t>
            </w:r>
          </w:p>
        </w:tc>
      </w:tr>
      <w:tr>
        <w:tblPrEx>
          <w:tblCellMar>
            <w:top w:w="0" w:type="dxa"/>
            <w:left w:w="0" w:type="dxa"/>
            <w:bottom w:w="0" w:type="dxa"/>
            <w:right w:w="0" w:type="dxa"/>
          </w:tblCellMar>
        </w:tblPrEx>
        <w:trPr>
          <w:trHeight w:val="400"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五孔带开关插座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3+2孔带开关 10A</w:t>
            </w:r>
            <w:r>
              <w:rPr>
                <w:rFonts w:hint="eastAsia" w:ascii="宋体" w:hAnsi="宋体" w:cs="宋体"/>
                <w:i w:val="0"/>
                <w:color w:val="auto"/>
                <w:kern w:val="0"/>
                <w:sz w:val="20"/>
                <w:szCs w:val="20"/>
                <w:highlight w:val="none"/>
                <w:u w:val="none"/>
                <w:lang w:val="en-US" w:eastAsia="zh-CN" w:bidi="ar"/>
              </w:rPr>
              <w:t xml:space="preserve"> MZ86K2ZS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6.95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8479</w:t>
            </w:r>
          </w:p>
        </w:tc>
      </w:tr>
      <w:tr>
        <w:tblPrEx>
          <w:tblCellMar>
            <w:top w:w="0" w:type="dxa"/>
            <w:left w:w="0" w:type="dxa"/>
            <w:bottom w:w="0" w:type="dxa"/>
            <w:right w:w="0" w:type="dxa"/>
          </w:tblCellMar>
        </w:tblPrEx>
        <w:trPr>
          <w:trHeight w:val="413"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3+2孔 10A</w:t>
            </w:r>
            <w:r>
              <w:rPr>
                <w:rFonts w:hint="eastAsia" w:ascii="宋体" w:hAnsi="宋体" w:cs="宋体"/>
                <w:i w:val="0"/>
                <w:color w:val="auto"/>
                <w:kern w:val="0"/>
                <w:sz w:val="20"/>
                <w:szCs w:val="20"/>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4550.6</w:t>
            </w:r>
          </w:p>
        </w:tc>
      </w:tr>
      <w:tr>
        <w:tblPrEx>
          <w:tblCellMar>
            <w:top w:w="0" w:type="dxa"/>
            <w:left w:w="0" w:type="dxa"/>
            <w:bottom w:w="0" w:type="dxa"/>
            <w:right w:w="0" w:type="dxa"/>
          </w:tblCellMar>
        </w:tblPrEx>
        <w:trPr>
          <w:trHeight w:val="430"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防溅盒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B8631/01(X)G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3.54</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4332.96</w:t>
            </w:r>
          </w:p>
        </w:tc>
      </w:tr>
      <w:tr>
        <w:tblPrEx>
          <w:tblCellMar>
            <w:top w:w="0" w:type="dxa"/>
            <w:left w:w="0" w:type="dxa"/>
            <w:bottom w:w="0" w:type="dxa"/>
            <w:right w:w="0" w:type="dxa"/>
          </w:tblCellMar>
        </w:tblPrEx>
        <w:trPr>
          <w:trHeight w:val="488"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3孔带开关 16A</w:t>
            </w:r>
            <w:r>
              <w:rPr>
                <w:rFonts w:hint="eastAsia" w:ascii="宋体" w:hAnsi="宋体" w:cs="宋体"/>
                <w:i w:val="0"/>
                <w:color w:val="auto"/>
                <w:kern w:val="0"/>
                <w:sz w:val="20"/>
                <w:szCs w:val="20"/>
                <w:highlight w:val="none"/>
                <w:u w:val="none"/>
                <w:lang w:val="en-US" w:eastAsia="zh-CN" w:bidi="ar"/>
              </w:rPr>
              <w:t xml:space="preserve"> MZ86K2S16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1279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6.25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7993.75</w:t>
            </w:r>
          </w:p>
        </w:tc>
      </w:tr>
      <w:tr>
        <w:tblPrEx>
          <w:tblCellMar>
            <w:top w:w="0" w:type="dxa"/>
            <w:left w:w="0" w:type="dxa"/>
            <w:bottom w:w="0" w:type="dxa"/>
            <w:right w:w="0" w:type="dxa"/>
          </w:tblCellMar>
        </w:tblPrEx>
        <w:trPr>
          <w:trHeight w:val="435" w:hRule="atLeast"/>
        </w:trPr>
        <w:tc>
          <w:tcPr>
            <w:tcW w:w="5000" w:type="pct"/>
            <w:gridSpan w:val="8"/>
            <w:tcBorders>
              <w:top w:val="single" w:color="000000" w:sz="4"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合价</w:t>
            </w:r>
            <w:r>
              <w:rPr>
                <w:rFonts w:hint="eastAsia" w:ascii="宋体" w:hAnsi="宋体" w:cs="宋体"/>
                <w:i w:val="0"/>
                <w:color w:val="auto"/>
                <w:kern w:val="0"/>
                <w:sz w:val="20"/>
                <w:szCs w:val="20"/>
                <w:highlight w:val="none"/>
                <w:u w:val="none"/>
                <w:lang w:val="en-US" w:eastAsia="zh-CN" w:bidi="ar"/>
              </w:rPr>
              <w:t xml:space="preserve">:                       </w:t>
            </w:r>
            <w:r>
              <w:rPr>
                <w:rFonts w:hint="eastAsia" w:ascii="宋体" w:hAnsi="宋体" w:eastAsia="宋体" w:cs="宋体"/>
                <w:i w:val="0"/>
                <w:color w:val="auto"/>
                <w:kern w:val="0"/>
                <w:sz w:val="20"/>
                <w:szCs w:val="20"/>
                <w:highlight w:val="none"/>
                <w:u w:val="none"/>
                <w:lang w:val="en-US" w:eastAsia="zh-CN" w:bidi="ar"/>
              </w:rPr>
              <w:t>37455.07</w:t>
            </w:r>
            <w:r>
              <w:rPr>
                <w:rFonts w:hint="eastAsia" w:ascii="宋体" w:hAnsi="宋体" w:cs="宋体"/>
                <w:i w:val="0"/>
                <w:color w:val="auto"/>
                <w:kern w:val="0"/>
                <w:sz w:val="20"/>
                <w:szCs w:val="20"/>
                <w:highlight w:val="none"/>
                <w:u w:val="none"/>
                <w:lang w:val="en-US" w:eastAsia="zh-CN" w:bidi="ar"/>
              </w:rPr>
              <w:t>元</w:t>
            </w:r>
          </w:p>
        </w:tc>
      </w:tr>
    </w:tbl>
    <w:p>
      <w:pPr>
        <w:spacing w:line="360" w:lineRule="auto"/>
        <w:rPr>
          <w:rFonts w:hint="eastAsia" w:ascii="宋体" w:hAnsi="宋体" w:cs="宋体"/>
          <w:color w:val="auto"/>
          <w:sz w:val="24"/>
          <w:highlight w:val="none"/>
        </w:rPr>
      </w:pPr>
    </w:p>
    <w:p>
      <w:pPr>
        <w:spacing w:line="360" w:lineRule="auto"/>
        <w:ind w:firstLine="528" w:firstLineChars="200"/>
        <w:jc w:val="left"/>
        <w:rPr>
          <w:rFonts w:asciiTheme="minorEastAsia" w:hAnsiTheme="minorEastAsia" w:eastAsiaTheme="minorEastAsia"/>
          <w:snapToGrid w:val="0"/>
          <w:color w:val="auto"/>
          <w:kern w:val="0"/>
          <w:sz w:val="24"/>
          <w:szCs w:val="24"/>
          <w:highlight w:val="none"/>
        </w:rPr>
      </w:pPr>
      <w:r>
        <w:rPr>
          <w:rFonts w:hint="eastAsia" w:cs="宋体" w:asciiTheme="minorEastAsia" w:hAnsiTheme="minorEastAsia" w:eastAsiaTheme="minorEastAsia"/>
          <w:color w:val="auto"/>
          <w:spacing w:val="12"/>
          <w:kern w:val="1"/>
          <w:sz w:val="24"/>
          <w:szCs w:val="24"/>
          <w:highlight w:val="none"/>
        </w:rPr>
        <w:t>工程范围：开元壹号6</w:t>
      </w:r>
      <w:r>
        <w:rPr>
          <w:rFonts w:hint="eastAsia" w:cs="宋体" w:asciiTheme="minorEastAsia" w:hAnsiTheme="minorEastAsia" w:eastAsiaTheme="minorEastAsia"/>
          <w:color w:val="auto"/>
          <w:spacing w:val="12"/>
          <w:kern w:val="1"/>
          <w:sz w:val="24"/>
          <w:szCs w:val="24"/>
          <w:highlight w:val="none"/>
          <w:lang w:val="en-US" w:eastAsia="zh-CN"/>
        </w:rPr>
        <w:t>0</w:t>
      </w:r>
      <w:r>
        <w:rPr>
          <w:rFonts w:hint="eastAsia" w:cs="宋体" w:asciiTheme="minorEastAsia" w:hAnsiTheme="minorEastAsia" w:eastAsiaTheme="minorEastAsia"/>
          <w:color w:val="auto"/>
          <w:spacing w:val="12"/>
          <w:kern w:val="1"/>
          <w:sz w:val="24"/>
          <w:szCs w:val="24"/>
          <w:highlight w:val="none"/>
        </w:rPr>
        <w:t>地块</w:t>
      </w:r>
      <w:r>
        <w:rPr>
          <w:rFonts w:hint="eastAsia" w:cs="宋体" w:asciiTheme="minorEastAsia" w:hAnsiTheme="minorEastAsia" w:eastAsiaTheme="minorEastAsia"/>
          <w:color w:val="auto"/>
          <w:spacing w:val="12"/>
          <w:kern w:val="1"/>
          <w:sz w:val="24"/>
          <w:szCs w:val="24"/>
          <w:highlight w:val="none"/>
          <w:lang w:eastAsia="zh-CN"/>
        </w:rPr>
        <w:t>公寓</w:t>
      </w:r>
      <w:r>
        <w:rPr>
          <w:rFonts w:hint="eastAsia" w:cs="宋体" w:asciiTheme="minorEastAsia" w:hAnsiTheme="minorEastAsia" w:eastAsiaTheme="minorEastAsia"/>
          <w:color w:val="auto"/>
          <w:spacing w:val="12"/>
          <w:kern w:val="1"/>
          <w:sz w:val="24"/>
          <w:szCs w:val="24"/>
          <w:highlight w:val="none"/>
        </w:rPr>
        <w:t>楼开关插座面板供货</w:t>
      </w:r>
      <w:r>
        <w:rPr>
          <w:rFonts w:hint="eastAsia" w:cs="宋体" w:asciiTheme="minorEastAsia" w:hAnsiTheme="minorEastAsia" w:eastAsiaTheme="minorEastAsia"/>
          <w:color w:val="auto"/>
          <w:kern w:val="1"/>
          <w:sz w:val="24"/>
          <w:szCs w:val="24"/>
          <w:highlight w:val="none"/>
        </w:rPr>
        <w:t>。</w:t>
      </w:r>
      <w:r>
        <w:rPr>
          <w:rFonts w:hint="eastAsia" w:asciiTheme="minorEastAsia" w:hAnsiTheme="minorEastAsia" w:eastAsiaTheme="minorEastAsia"/>
          <w:snapToGrid w:val="0"/>
          <w:color w:val="auto"/>
          <w:kern w:val="0"/>
          <w:sz w:val="24"/>
          <w:szCs w:val="24"/>
          <w:highlight w:val="none"/>
        </w:rPr>
        <w:t>合同清单量为暂定量，乙方每次供货时需向甲方书面确认。需按施工方每次申报的规格型号、数量并经甲方工程部确认后的书面确认单进行安排供货。</w:t>
      </w:r>
    </w:p>
    <w:p>
      <w:pPr>
        <w:spacing w:line="360" w:lineRule="auto"/>
        <w:rPr>
          <w:rFonts w:cs="宋体" w:asciiTheme="minorEastAsia" w:hAnsiTheme="minorEastAsia" w:eastAsiaTheme="minorEastAsia"/>
          <w:b/>
          <w:bCs/>
          <w:color w:val="auto"/>
          <w:sz w:val="24"/>
          <w:szCs w:val="22"/>
          <w:highlight w:val="none"/>
        </w:rPr>
      </w:pPr>
      <w:r>
        <w:rPr>
          <w:rFonts w:hint="eastAsia" w:cs="宋体" w:asciiTheme="minorEastAsia" w:hAnsiTheme="minorEastAsia" w:eastAsiaTheme="minorEastAsia"/>
          <w:b/>
          <w:bCs/>
          <w:color w:val="auto"/>
          <w:sz w:val="24"/>
          <w:szCs w:val="22"/>
          <w:highlight w:val="none"/>
        </w:rPr>
        <w:t>二、合同价款</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本合同为固定单价合同，暂定总价人民币金额（大写）：</w:t>
      </w:r>
      <w:r>
        <w:rPr>
          <w:rFonts w:hint="eastAsia" w:cs="宋体" w:asciiTheme="minorEastAsia" w:hAnsiTheme="minorEastAsia" w:eastAsiaTheme="minorEastAsia"/>
          <w:color w:val="auto"/>
          <w:sz w:val="24"/>
          <w:highlight w:val="none"/>
          <w:lang w:eastAsia="zh-CN"/>
        </w:rPr>
        <w:t>叁万柒仟肆佰伍拾伍圆零柒分</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人民币</w:t>
      </w:r>
      <w:r>
        <w:rPr>
          <w:rFonts w:hint="eastAsia" w:cs="宋体" w:asciiTheme="minorEastAsia" w:hAnsiTheme="minorEastAsia" w:eastAsiaTheme="minorEastAsia"/>
          <w:color w:val="auto"/>
          <w:sz w:val="24"/>
          <w:highlight w:val="none"/>
        </w:rPr>
        <w:t>小写</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37455.07</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szCs w:val="24"/>
          <w:highlight w:val="none"/>
        </w:rPr>
        <w:t>上述金额为含税金额，其中，不含税金额为</w:t>
      </w:r>
      <w:r>
        <w:rPr>
          <w:rFonts w:hint="eastAsia" w:cs="宋体" w:asciiTheme="minorEastAsia" w:hAnsiTheme="minorEastAsia" w:eastAsiaTheme="minorEastAsia"/>
          <w:color w:val="auto"/>
          <w:sz w:val="24"/>
          <w:szCs w:val="24"/>
          <w:highlight w:val="none"/>
          <w:lang w:val="en-US" w:eastAsia="zh-CN"/>
        </w:rPr>
        <w:t>33146.08</w:t>
      </w:r>
      <w:r>
        <w:rPr>
          <w:rFonts w:hint="eastAsia" w:cs="宋体" w:asciiTheme="minorEastAsia" w:hAnsiTheme="minorEastAsia" w:eastAsiaTheme="minorEastAsia"/>
          <w:color w:val="auto"/>
          <w:sz w:val="24"/>
          <w:szCs w:val="24"/>
          <w:highlight w:val="none"/>
        </w:rPr>
        <w:t>元，增值税率为13%，税款为</w:t>
      </w:r>
      <w:r>
        <w:rPr>
          <w:rFonts w:hint="eastAsia" w:cs="宋体" w:asciiTheme="minorEastAsia" w:hAnsiTheme="minorEastAsia" w:eastAsiaTheme="minorEastAsia"/>
          <w:color w:val="auto"/>
          <w:sz w:val="24"/>
          <w:szCs w:val="24"/>
          <w:highlight w:val="none"/>
          <w:lang w:val="en-US" w:eastAsia="zh-CN"/>
        </w:rPr>
        <w:t>4308.99</w:t>
      </w:r>
      <w:r>
        <w:rPr>
          <w:rFonts w:hint="eastAsia" w:cs="宋体" w:asciiTheme="minorEastAsia" w:hAnsiTheme="minorEastAsia" w:eastAsiaTheme="minorEastAsia"/>
          <w:color w:val="auto"/>
          <w:sz w:val="24"/>
          <w:szCs w:val="24"/>
          <w:highlight w:val="none"/>
        </w:rPr>
        <w:t>元。</w:t>
      </w:r>
      <w:r>
        <w:rPr>
          <w:rFonts w:hint="eastAsia" w:asciiTheme="minorEastAsia" w:hAnsiTheme="minorEastAsia" w:eastAsiaTheme="minorEastAsia"/>
          <w:color w:val="auto"/>
          <w:sz w:val="24"/>
          <w:szCs w:val="24"/>
          <w:highlight w:val="none"/>
        </w:rPr>
        <w:t>合同价款包括：材料费、包装、运输（含保险费、卸车费）、管理、利润、税金、货到工地负责堆放至甲方指定地点所发生的一切费用。</w:t>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三、质量要求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1、乙方应严格按照双方约定的质量和技术标准要求供应材料，且需符合现行的国家标准。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2、乙方应随每批产品提供相应的《产品合格证明》、《质量检验报告》、《产品质量保证书》、材料发票和其他相关技术质量资料。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3、乙方所供的开关插座质量必须符合相应的国家检验质量标准，如达不到此标准，甲方有权要求乙方退货，其运费由乙方承担。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4、各型开关插座的规格、型号必须符合设计要求，应有合格证、“CCC”认证标志和认证证书复印件。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5、开关插座的绝缘性能、导电性能和阻燃性能必须符合相应的国家检验质量标准。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6、塑料（台）板，应具有足够的强度。塑料（台）板应平整，无弯翘变形等现象。</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四、包装标准及包装方式</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纸箱包装。</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五、交货时间、地点及交货方式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1、产品的交货期限：合同签订，接到甲方通知后7个工作日内；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2、产品的交货地点：开元壹号6</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地块</w:t>
      </w:r>
      <w:r>
        <w:rPr>
          <w:rFonts w:hint="eastAsia" w:ascii="宋体" w:hAnsi="宋体" w:cs="宋体"/>
          <w:color w:val="auto"/>
          <w:sz w:val="24"/>
          <w:highlight w:val="none"/>
          <w:lang w:eastAsia="zh-CN"/>
        </w:rPr>
        <w:t>公寓楼</w:t>
      </w:r>
      <w:r>
        <w:rPr>
          <w:rFonts w:hint="eastAsia" w:ascii="宋体" w:hAnsi="宋体" w:cs="宋体"/>
          <w:color w:val="auto"/>
          <w:sz w:val="24"/>
          <w:highlight w:val="none"/>
        </w:rPr>
        <w:t>项目内，甲方指定地点；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3、交货方式：</w:t>
      </w:r>
      <w:r>
        <w:rPr>
          <w:rFonts w:hint="eastAsia" w:ascii="宋体" w:hAnsi="宋体" w:cs="宋体"/>
          <w:bCs/>
          <w:color w:val="auto"/>
          <w:sz w:val="24"/>
          <w:highlight w:val="none"/>
        </w:rPr>
        <w:t>根据甲方的工期要求供货。</w:t>
      </w:r>
      <w:r>
        <w:rPr>
          <w:rFonts w:hint="eastAsia" w:ascii="宋体" w:hAnsi="宋体" w:cs="宋体"/>
          <w:color w:val="auto"/>
          <w:sz w:val="24"/>
          <w:highlight w:val="none"/>
        </w:rPr>
        <w:t xml:space="preserve">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六、货款结算方式及付款时间</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1、结算方式：</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1.1、结算采用“固定单价</w:t>
      </w:r>
      <w:r>
        <w:rPr>
          <w:rFonts w:cs="Arial"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实际供应数量-应扣费用”以实结算的方式。</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乙方将产品生产完毕全部运送到甲方指定施工现场，由甲方委托的监理方组织工程施工方一并进行验收合格后，由甲方、乙方、工程施工方及监理方共同在乙方出具的四联供货验收单(附件二)上签字认可。甲方持两联，工程施工方、乙方各持一联，作为结算依据。</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2付款方式：</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sz w:val="24"/>
          <w:highlight w:val="none"/>
        </w:rPr>
        <w:t>、本合同无预付款，</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公寓</w:t>
      </w:r>
      <w:r>
        <w:rPr>
          <w:rFonts w:hint="eastAsia" w:cs="宋体" w:asciiTheme="minorEastAsia" w:hAnsiTheme="minorEastAsia" w:eastAsiaTheme="minorEastAsia"/>
          <w:color w:val="auto"/>
          <w:sz w:val="24"/>
          <w:highlight w:val="none"/>
        </w:rPr>
        <w:t>楼</w:t>
      </w:r>
      <w:r>
        <w:rPr>
          <w:rFonts w:hint="eastAsia" w:cs="宋体" w:asciiTheme="minorEastAsia" w:hAnsiTheme="minorEastAsia" w:eastAsiaTheme="minorEastAsia"/>
          <w:color w:val="auto"/>
          <w:sz w:val="24"/>
          <w:highlight w:val="none"/>
          <w:lang w:eastAsia="zh-CN"/>
        </w:rPr>
        <w:t>开关插座</w:t>
      </w:r>
      <w:r>
        <w:rPr>
          <w:rFonts w:hint="eastAsia" w:cs="宋体" w:asciiTheme="minorEastAsia" w:hAnsiTheme="minorEastAsia" w:eastAsiaTheme="minorEastAsia"/>
          <w:color w:val="auto"/>
          <w:sz w:val="24"/>
          <w:highlight w:val="none"/>
        </w:rPr>
        <w:t>全部货物送到后十日内，甲方支付本批次送货金额的</w:t>
      </w:r>
      <w:r>
        <w:rPr>
          <w:rFonts w:hint="eastAsia" w:cs="宋体" w:asciiTheme="minorEastAsia" w:hAnsiTheme="minorEastAsia" w:eastAsiaTheme="minorEastAsia"/>
          <w:color w:val="auto"/>
          <w:sz w:val="24"/>
          <w:highlight w:val="none"/>
          <w:lang w:val="en-US" w:eastAsia="zh-CN"/>
        </w:rPr>
        <w:t>8</w:t>
      </w:r>
      <w:r>
        <w:rPr>
          <w:rFonts w:hint="eastAsia" w:cs="宋体" w:asciiTheme="minorEastAsia" w:hAnsiTheme="minorEastAsia" w:eastAsiaTheme="minorEastAsia"/>
          <w:color w:val="auto"/>
          <w:sz w:val="24"/>
          <w:highlight w:val="none"/>
        </w:rPr>
        <w:t>0%；待全部验收完毕并配合甲方完成结算后30个工作日内支付至结算总价的95%，留取结算总价的5%为质保金，质保期满无质量问题，一次性无息付清该质保金。质保期一年，自工程竣工验收合格移交建设单位时起算。</w:t>
      </w:r>
    </w:p>
    <w:p>
      <w:pPr>
        <w:autoSpaceDN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2.3、每次付款时，乙方需提供等额有效的增值税专用发票，否则甲方有权拒付相应货款；甲方向乙方支付至结算总价的</w:t>
      </w:r>
      <w:r>
        <w:rPr>
          <w:rFonts w:hint="eastAsia" w:cs="宋体" w:asciiTheme="minorEastAsia" w:hAnsiTheme="minorEastAsia" w:eastAsiaTheme="minorEastAsia"/>
          <w:color w:val="auto"/>
          <w:sz w:val="24"/>
          <w:highlight w:val="none"/>
        </w:rPr>
        <w:t>95%前，</w:t>
      </w:r>
      <w:r>
        <w:rPr>
          <w:rFonts w:hint="eastAsia" w:asciiTheme="minorEastAsia" w:hAnsiTheme="minorEastAsia" w:eastAsiaTheme="minorEastAsia"/>
          <w:color w:val="auto"/>
          <w:sz w:val="24"/>
          <w:szCs w:val="24"/>
          <w:highlight w:val="none"/>
        </w:rPr>
        <w:t>乙方应</w:t>
      </w:r>
      <w:r>
        <w:rPr>
          <w:rFonts w:hint="eastAsia" w:cs="Tahoma" w:asciiTheme="minorEastAsia" w:hAnsiTheme="minorEastAsia" w:eastAsiaTheme="minorEastAsia"/>
          <w:color w:val="auto"/>
          <w:sz w:val="24"/>
          <w:szCs w:val="24"/>
          <w:highlight w:val="none"/>
        </w:rPr>
        <w:t>将结算金额</w:t>
      </w:r>
      <w:r>
        <w:rPr>
          <w:rFonts w:cs="Tahoma" w:asciiTheme="minorEastAsia" w:hAnsiTheme="minorEastAsia" w:eastAsiaTheme="minorEastAsia"/>
          <w:color w:val="auto"/>
          <w:sz w:val="24"/>
          <w:szCs w:val="24"/>
          <w:highlight w:val="none"/>
        </w:rPr>
        <w:t>100</w:t>
      </w:r>
      <w:r>
        <w:rPr>
          <w:rFonts w:asciiTheme="minorEastAsia" w:hAnsiTheme="minorEastAsia" w:eastAsiaTheme="minorEastAsia"/>
          <w:color w:val="auto"/>
          <w:sz w:val="24"/>
          <w:szCs w:val="24"/>
          <w:highlight w:val="none"/>
        </w:rPr>
        <w:t>%</w:t>
      </w:r>
      <w:r>
        <w:rPr>
          <w:rFonts w:cs="Tahoma" w:asciiTheme="minorEastAsia" w:hAnsiTheme="minorEastAsia" w:eastAsiaTheme="minorEastAsia"/>
          <w:color w:val="auto"/>
          <w:sz w:val="24"/>
          <w:szCs w:val="24"/>
          <w:highlight w:val="none"/>
        </w:rPr>
        <w:t>的</w:t>
      </w:r>
      <w:r>
        <w:rPr>
          <w:rFonts w:hint="eastAsia" w:asciiTheme="minorEastAsia" w:hAnsiTheme="minorEastAsia" w:eastAsiaTheme="minorEastAsia"/>
          <w:color w:val="auto"/>
          <w:sz w:val="24"/>
          <w:szCs w:val="24"/>
          <w:highlight w:val="none"/>
        </w:rPr>
        <w:t>正规、有效的增值税专用发票</w:t>
      </w:r>
      <w:r>
        <w:rPr>
          <w:rFonts w:hint="eastAsia" w:cs="Tahoma" w:asciiTheme="minorEastAsia" w:hAnsiTheme="minorEastAsia" w:eastAsiaTheme="minorEastAsia"/>
          <w:color w:val="auto"/>
          <w:sz w:val="24"/>
          <w:szCs w:val="24"/>
          <w:highlight w:val="none"/>
        </w:rPr>
        <w:t>全</w:t>
      </w:r>
      <w:r>
        <w:rPr>
          <w:rFonts w:cs="Tahoma" w:asciiTheme="minorEastAsia" w:hAnsiTheme="minorEastAsia" w:eastAsiaTheme="minorEastAsia"/>
          <w:color w:val="auto"/>
          <w:sz w:val="24"/>
          <w:szCs w:val="24"/>
          <w:highlight w:val="none"/>
        </w:rPr>
        <w:t>额开具，否则甲方除扣留质保金外，有权拒绝支付</w:t>
      </w:r>
      <w:r>
        <w:rPr>
          <w:rFonts w:hint="eastAsia" w:cs="Tahoma" w:asciiTheme="minorEastAsia" w:hAnsiTheme="minorEastAsia" w:eastAsiaTheme="minorEastAsia"/>
          <w:color w:val="auto"/>
          <w:sz w:val="24"/>
          <w:szCs w:val="24"/>
          <w:highlight w:val="none"/>
        </w:rPr>
        <w:t>该</w:t>
      </w:r>
      <w:r>
        <w:rPr>
          <w:rFonts w:cs="Tahoma" w:asciiTheme="minorEastAsia" w:hAnsiTheme="minorEastAsia" w:eastAsiaTheme="minorEastAsia"/>
          <w:color w:val="auto"/>
          <w:sz w:val="24"/>
          <w:szCs w:val="24"/>
          <w:highlight w:val="none"/>
        </w:rPr>
        <w:t>笔</w:t>
      </w:r>
      <w:r>
        <w:rPr>
          <w:rFonts w:hint="eastAsia" w:cs="Tahoma" w:asciiTheme="minorEastAsia" w:hAnsiTheme="minorEastAsia" w:eastAsiaTheme="minorEastAsia"/>
          <w:color w:val="auto"/>
          <w:sz w:val="24"/>
          <w:szCs w:val="24"/>
          <w:highlight w:val="none"/>
        </w:rPr>
        <w:t>货</w:t>
      </w:r>
      <w:r>
        <w:rPr>
          <w:rFonts w:cs="Tahoma" w:asciiTheme="minorEastAsia" w:hAnsiTheme="minorEastAsia" w:eastAsiaTheme="minorEastAsia"/>
          <w:color w:val="auto"/>
          <w:sz w:val="24"/>
          <w:szCs w:val="24"/>
          <w:highlight w:val="none"/>
        </w:rPr>
        <w:t>款。</w:t>
      </w:r>
      <w:r>
        <w:rPr>
          <w:rFonts w:hint="eastAsia" w:asciiTheme="minorEastAsia" w:hAnsiTheme="minorEastAsia" w:eastAsiaTheme="minorEastAsia"/>
          <w:color w:val="auto"/>
          <w:sz w:val="24"/>
          <w:szCs w:val="24"/>
          <w:highlight w:val="none"/>
        </w:rPr>
        <w:t>乙方应在开票之后5个工作日内将发票送达甲方，甲方签收发票的日期为发票的送达日期。</w:t>
      </w:r>
    </w:p>
    <w:p>
      <w:pPr>
        <w:spacing w:line="360" w:lineRule="auto"/>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六、质保期</w:t>
      </w:r>
    </w:p>
    <w:p>
      <w:pPr>
        <w:tabs>
          <w:tab w:val="left" w:pos="2700"/>
          <w:tab w:val="left" w:pos="3780"/>
          <w:tab w:val="left" w:pos="5400"/>
        </w:tabs>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乙方供应的所有开关插座面板保修期为本工程竣工验收合格并移交建设单位后一年。属于保修范围、内容的项目，乙方应当在接到保修通知之日起48小时内派人保修。乙方不在约定期限内派人维修或更换的，甲方可以委托他人维修或更换，费用由乙方全部承担。在正常使用中，对于由乙方开关插座自身质量问题造成的客户索赔，根据其实际损失或评估价值，乙方应承担由此造成的一切责任和损失。</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七、违约责任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所供产品品种、型号、规格、颜色、质量必须和乙方提供给甲方的样品保持一致，不符合规定的，由乙方负责包换或包修，并承担修理、调换或退货而支付的实际费用。乙方不能修理或者不能调换的，按不能交货处理。产品型号、规格、电压等级、质量等不符合本合同规定时，乙方应负责保退、保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、产品交货时间不符合合同规定时，每延期1天，乙方应偿付甲方延期交货部分货款总值2‰的违约金。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、开关插座在正常使用中，确因开关插座自身质量问题引起的火灾、触电等安全事故，乙方应承担由此造成的一切责任和损失。</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、甲、乙双方应严格履行合同规定的各项条款，如合同一方违约，由违约方承担责任，并参照合同法及双方商定的有关条款赔偿经济损失。</w:t>
      </w:r>
    </w:p>
    <w:p>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八、争议的解决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本合同发生纠纷，甲乙双方应当及时协商解决，协商不成时，任何一方均可向甲方所在地人民法院提起诉讼。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九、补充条款</w:t>
      </w:r>
    </w:p>
    <w:p>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本合同自签订日期起生效，合同执行期内，供需双方均不得随意变更或解除合同。合同未尽事宜，须双方共同协商，作出补充协议，补充协议与合同具有同等法律效力。本合同一式柒份，甲方伍份，乙方贰份。</w:t>
      </w:r>
    </w:p>
    <w:p>
      <w:pPr>
        <w:spacing w:line="360" w:lineRule="auto"/>
        <w:rPr>
          <w:rFonts w:ascii="宋体" w:cs="宋体"/>
          <w:b/>
          <w:color w:val="auto"/>
          <w:sz w:val="24"/>
          <w:highlight w:val="none"/>
        </w:rPr>
      </w:pPr>
      <w:r>
        <w:rPr>
          <w:rFonts w:hint="eastAsia" w:ascii="宋体" w:cs="宋体"/>
          <w:b/>
          <w:color w:val="auto"/>
          <w:sz w:val="24"/>
          <w:highlight w:val="none"/>
        </w:rPr>
        <w:t>十、合同附件</w:t>
      </w:r>
    </w:p>
    <w:p>
      <w:pPr>
        <w:pStyle w:val="4"/>
        <w:spacing w:line="360" w:lineRule="auto"/>
        <w:ind w:firstLine="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附件：</w:t>
      </w:r>
      <w:r>
        <w:rPr>
          <w:rFonts w:hint="eastAsia" w:cs="宋体"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rPr>
        <w:t>开元壹号6</w:t>
      </w:r>
      <w:r>
        <w:rPr>
          <w:rFonts w:hint="eastAsia" w:cs="宋体" w:asciiTheme="minorEastAsia" w:hAnsiTheme="minorEastAsia" w:eastAsiaTheme="minorEastAsia"/>
          <w:color w:val="auto"/>
          <w:sz w:val="24"/>
          <w:szCs w:val="24"/>
          <w:highlight w:val="none"/>
          <w:lang w:val="en-US" w:eastAsia="zh-CN"/>
        </w:rPr>
        <w:t>0</w:t>
      </w:r>
      <w:r>
        <w:rPr>
          <w:rFonts w:hint="eastAsia" w:cs="宋体" w:asciiTheme="minorEastAsia" w:hAnsiTheme="minorEastAsia" w:eastAsiaTheme="minorEastAsia"/>
          <w:color w:val="auto"/>
          <w:sz w:val="24"/>
          <w:szCs w:val="24"/>
          <w:highlight w:val="none"/>
        </w:rPr>
        <w:t>地块开关插座价格清单（详见EXCEL表格）</w:t>
      </w:r>
    </w:p>
    <w:p>
      <w:pPr>
        <w:pStyle w:val="4"/>
        <w:numPr>
          <w:ilvl w:val="0"/>
          <w:numId w:val="0"/>
        </w:numPr>
        <w:spacing w:line="360" w:lineRule="auto"/>
        <w:ind w:firstLine="720" w:firstLineChars="300"/>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2.开关插座验收单（四方签字单）</w:t>
      </w:r>
    </w:p>
    <w:p>
      <w:pPr>
        <w:numPr>
          <w:ilvl w:val="0"/>
          <w:numId w:val="0"/>
        </w:numPr>
        <w:spacing w:line="360" w:lineRule="auto"/>
        <w:ind w:firstLine="720" w:firstLineChars="300"/>
        <w:rPr>
          <w:rFonts w:hint="default" w:cs="宋体" w:asciiTheme="minorEastAsia" w:hAnsiTheme="minorEastAsia" w:eastAsiaTheme="minorEastAsia"/>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廉政合作协议</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十一、送达条款</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甲乙双方明确送达信息如下：</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甲方确认的送达信息为：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送达地址：洛阳市洛龙区开元大道1号开元壹号营销中心三楼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联系人及联系方式：0379-69916900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乙方确认的送达信息为：</w:t>
      </w:r>
    </w:p>
    <w:p>
      <w:pPr>
        <w:keepNext w:val="0"/>
        <w:keepLines w:val="0"/>
        <w:widowControl/>
        <w:suppressLineNumbers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送达地址：</w:t>
      </w:r>
      <w:r>
        <w:rPr>
          <w:rFonts w:hint="eastAsia" w:ascii="宋体" w:hAnsi="宋体" w:eastAsia="宋体" w:cs="宋体"/>
          <w:color w:val="auto"/>
          <w:kern w:val="0"/>
          <w:sz w:val="24"/>
          <w:szCs w:val="24"/>
          <w:highlight w:val="none"/>
          <w:lang w:val="en-US" w:eastAsia="zh-CN" w:bidi="ar"/>
        </w:rPr>
        <w:t xml:space="preserve">河南自贸试验区郑州片区(郑东)正光路 22 号行署国际广场 3 号楼 404 室 </w:t>
      </w:r>
      <w:r>
        <w:rPr>
          <w:rFonts w:hint="eastAsia"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联系人及联系方式：</w:t>
      </w:r>
      <w:r>
        <w:rPr>
          <w:rFonts w:hint="eastAsia" w:ascii="宋体" w:hAnsi="宋体" w:cs="宋体"/>
          <w:color w:val="auto"/>
          <w:sz w:val="24"/>
          <w:szCs w:val="24"/>
          <w:highlight w:val="none"/>
          <w:lang w:eastAsia="zh-CN"/>
        </w:rPr>
        <w:t>李俊红</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18039100258                             </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ind w:firstLine="480"/>
        <w:rPr>
          <w:rFonts w:hint="eastAsia"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（以下无正文）</w:t>
      </w:r>
    </w:p>
    <w:p>
      <w:pPr>
        <w:widowControl/>
        <w:spacing w:line="50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甲方：洛阳浩德鑫置地有限公司       </w:t>
      </w:r>
      <w:r>
        <w:rPr>
          <w:rFonts w:hint="eastAsia" w:ascii="宋体" w:hAnsi="宋体" w:cs="宋体"/>
          <w:color w:val="auto"/>
          <w:kern w:val="0"/>
          <w:sz w:val="24"/>
          <w:szCs w:val="24"/>
          <w:highlight w:val="none"/>
        </w:rPr>
        <w:t>乙方</w:t>
      </w:r>
      <w:r>
        <w:rPr>
          <w:rFonts w:hint="eastAsia" w:ascii="宋体" w:hAnsi="宋体" w:cs="宋体"/>
          <w:color w:val="auto"/>
          <w:sz w:val="24"/>
          <w:szCs w:val="24"/>
          <w:highlight w:val="none"/>
        </w:rPr>
        <w:t xml:space="preserve">：                    </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cs="宋体"/>
          <w:color w:val="auto"/>
          <w:kern w:val="0"/>
          <w:sz w:val="24"/>
          <w:szCs w:val="24"/>
          <w:highlight w:val="none"/>
        </w:rPr>
        <w:t>交行洛阳分行西苑支行</w:t>
      </w:r>
      <w:r>
        <w:rPr>
          <w:rFonts w:hint="eastAsia" w:ascii="宋体" w:hAnsi="宋体" w:cs="宋体"/>
          <w:color w:val="auto"/>
          <w:sz w:val="24"/>
          <w:szCs w:val="24"/>
          <w:highlight w:val="none"/>
        </w:rPr>
        <w:t xml:space="preserve">       开户行：</w:t>
      </w:r>
      <w:r>
        <w:rPr>
          <w:rFonts w:hint="eastAsia" w:ascii="宋体" w:hAnsi="宋体" w:eastAsia="宋体" w:cs="宋体"/>
          <w:color w:val="auto"/>
          <w:kern w:val="0"/>
          <w:sz w:val="24"/>
          <w:szCs w:val="24"/>
          <w:highlight w:val="none"/>
          <w:lang w:val="en-US" w:eastAsia="zh-CN" w:bidi="ar"/>
        </w:rPr>
        <w:t xml:space="preserve"> 交通银行股份有限公司郑州秦岭路支行</w:t>
      </w:r>
    </w:p>
    <w:p>
      <w:pPr>
        <w:keepNext w:val="0"/>
        <w:keepLines w:val="0"/>
        <w:widowControl/>
        <w:suppressLineNumbers w:val="0"/>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kern w:val="0"/>
          <w:sz w:val="24"/>
          <w:szCs w:val="24"/>
          <w:highlight w:val="none"/>
        </w:rPr>
        <w:t>413062200018170292470</w:t>
      </w:r>
      <w:r>
        <w:rPr>
          <w:rFonts w:hint="eastAsia" w:ascii="宋体" w:hAnsi="宋体" w:cs="宋体"/>
          <w:color w:val="auto"/>
          <w:sz w:val="24"/>
          <w:szCs w:val="24"/>
          <w:highlight w:val="none"/>
        </w:rPr>
        <w:t xml:space="preserve">        账号：</w:t>
      </w:r>
      <w:r>
        <w:rPr>
          <w:rFonts w:hint="eastAsia" w:ascii="宋体" w:hAnsi="宋体" w:eastAsia="宋体" w:cs="宋体"/>
          <w:color w:val="auto"/>
          <w:kern w:val="0"/>
          <w:sz w:val="24"/>
          <w:szCs w:val="24"/>
          <w:highlight w:val="none"/>
          <w:lang w:val="en-US" w:eastAsia="zh-CN" w:bidi="ar"/>
        </w:rPr>
        <w:t xml:space="preserve">411647999011000190788 </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sz w:val="24"/>
          <w:szCs w:val="24"/>
          <w:highlight w:val="none"/>
        </w:rPr>
        <w:t>日期：20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日期：20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r>
        <w:rPr>
          <w:rFonts w:ascii="宋体" w:hAnsi="宋体" w:cs="宋体"/>
          <w:b/>
          <w:color w:val="auto"/>
          <w:kern w:val="0"/>
          <w:sz w:val="24"/>
          <w:szCs w:val="24"/>
          <w:highlight w:val="none"/>
        </w:rPr>
        <w:t>附件一</w:t>
      </w:r>
    </w:p>
    <w:tbl>
      <w:tblPr>
        <w:tblStyle w:val="16"/>
        <w:tblW w:w="5000" w:type="pct"/>
        <w:tblInd w:w="0" w:type="dxa"/>
        <w:shd w:val="clear" w:color="auto" w:fill="auto"/>
        <w:tblLayout w:type="fixed"/>
        <w:tblCellMar>
          <w:top w:w="0" w:type="dxa"/>
          <w:left w:w="0" w:type="dxa"/>
          <w:bottom w:w="0" w:type="dxa"/>
          <w:right w:w="0" w:type="dxa"/>
        </w:tblCellMar>
      </w:tblPr>
      <w:tblGrid>
        <w:gridCol w:w="621"/>
        <w:gridCol w:w="1775"/>
        <w:gridCol w:w="2057"/>
        <w:gridCol w:w="810"/>
        <w:gridCol w:w="720"/>
        <w:gridCol w:w="930"/>
        <w:gridCol w:w="870"/>
        <w:gridCol w:w="1273"/>
      </w:tblGrid>
      <w:tr>
        <w:tblPrEx>
          <w:shd w:val="clear" w:color="auto" w:fill="auto"/>
          <w:tblCellMar>
            <w:top w:w="0" w:type="dxa"/>
            <w:left w:w="0" w:type="dxa"/>
            <w:bottom w:w="0" w:type="dxa"/>
            <w:right w:w="0" w:type="dxa"/>
          </w:tblCellMar>
        </w:tblPrEx>
        <w:trPr>
          <w:trHeight w:val="438" w:hRule="atLeast"/>
        </w:trPr>
        <w:tc>
          <w:tcPr>
            <w:tcW w:w="5000" w:type="pct"/>
            <w:gridSpan w:val="8"/>
            <w:tcBorders>
              <w:top w:val="single" w:color="000000" w:sz="8"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32"/>
                <w:szCs w:val="32"/>
                <w:highlight w:val="none"/>
                <w:u w:val="none"/>
                <w:lang w:val="en-US" w:eastAsia="zh-CN" w:bidi="ar"/>
              </w:rPr>
              <w:t>60#公寓楼开关插座材料供货清单</w:t>
            </w:r>
          </w:p>
        </w:tc>
      </w:tr>
      <w:tr>
        <w:tblPrEx>
          <w:tblCellMar>
            <w:top w:w="0" w:type="dxa"/>
            <w:left w:w="0" w:type="dxa"/>
            <w:bottom w:w="0" w:type="dxa"/>
            <w:right w:w="0" w:type="dxa"/>
          </w:tblCellMar>
        </w:tblPrEx>
        <w:trPr>
          <w:trHeight w:val="527"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名称</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规格类别</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品牌</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工程量</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单价</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合价</w:t>
            </w:r>
          </w:p>
        </w:tc>
      </w:tr>
      <w:tr>
        <w:tblPrEx>
          <w:tblCellMar>
            <w:top w:w="0" w:type="dxa"/>
            <w:left w:w="0" w:type="dxa"/>
            <w:bottom w:w="0" w:type="dxa"/>
            <w:right w:w="0" w:type="dxa"/>
          </w:tblCellMar>
        </w:tblPrEx>
        <w:trPr>
          <w:trHeight w:val="48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4113.7</w:t>
            </w:r>
          </w:p>
        </w:tc>
      </w:tr>
      <w:tr>
        <w:tblPrEx>
          <w:tblCellMar>
            <w:top w:w="0" w:type="dxa"/>
            <w:left w:w="0" w:type="dxa"/>
            <w:bottom w:w="0" w:type="dxa"/>
            <w:right w:w="0" w:type="dxa"/>
          </w:tblCellMar>
        </w:tblPrEx>
        <w:trPr>
          <w:trHeight w:val="564"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MZ862K1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4.61</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5485.9</w:t>
            </w:r>
          </w:p>
        </w:tc>
      </w:tr>
      <w:tr>
        <w:tblPrEx>
          <w:tblCellMar>
            <w:top w:w="0" w:type="dxa"/>
            <w:left w:w="0" w:type="dxa"/>
            <w:bottom w:w="0" w:type="dxa"/>
            <w:right w:w="0" w:type="dxa"/>
          </w:tblCellMar>
        </w:tblPrEx>
        <w:trPr>
          <w:trHeight w:val="425"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MZ863K1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5.28</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142.56</w:t>
            </w:r>
          </w:p>
        </w:tc>
      </w:tr>
      <w:tr>
        <w:tblPrEx>
          <w:tblCellMar>
            <w:top w:w="0" w:type="dxa"/>
            <w:left w:w="0" w:type="dxa"/>
            <w:bottom w:w="0" w:type="dxa"/>
            <w:right w:w="0" w:type="dxa"/>
          </w:tblCellMar>
        </w:tblPrEx>
        <w:trPr>
          <w:trHeight w:val="488"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四位跷板式暗开关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MZ864K1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6.48</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103.68</w:t>
            </w:r>
          </w:p>
        </w:tc>
      </w:tr>
      <w:tr>
        <w:tblPrEx>
          <w:tblCellMar>
            <w:top w:w="0" w:type="dxa"/>
            <w:left w:w="0" w:type="dxa"/>
            <w:bottom w:w="0" w:type="dxa"/>
            <w:right w:w="0" w:type="dxa"/>
          </w:tblCellMar>
        </w:tblPrEx>
        <w:trPr>
          <w:trHeight w:val="50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3+2孔 10A</w:t>
            </w:r>
            <w:r>
              <w:rPr>
                <w:rFonts w:hint="eastAsia" w:ascii="宋体" w:hAnsi="宋体" w:cs="宋体"/>
                <w:i w:val="0"/>
                <w:color w:val="auto"/>
                <w:kern w:val="0"/>
                <w:sz w:val="21"/>
                <w:szCs w:val="21"/>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604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2252.92</w:t>
            </w:r>
          </w:p>
        </w:tc>
      </w:tr>
      <w:tr>
        <w:tblPrEx>
          <w:tblCellMar>
            <w:top w:w="0" w:type="dxa"/>
            <w:left w:w="0" w:type="dxa"/>
            <w:bottom w:w="0" w:type="dxa"/>
            <w:right w:w="0" w:type="dxa"/>
          </w:tblCellMar>
        </w:tblPrEx>
        <w:trPr>
          <w:trHeight w:val="40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五孔带开关插座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3+2孔带开关 10A</w:t>
            </w:r>
            <w:r>
              <w:rPr>
                <w:rFonts w:hint="eastAsia" w:ascii="宋体" w:hAnsi="宋体" w:cs="宋体"/>
                <w:i w:val="0"/>
                <w:color w:val="auto"/>
                <w:kern w:val="0"/>
                <w:sz w:val="21"/>
                <w:szCs w:val="21"/>
                <w:highlight w:val="none"/>
                <w:u w:val="none"/>
                <w:lang w:val="en-US" w:eastAsia="zh-CN" w:bidi="ar"/>
              </w:rPr>
              <w:t xml:space="preserve"> MZ86K2ZS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6.95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8479</w:t>
            </w:r>
          </w:p>
        </w:tc>
      </w:tr>
      <w:tr>
        <w:tblPrEx>
          <w:tblCellMar>
            <w:top w:w="0" w:type="dxa"/>
            <w:left w:w="0" w:type="dxa"/>
            <w:bottom w:w="0" w:type="dxa"/>
            <w:right w:w="0" w:type="dxa"/>
          </w:tblCellMar>
        </w:tblPrEx>
        <w:trPr>
          <w:trHeight w:val="413"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3+2孔 10A</w:t>
            </w:r>
            <w:r>
              <w:rPr>
                <w:rFonts w:hint="eastAsia" w:ascii="宋体" w:hAnsi="宋体" w:cs="宋体"/>
                <w:i w:val="0"/>
                <w:color w:val="auto"/>
                <w:kern w:val="0"/>
                <w:sz w:val="21"/>
                <w:szCs w:val="21"/>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4550.6</w:t>
            </w:r>
          </w:p>
        </w:tc>
      </w:tr>
      <w:tr>
        <w:tblPrEx>
          <w:tblCellMar>
            <w:top w:w="0" w:type="dxa"/>
            <w:left w:w="0" w:type="dxa"/>
            <w:bottom w:w="0" w:type="dxa"/>
            <w:right w:w="0" w:type="dxa"/>
          </w:tblCellMar>
        </w:tblPrEx>
        <w:trPr>
          <w:trHeight w:val="43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防溅盒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B8631/01(X)G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3.54</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4332.96</w:t>
            </w:r>
          </w:p>
        </w:tc>
      </w:tr>
      <w:tr>
        <w:tblPrEx>
          <w:tblCellMar>
            <w:top w:w="0" w:type="dxa"/>
            <w:left w:w="0" w:type="dxa"/>
            <w:bottom w:w="0" w:type="dxa"/>
            <w:right w:w="0" w:type="dxa"/>
          </w:tblCellMar>
        </w:tblPrEx>
        <w:trPr>
          <w:trHeight w:val="488"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3孔带开关 16A</w:t>
            </w:r>
            <w:r>
              <w:rPr>
                <w:rFonts w:hint="eastAsia" w:ascii="宋体" w:hAnsi="宋体" w:cs="宋体"/>
                <w:i w:val="0"/>
                <w:color w:val="auto"/>
                <w:kern w:val="0"/>
                <w:sz w:val="21"/>
                <w:szCs w:val="21"/>
                <w:highlight w:val="none"/>
                <w:u w:val="none"/>
                <w:lang w:val="en-US" w:eastAsia="zh-CN" w:bidi="ar"/>
              </w:rPr>
              <w:t xml:space="preserve"> MZ86K2S16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1279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6.25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7993.75</w:t>
            </w:r>
          </w:p>
        </w:tc>
      </w:tr>
      <w:tr>
        <w:tblPrEx>
          <w:tblCellMar>
            <w:top w:w="0" w:type="dxa"/>
            <w:left w:w="0" w:type="dxa"/>
            <w:bottom w:w="0" w:type="dxa"/>
            <w:right w:w="0" w:type="dxa"/>
          </w:tblCellMar>
        </w:tblPrEx>
        <w:trPr>
          <w:trHeight w:val="435" w:hRule="atLeast"/>
        </w:trPr>
        <w:tc>
          <w:tcPr>
            <w:tcW w:w="5000" w:type="pct"/>
            <w:gridSpan w:val="8"/>
            <w:tcBorders>
              <w:top w:val="single" w:color="000000" w:sz="4"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合价</w:t>
            </w:r>
            <w:r>
              <w:rPr>
                <w:rFonts w:hint="eastAsia" w:ascii="宋体" w:hAnsi="宋体" w:cs="宋体"/>
                <w:i w:val="0"/>
                <w:color w:val="auto"/>
                <w:kern w:val="0"/>
                <w:sz w:val="21"/>
                <w:szCs w:val="21"/>
                <w:highlight w:val="none"/>
                <w:u w:val="none"/>
                <w:lang w:val="en-US" w:eastAsia="zh-CN" w:bidi="ar"/>
              </w:rPr>
              <w:t xml:space="preserve">:                       </w:t>
            </w:r>
            <w:r>
              <w:rPr>
                <w:rFonts w:hint="eastAsia" w:ascii="宋体" w:hAnsi="宋体" w:eastAsia="宋体" w:cs="宋体"/>
                <w:i w:val="0"/>
                <w:color w:val="auto"/>
                <w:kern w:val="0"/>
                <w:sz w:val="21"/>
                <w:szCs w:val="21"/>
                <w:highlight w:val="none"/>
                <w:u w:val="none"/>
                <w:lang w:val="en-US" w:eastAsia="zh-CN" w:bidi="ar"/>
              </w:rPr>
              <w:t>37455.07</w:t>
            </w:r>
            <w:r>
              <w:rPr>
                <w:rFonts w:hint="eastAsia" w:ascii="宋体" w:hAnsi="宋体" w:cs="宋体"/>
                <w:i w:val="0"/>
                <w:color w:val="auto"/>
                <w:kern w:val="0"/>
                <w:sz w:val="21"/>
                <w:szCs w:val="21"/>
                <w:highlight w:val="none"/>
                <w:u w:val="none"/>
                <w:lang w:val="en-US" w:eastAsia="zh-CN" w:bidi="ar"/>
              </w:rPr>
              <w:t>元</w:t>
            </w:r>
          </w:p>
        </w:tc>
      </w:tr>
    </w:tbl>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hint="eastAsia" w:ascii="宋体" w:hAnsi="宋体"/>
          <w:b/>
          <w:color w:val="auto"/>
          <w:kern w:val="0"/>
          <w:sz w:val="28"/>
          <w:szCs w:val="28"/>
          <w:highlight w:val="none"/>
        </w:rPr>
      </w:pPr>
      <w:r>
        <w:rPr>
          <w:rFonts w:hint="eastAsia" w:asciiTheme="minorEastAsia" w:hAnsiTheme="minorEastAsia" w:eastAsiaTheme="minorEastAsia"/>
          <w:b/>
          <w:color w:val="auto"/>
          <w:kern w:val="0"/>
          <w:sz w:val="24"/>
          <w:szCs w:val="24"/>
          <w:highlight w:val="none"/>
        </w:rPr>
        <w:t>附件二：</w:t>
      </w:r>
      <w:r>
        <w:rPr>
          <w:rFonts w:hint="eastAsia" w:ascii="宋体" w:hAnsi="宋体"/>
          <w:b/>
          <w:color w:val="auto"/>
          <w:kern w:val="0"/>
          <w:sz w:val="28"/>
          <w:szCs w:val="28"/>
          <w:highlight w:val="none"/>
        </w:rPr>
        <w:t xml:space="preserve">          </w:t>
      </w:r>
    </w:p>
    <w:p>
      <w:pPr>
        <w:spacing w:line="360" w:lineRule="exact"/>
        <w:jc w:val="center"/>
        <w:rPr>
          <w:rFonts w:ascii="宋体" w:hAnsi="宋体"/>
          <w:b/>
          <w:color w:val="auto"/>
          <w:kern w:val="0"/>
          <w:sz w:val="28"/>
          <w:szCs w:val="28"/>
          <w:highlight w:val="none"/>
        </w:rPr>
      </w:pPr>
      <w:r>
        <w:rPr>
          <w:rFonts w:hint="eastAsia" w:ascii="宋体" w:hAnsi="宋体"/>
          <w:b/>
          <w:color w:val="auto"/>
          <w:kern w:val="0"/>
          <w:sz w:val="32"/>
          <w:szCs w:val="32"/>
          <w:highlight w:val="none"/>
        </w:rPr>
        <w:t>开关插座验收单（四方签字单）</w:t>
      </w:r>
    </w:p>
    <w:tbl>
      <w:tblPr>
        <w:tblStyle w:val="16"/>
        <w:tblpPr w:leftFromText="180" w:rightFromText="180" w:vertAnchor="text" w:horzAnchor="page" w:tblpX="1428" w:tblpY="337"/>
        <w:tblOverlap w:val="never"/>
        <w:tblW w:w="9138" w:type="dxa"/>
        <w:tblInd w:w="0" w:type="dxa"/>
        <w:tblLayout w:type="fixed"/>
        <w:tblCellMar>
          <w:top w:w="0" w:type="dxa"/>
          <w:left w:w="15" w:type="dxa"/>
          <w:bottom w:w="0" w:type="dxa"/>
          <w:right w:w="15" w:type="dxa"/>
        </w:tblCellMar>
      </w:tblPr>
      <w:tblGrid>
        <w:gridCol w:w="1364"/>
        <w:gridCol w:w="1831"/>
        <w:gridCol w:w="2222"/>
        <w:gridCol w:w="1641"/>
        <w:gridCol w:w="2080"/>
      </w:tblGrid>
      <w:tr>
        <w:tblPrEx>
          <w:tblCellMar>
            <w:top w:w="0" w:type="dxa"/>
            <w:left w:w="15" w:type="dxa"/>
            <w:bottom w:w="0" w:type="dxa"/>
            <w:right w:w="15" w:type="dxa"/>
          </w:tblCellMar>
        </w:tblPrEx>
        <w:trPr>
          <w:trHeight w:val="300" w:hRule="atLeast"/>
        </w:trPr>
        <w:tc>
          <w:tcPr>
            <w:tcW w:w="1364" w:type="dxa"/>
            <w:tcBorders>
              <w:top w:val="single" w:color="000000" w:sz="4" w:space="0"/>
              <w:left w:val="single" w:color="000000" w:sz="4" w:space="0"/>
              <w:right w:val="single" w:color="000000" w:sz="4" w:space="0"/>
            </w:tcBorders>
          </w:tcPr>
          <w:p>
            <w:pPr>
              <w:tabs>
                <w:tab w:val="left" w:pos="840"/>
              </w:tabs>
              <w:autoSpaceDN w:val="0"/>
              <w:jc w:val="center"/>
              <w:textAlignment w:val="center"/>
              <w:rPr>
                <w:rFonts w:ascii="宋体" w:hAnsi="宋体"/>
                <w:color w:val="auto"/>
                <w:sz w:val="24"/>
                <w:highlight w:val="none"/>
              </w:rPr>
            </w:pPr>
            <w:r>
              <w:rPr>
                <w:rFonts w:ascii="宋体" w:hAnsi="宋体"/>
                <w:color w:val="auto"/>
                <w:sz w:val="28"/>
                <w:highlight w:val="none"/>
              </w:rPr>
              <w:t>序号</w:t>
            </w:r>
          </w:p>
        </w:tc>
        <w:tc>
          <w:tcPr>
            <w:tcW w:w="1831"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color w:val="auto"/>
                <w:sz w:val="28"/>
                <w:highlight w:val="none"/>
              </w:rPr>
            </w:pPr>
            <w:r>
              <w:rPr>
                <w:rFonts w:hint="eastAsia" w:ascii="宋体" w:hAnsi="宋体"/>
                <w:color w:val="auto"/>
                <w:sz w:val="28"/>
                <w:highlight w:val="none"/>
              </w:rPr>
              <w:t>名称</w:t>
            </w:r>
          </w:p>
        </w:tc>
        <w:tc>
          <w:tcPr>
            <w:tcW w:w="2222"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8"/>
                <w:highlight w:val="none"/>
              </w:rPr>
              <w:t>规格</w:t>
            </w:r>
            <w:r>
              <w:rPr>
                <w:rFonts w:ascii="宋体" w:hAnsi="宋体"/>
                <w:color w:val="auto"/>
                <w:sz w:val="28"/>
                <w:highlight w:val="none"/>
              </w:rPr>
              <w:t>型</w:t>
            </w:r>
            <w:r>
              <w:rPr>
                <w:rFonts w:hint="eastAsia" w:ascii="宋体" w:hAnsi="宋体"/>
                <w:color w:val="auto"/>
                <w:sz w:val="28"/>
                <w:highlight w:val="none"/>
              </w:rPr>
              <w:t>号</w:t>
            </w: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数量</w:t>
            </w: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备注</w:t>
            </w:r>
          </w:p>
        </w:tc>
      </w:tr>
      <w:tr>
        <w:tblPrEx>
          <w:tblCellMar>
            <w:top w:w="0" w:type="dxa"/>
            <w:left w:w="15" w:type="dxa"/>
            <w:bottom w:w="0" w:type="dxa"/>
            <w:right w:w="15" w:type="dxa"/>
          </w:tblCellMar>
        </w:tblPrEx>
        <w:trPr>
          <w:trHeight w:val="510" w:hRule="atLeast"/>
        </w:trPr>
        <w:tc>
          <w:tcPr>
            <w:tcW w:w="136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1</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4</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5</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6</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7</w:t>
            </w:r>
          </w:p>
        </w:tc>
        <w:tc>
          <w:tcPr>
            <w:tcW w:w="1831" w:type="dxa"/>
            <w:tcBorders>
              <w:top w:val="single" w:color="000000" w:sz="4" w:space="0"/>
              <w:left w:val="single" w:color="000000" w:sz="4" w:space="0"/>
              <w:bottom w:val="single" w:color="auto"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auto"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8</w:t>
            </w:r>
          </w:p>
        </w:tc>
        <w:tc>
          <w:tcPr>
            <w:tcW w:w="1831" w:type="dxa"/>
            <w:tcBorders>
              <w:top w:val="single" w:color="auto" w:sz="4" w:space="0"/>
              <w:left w:val="single" w:color="000000" w:sz="4" w:space="0"/>
              <w:bottom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auto" w:sz="4" w:space="0"/>
              <w:left w:val="single" w:color="000000" w:sz="4" w:space="0"/>
              <w:bottom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auto"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甲方签字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乙方签字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监理签字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施工单位</w:t>
            </w:r>
          </w:p>
        </w:tc>
        <w:tc>
          <w:tcPr>
            <w:tcW w:w="7774" w:type="dxa"/>
            <w:gridSpan w:val="4"/>
            <w:tcBorders>
              <w:top w:val="single" w:color="000000" w:sz="4" w:space="0"/>
              <w:bottom w:val="single" w:color="auto"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bl>
    <w:p>
      <w:pPr>
        <w:spacing w:line="40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注：一、验收标准：1、出厂合格证齐全；2、表观合格（与样品一致）；3、其它约定与合同要求一致。</w:t>
      </w:r>
    </w:p>
    <w:p>
      <w:pPr>
        <w:spacing w:line="44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二、1、质量验收结果必须以“质量合格”或“质量不合格”字样填写，不得含糊其辞。2、招采第一批次验收参加，以后不再参与。</w:t>
      </w:r>
    </w:p>
    <w:p>
      <w:pPr>
        <w:spacing w:line="360" w:lineRule="auto"/>
        <w:rPr>
          <w:rFonts w:ascii="宋体" w:hAnsi="宋体" w:cs="宋体"/>
          <w:color w:val="auto"/>
          <w:sz w:val="24"/>
          <w:szCs w:val="32"/>
          <w:highlight w:val="none"/>
        </w:rPr>
      </w:pPr>
    </w:p>
    <w:p>
      <w:pPr>
        <w:jc w:val="center"/>
        <w:rPr>
          <w:rFonts w:asciiTheme="minorEastAsia" w:hAnsiTheme="minorEastAsia" w:eastAsiaTheme="minorEastAsia"/>
          <w:b/>
          <w:bCs/>
          <w:color w:val="auto"/>
          <w:sz w:val="32"/>
          <w:szCs w:val="32"/>
          <w:highlight w:val="none"/>
        </w:rPr>
      </w:pPr>
    </w:p>
    <w:p>
      <w:pPr>
        <w:jc w:val="center"/>
        <w:rPr>
          <w:b/>
          <w:bCs/>
          <w:color w:val="auto"/>
          <w:sz w:val="44"/>
          <w:szCs w:val="44"/>
          <w:highlight w:val="none"/>
        </w:rPr>
      </w:pPr>
    </w:p>
    <w:p>
      <w:pPr>
        <w:jc w:val="center"/>
        <w:rPr>
          <w:b/>
          <w:bCs/>
          <w:color w:val="auto"/>
          <w:sz w:val="44"/>
          <w:szCs w:val="44"/>
          <w:highlight w:val="none"/>
        </w:rPr>
      </w:pPr>
    </w:p>
    <w:p>
      <w:pPr>
        <w:spacing w:line="360" w:lineRule="auto"/>
        <w:ind w:firstLine="480" w:firstLineChars="200"/>
        <w:rPr>
          <w:rFonts w:hint="eastAsia" w:ascii="宋体" w:hAnsi="宋体" w:cs="宋体"/>
          <w:color w:val="auto"/>
          <w:sz w:val="24"/>
          <w:szCs w:val="24"/>
          <w:highlight w:val="none"/>
          <w:lang w:eastAsia="zh-CN"/>
        </w:rPr>
      </w:pPr>
    </w:p>
    <w:p>
      <w:pPr>
        <w:spacing w:line="360" w:lineRule="auto"/>
        <w:ind w:firstLine="480" w:firstLineChars="200"/>
        <w:rPr>
          <w:rFonts w:hint="eastAsia" w:ascii="宋体" w:hAnsi="宋体" w:cs="宋体"/>
          <w:b/>
          <w:bCs/>
          <w:color w:val="auto"/>
          <w:sz w:val="32"/>
          <w:szCs w:val="32"/>
          <w:highlight w:val="none"/>
        </w:rPr>
      </w:pPr>
      <w:r>
        <w:rPr>
          <w:rFonts w:hint="eastAsia" w:ascii="宋体" w:hAnsi="宋体" w:cs="宋体"/>
          <w:color w:val="auto"/>
          <w:sz w:val="24"/>
          <w:szCs w:val="24"/>
          <w:highlight w:val="none"/>
          <w:lang w:eastAsia="zh-CN"/>
        </w:rPr>
        <w:t>附件三：</w:t>
      </w:r>
      <w:r>
        <w:rPr>
          <w:rFonts w:hint="eastAsia" w:ascii="宋体" w:hAnsi="宋体" w:cs="宋体"/>
          <w:color w:val="auto"/>
          <w:sz w:val="24"/>
          <w:szCs w:val="24"/>
          <w:highlight w:val="none"/>
          <w:lang w:val="en-US" w:eastAsia="zh-CN"/>
        </w:rPr>
        <w:t xml:space="preserve">                   </w:t>
      </w:r>
      <w:r>
        <w:rPr>
          <w:rFonts w:hint="eastAsia" w:ascii="宋体" w:hAnsi="宋体" w:cs="宋体"/>
          <w:b/>
          <w:bCs/>
          <w:color w:val="auto"/>
          <w:sz w:val="32"/>
          <w:szCs w:val="32"/>
          <w:highlight w:val="none"/>
        </w:rPr>
        <w:t>廉政合作协议</w:t>
      </w:r>
    </w:p>
    <w:p>
      <w:pPr>
        <w:spacing w:line="360" w:lineRule="auto"/>
        <w:ind w:firstLine="482" w:firstLineChars="20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rPr>
        <w:t>甲方：</w:t>
      </w:r>
      <w:r>
        <w:rPr>
          <w:rFonts w:hint="eastAsia" w:ascii="宋体" w:hAnsi="宋体" w:cs="宋体"/>
          <w:b/>
          <w:color w:val="auto"/>
          <w:sz w:val="24"/>
          <w:szCs w:val="24"/>
          <w:highlight w:val="none"/>
          <w:lang w:val="en-US" w:eastAsia="zh-CN"/>
        </w:rPr>
        <w:t xml:space="preserve">洛阳浩德鑫置地有限公司 </w:t>
      </w:r>
    </w:p>
    <w:p>
      <w:pPr>
        <w:spacing w:line="360" w:lineRule="auto"/>
        <w:ind w:firstLine="482" w:firstLineChars="200"/>
        <w:rPr>
          <w:rFonts w:hint="eastAsia" w:ascii="宋体" w:hAnsi="宋体"/>
          <w:color w:val="auto"/>
          <w:sz w:val="24"/>
          <w:highlight w:val="none"/>
        </w:rPr>
      </w:pPr>
      <w:r>
        <w:rPr>
          <w:rFonts w:hint="eastAsia" w:ascii="宋体" w:hAnsi="宋体" w:cs="宋体"/>
          <w:b/>
          <w:color w:val="auto"/>
          <w:sz w:val="24"/>
          <w:szCs w:val="24"/>
          <w:highlight w:val="none"/>
        </w:rPr>
        <w:t>乙方：</w:t>
      </w:r>
      <w:r>
        <w:rPr>
          <w:rFonts w:hint="eastAsia" w:ascii="宋体" w:hAnsi="宋体" w:cs="宋体"/>
          <w:b/>
          <w:color w:val="auto"/>
          <w:sz w:val="24"/>
          <w:szCs w:val="24"/>
          <w:highlight w:val="none"/>
          <w:lang w:val="en-US" w:eastAsia="zh-CN"/>
        </w:rPr>
        <w:t xml:space="preserve"> 河南静殊科技有限公司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一、甲方责任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1．甲方有责任向乙方介绍本单位有关廉政管理的各项制度和规定。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2．甲方有责任对本单位项目管理人员进行廉政教育。</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5．甲方人员如违反廉政管理制度及本协议规定，甲方应视情节轻重、影响大小给予处罚。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6．对于乙方举报甲方人员违反廉政规定的情况，甲方应及时进行调查，根据调查情况进行处理。</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二、乙方责任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1．乙方应保证乙方有关人员了解甲方有关廉政管理的各项制度及本协议的规定，并遵照执行。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2．乙方不得宴请甲方人员，不得以任何形式赠送实物、现金或礼券。</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4．乙方有责任接受甲方对乙方在项目建设期间廉政管理执行情况的监督。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drawing>
          <wp:anchor distT="0" distB="0" distL="114300" distR="114300" simplePos="0" relativeHeight="251704320" behindDoc="0" locked="0" layoutInCell="1" allowOverlap="1">
            <wp:simplePos x="0" y="0"/>
            <wp:positionH relativeFrom="column">
              <wp:posOffset>4364355</wp:posOffset>
            </wp:positionH>
            <wp:positionV relativeFrom="paragraph">
              <wp:posOffset>20955</wp:posOffset>
            </wp:positionV>
            <wp:extent cx="1063625" cy="1060450"/>
            <wp:effectExtent l="0" t="0" r="3175" b="635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6"/>
                    <a:stretch>
                      <a:fillRect/>
                    </a:stretch>
                  </pic:blipFill>
                  <pic:spPr>
                    <a:xfrm>
                      <a:off x="0" y="0"/>
                      <a:ext cx="1063625" cy="1060450"/>
                    </a:xfrm>
                    <a:prstGeom prst="rect">
                      <a:avLst/>
                    </a:prstGeom>
                    <a:noFill/>
                    <a:ln>
                      <a:noFill/>
                    </a:ln>
                  </pic:spPr>
                </pic:pic>
              </a:graphicData>
            </a:graphic>
          </wp:anchor>
        </w:drawing>
      </w: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）邮箱：</w:t>
      </w:r>
      <w:r>
        <w:rPr>
          <w:rFonts w:ascii="宋体" w:hAnsi="宋体" w:cs="宋体"/>
          <w:color w:val="auto"/>
          <w:sz w:val="24"/>
          <w:szCs w:val="24"/>
          <w:highlight w:val="none"/>
        </w:rPr>
        <w:t>314298756@qq.com</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）电话：齐先生：18137710188</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）电话：张先生：</w:t>
      </w:r>
      <w:r>
        <w:rPr>
          <w:rFonts w:ascii="宋体" w:hAnsi="宋体" w:cs="宋体"/>
          <w:color w:val="auto"/>
          <w:sz w:val="24"/>
          <w:szCs w:val="24"/>
          <w:highlight w:val="none"/>
        </w:rPr>
        <w:t>13903793259</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）直接和督查督办人员约定场所当面举报。</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四、甲乙双方发现对方工作人员有下列行为之一的，可通过第三条约定的渠道进行举报：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1.推诿扯皮、有责不负、处事消极、渎职失职、弄虚作假等行为。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2.以权谋私、滥用职权、处事不公、隐瞒事故、违章指挥造成公司严重事故隐患的行为。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3.贪污、受贿、盗窃、欺上瞒下等违法乱纪行为。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4.出卖、泄露公司商业机密等危害公司行为。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5.重大经济活动未按公司制度、流程执行的违规违纪行为。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6.利用职权，任人唯亲，拉帮结派，搞小利益团体或对同事正当行使权利进行打击报复的行为。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7.故意涂改公司文件或以公司名义谋私利，损害公司荣誉和利益的行为。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8.私自侵占、挪用公司财物，损坏公司重要设备或资产的行为。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9.破坏团队和谐，故意挑拨员工之间关系，对同事恶意侮辱、陷害、制造事端的行为。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11.其它违反法律或者</w:t>
      </w:r>
      <w:r>
        <w:rPr>
          <w:rFonts w:hint="eastAsia" w:ascii="宋体" w:hAnsi="宋体" w:cs="宋体"/>
          <w:color w:val="auto"/>
          <w:sz w:val="24"/>
          <w:szCs w:val="24"/>
          <w:highlight w:val="none"/>
          <w:lang w:eastAsia="zh-CN"/>
        </w:rPr>
        <w:t>甲方</w:t>
      </w:r>
      <w:bookmarkStart w:id="0" w:name="_GoBack"/>
      <w:bookmarkEnd w:id="0"/>
      <w:r>
        <w:rPr>
          <w:rFonts w:hint="eastAsia" w:ascii="宋体" w:hAnsi="宋体" w:cs="宋体"/>
          <w:color w:val="auto"/>
          <w:sz w:val="24"/>
          <w:szCs w:val="24"/>
          <w:highlight w:val="none"/>
        </w:rPr>
        <w:t>公司相关制度的行为。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pPr>
        <w:spacing w:line="360" w:lineRule="auto"/>
        <w:ind w:firstLine="480" w:firstLineChars="200"/>
        <w:rPr>
          <w:rFonts w:hint="eastAsia" w:ascii="宋体" w:hAnsi="宋体" w:cs="宋体"/>
          <w:color w:val="auto"/>
          <w:sz w:val="24"/>
          <w:szCs w:val="24"/>
          <w:highlight w:val="none"/>
        </w:rPr>
      </w:pPr>
    </w:p>
    <w:p>
      <w:pPr>
        <w:spacing w:line="6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w:t>
      </w:r>
      <w:r>
        <w:rPr>
          <w:rFonts w:hint="eastAsia" w:ascii="宋体" w:hAnsi="宋体" w:eastAsia="宋体" w:cs="宋体"/>
          <w:color w:val="auto"/>
          <w:kern w:val="0"/>
          <w:sz w:val="24"/>
          <w:szCs w:val="24"/>
          <w:highlight w:val="none"/>
          <w:lang w:val="en-US" w:eastAsia="zh-CN" w:bidi="ar"/>
        </w:rPr>
        <w:t xml:space="preserve">洛阳浩德鑫置地有限公司  </w:t>
      </w:r>
      <w:r>
        <w:rPr>
          <w:rFonts w:ascii="宋体" w:hAnsi="宋体" w:cs="宋体"/>
          <w:color w:val="auto"/>
          <w:sz w:val="24"/>
          <w:szCs w:val="24"/>
          <w:highlight w:val="none"/>
        </w:rPr>
        <w:t xml:space="preserve">   </w:t>
      </w:r>
      <w:r>
        <w:rPr>
          <w:rFonts w:hint="eastAsia" w:ascii="宋体" w:hAnsi="宋体" w:cs="宋体"/>
          <w:color w:val="auto"/>
          <w:sz w:val="24"/>
          <w:szCs w:val="32"/>
          <w:highlight w:val="none"/>
        </w:rPr>
        <w:t>乙方：</w:t>
      </w:r>
      <w:r>
        <w:rPr>
          <w:rFonts w:hint="eastAsia" w:ascii="宋体" w:hAnsi="宋体" w:eastAsia="宋体" w:cs="宋体"/>
          <w:color w:val="auto"/>
          <w:kern w:val="0"/>
          <w:sz w:val="24"/>
          <w:szCs w:val="24"/>
          <w:highlight w:val="none"/>
          <w:lang w:val="en-US" w:eastAsia="zh-CN" w:bidi="ar"/>
        </w:rPr>
        <w:t xml:space="preserve"> 河南静殊科技有限公司 </w:t>
      </w:r>
    </w:p>
    <w:p>
      <w:pPr>
        <w:spacing w:line="360" w:lineRule="auto"/>
        <w:ind w:firstLine="480" w:firstLineChars="200"/>
        <w:rPr>
          <w:color w:val="auto"/>
          <w:sz w:val="24"/>
          <w:szCs w:val="24"/>
          <w:highlight w:val="none"/>
        </w:rPr>
      </w:pPr>
      <w:r>
        <w:rPr>
          <w:rFonts w:hint="eastAsia" w:ascii="宋体" w:hAnsi="宋体" w:cs="宋体"/>
          <w:color w:val="auto"/>
          <w:sz w:val="24"/>
          <w:szCs w:val="24"/>
          <w:highlight w:val="none"/>
        </w:rPr>
        <w:t>签署日期：2020年12月           签署日期：2020年12月</w:t>
      </w:r>
    </w:p>
    <w:p>
      <w:pPr>
        <w:spacing w:line="360" w:lineRule="auto"/>
        <w:rPr>
          <w:rFonts w:ascii="宋体" w:hAnsi="宋体" w:cs="宋体"/>
          <w:color w:val="auto"/>
          <w:sz w:val="24"/>
          <w:szCs w:val="32"/>
          <w:highlight w:val="none"/>
        </w:rPr>
      </w:pPr>
    </w:p>
    <w:sectPr>
      <w:pgSz w:w="11906" w:h="16838"/>
      <w:pgMar w:top="1080" w:right="1440" w:bottom="1080" w:left="144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2"/>
      <w:rPr>
        <w:rStyle w:val="18"/>
      </w:rPr>
    </w:pPr>
    <w:r>
      <w:fldChar w:fldCharType="begin"/>
    </w:r>
    <w:r>
      <w:rPr>
        <w:rStyle w:val="18"/>
      </w:rPr>
      <w:instrText xml:space="preserve">PAGE  </w:instrText>
    </w:r>
    <w:r>
      <w:fldChar w:fldCharType="separate"/>
    </w:r>
    <w:r>
      <w:rPr>
        <w:rStyle w:val="18"/>
      </w:rPr>
      <w:t>3</w: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422" w:rightChars="201" w:firstLine="270" w:firstLineChars="150"/>
      <w:jc w:val="left"/>
      <w:rPr>
        <w:b/>
        <w:color w:val="5F5F5F"/>
        <w:sz w:val="24"/>
        <w:u w:val="single"/>
      </w:rPr>
    </w:pPr>
    <w:r>
      <w:drawing>
        <wp:inline distT="0" distB="0" distL="0" distR="0">
          <wp:extent cx="1047750" cy="31432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1047750" cy="314325"/>
                  </a:xfrm>
                  <a:prstGeom prst="rect">
                    <a:avLst/>
                  </a:prstGeom>
                  <a:noFill/>
                  <a:ln w="9525">
                    <a:noFill/>
                    <a:miter lim="800000"/>
                    <a:headEnd/>
                    <a:tailEnd/>
                  </a:ln>
                </pic:spPr>
              </pic:pic>
            </a:graphicData>
          </a:graphic>
        </wp:inline>
      </w:drawing>
    </w:r>
    <w:r>
      <w:rPr>
        <w:rFonts w:hint="eastAsia"/>
        <w:b/>
        <w:color w:val="5F5F5F"/>
        <w:sz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D5757"/>
    <w:multiLevelType w:val="multilevel"/>
    <w:tmpl w:val="57BD5757"/>
    <w:lvl w:ilvl="0" w:tentative="0">
      <w:start w:val="0"/>
      <w:numFmt w:val="decimal"/>
      <w:lvlText w:val=""/>
      <w:lvlJc w:val="left"/>
    </w:lvl>
    <w:lvl w:ilvl="1" w:tentative="0">
      <w:start w:val="0"/>
      <w:numFmt w:val="decimal"/>
      <w:lvlText w:val=""/>
      <w:lvlJc w:val="left"/>
    </w:lvl>
    <w:lvl w:ilvl="2" w:tentative="0">
      <w:start w:val="0"/>
      <w:numFmt w:val="decimal"/>
      <w:pStyle w:val="3"/>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34"/>
    <w:rsid w:val="0001777D"/>
    <w:rsid w:val="000304E0"/>
    <w:rsid w:val="00032E29"/>
    <w:rsid w:val="00035457"/>
    <w:rsid w:val="00040403"/>
    <w:rsid w:val="000414AF"/>
    <w:rsid w:val="000456F7"/>
    <w:rsid w:val="00046C44"/>
    <w:rsid w:val="00051D33"/>
    <w:rsid w:val="00055069"/>
    <w:rsid w:val="00061B8C"/>
    <w:rsid w:val="000717A9"/>
    <w:rsid w:val="00081592"/>
    <w:rsid w:val="000B1871"/>
    <w:rsid w:val="000B725B"/>
    <w:rsid w:val="000B7F77"/>
    <w:rsid w:val="000C1AF3"/>
    <w:rsid w:val="000D1923"/>
    <w:rsid w:val="000E0AA9"/>
    <w:rsid w:val="000E3A0C"/>
    <w:rsid w:val="000F0B74"/>
    <w:rsid w:val="000F2E16"/>
    <w:rsid w:val="000F3EA0"/>
    <w:rsid w:val="001016CC"/>
    <w:rsid w:val="00110416"/>
    <w:rsid w:val="00111C91"/>
    <w:rsid w:val="001220BC"/>
    <w:rsid w:val="00125C09"/>
    <w:rsid w:val="00126AAA"/>
    <w:rsid w:val="0013198D"/>
    <w:rsid w:val="00135C13"/>
    <w:rsid w:val="00141B2B"/>
    <w:rsid w:val="0014360A"/>
    <w:rsid w:val="00144268"/>
    <w:rsid w:val="0014469C"/>
    <w:rsid w:val="0014641F"/>
    <w:rsid w:val="0015231B"/>
    <w:rsid w:val="00155001"/>
    <w:rsid w:val="00163AF9"/>
    <w:rsid w:val="001671E1"/>
    <w:rsid w:val="0017150A"/>
    <w:rsid w:val="00172A27"/>
    <w:rsid w:val="001758C2"/>
    <w:rsid w:val="00180988"/>
    <w:rsid w:val="00181646"/>
    <w:rsid w:val="00191A22"/>
    <w:rsid w:val="00193F5D"/>
    <w:rsid w:val="00194F8A"/>
    <w:rsid w:val="001A06B1"/>
    <w:rsid w:val="001A67D0"/>
    <w:rsid w:val="001B41FF"/>
    <w:rsid w:val="001B4985"/>
    <w:rsid w:val="001C3659"/>
    <w:rsid w:val="001C53E6"/>
    <w:rsid w:val="001C75D8"/>
    <w:rsid w:val="001D2AD7"/>
    <w:rsid w:val="001D406D"/>
    <w:rsid w:val="001D46FD"/>
    <w:rsid w:val="001E1C0D"/>
    <w:rsid w:val="001E2F32"/>
    <w:rsid w:val="00201783"/>
    <w:rsid w:val="0020284B"/>
    <w:rsid w:val="002118C2"/>
    <w:rsid w:val="00213692"/>
    <w:rsid w:val="00213D13"/>
    <w:rsid w:val="002143E3"/>
    <w:rsid w:val="00224709"/>
    <w:rsid w:val="002318D0"/>
    <w:rsid w:val="00233504"/>
    <w:rsid w:val="00237F9E"/>
    <w:rsid w:val="00241483"/>
    <w:rsid w:val="002455FA"/>
    <w:rsid w:val="00252BDE"/>
    <w:rsid w:val="00254040"/>
    <w:rsid w:val="002552D2"/>
    <w:rsid w:val="00257A11"/>
    <w:rsid w:val="00260CDF"/>
    <w:rsid w:val="002622C9"/>
    <w:rsid w:val="002633F0"/>
    <w:rsid w:val="002637F5"/>
    <w:rsid w:val="00273BAE"/>
    <w:rsid w:val="0027420A"/>
    <w:rsid w:val="00280609"/>
    <w:rsid w:val="002855DA"/>
    <w:rsid w:val="00287251"/>
    <w:rsid w:val="00294E44"/>
    <w:rsid w:val="002951F8"/>
    <w:rsid w:val="00297B7A"/>
    <w:rsid w:val="002A0AD9"/>
    <w:rsid w:val="002A148E"/>
    <w:rsid w:val="002A2868"/>
    <w:rsid w:val="002A796E"/>
    <w:rsid w:val="002B24EF"/>
    <w:rsid w:val="002B5D0B"/>
    <w:rsid w:val="002C0C73"/>
    <w:rsid w:val="002C1EE1"/>
    <w:rsid w:val="002D1EEE"/>
    <w:rsid w:val="002D2E48"/>
    <w:rsid w:val="002D4A92"/>
    <w:rsid w:val="002D55AD"/>
    <w:rsid w:val="002E3872"/>
    <w:rsid w:val="002E4EF0"/>
    <w:rsid w:val="002E53D5"/>
    <w:rsid w:val="00300436"/>
    <w:rsid w:val="003047C0"/>
    <w:rsid w:val="00306F70"/>
    <w:rsid w:val="00310EEC"/>
    <w:rsid w:val="003244CF"/>
    <w:rsid w:val="00332F58"/>
    <w:rsid w:val="003336CC"/>
    <w:rsid w:val="0034363E"/>
    <w:rsid w:val="00355D58"/>
    <w:rsid w:val="00357AC7"/>
    <w:rsid w:val="00361AA6"/>
    <w:rsid w:val="0036354F"/>
    <w:rsid w:val="00375319"/>
    <w:rsid w:val="003755E9"/>
    <w:rsid w:val="00380B98"/>
    <w:rsid w:val="0038704D"/>
    <w:rsid w:val="0039453A"/>
    <w:rsid w:val="003B5103"/>
    <w:rsid w:val="003C139F"/>
    <w:rsid w:val="003C44CC"/>
    <w:rsid w:val="003C68CF"/>
    <w:rsid w:val="003D3A3D"/>
    <w:rsid w:val="003D49DB"/>
    <w:rsid w:val="003D4A10"/>
    <w:rsid w:val="003D6E8D"/>
    <w:rsid w:val="003E1E11"/>
    <w:rsid w:val="003E2D9D"/>
    <w:rsid w:val="003E3E7D"/>
    <w:rsid w:val="003E4DEF"/>
    <w:rsid w:val="004039D2"/>
    <w:rsid w:val="00405574"/>
    <w:rsid w:val="00413545"/>
    <w:rsid w:val="004136B7"/>
    <w:rsid w:val="0041557C"/>
    <w:rsid w:val="0042406E"/>
    <w:rsid w:val="00426CF2"/>
    <w:rsid w:val="00427F9D"/>
    <w:rsid w:val="004322FB"/>
    <w:rsid w:val="004409FD"/>
    <w:rsid w:val="00443EE0"/>
    <w:rsid w:val="004465F2"/>
    <w:rsid w:val="00450678"/>
    <w:rsid w:val="00453B49"/>
    <w:rsid w:val="0045401E"/>
    <w:rsid w:val="00465661"/>
    <w:rsid w:val="004709EA"/>
    <w:rsid w:val="00471499"/>
    <w:rsid w:val="00472727"/>
    <w:rsid w:val="004749ED"/>
    <w:rsid w:val="00480E47"/>
    <w:rsid w:val="00492759"/>
    <w:rsid w:val="00495AA3"/>
    <w:rsid w:val="004A63AA"/>
    <w:rsid w:val="004B0E06"/>
    <w:rsid w:val="004B3A2B"/>
    <w:rsid w:val="004B6036"/>
    <w:rsid w:val="004B6D52"/>
    <w:rsid w:val="004C0A22"/>
    <w:rsid w:val="004C18A4"/>
    <w:rsid w:val="004C2533"/>
    <w:rsid w:val="004C716E"/>
    <w:rsid w:val="004D352F"/>
    <w:rsid w:val="004D78E0"/>
    <w:rsid w:val="004E0381"/>
    <w:rsid w:val="004E4A7B"/>
    <w:rsid w:val="004F3072"/>
    <w:rsid w:val="004F548D"/>
    <w:rsid w:val="00502C52"/>
    <w:rsid w:val="0050570E"/>
    <w:rsid w:val="00506014"/>
    <w:rsid w:val="005120AE"/>
    <w:rsid w:val="00512E25"/>
    <w:rsid w:val="00514A7F"/>
    <w:rsid w:val="005169E6"/>
    <w:rsid w:val="00524A5C"/>
    <w:rsid w:val="00532A2D"/>
    <w:rsid w:val="00537ADF"/>
    <w:rsid w:val="00554ADA"/>
    <w:rsid w:val="005561C1"/>
    <w:rsid w:val="0056255B"/>
    <w:rsid w:val="0056434F"/>
    <w:rsid w:val="00570D87"/>
    <w:rsid w:val="005836E7"/>
    <w:rsid w:val="00587BB4"/>
    <w:rsid w:val="00594002"/>
    <w:rsid w:val="00594518"/>
    <w:rsid w:val="005A5CBC"/>
    <w:rsid w:val="005C72DF"/>
    <w:rsid w:val="005D4F07"/>
    <w:rsid w:val="005D70E5"/>
    <w:rsid w:val="005D7B93"/>
    <w:rsid w:val="005E1C45"/>
    <w:rsid w:val="005E3697"/>
    <w:rsid w:val="005E4F98"/>
    <w:rsid w:val="005E677C"/>
    <w:rsid w:val="005E6EDA"/>
    <w:rsid w:val="005E7453"/>
    <w:rsid w:val="005F0C5C"/>
    <w:rsid w:val="005F1ED2"/>
    <w:rsid w:val="005F37BB"/>
    <w:rsid w:val="00606405"/>
    <w:rsid w:val="00607480"/>
    <w:rsid w:val="00611CD1"/>
    <w:rsid w:val="006367F7"/>
    <w:rsid w:val="00637146"/>
    <w:rsid w:val="00643ACD"/>
    <w:rsid w:val="006447FD"/>
    <w:rsid w:val="006515E9"/>
    <w:rsid w:val="0066223C"/>
    <w:rsid w:val="00667785"/>
    <w:rsid w:val="00670964"/>
    <w:rsid w:val="00671A9C"/>
    <w:rsid w:val="006739A9"/>
    <w:rsid w:val="00674384"/>
    <w:rsid w:val="00675385"/>
    <w:rsid w:val="00676973"/>
    <w:rsid w:val="0067780A"/>
    <w:rsid w:val="0069020F"/>
    <w:rsid w:val="006A03E7"/>
    <w:rsid w:val="006B0ED9"/>
    <w:rsid w:val="006C16B3"/>
    <w:rsid w:val="006C24F9"/>
    <w:rsid w:val="006E7D10"/>
    <w:rsid w:val="0070285F"/>
    <w:rsid w:val="00703177"/>
    <w:rsid w:val="007043A0"/>
    <w:rsid w:val="00704A24"/>
    <w:rsid w:val="007068C6"/>
    <w:rsid w:val="007122ED"/>
    <w:rsid w:val="00716F76"/>
    <w:rsid w:val="007259DD"/>
    <w:rsid w:val="0072676C"/>
    <w:rsid w:val="00740A03"/>
    <w:rsid w:val="007531FB"/>
    <w:rsid w:val="00753B2B"/>
    <w:rsid w:val="007604E6"/>
    <w:rsid w:val="0076440B"/>
    <w:rsid w:val="00770152"/>
    <w:rsid w:val="00773B81"/>
    <w:rsid w:val="007757BA"/>
    <w:rsid w:val="00777775"/>
    <w:rsid w:val="00782261"/>
    <w:rsid w:val="0078373C"/>
    <w:rsid w:val="007844AA"/>
    <w:rsid w:val="007869AB"/>
    <w:rsid w:val="007A06BB"/>
    <w:rsid w:val="007A16CD"/>
    <w:rsid w:val="007A20C3"/>
    <w:rsid w:val="007A7F45"/>
    <w:rsid w:val="007B46EF"/>
    <w:rsid w:val="007C16FC"/>
    <w:rsid w:val="007C2520"/>
    <w:rsid w:val="007C4AC6"/>
    <w:rsid w:val="007C51BC"/>
    <w:rsid w:val="007C55C3"/>
    <w:rsid w:val="007C5EA3"/>
    <w:rsid w:val="007D2E52"/>
    <w:rsid w:val="007D62FA"/>
    <w:rsid w:val="007E691C"/>
    <w:rsid w:val="007F02F4"/>
    <w:rsid w:val="0080239E"/>
    <w:rsid w:val="0081040E"/>
    <w:rsid w:val="008144A0"/>
    <w:rsid w:val="00822FBD"/>
    <w:rsid w:val="008350A2"/>
    <w:rsid w:val="00843935"/>
    <w:rsid w:val="00851DF2"/>
    <w:rsid w:val="00851FDB"/>
    <w:rsid w:val="00854473"/>
    <w:rsid w:val="008567D2"/>
    <w:rsid w:val="00857078"/>
    <w:rsid w:val="00862A30"/>
    <w:rsid w:val="008656ED"/>
    <w:rsid w:val="0088760B"/>
    <w:rsid w:val="008A6C71"/>
    <w:rsid w:val="008B4D81"/>
    <w:rsid w:val="008C09D7"/>
    <w:rsid w:val="008C1C5C"/>
    <w:rsid w:val="008D116C"/>
    <w:rsid w:val="008D6306"/>
    <w:rsid w:val="008D727E"/>
    <w:rsid w:val="008E3723"/>
    <w:rsid w:val="008E63D4"/>
    <w:rsid w:val="008E68E3"/>
    <w:rsid w:val="008F08FF"/>
    <w:rsid w:val="008F1D27"/>
    <w:rsid w:val="008F421D"/>
    <w:rsid w:val="008F6E66"/>
    <w:rsid w:val="00901AC9"/>
    <w:rsid w:val="00904DD9"/>
    <w:rsid w:val="00910765"/>
    <w:rsid w:val="009115D6"/>
    <w:rsid w:val="0091496D"/>
    <w:rsid w:val="00940E59"/>
    <w:rsid w:val="00940E7E"/>
    <w:rsid w:val="00946C23"/>
    <w:rsid w:val="00953241"/>
    <w:rsid w:val="00956346"/>
    <w:rsid w:val="00957406"/>
    <w:rsid w:val="0096230C"/>
    <w:rsid w:val="00964BA2"/>
    <w:rsid w:val="00972195"/>
    <w:rsid w:val="009801F2"/>
    <w:rsid w:val="00980B42"/>
    <w:rsid w:val="009920F1"/>
    <w:rsid w:val="009939AA"/>
    <w:rsid w:val="009A2AAE"/>
    <w:rsid w:val="009A6CE1"/>
    <w:rsid w:val="009B1DD2"/>
    <w:rsid w:val="009B2751"/>
    <w:rsid w:val="009B3732"/>
    <w:rsid w:val="009B3CF2"/>
    <w:rsid w:val="009C0D7A"/>
    <w:rsid w:val="009C0D9C"/>
    <w:rsid w:val="009C21B6"/>
    <w:rsid w:val="009C26A6"/>
    <w:rsid w:val="009C7D94"/>
    <w:rsid w:val="009E3178"/>
    <w:rsid w:val="009E79A1"/>
    <w:rsid w:val="009F466C"/>
    <w:rsid w:val="009F5F85"/>
    <w:rsid w:val="00A0168F"/>
    <w:rsid w:val="00A052B1"/>
    <w:rsid w:val="00A1541C"/>
    <w:rsid w:val="00A20CB3"/>
    <w:rsid w:val="00A23C64"/>
    <w:rsid w:val="00A2496E"/>
    <w:rsid w:val="00A41E9B"/>
    <w:rsid w:val="00A5563D"/>
    <w:rsid w:val="00A613F0"/>
    <w:rsid w:val="00A647F6"/>
    <w:rsid w:val="00A64920"/>
    <w:rsid w:val="00A660A9"/>
    <w:rsid w:val="00A66FC1"/>
    <w:rsid w:val="00A670BC"/>
    <w:rsid w:val="00A675B6"/>
    <w:rsid w:val="00A709FD"/>
    <w:rsid w:val="00A73325"/>
    <w:rsid w:val="00A73BB5"/>
    <w:rsid w:val="00A7580B"/>
    <w:rsid w:val="00A82986"/>
    <w:rsid w:val="00AA483F"/>
    <w:rsid w:val="00AB0FB4"/>
    <w:rsid w:val="00AC26E4"/>
    <w:rsid w:val="00AC5874"/>
    <w:rsid w:val="00AC6B79"/>
    <w:rsid w:val="00AC6E6C"/>
    <w:rsid w:val="00AD2128"/>
    <w:rsid w:val="00AD310E"/>
    <w:rsid w:val="00AE599A"/>
    <w:rsid w:val="00AE6FB1"/>
    <w:rsid w:val="00AF2E81"/>
    <w:rsid w:val="00AF3574"/>
    <w:rsid w:val="00AF4F88"/>
    <w:rsid w:val="00B00392"/>
    <w:rsid w:val="00B04692"/>
    <w:rsid w:val="00B11BEA"/>
    <w:rsid w:val="00B24789"/>
    <w:rsid w:val="00B31B26"/>
    <w:rsid w:val="00B40281"/>
    <w:rsid w:val="00B4467B"/>
    <w:rsid w:val="00B52337"/>
    <w:rsid w:val="00B73B27"/>
    <w:rsid w:val="00B87DEA"/>
    <w:rsid w:val="00B916FF"/>
    <w:rsid w:val="00B91B43"/>
    <w:rsid w:val="00B955E4"/>
    <w:rsid w:val="00B965C4"/>
    <w:rsid w:val="00BA20DB"/>
    <w:rsid w:val="00BB5F85"/>
    <w:rsid w:val="00BC5B84"/>
    <w:rsid w:val="00BD0D0C"/>
    <w:rsid w:val="00BD0DFF"/>
    <w:rsid w:val="00BD1542"/>
    <w:rsid w:val="00BD245C"/>
    <w:rsid w:val="00BD6CBB"/>
    <w:rsid w:val="00BE0C46"/>
    <w:rsid w:val="00BE603F"/>
    <w:rsid w:val="00BE622A"/>
    <w:rsid w:val="00BF17EB"/>
    <w:rsid w:val="00BF3FDB"/>
    <w:rsid w:val="00BF4860"/>
    <w:rsid w:val="00BF6D8C"/>
    <w:rsid w:val="00C00835"/>
    <w:rsid w:val="00C15CDD"/>
    <w:rsid w:val="00C2386F"/>
    <w:rsid w:val="00C23DF6"/>
    <w:rsid w:val="00C333CA"/>
    <w:rsid w:val="00C33C15"/>
    <w:rsid w:val="00C34BCA"/>
    <w:rsid w:val="00C35AFD"/>
    <w:rsid w:val="00C35EEE"/>
    <w:rsid w:val="00C372FA"/>
    <w:rsid w:val="00C41D6C"/>
    <w:rsid w:val="00C51EC1"/>
    <w:rsid w:val="00C537FE"/>
    <w:rsid w:val="00C5421F"/>
    <w:rsid w:val="00C57505"/>
    <w:rsid w:val="00C60397"/>
    <w:rsid w:val="00C671B3"/>
    <w:rsid w:val="00C7313C"/>
    <w:rsid w:val="00C8047A"/>
    <w:rsid w:val="00C83FB8"/>
    <w:rsid w:val="00C864ED"/>
    <w:rsid w:val="00C87300"/>
    <w:rsid w:val="00C91CBA"/>
    <w:rsid w:val="00C92295"/>
    <w:rsid w:val="00CA16A3"/>
    <w:rsid w:val="00CA4273"/>
    <w:rsid w:val="00CA5925"/>
    <w:rsid w:val="00CA5FD2"/>
    <w:rsid w:val="00CB16B3"/>
    <w:rsid w:val="00CB333C"/>
    <w:rsid w:val="00CB37E6"/>
    <w:rsid w:val="00CB6840"/>
    <w:rsid w:val="00CC0C77"/>
    <w:rsid w:val="00CD186F"/>
    <w:rsid w:val="00CD1E36"/>
    <w:rsid w:val="00CE03D5"/>
    <w:rsid w:val="00CE0B57"/>
    <w:rsid w:val="00CF506C"/>
    <w:rsid w:val="00D12F74"/>
    <w:rsid w:val="00D16F01"/>
    <w:rsid w:val="00D23981"/>
    <w:rsid w:val="00D24D4F"/>
    <w:rsid w:val="00D3073E"/>
    <w:rsid w:val="00D40A90"/>
    <w:rsid w:val="00D4409E"/>
    <w:rsid w:val="00D54095"/>
    <w:rsid w:val="00D5512E"/>
    <w:rsid w:val="00D62058"/>
    <w:rsid w:val="00D6322B"/>
    <w:rsid w:val="00D658A3"/>
    <w:rsid w:val="00D6614D"/>
    <w:rsid w:val="00D71AEE"/>
    <w:rsid w:val="00D72CB2"/>
    <w:rsid w:val="00D737F1"/>
    <w:rsid w:val="00D742ED"/>
    <w:rsid w:val="00D805D6"/>
    <w:rsid w:val="00D842B0"/>
    <w:rsid w:val="00D87088"/>
    <w:rsid w:val="00D87D00"/>
    <w:rsid w:val="00D91C24"/>
    <w:rsid w:val="00D935A0"/>
    <w:rsid w:val="00D964C0"/>
    <w:rsid w:val="00D968B2"/>
    <w:rsid w:val="00D977B3"/>
    <w:rsid w:val="00DA0346"/>
    <w:rsid w:val="00DA0C4B"/>
    <w:rsid w:val="00DA1CFA"/>
    <w:rsid w:val="00DA26FA"/>
    <w:rsid w:val="00DA42DB"/>
    <w:rsid w:val="00DA54DB"/>
    <w:rsid w:val="00DA59DD"/>
    <w:rsid w:val="00DB7892"/>
    <w:rsid w:val="00DC0049"/>
    <w:rsid w:val="00DC43E0"/>
    <w:rsid w:val="00DE48C0"/>
    <w:rsid w:val="00DE518F"/>
    <w:rsid w:val="00DF1617"/>
    <w:rsid w:val="00DF3D7B"/>
    <w:rsid w:val="00E000B1"/>
    <w:rsid w:val="00E01245"/>
    <w:rsid w:val="00E05D62"/>
    <w:rsid w:val="00E06803"/>
    <w:rsid w:val="00E132B2"/>
    <w:rsid w:val="00E146CA"/>
    <w:rsid w:val="00E311AD"/>
    <w:rsid w:val="00E356CD"/>
    <w:rsid w:val="00E37C69"/>
    <w:rsid w:val="00E436EF"/>
    <w:rsid w:val="00E44428"/>
    <w:rsid w:val="00E50499"/>
    <w:rsid w:val="00E51A66"/>
    <w:rsid w:val="00E603D1"/>
    <w:rsid w:val="00E6364D"/>
    <w:rsid w:val="00E656EA"/>
    <w:rsid w:val="00E66D03"/>
    <w:rsid w:val="00E75554"/>
    <w:rsid w:val="00E75901"/>
    <w:rsid w:val="00E75F44"/>
    <w:rsid w:val="00E83026"/>
    <w:rsid w:val="00E911EA"/>
    <w:rsid w:val="00EA57C1"/>
    <w:rsid w:val="00EB24C2"/>
    <w:rsid w:val="00EB3399"/>
    <w:rsid w:val="00EB4560"/>
    <w:rsid w:val="00EB4E1A"/>
    <w:rsid w:val="00EB6F4B"/>
    <w:rsid w:val="00EC11E7"/>
    <w:rsid w:val="00ED0C8F"/>
    <w:rsid w:val="00ED1D01"/>
    <w:rsid w:val="00ED20BA"/>
    <w:rsid w:val="00ED55DF"/>
    <w:rsid w:val="00ED60D4"/>
    <w:rsid w:val="00EE32B1"/>
    <w:rsid w:val="00EF4785"/>
    <w:rsid w:val="00EF5498"/>
    <w:rsid w:val="00F03E90"/>
    <w:rsid w:val="00F077E1"/>
    <w:rsid w:val="00F13CD1"/>
    <w:rsid w:val="00F23775"/>
    <w:rsid w:val="00F253F8"/>
    <w:rsid w:val="00F32997"/>
    <w:rsid w:val="00F356C8"/>
    <w:rsid w:val="00F45929"/>
    <w:rsid w:val="00F46838"/>
    <w:rsid w:val="00F51701"/>
    <w:rsid w:val="00F5233E"/>
    <w:rsid w:val="00F62046"/>
    <w:rsid w:val="00F6215B"/>
    <w:rsid w:val="00F63566"/>
    <w:rsid w:val="00F645FB"/>
    <w:rsid w:val="00F81F83"/>
    <w:rsid w:val="00F977CA"/>
    <w:rsid w:val="00FA142E"/>
    <w:rsid w:val="00FA34B1"/>
    <w:rsid w:val="00FB6C50"/>
    <w:rsid w:val="00FC03DF"/>
    <w:rsid w:val="00FC46B2"/>
    <w:rsid w:val="00FC4C57"/>
    <w:rsid w:val="00FE1D28"/>
    <w:rsid w:val="00FE2B5B"/>
    <w:rsid w:val="00FE7D45"/>
    <w:rsid w:val="00FF1274"/>
    <w:rsid w:val="00FF3F9E"/>
    <w:rsid w:val="00FF6694"/>
    <w:rsid w:val="015F7FEE"/>
    <w:rsid w:val="01EC5C03"/>
    <w:rsid w:val="032F1CA7"/>
    <w:rsid w:val="03924D2B"/>
    <w:rsid w:val="057D442F"/>
    <w:rsid w:val="058B5DB9"/>
    <w:rsid w:val="06572553"/>
    <w:rsid w:val="06A11F5B"/>
    <w:rsid w:val="07987578"/>
    <w:rsid w:val="081376F6"/>
    <w:rsid w:val="081B1B47"/>
    <w:rsid w:val="08DB2D3D"/>
    <w:rsid w:val="09340EFA"/>
    <w:rsid w:val="0A075715"/>
    <w:rsid w:val="0BCF45B9"/>
    <w:rsid w:val="0CF06046"/>
    <w:rsid w:val="0E0E698C"/>
    <w:rsid w:val="0ECE038D"/>
    <w:rsid w:val="0F0E2595"/>
    <w:rsid w:val="0F3559DD"/>
    <w:rsid w:val="0FD958C3"/>
    <w:rsid w:val="0FE9767F"/>
    <w:rsid w:val="102C13A4"/>
    <w:rsid w:val="108D399D"/>
    <w:rsid w:val="10F207A9"/>
    <w:rsid w:val="13465161"/>
    <w:rsid w:val="1604514E"/>
    <w:rsid w:val="16454F59"/>
    <w:rsid w:val="175511B1"/>
    <w:rsid w:val="17B61E4B"/>
    <w:rsid w:val="19F8737C"/>
    <w:rsid w:val="1A406338"/>
    <w:rsid w:val="1AD672FE"/>
    <w:rsid w:val="1C03339F"/>
    <w:rsid w:val="1C5F600D"/>
    <w:rsid w:val="1C6B239E"/>
    <w:rsid w:val="1D6C39E2"/>
    <w:rsid w:val="1D7F7E46"/>
    <w:rsid w:val="1DBF4080"/>
    <w:rsid w:val="1F196EA3"/>
    <w:rsid w:val="1FB003B1"/>
    <w:rsid w:val="226D781A"/>
    <w:rsid w:val="258B2904"/>
    <w:rsid w:val="25A04B09"/>
    <w:rsid w:val="2680204A"/>
    <w:rsid w:val="2ADE00C1"/>
    <w:rsid w:val="2B2F5B50"/>
    <w:rsid w:val="2B777D59"/>
    <w:rsid w:val="2C7726AE"/>
    <w:rsid w:val="2C78447D"/>
    <w:rsid w:val="2D2960FD"/>
    <w:rsid w:val="2DB268DF"/>
    <w:rsid w:val="2EB74A30"/>
    <w:rsid w:val="2EDF270A"/>
    <w:rsid w:val="2F390AA1"/>
    <w:rsid w:val="2FA13190"/>
    <w:rsid w:val="2FA96E93"/>
    <w:rsid w:val="2FD41DF6"/>
    <w:rsid w:val="30D4443C"/>
    <w:rsid w:val="32037B9C"/>
    <w:rsid w:val="33DA37AF"/>
    <w:rsid w:val="368B6DFC"/>
    <w:rsid w:val="38AD2179"/>
    <w:rsid w:val="3B5C4B69"/>
    <w:rsid w:val="3BFA4B9A"/>
    <w:rsid w:val="3C154398"/>
    <w:rsid w:val="3CE8668F"/>
    <w:rsid w:val="3DB418B0"/>
    <w:rsid w:val="3E0744DE"/>
    <w:rsid w:val="3E7D322C"/>
    <w:rsid w:val="3E9623DE"/>
    <w:rsid w:val="3F7769D2"/>
    <w:rsid w:val="400925AC"/>
    <w:rsid w:val="419E5966"/>
    <w:rsid w:val="419E5DB8"/>
    <w:rsid w:val="434C5082"/>
    <w:rsid w:val="480621F5"/>
    <w:rsid w:val="48547B3D"/>
    <w:rsid w:val="48DA252A"/>
    <w:rsid w:val="49696806"/>
    <w:rsid w:val="4ADF1C1F"/>
    <w:rsid w:val="4B097418"/>
    <w:rsid w:val="4C56662C"/>
    <w:rsid w:val="4DDA0125"/>
    <w:rsid w:val="4EE00F5C"/>
    <w:rsid w:val="4FA20DF6"/>
    <w:rsid w:val="506A4808"/>
    <w:rsid w:val="50BC29F0"/>
    <w:rsid w:val="51D53D86"/>
    <w:rsid w:val="51ED67ED"/>
    <w:rsid w:val="53626283"/>
    <w:rsid w:val="53EE42D9"/>
    <w:rsid w:val="55090059"/>
    <w:rsid w:val="55CC4FC1"/>
    <w:rsid w:val="5685072F"/>
    <w:rsid w:val="56B352BC"/>
    <w:rsid w:val="58B7736D"/>
    <w:rsid w:val="5B172D3B"/>
    <w:rsid w:val="5B926640"/>
    <w:rsid w:val="5BE263E8"/>
    <w:rsid w:val="5D6B0E7F"/>
    <w:rsid w:val="5D7C3D9D"/>
    <w:rsid w:val="5D94245A"/>
    <w:rsid w:val="5E471B3D"/>
    <w:rsid w:val="5EAC7C53"/>
    <w:rsid w:val="5F0B7409"/>
    <w:rsid w:val="5F207626"/>
    <w:rsid w:val="612E5101"/>
    <w:rsid w:val="61711B41"/>
    <w:rsid w:val="617859BC"/>
    <w:rsid w:val="626800CA"/>
    <w:rsid w:val="631C75F3"/>
    <w:rsid w:val="63E37B5F"/>
    <w:rsid w:val="63F44B85"/>
    <w:rsid w:val="6444648A"/>
    <w:rsid w:val="64E517F8"/>
    <w:rsid w:val="654445DE"/>
    <w:rsid w:val="673C5487"/>
    <w:rsid w:val="696B0FBD"/>
    <w:rsid w:val="69916AB7"/>
    <w:rsid w:val="6A2660BA"/>
    <w:rsid w:val="6B94515D"/>
    <w:rsid w:val="6BE024F8"/>
    <w:rsid w:val="6C557AF8"/>
    <w:rsid w:val="6C7C4FCE"/>
    <w:rsid w:val="6CB75849"/>
    <w:rsid w:val="6E705FF5"/>
    <w:rsid w:val="70B96B5E"/>
    <w:rsid w:val="7119592D"/>
    <w:rsid w:val="71FA613F"/>
    <w:rsid w:val="721B03E9"/>
    <w:rsid w:val="72F848A6"/>
    <w:rsid w:val="7418070E"/>
    <w:rsid w:val="757B366C"/>
    <w:rsid w:val="765E17F1"/>
    <w:rsid w:val="7A535A0B"/>
    <w:rsid w:val="7C390D1F"/>
    <w:rsid w:val="7C54627D"/>
    <w:rsid w:val="7D816E5A"/>
    <w:rsid w:val="7E451348"/>
    <w:rsid w:val="7E914777"/>
    <w:rsid w:val="7F91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3"/>
    <w:basedOn w:val="1"/>
    <w:next w:val="4"/>
    <w:unhideWhenUsed/>
    <w:qFormat/>
    <w:uiPriority w:val="0"/>
    <w:pPr>
      <w:keepNext/>
      <w:keepLines/>
      <w:numPr>
        <w:ilvl w:val="2"/>
        <w:numId w:val="1"/>
      </w:numPr>
      <w:tabs>
        <w:tab w:val="left" w:pos="0"/>
      </w:tabs>
      <w:spacing w:before="160" w:after="160" w:line="160" w:lineRule="atLeast"/>
      <w:ind w:left="851" w:hanging="284"/>
      <w:outlineLvl w:val="2"/>
    </w:pPr>
    <w:rPr>
      <w:rFonts w:ascii="黑体" w:hAnsi="黑体" w:eastAsia="黑体"/>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styleId="5">
    <w:name w:val="Normal Indent"/>
    <w:basedOn w:val="1"/>
    <w:qFormat/>
    <w:uiPriority w:val="0"/>
    <w:pPr>
      <w:ind w:firstLine="420"/>
    </w:pPr>
    <w:rPr>
      <w:sz w:val="28"/>
    </w:rPr>
  </w:style>
  <w:style w:type="paragraph" w:styleId="6">
    <w:name w:val="annotation text"/>
    <w:basedOn w:val="1"/>
    <w:next w:val="5"/>
    <w:link w:val="26"/>
    <w:qFormat/>
    <w:uiPriority w:val="0"/>
    <w:pPr>
      <w:jc w:val="left"/>
    </w:pPr>
    <w:rPr>
      <w:rFonts w:eastAsia="Times New Roman"/>
      <w:kern w:val="0"/>
      <w:sz w:val="18"/>
      <w:szCs w:val="18"/>
    </w:rPr>
  </w:style>
  <w:style w:type="paragraph" w:styleId="7">
    <w:name w:val="Body Text"/>
    <w:basedOn w:val="1"/>
    <w:link w:val="20"/>
    <w:qFormat/>
    <w:uiPriority w:val="0"/>
    <w:pPr>
      <w:spacing w:after="120"/>
    </w:pPr>
    <w:rPr>
      <w:rFonts w:eastAsia="Times New Roman"/>
      <w:szCs w:val="24"/>
    </w:rPr>
  </w:style>
  <w:style w:type="paragraph" w:styleId="8">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ind w:firstLine="570"/>
    </w:pPr>
  </w:style>
  <w:style w:type="paragraph" w:styleId="11">
    <w:name w:val="Balloon Text"/>
    <w:basedOn w:val="1"/>
    <w:link w:val="30"/>
    <w:qFormat/>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left" w:pos="848"/>
        <w:tab w:val="right" w:leader="dot" w:pos="9174"/>
      </w:tabs>
      <w:spacing w:line="520" w:lineRule="exact"/>
      <w:ind w:left="56" w:leftChars="29"/>
    </w:pPr>
    <w:rPr>
      <w:rFonts w:ascii="楷体_GB2312" w:eastAsia="楷体_GB2312"/>
      <w:b/>
      <w:bCs/>
      <w:szCs w:val="24"/>
    </w:rPr>
  </w:style>
  <w:style w:type="paragraph" w:styleId="15">
    <w:name w:val="Body Text Indent 3"/>
    <w:basedOn w:val="1"/>
    <w:link w:val="22"/>
    <w:qFormat/>
    <w:uiPriority w:val="0"/>
    <w:pPr>
      <w:ind w:left="1260"/>
    </w:pPr>
    <w:rPr>
      <w:rFonts w:ascii="宋体" w:hAnsi="宋体" w:eastAsia="Times New Roman"/>
      <w:sz w:val="28"/>
    </w:rPr>
  </w:style>
  <w:style w:type="character" w:styleId="18">
    <w:name w:val="page number"/>
    <w:basedOn w:val="17"/>
    <w:qFormat/>
    <w:uiPriority w:val="0"/>
  </w:style>
  <w:style w:type="character" w:styleId="19">
    <w:name w:val="Hyperlink"/>
    <w:qFormat/>
    <w:uiPriority w:val="0"/>
    <w:rPr>
      <w:color w:val="0000FF"/>
      <w:u w:val="single"/>
    </w:rPr>
  </w:style>
  <w:style w:type="character" w:customStyle="1" w:styleId="20">
    <w:name w:val="正文文本 Char"/>
    <w:link w:val="7"/>
    <w:qFormat/>
    <w:uiPriority w:val="0"/>
    <w:rPr>
      <w:kern w:val="2"/>
      <w:sz w:val="21"/>
      <w:szCs w:val="24"/>
      <w:lang w:bidi="ar-SA"/>
    </w:rPr>
  </w:style>
  <w:style w:type="character" w:customStyle="1" w:styleId="21">
    <w:name w:val="标题 1 Char"/>
    <w:link w:val="2"/>
    <w:qFormat/>
    <w:uiPriority w:val="0"/>
    <w:rPr>
      <w:rFonts w:eastAsia="宋体"/>
      <w:b/>
      <w:bCs/>
      <w:kern w:val="44"/>
      <w:sz w:val="44"/>
      <w:szCs w:val="44"/>
      <w:lang w:val="en-US" w:eastAsia="zh-CN" w:bidi="ar-SA"/>
    </w:rPr>
  </w:style>
  <w:style w:type="character" w:customStyle="1" w:styleId="22">
    <w:name w:val="正文文本缩进 3 Char"/>
    <w:link w:val="15"/>
    <w:qFormat/>
    <w:uiPriority w:val="0"/>
    <w:rPr>
      <w:rFonts w:ascii="宋体" w:hAnsi="宋体"/>
      <w:kern w:val="2"/>
      <w:sz w:val="28"/>
      <w:lang w:bidi="ar-SA"/>
    </w:rPr>
  </w:style>
  <w:style w:type="character" w:customStyle="1" w:styleId="23">
    <w:name w:val="页脚 Char"/>
    <w:link w:val="12"/>
    <w:qFormat/>
    <w:uiPriority w:val="0"/>
    <w:rPr>
      <w:rFonts w:eastAsia="宋体"/>
      <w:kern w:val="2"/>
      <w:sz w:val="18"/>
      <w:szCs w:val="18"/>
      <w:lang w:val="en-US" w:eastAsia="zh-CN" w:bidi="ar-SA"/>
    </w:rPr>
  </w:style>
  <w:style w:type="character" w:customStyle="1" w:styleId="24">
    <w:name w:val="页眉 Char"/>
    <w:link w:val="13"/>
    <w:qFormat/>
    <w:uiPriority w:val="0"/>
    <w:rPr>
      <w:rFonts w:eastAsia="宋体"/>
      <w:kern w:val="2"/>
      <w:sz w:val="18"/>
      <w:szCs w:val="18"/>
      <w:lang w:val="en-US" w:eastAsia="zh-CN" w:bidi="ar-SA"/>
    </w:rPr>
  </w:style>
  <w:style w:type="character" w:customStyle="1" w:styleId="25">
    <w:name w:val="Char Char1"/>
    <w:qFormat/>
    <w:uiPriority w:val="0"/>
    <w:rPr>
      <w:sz w:val="18"/>
      <w:szCs w:val="18"/>
    </w:rPr>
  </w:style>
  <w:style w:type="character" w:customStyle="1" w:styleId="26">
    <w:name w:val="批注文字 Char"/>
    <w:link w:val="6"/>
    <w:qFormat/>
    <w:uiPriority w:val="0"/>
    <w:rPr>
      <w:sz w:val="18"/>
      <w:szCs w:val="18"/>
    </w:rPr>
  </w:style>
  <w:style w:type="character" w:customStyle="1" w:styleId="27">
    <w:name w:val="页脚 Char Char"/>
    <w:qFormat/>
    <w:uiPriority w:val="0"/>
    <w:rPr>
      <w:kern w:val="2"/>
      <w:sz w:val="18"/>
      <w:szCs w:val="18"/>
    </w:rPr>
  </w:style>
  <w:style w:type="paragraph" w:customStyle="1" w:styleId="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character" w:customStyle="1" w:styleId="30">
    <w:name w:val="批注框文本 Char"/>
    <w:basedOn w:val="17"/>
    <w:link w:val="11"/>
    <w:qFormat/>
    <w:uiPriority w:val="0"/>
    <w:rPr>
      <w:kern w:val="2"/>
      <w:sz w:val="18"/>
      <w:szCs w:val="18"/>
    </w:rPr>
  </w:style>
  <w:style w:type="paragraph" w:customStyle="1" w:styleId="31">
    <w:name w:val="纯文本1"/>
    <w:basedOn w:val="1"/>
    <w:qFormat/>
    <w:uiPriority w:val="0"/>
    <w:pPr>
      <w:adjustRightInd w:val="0"/>
      <w:jc w:val="left"/>
      <w:textAlignment w:val="baseline"/>
    </w:pPr>
    <w:rPr>
      <w:rFonts w:ascii="宋体" w:hAnsi="Courier New"/>
      <w:sz w:val="24"/>
    </w:rPr>
  </w:style>
  <w:style w:type="paragraph" w:customStyle="1" w:styleId="32">
    <w:name w:val="列出段落1"/>
    <w:basedOn w:val="1"/>
    <w:qFormat/>
    <w:uiPriority w:val="34"/>
    <w:pPr>
      <w:spacing w:line="360" w:lineRule="auto"/>
      <w:ind w:firstLine="420" w:firstLineChars="200"/>
    </w:pPr>
    <w:rPr>
      <w:rFonts w:ascii="Calibri" w:hAnsi="Calibri"/>
      <w:sz w:val="24"/>
    </w:rPr>
  </w:style>
  <w:style w:type="paragraph" w:customStyle="1" w:styleId="33">
    <w:name w:val="正文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61310-F851-4328-8A31-69578C7324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1082</Words>
  <Characters>6169</Characters>
  <Lines>51</Lines>
  <Paragraphs>14</Paragraphs>
  <TotalTime>1</TotalTime>
  <ScaleCrop>false</ScaleCrop>
  <LinksUpToDate>false</LinksUpToDate>
  <CharactersWithSpaces>7237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2017-07-13T11:09:00Z</dcterms:created>
  <dc:creator>User</dc:creator>
  <cp:lastModifiedBy>Administrator</cp:lastModifiedBy>
  <cp:lastPrinted>2014-04-02T01:39:00Z</cp:lastPrinted>
  <dcterms:modified xsi:type="dcterms:W3CDTF">2021-01-11T00:51:33Z</dcterms:modified>
  <dc:title>材料批价的办理流程</dc:title>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