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181" w:firstLineChars="245"/>
        <w:rPr>
          <w:rFonts w:ascii="宋体" w:hAnsi="宋体"/>
          <w:b/>
          <w:bCs/>
          <w:color w:val="auto"/>
          <w:sz w:val="48"/>
          <w:szCs w:val="28"/>
          <w:highlight w:val="none"/>
        </w:rPr>
      </w:pPr>
    </w:p>
    <w:p>
      <w:pPr>
        <w:spacing w:line="580" w:lineRule="exact"/>
        <w:ind w:firstLine="1181" w:firstLineChars="245"/>
        <w:rPr>
          <w:rFonts w:ascii="宋体" w:hAnsi="宋体"/>
          <w:b/>
          <w:bCs/>
          <w:color w:val="auto"/>
          <w:sz w:val="48"/>
          <w:szCs w:val="28"/>
          <w:highlight w:val="none"/>
        </w:rPr>
      </w:pPr>
    </w:p>
    <w:p>
      <w:pPr>
        <w:spacing w:line="580" w:lineRule="exact"/>
        <w:ind w:firstLine="1181" w:firstLineChars="245"/>
        <w:rPr>
          <w:rFonts w:ascii="宋体" w:hAnsi="宋体"/>
          <w:b/>
          <w:bCs/>
          <w:color w:val="auto"/>
          <w:sz w:val="48"/>
          <w:szCs w:val="28"/>
          <w:highlight w:val="none"/>
        </w:rPr>
      </w:pPr>
    </w:p>
    <w:p>
      <w:pPr>
        <w:jc w:val="center"/>
        <w:rPr>
          <w:rFonts w:ascii="宋体"/>
          <w:b/>
          <w:color w:val="auto"/>
          <w:sz w:val="48"/>
          <w:szCs w:val="48"/>
          <w:highlight w:val="none"/>
        </w:rPr>
      </w:pPr>
    </w:p>
    <w:p>
      <w:pPr>
        <w:spacing w:line="580" w:lineRule="exact"/>
        <w:ind w:firstLine="1084" w:firstLineChars="300"/>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开元壹号62#地块一期51/52/53/56/57/58号楼</w:t>
      </w:r>
    </w:p>
    <w:p>
      <w:pPr>
        <w:spacing w:line="240" w:lineRule="atLeast"/>
        <w:ind w:firstLine="1807" w:firstLineChars="500"/>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lang w:eastAsia="zh-CN"/>
        </w:rPr>
        <w:t>及垃圾房户内照明配电箱采购</w:t>
      </w:r>
      <w:r>
        <w:rPr>
          <w:rFonts w:hint="eastAsia" w:asciiTheme="minorEastAsia" w:hAnsiTheme="minorEastAsia" w:eastAsiaTheme="minorEastAsia" w:cstheme="minorEastAsia"/>
          <w:b/>
          <w:bCs/>
          <w:color w:val="auto"/>
          <w:sz w:val="36"/>
          <w:szCs w:val="36"/>
          <w:highlight w:val="none"/>
          <w:lang w:val="en-US" w:eastAsia="zh-CN"/>
        </w:rPr>
        <w:t>合同</w:t>
      </w:r>
    </w:p>
    <w:p>
      <w:pPr>
        <w:jc w:val="center"/>
        <w:rPr>
          <w:rFonts w:ascii="宋体"/>
          <w:b/>
          <w:color w:val="auto"/>
          <w:sz w:val="32"/>
          <w:szCs w:val="32"/>
          <w:highlight w:val="none"/>
        </w:rPr>
      </w:pPr>
    </w:p>
    <w:p>
      <w:pPr>
        <w:jc w:val="center"/>
        <w:rPr>
          <w:rFonts w:ascii="宋体"/>
          <w:b/>
          <w:color w:val="auto"/>
          <w:sz w:val="32"/>
          <w:szCs w:val="32"/>
          <w:highlight w:val="none"/>
        </w:rPr>
      </w:pPr>
    </w:p>
    <w:p>
      <w:pPr>
        <w:jc w:val="center"/>
        <w:rPr>
          <w:rFonts w:ascii="仿宋_GB2312" w:eastAsia="仿宋_GB2312"/>
          <w:b/>
          <w:color w:val="auto"/>
          <w:sz w:val="32"/>
          <w:szCs w:val="32"/>
          <w:highlight w:val="none"/>
        </w:rPr>
      </w:pPr>
    </w:p>
    <w:p>
      <w:pPr>
        <w:jc w:val="center"/>
        <w:rPr>
          <w:rFonts w:ascii="仿宋_GB2312" w:eastAsia="仿宋_GB2312"/>
          <w:b/>
          <w:color w:val="auto"/>
          <w:sz w:val="32"/>
          <w:szCs w:val="32"/>
          <w:highlight w:val="none"/>
        </w:rPr>
      </w:pPr>
    </w:p>
    <w:p>
      <w:pPr>
        <w:snapToGrid w:val="0"/>
        <w:spacing w:line="360" w:lineRule="auto"/>
        <w:outlineLvl w:val="0"/>
        <w:rPr>
          <w:b/>
          <w:color w:val="auto"/>
          <w:sz w:val="24"/>
          <w:highlight w:val="none"/>
        </w:rPr>
      </w:pPr>
    </w:p>
    <w:p>
      <w:pPr>
        <w:snapToGrid w:val="0"/>
        <w:spacing w:line="360" w:lineRule="auto"/>
        <w:ind w:firstLine="585" w:firstLineChars="243"/>
        <w:outlineLvl w:val="0"/>
        <w:rPr>
          <w:b/>
          <w:color w:val="auto"/>
          <w:sz w:val="24"/>
          <w:highlight w:val="none"/>
        </w:rPr>
      </w:pPr>
    </w:p>
    <w:p>
      <w:pPr>
        <w:snapToGrid w:val="0"/>
        <w:spacing w:line="360" w:lineRule="auto"/>
        <w:ind w:firstLine="1968" w:firstLineChars="700"/>
        <w:outlineLvl w:val="0"/>
        <w:rPr>
          <w:rFonts w:ascii="宋体" w:hAnsi="宋体" w:cs="宋体"/>
          <w:b/>
          <w:color w:val="auto"/>
          <w:sz w:val="28"/>
          <w:szCs w:val="28"/>
          <w:highlight w:val="none"/>
          <w:u w:val="single"/>
        </w:rPr>
      </w:pPr>
      <w:r>
        <w:rPr>
          <w:rFonts w:hint="eastAsia" w:ascii="宋体" w:hAnsi="宋体" w:cs="宋体"/>
          <w:b/>
          <w:color w:val="auto"/>
          <w:sz w:val="28"/>
          <w:szCs w:val="28"/>
          <w:highlight w:val="none"/>
        </w:rPr>
        <w:t>成 本 代 码：</w:t>
      </w:r>
      <w:r>
        <w:rPr>
          <w:rFonts w:hint="eastAsia" w:ascii="宋体" w:hAnsi="宋体" w:cs="宋体"/>
          <w:b/>
          <w:color w:val="auto"/>
          <w:sz w:val="28"/>
          <w:szCs w:val="28"/>
          <w:highlight w:val="none"/>
          <w:u w:val="single"/>
        </w:rPr>
        <w:t>3.2.1.8</w:t>
      </w:r>
    </w:p>
    <w:p>
      <w:pPr>
        <w:widowControl/>
        <w:spacing w:line="360" w:lineRule="auto"/>
        <w:jc w:val="left"/>
        <w:rPr>
          <w:rFonts w:ascii="宋体" w:hAnsi="宋体" w:cs="宋体"/>
          <w:b/>
          <w:bCs/>
          <w:color w:val="auto"/>
          <w:sz w:val="28"/>
          <w:szCs w:val="28"/>
          <w:highlight w:val="none"/>
          <w:u w:val="single"/>
        </w:rPr>
      </w:pPr>
      <w:r>
        <w:rPr>
          <w:rFonts w:hint="eastAsia" w:ascii="宋体" w:hAnsi="宋体" w:cs="宋体"/>
          <w:b/>
          <w:color w:val="auto"/>
          <w:sz w:val="28"/>
          <w:szCs w:val="28"/>
          <w:highlight w:val="none"/>
        </w:rPr>
        <w:t xml:space="preserve">              合 同 编 号：</w:t>
      </w:r>
      <w:r>
        <w:rPr>
          <w:rFonts w:hint="eastAsia" w:ascii="宋体" w:hAnsi="宋体" w:cs="宋体"/>
          <w:b/>
          <w:bCs/>
          <w:color w:val="auto"/>
          <w:sz w:val="28"/>
          <w:szCs w:val="28"/>
          <w:highlight w:val="none"/>
          <w:u w:val="single"/>
        </w:rPr>
        <w:t>KYYH.62-JA-063</w:t>
      </w:r>
    </w:p>
    <w:p>
      <w:pPr>
        <w:widowControl/>
        <w:spacing w:line="360" w:lineRule="auto"/>
        <w:jc w:val="left"/>
        <w:rPr>
          <w:rFonts w:ascii="宋体" w:hAnsi="宋体" w:cs="宋体"/>
          <w:b/>
          <w:bCs/>
          <w:color w:val="auto"/>
          <w:sz w:val="28"/>
          <w:szCs w:val="28"/>
          <w:highlight w:val="none"/>
          <w:u w:val="single"/>
        </w:rPr>
      </w:pPr>
    </w:p>
    <w:p>
      <w:pPr>
        <w:pStyle w:val="23"/>
        <w:ind w:firstLine="562"/>
        <w:rPr>
          <w:rFonts w:ascii="宋体" w:hAnsi="宋体" w:cs="宋体"/>
          <w:b/>
          <w:bCs/>
          <w:color w:val="auto"/>
          <w:sz w:val="28"/>
          <w:szCs w:val="28"/>
          <w:highlight w:val="none"/>
          <w:u w:val="single"/>
        </w:rPr>
      </w:pPr>
    </w:p>
    <w:p>
      <w:pPr>
        <w:pStyle w:val="23"/>
        <w:ind w:firstLine="0" w:firstLineChars="0"/>
        <w:rPr>
          <w:rFonts w:ascii="宋体" w:hAnsi="宋体" w:cs="宋体"/>
          <w:b/>
          <w:bCs/>
          <w:color w:val="auto"/>
          <w:sz w:val="28"/>
          <w:szCs w:val="28"/>
          <w:highlight w:val="none"/>
          <w:u w:val="single"/>
        </w:rPr>
      </w:pPr>
    </w:p>
    <w:p>
      <w:pPr>
        <w:pStyle w:val="23"/>
        <w:ind w:firstLine="562"/>
        <w:rPr>
          <w:rFonts w:ascii="宋体" w:hAnsi="宋体" w:cs="宋体"/>
          <w:b/>
          <w:bCs/>
          <w:color w:val="auto"/>
          <w:sz w:val="28"/>
          <w:szCs w:val="28"/>
          <w:highlight w:val="none"/>
          <w:u w:val="single"/>
        </w:rPr>
      </w:pPr>
    </w:p>
    <w:p>
      <w:pPr>
        <w:pStyle w:val="23"/>
        <w:ind w:firstLine="562"/>
        <w:rPr>
          <w:rFonts w:ascii="宋体" w:hAnsi="宋体" w:cs="宋体"/>
          <w:b/>
          <w:bCs/>
          <w:color w:val="auto"/>
          <w:sz w:val="28"/>
          <w:szCs w:val="28"/>
          <w:highlight w:val="none"/>
          <w:u w:val="single"/>
        </w:rPr>
      </w:pPr>
    </w:p>
    <w:p>
      <w:pPr>
        <w:pStyle w:val="23"/>
        <w:ind w:firstLine="562"/>
        <w:rPr>
          <w:rFonts w:ascii="宋体" w:hAnsi="宋体" w:cs="宋体"/>
          <w:b/>
          <w:bCs/>
          <w:color w:val="auto"/>
          <w:sz w:val="28"/>
          <w:szCs w:val="28"/>
          <w:highlight w:val="none"/>
          <w:u w:val="single"/>
        </w:rPr>
      </w:pPr>
    </w:p>
    <w:p>
      <w:pPr>
        <w:snapToGrid w:val="0"/>
        <w:spacing w:line="360" w:lineRule="auto"/>
        <w:rPr>
          <w:rFonts w:ascii="宋体" w:hAnsi="宋体" w:cs="宋体"/>
          <w:b/>
          <w:bCs/>
          <w:color w:val="auto"/>
          <w:sz w:val="28"/>
          <w:szCs w:val="28"/>
          <w:highlight w:val="none"/>
          <w:u w:val="none"/>
        </w:rPr>
      </w:pPr>
      <w:r>
        <w:rPr>
          <w:rFonts w:hint="eastAsia" w:ascii="宋体" w:hAnsi="宋体" w:cs="宋体"/>
          <w:b/>
          <w:color w:val="auto"/>
          <w:sz w:val="28"/>
          <w:szCs w:val="28"/>
          <w:highlight w:val="none"/>
        </w:rPr>
        <w:t xml:space="preserve">     发   包  方</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u w:val="none"/>
          <w:lang w:eastAsia="zh-CN"/>
        </w:rPr>
        <w:t>洛阳浩德鑫置地有限公司</w:t>
      </w:r>
      <w:r>
        <w:rPr>
          <w:rFonts w:hint="eastAsia" w:ascii="宋体" w:hAnsi="宋体" w:cs="宋体"/>
          <w:b/>
          <w:bCs/>
          <w:color w:val="auto"/>
          <w:sz w:val="28"/>
          <w:szCs w:val="28"/>
          <w:highlight w:val="none"/>
          <w:u w:val="none"/>
        </w:rPr>
        <w:t xml:space="preserve"> </w:t>
      </w:r>
    </w:p>
    <w:p>
      <w:pPr>
        <w:snapToGrid w:val="0"/>
        <w:spacing w:line="360" w:lineRule="auto"/>
        <w:outlineLvl w:val="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 xml:space="preserve">     承   包  方：</w:t>
      </w:r>
      <w:r>
        <w:rPr>
          <w:rFonts w:hint="eastAsia" w:ascii="宋体" w:hAnsi="宋体" w:cs="宋体"/>
          <w:b/>
          <w:bCs/>
          <w:color w:val="auto"/>
          <w:sz w:val="28"/>
          <w:szCs w:val="28"/>
          <w:highlight w:val="none"/>
          <w:lang w:eastAsia="zh-CN"/>
        </w:rPr>
        <w:t>郑州开开电气设备有限公司</w:t>
      </w:r>
    </w:p>
    <w:p>
      <w:pPr>
        <w:snapToGrid w:val="0"/>
        <w:spacing w:line="360" w:lineRule="auto"/>
        <w:outlineLvl w:val="0"/>
        <w:rPr>
          <w:rFonts w:ascii="宋体" w:hAnsi="宋体" w:cs="宋体"/>
          <w:b/>
          <w:bCs/>
          <w:color w:val="auto"/>
          <w:kern w:val="0"/>
          <w:sz w:val="36"/>
          <w:szCs w:val="36"/>
          <w:highlight w:val="none"/>
        </w:rPr>
      </w:pPr>
      <w:r>
        <w:rPr>
          <w:rFonts w:hint="eastAsia" w:ascii="宋体" w:hAnsi="宋体" w:cs="宋体"/>
          <w:b/>
          <w:bCs/>
          <w:color w:val="auto"/>
          <w:sz w:val="28"/>
          <w:szCs w:val="28"/>
          <w:highlight w:val="none"/>
        </w:rPr>
        <w:t xml:space="preserve">     日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期：二零</w:t>
      </w:r>
      <w:r>
        <w:rPr>
          <w:rFonts w:hint="eastAsia" w:ascii="宋体" w:hAnsi="宋体" w:cs="宋体"/>
          <w:b/>
          <w:bCs/>
          <w:color w:val="auto"/>
          <w:sz w:val="28"/>
          <w:szCs w:val="28"/>
          <w:highlight w:val="none"/>
          <w:lang w:eastAsia="zh-CN"/>
        </w:rPr>
        <w:t>二一</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eastAsia="zh-CN"/>
        </w:rPr>
        <w:t>一</w:t>
      </w:r>
      <w:r>
        <w:rPr>
          <w:rFonts w:hint="eastAsia" w:ascii="宋体" w:hAnsi="宋体" w:cs="宋体"/>
          <w:b/>
          <w:bCs/>
          <w:color w:val="auto"/>
          <w:sz w:val="28"/>
          <w:szCs w:val="28"/>
          <w:highlight w:val="none"/>
        </w:rPr>
        <w:t>月</w:t>
      </w:r>
    </w:p>
    <w:p>
      <w:pPr>
        <w:spacing w:line="580" w:lineRule="exact"/>
        <w:ind w:firstLine="1446" w:firstLineChars="400"/>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开元壹号62#地块一期51/52/53/56/57/58号楼</w:t>
      </w:r>
    </w:p>
    <w:p>
      <w:pPr>
        <w:spacing w:line="580" w:lineRule="exact"/>
        <w:ind w:firstLine="2530" w:firstLineChars="700"/>
        <w:jc w:val="left"/>
        <w:rPr>
          <w:rFonts w:ascii="宋体" w:hAnsi="宋体" w:cs="宋体"/>
          <w:color w:val="auto"/>
          <w:kern w:val="0"/>
          <w:sz w:val="36"/>
          <w:szCs w:val="36"/>
          <w:highlight w:val="none"/>
          <w:lang w:val="zh-CN"/>
        </w:rPr>
      </w:pPr>
      <w:r>
        <w:rPr>
          <w:rFonts w:hint="eastAsia" w:asciiTheme="minorEastAsia" w:hAnsiTheme="minorEastAsia" w:eastAsiaTheme="minorEastAsia" w:cstheme="minorEastAsia"/>
          <w:b/>
          <w:bCs/>
          <w:color w:val="auto"/>
          <w:sz w:val="36"/>
          <w:szCs w:val="36"/>
          <w:highlight w:val="none"/>
          <w:lang w:eastAsia="zh-CN"/>
        </w:rPr>
        <w:t>及垃圾房户内照明配电箱采购</w:t>
      </w:r>
      <w:r>
        <w:rPr>
          <w:rFonts w:hint="eastAsia" w:ascii="宋体" w:hAnsi="宋体" w:cs="宋体"/>
          <w:b/>
          <w:bCs/>
          <w:color w:val="auto"/>
          <w:kern w:val="0"/>
          <w:sz w:val="32"/>
          <w:szCs w:val="32"/>
          <w:highlight w:val="none"/>
          <w:lang w:val="zh-CN"/>
        </w:rPr>
        <w:t>合同</w:t>
      </w:r>
    </w:p>
    <w:p>
      <w:pPr>
        <w:adjustRightInd w:val="0"/>
        <w:snapToGrid w:val="0"/>
        <w:spacing w:line="5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发包方：</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洛阳浩德鑫置地有限公司</w:t>
      </w:r>
      <w:r>
        <w:rPr>
          <w:rFonts w:hint="eastAsia" w:ascii="宋体" w:hAnsi="宋体" w:cs="宋体"/>
          <w:b/>
          <w:color w:val="auto"/>
          <w:sz w:val="24"/>
          <w:highlight w:val="none"/>
        </w:rPr>
        <w:t>（以下简称甲方）</w:t>
      </w:r>
    </w:p>
    <w:p>
      <w:pPr>
        <w:adjustRightInd w:val="0"/>
        <w:snapToGrid w:val="0"/>
        <w:spacing w:line="580" w:lineRule="exact"/>
        <w:ind w:firstLine="482" w:firstLineChars="200"/>
        <w:rPr>
          <w:rFonts w:ascii="宋体" w:cs="宋体"/>
          <w:color w:val="auto"/>
          <w:sz w:val="24"/>
          <w:highlight w:val="none"/>
        </w:rPr>
      </w:pPr>
      <w:r>
        <w:rPr>
          <w:rFonts w:hint="eastAsia" w:ascii="宋体" w:hAnsi="宋体" w:cs="宋体"/>
          <w:b/>
          <w:color w:val="auto"/>
          <w:sz w:val="24"/>
          <w:highlight w:val="none"/>
        </w:rPr>
        <w:t>承包方：</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郑州开开电气设备有限公司</w:t>
      </w:r>
      <w:r>
        <w:rPr>
          <w:rFonts w:hint="eastAsia" w:ascii="宋体" w:hAnsi="宋体" w:cs="宋体"/>
          <w:b/>
          <w:color w:val="auto"/>
          <w:sz w:val="24"/>
          <w:highlight w:val="none"/>
        </w:rPr>
        <w:t>（以下简称乙方）</w:t>
      </w:r>
      <w:bookmarkStart w:id="0" w:name="_Toc180836376"/>
      <w:bookmarkStart w:id="1" w:name="_Toc194316927"/>
      <w:bookmarkStart w:id="2" w:name="_Toc194314530"/>
      <w:bookmarkStart w:id="3" w:name="_Toc194316308"/>
      <w:bookmarkStart w:id="4" w:name="_Toc194719956"/>
      <w:bookmarkStart w:id="5" w:name="_Toc194313235"/>
      <w:bookmarkStart w:id="6" w:name="_Toc194313923"/>
      <w:bookmarkStart w:id="7" w:name="_Toc194374018"/>
      <w:bookmarkStart w:id="8" w:name="_Toc194312526"/>
    </w:p>
    <w:p>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szCs w:val="21"/>
          <w:highlight w:val="none"/>
          <w:shd w:val="clear" w:color="auto" w:fill="FFFFFF"/>
        </w:rPr>
        <w:t>根据《中华人民共和国合同法》等有关法律法规规定，经友好协商，本着平等互利的原则，甲、乙双方就</w:t>
      </w:r>
      <w:r>
        <w:rPr>
          <w:rFonts w:hint="eastAsia" w:ascii="宋体" w:hAnsi="宋体" w:cs="宋体"/>
          <w:bCs/>
          <w:color w:val="auto"/>
          <w:sz w:val="24"/>
          <w:highlight w:val="none"/>
        </w:rPr>
        <w:t>“</w:t>
      </w:r>
      <w:r>
        <w:rPr>
          <w:rFonts w:hint="eastAsia" w:ascii="宋体" w:hAnsi="宋体" w:cs="宋体"/>
          <w:bCs/>
          <w:color w:val="auto"/>
          <w:sz w:val="24"/>
          <w:highlight w:val="none"/>
          <w:lang w:val="zh-CN"/>
        </w:rPr>
        <w:t>配电箱</w:t>
      </w:r>
      <w:r>
        <w:rPr>
          <w:rFonts w:hint="eastAsia" w:ascii="宋体" w:hAnsi="宋体" w:cs="宋体"/>
          <w:bCs/>
          <w:color w:val="auto"/>
          <w:sz w:val="24"/>
          <w:highlight w:val="none"/>
        </w:rPr>
        <w:t>”</w:t>
      </w:r>
      <w:r>
        <w:rPr>
          <w:rFonts w:hint="eastAsia" w:ascii="宋体" w:hAnsi="宋体" w:cs="宋体"/>
          <w:bCs/>
          <w:color w:val="auto"/>
          <w:sz w:val="24"/>
          <w:szCs w:val="21"/>
          <w:highlight w:val="none"/>
          <w:shd w:val="clear" w:color="auto" w:fill="FFFFFF"/>
        </w:rPr>
        <w:t>（以下简称货物）的供货事宜达成如下合同条款</w:t>
      </w:r>
      <w:r>
        <w:rPr>
          <w:rFonts w:hint="eastAsia" w:ascii="宋体" w:hAnsi="宋体" w:cs="宋体"/>
          <w:bCs/>
          <w:color w:val="auto"/>
          <w:sz w:val="24"/>
          <w:szCs w:val="21"/>
          <w:highlight w:val="none"/>
          <w:shd w:val="clear" w:color="auto" w:fill="FFFFFF"/>
          <w:lang w:eastAsia="zh-CN"/>
        </w:rPr>
        <w:t>。</w:t>
      </w:r>
    </w:p>
    <w:p>
      <w:pPr>
        <w:spacing w:line="360" w:lineRule="auto"/>
        <w:ind w:left="-422" w:leftChars="-201" w:firstLine="422" w:firstLineChars="175"/>
        <w:rPr>
          <w:rFonts w:hint="eastAsia" w:ascii="宋体" w:hAnsi="宋体" w:eastAsia="宋体" w:cs="宋体"/>
          <w:color w:val="auto"/>
          <w:sz w:val="24"/>
          <w:highlight w:val="none"/>
          <w:lang w:val="en-US" w:eastAsia="zh-CN"/>
        </w:rPr>
      </w:pPr>
      <w:r>
        <w:rPr>
          <w:rFonts w:hint="eastAsia" w:ascii="宋体" w:hAnsi="宋体" w:cs="宋体"/>
          <w:b/>
          <w:color w:val="auto"/>
          <w:sz w:val="24"/>
          <w:highlight w:val="none"/>
        </w:rPr>
        <w:t>第一条  货物的名称、品种、规格和质量</w:t>
      </w:r>
      <w:r>
        <w:rPr>
          <w:rFonts w:hint="eastAsia" w:ascii="宋体" w:hAnsi="宋体" w:cs="宋体"/>
          <w:b/>
          <w:color w:val="auto"/>
          <w:sz w:val="24"/>
          <w:highlight w:val="none"/>
          <w:lang w:val="en-US" w:eastAsia="zh-CN"/>
        </w:rPr>
        <w:t>及范围</w:t>
      </w:r>
    </w:p>
    <w:p>
      <w:pPr>
        <w:pStyle w:val="2"/>
        <w:spacing w:line="360" w:lineRule="auto"/>
        <w:ind w:left="-422" w:leftChars="-201"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1、货物的名称、品种、规格、品牌：</w:t>
      </w:r>
    </w:p>
    <w:p>
      <w:pPr>
        <w:snapToGrid w:val="0"/>
        <w:spacing w:line="360" w:lineRule="auto"/>
        <w:ind w:firstLine="0" w:firstLineChars="0"/>
        <w:outlineLvl w:val="0"/>
        <w:rPr>
          <w:rFonts w:hint="eastAsia" w:ascii="宋体" w:hAnsi="宋体" w:cs="宋体"/>
          <w:bCs w:val="0"/>
          <w:color w:val="auto"/>
          <w:sz w:val="24"/>
          <w:szCs w:val="22"/>
          <w:highlight w:val="none"/>
        </w:rPr>
      </w:pPr>
      <w:r>
        <w:rPr>
          <w:rFonts w:hint="eastAsia" w:ascii="宋体" w:hAnsi="宋体" w:cs="宋体"/>
          <w:color w:val="auto"/>
          <w:sz w:val="24"/>
          <w:highlight w:val="none"/>
        </w:rPr>
        <w:t>按甲方选定</w:t>
      </w:r>
      <w:r>
        <w:rPr>
          <w:rFonts w:hint="eastAsia" w:ascii="宋体" w:hAnsi="宋体" w:cs="宋体"/>
          <w:color w:val="auto"/>
          <w:sz w:val="24"/>
          <w:szCs w:val="22"/>
          <w:highlight w:val="none"/>
        </w:rPr>
        <w:t>“</w:t>
      </w:r>
      <w:r>
        <w:rPr>
          <w:rFonts w:hint="eastAsia" w:ascii="宋体" w:hAnsi="宋体" w:cs="宋体"/>
          <w:b w:val="0"/>
          <w:bCs w:val="0"/>
          <w:color w:val="auto"/>
          <w:sz w:val="24"/>
          <w:szCs w:val="22"/>
          <w:highlight w:val="none"/>
          <w:lang w:val="en-US" w:eastAsia="zh-CN"/>
        </w:rPr>
        <w:t>郑州开开电气设备有限公司</w:t>
      </w:r>
      <w:r>
        <w:rPr>
          <w:rFonts w:hint="eastAsia" w:ascii="宋体" w:hAnsi="宋体" w:cs="宋体"/>
          <w:b w:val="0"/>
          <w:bCs w:val="0"/>
          <w:color w:val="auto"/>
          <w:sz w:val="24"/>
          <w:szCs w:val="22"/>
          <w:highlight w:val="none"/>
          <w:lang w:eastAsia="zh-CN"/>
        </w:rPr>
        <w:t>”</w:t>
      </w:r>
      <w:r>
        <w:rPr>
          <w:rFonts w:hint="eastAsia" w:ascii="宋体" w:hAnsi="宋体" w:cs="宋体"/>
          <w:color w:val="auto"/>
          <w:sz w:val="24"/>
          <w:szCs w:val="22"/>
          <w:highlight w:val="none"/>
        </w:rPr>
        <w:t>提供的“</w:t>
      </w:r>
      <w:r>
        <w:rPr>
          <w:rFonts w:hint="eastAsia" w:ascii="宋体" w:hAnsi="宋体" w:cs="宋体"/>
          <w:bCs w:val="0"/>
          <w:color w:val="auto"/>
          <w:sz w:val="24"/>
          <w:szCs w:val="22"/>
          <w:highlight w:val="none"/>
          <w:lang w:val="zh-CN"/>
        </w:rPr>
        <w:t>配电箱</w:t>
      </w:r>
      <w:r>
        <w:rPr>
          <w:rFonts w:hint="eastAsia" w:ascii="宋体" w:hAnsi="宋体" w:cs="宋体"/>
          <w:bCs w:val="0"/>
          <w:color w:val="auto"/>
          <w:sz w:val="24"/>
          <w:szCs w:val="22"/>
          <w:highlight w:val="none"/>
        </w:rPr>
        <w:t>”，</w:t>
      </w:r>
      <w:r>
        <w:rPr>
          <w:rFonts w:hint="eastAsia" w:ascii="宋体" w:hAnsi="宋体" w:cs="宋体"/>
          <w:color w:val="auto"/>
          <w:sz w:val="24"/>
          <w:szCs w:val="22"/>
          <w:highlight w:val="none"/>
        </w:rPr>
        <w:t>具体规格及型号见本合同附件；</w:t>
      </w:r>
      <w:r>
        <w:rPr>
          <w:rFonts w:hint="eastAsia" w:ascii="宋体" w:hAnsi="宋体" w:cs="宋体"/>
          <w:bCs w:val="0"/>
          <w:color w:val="auto"/>
          <w:sz w:val="24"/>
          <w:szCs w:val="22"/>
          <w:highlight w:val="none"/>
          <w:lang w:val="zh-CN"/>
        </w:rPr>
        <w:t>配电箱主要</w:t>
      </w:r>
      <w:r>
        <w:rPr>
          <w:rFonts w:hint="eastAsia" w:ascii="宋体" w:hAnsi="宋体" w:cs="宋体"/>
          <w:color w:val="auto"/>
          <w:kern w:val="2"/>
          <w:sz w:val="24"/>
          <w:szCs w:val="22"/>
          <w:highlight w:val="none"/>
        </w:rPr>
        <w:t>电器元件选用“</w:t>
      </w:r>
      <w:r>
        <w:rPr>
          <w:rFonts w:hint="eastAsia" w:ascii="宋体" w:hAnsi="宋体" w:cs="宋体"/>
          <w:color w:val="auto"/>
          <w:kern w:val="2"/>
          <w:sz w:val="24"/>
          <w:szCs w:val="22"/>
          <w:highlight w:val="none"/>
          <w:lang w:val="en-US" w:eastAsia="zh-CN"/>
        </w:rPr>
        <w:t>中国人民</w:t>
      </w:r>
      <w:r>
        <w:rPr>
          <w:rFonts w:hint="eastAsia" w:ascii="宋体" w:hAnsi="宋体" w:cs="宋体"/>
          <w:color w:val="auto"/>
          <w:kern w:val="2"/>
          <w:sz w:val="24"/>
          <w:szCs w:val="22"/>
          <w:highlight w:val="none"/>
        </w:rPr>
        <w:t>”。</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2、货物的质量、技术标准：</w:t>
      </w:r>
    </w:p>
    <w:p>
      <w:pPr>
        <w:spacing w:line="360" w:lineRule="auto"/>
        <w:ind w:firstLine="420" w:firstLineChars="175"/>
        <w:rPr>
          <w:rFonts w:hint="eastAsia" w:ascii="宋体" w:hAnsi="宋体" w:cs="宋体"/>
          <w:color w:val="auto"/>
          <w:sz w:val="24"/>
          <w:highlight w:val="none"/>
        </w:rPr>
      </w:pPr>
      <w:r>
        <w:rPr>
          <w:rFonts w:hint="eastAsia" w:ascii="宋体" w:hAnsi="宋体" w:cs="宋体"/>
          <w:bCs/>
          <w:color w:val="auto"/>
          <w:sz w:val="24"/>
          <w:highlight w:val="none"/>
          <w:lang w:val="zh-CN"/>
        </w:rPr>
        <w:t>配电箱</w:t>
      </w:r>
      <w:r>
        <w:rPr>
          <w:rFonts w:hint="eastAsia" w:ascii="宋体" w:hAnsi="宋体" w:cs="宋体"/>
          <w:color w:val="auto"/>
          <w:sz w:val="24"/>
          <w:highlight w:val="none"/>
        </w:rPr>
        <w:t>质量满足国家或相关行业的强制性质量标准；无强制性标准的应以样品或双方约定的标准为准（包括图纸、样品）等，图纸及样品必须经双方签认并妥善封存，并具有国家认可机构出具的与每批配电箱相对应有效期限内的有效质量检验合格报告。同时，如国家标准、行业标准及企业内控标准不一致时，以其中最高的标准为准。</w:t>
      </w:r>
    </w:p>
    <w:p>
      <w:pPr>
        <w:spacing w:line="360" w:lineRule="auto"/>
        <w:ind w:firstLine="420" w:firstLineChars="175"/>
        <w:rPr>
          <w:rFonts w:ascii="宋体" w:hAnsi="宋体" w:cs="宋体"/>
          <w:bCs/>
          <w:color w:val="auto"/>
          <w:kern w:val="0"/>
          <w:sz w:val="24"/>
          <w:szCs w:val="24"/>
          <w:highlight w:val="none"/>
        </w:rPr>
      </w:pPr>
      <w:r>
        <w:rPr>
          <w:rFonts w:hint="eastAsia" w:ascii="宋体" w:hAnsi="宋体" w:cs="宋体"/>
          <w:bCs/>
          <w:color w:val="auto"/>
          <w:sz w:val="24"/>
          <w:szCs w:val="24"/>
          <w:highlight w:val="none"/>
        </w:rPr>
        <w:t>其中</w:t>
      </w:r>
      <w:r>
        <w:rPr>
          <w:rFonts w:hint="eastAsia" w:ascii="宋体" w:hAnsi="宋体" w:cs="宋体"/>
          <w:bCs/>
          <w:color w:val="auto"/>
          <w:sz w:val="24"/>
          <w:szCs w:val="24"/>
          <w:highlight w:val="none"/>
          <w:lang w:eastAsia="zh-CN"/>
        </w:rPr>
        <w:t>：</w:t>
      </w:r>
    </w:p>
    <w:p>
      <w:pPr>
        <w:spacing w:line="360" w:lineRule="auto"/>
        <w:ind w:firstLine="0" w:firstLineChars="0"/>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明装</w:t>
      </w:r>
      <w:r>
        <w:rPr>
          <w:rFonts w:hint="eastAsia" w:ascii="宋体" w:hAnsi="宋体" w:cs="宋体"/>
          <w:bCs/>
          <w:color w:val="auto"/>
          <w:kern w:val="0"/>
          <w:sz w:val="24"/>
          <w:szCs w:val="24"/>
          <w:highlight w:val="none"/>
        </w:rPr>
        <w:t>配电箱钢板厚度裸板1.</w:t>
      </w:r>
      <w:r>
        <w:rPr>
          <w:rFonts w:hint="eastAsia" w:ascii="宋体" w:hAnsi="宋体" w:cs="宋体"/>
          <w:bCs/>
          <w:color w:val="auto"/>
          <w:kern w:val="0"/>
          <w:sz w:val="24"/>
          <w:szCs w:val="24"/>
          <w:highlight w:val="none"/>
          <w:lang w:val="en-US" w:eastAsia="zh-CN"/>
        </w:rPr>
        <w:t>2</w:t>
      </w:r>
      <w:r>
        <w:rPr>
          <w:rFonts w:ascii="宋体" w:hAnsi="宋体" w:cs="宋体"/>
          <w:bCs/>
          <w:color w:val="auto"/>
          <w:kern w:val="0"/>
          <w:sz w:val="24"/>
          <w:szCs w:val="24"/>
          <w:highlight w:val="none"/>
        </w:rPr>
        <w:t>mm</w:t>
      </w:r>
      <w:r>
        <w:rPr>
          <w:rFonts w:hint="eastAsia" w:ascii="宋体" w:hAnsi="宋体" w:cs="宋体"/>
          <w:bCs/>
          <w:color w:val="auto"/>
          <w:kern w:val="0"/>
          <w:sz w:val="24"/>
          <w:szCs w:val="24"/>
          <w:highlight w:val="none"/>
        </w:rPr>
        <w:t>（允许在国标范围内有误差--正负0</w:t>
      </w:r>
      <w:r>
        <w:rPr>
          <w:rFonts w:ascii="宋体" w:hAnsi="宋体" w:cs="宋体"/>
          <w:bCs/>
          <w:color w:val="auto"/>
          <w:kern w:val="0"/>
          <w:sz w:val="24"/>
          <w:szCs w:val="24"/>
          <w:highlight w:val="none"/>
        </w:rPr>
        <w:t>.07mm</w:t>
      </w:r>
      <w:r>
        <w:rPr>
          <w:rFonts w:hint="eastAsia" w:ascii="宋体" w:hAnsi="宋体" w:cs="宋体"/>
          <w:bCs/>
          <w:color w:val="auto"/>
          <w:kern w:val="0"/>
          <w:sz w:val="24"/>
          <w:szCs w:val="24"/>
          <w:highlight w:val="none"/>
        </w:rPr>
        <w:t>）</w:t>
      </w:r>
      <w:r>
        <w:rPr>
          <w:rFonts w:hint="eastAsia" w:ascii="宋体" w:hAnsi="宋体" w:cs="宋体"/>
          <w:bCs/>
          <w:color w:val="auto"/>
          <w:kern w:val="0"/>
          <w:sz w:val="24"/>
          <w:szCs w:val="24"/>
          <w:highlight w:val="none"/>
          <w:lang w:eastAsia="zh-CN"/>
        </w:rPr>
        <w:t>。</w:t>
      </w:r>
    </w:p>
    <w:p>
      <w:pPr>
        <w:spacing w:line="360" w:lineRule="auto"/>
        <w:ind w:firstLine="0" w:firstLineChars="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户箱</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暗装</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rPr>
        <w:t>钢板厚度裸板1.0</w:t>
      </w:r>
      <w:r>
        <w:rPr>
          <w:rFonts w:ascii="宋体" w:hAnsi="宋体" w:cs="宋体"/>
          <w:bCs/>
          <w:color w:val="auto"/>
          <w:kern w:val="0"/>
          <w:sz w:val="24"/>
          <w:szCs w:val="24"/>
          <w:highlight w:val="none"/>
        </w:rPr>
        <w:t>mm</w:t>
      </w:r>
      <w:r>
        <w:rPr>
          <w:rFonts w:hint="eastAsia" w:ascii="宋体" w:hAnsi="宋体" w:cs="宋体"/>
          <w:bCs/>
          <w:color w:val="auto"/>
          <w:kern w:val="0"/>
          <w:sz w:val="24"/>
          <w:szCs w:val="24"/>
          <w:highlight w:val="none"/>
        </w:rPr>
        <w:t>（允许在国标范围内有误差--正负0</w:t>
      </w:r>
      <w:r>
        <w:rPr>
          <w:rFonts w:ascii="宋体" w:hAnsi="宋体" w:cs="宋体"/>
          <w:bCs/>
          <w:color w:val="auto"/>
          <w:kern w:val="0"/>
          <w:sz w:val="24"/>
          <w:szCs w:val="24"/>
          <w:highlight w:val="none"/>
        </w:rPr>
        <w:t>.05mm</w:t>
      </w:r>
      <w:r>
        <w:rPr>
          <w:rFonts w:hint="eastAsia" w:ascii="宋体" w:hAnsi="宋体" w:cs="宋体"/>
          <w:bCs/>
          <w:color w:val="auto"/>
          <w:kern w:val="0"/>
          <w:sz w:val="24"/>
          <w:szCs w:val="24"/>
          <w:highlight w:val="none"/>
        </w:rPr>
        <w:t>）。</w:t>
      </w:r>
    </w:p>
    <w:p>
      <w:pPr>
        <w:spacing w:line="360" w:lineRule="auto"/>
        <w:ind w:firstLine="420" w:firstLineChars="175"/>
        <w:outlineLvl w:val="9"/>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范围</w:t>
      </w:r>
      <w:r>
        <w:rPr>
          <w:rFonts w:hint="eastAsia" w:ascii="宋体" w:hAnsi="宋体" w:cs="宋体"/>
          <w:b w:val="0"/>
          <w:bCs/>
          <w:color w:val="auto"/>
          <w:sz w:val="24"/>
          <w:szCs w:val="24"/>
          <w:highlight w:val="none"/>
          <w:lang w:eastAsia="zh-CN"/>
        </w:rPr>
        <w:t>：</w:t>
      </w:r>
    </w:p>
    <w:p>
      <w:pPr>
        <w:tabs>
          <w:tab w:val="left" w:pos="4053"/>
          <w:tab w:val="left" w:pos="7141"/>
          <w:tab w:val="left" w:pos="8279"/>
        </w:tabs>
        <w:spacing w:line="480" w:lineRule="auto"/>
        <w:outlineLvl w:val="0"/>
        <w:rPr>
          <w:rFonts w:hint="eastAsia" w:ascii="宋体" w:hAnsi="宋体" w:cs="宋体"/>
          <w:bCs/>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bCs/>
          <w:color w:val="auto"/>
          <w:sz w:val="24"/>
          <w:szCs w:val="24"/>
          <w:highlight w:val="none"/>
        </w:rPr>
        <w:t>1、图纸范围内</w:t>
      </w:r>
      <w:r>
        <w:rPr>
          <w:rFonts w:hint="eastAsia" w:ascii="宋体" w:hAnsi="宋体" w:cs="宋体"/>
          <w:bCs/>
          <w:color w:val="auto"/>
          <w:sz w:val="24"/>
          <w:szCs w:val="24"/>
          <w:highlight w:val="none"/>
          <w:lang w:val="en-US" w:eastAsia="zh-CN"/>
        </w:rPr>
        <w:t>户内照明配电箱。</w:t>
      </w:r>
    </w:p>
    <w:p>
      <w:pPr>
        <w:tabs>
          <w:tab w:val="left" w:pos="4053"/>
          <w:tab w:val="left" w:pos="7141"/>
          <w:tab w:val="left" w:pos="8279"/>
        </w:tabs>
        <w:spacing w:line="480" w:lineRule="auto"/>
        <w:outlineLvl w:val="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 xml:space="preserve"> 2、制作成品的必要检、试验项目</w:t>
      </w:r>
      <w:r>
        <w:rPr>
          <w:rFonts w:hint="eastAsia" w:ascii="宋体" w:hAnsi="宋体" w:cs="宋体"/>
          <w:bCs/>
          <w:color w:val="auto"/>
          <w:sz w:val="24"/>
          <w:szCs w:val="24"/>
          <w:highlight w:val="none"/>
          <w:lang w:eastAsia="zh-CN"/>
        </w:rPr>
        <w:t>。</w:t>
      </w:r>
    </w:p>
    <w:p>
      <w:pPr>
        <w:pStyle w:val="2"/>
        <w:rPr>
          <w:rFonts w:hint="eastAsia"/>
          <w:color w:val="auto"/>
          <w:highlight w:val="none"/>
          <w:lang w:val="zh-CN"/>
        </w:rPr>
      </w:pPr>
      <w:r>
        <w:rPr>
          <w:rFonts w:hint="eastAsia" w:ascii="宋体" w:hAnsi="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rPr>
        <w:t>、本合同包制作、装车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送货及卸货、不含安装。</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第二条  货物的数量和计量单位、计量方法</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货物的数量：实际需要的货物品种、规格、数量详见附件</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2、按本合同附件的计量单位为准。</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计量方法：按验收合格的数量乘以相应货物单价据实计算。</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第三条  货物的交货单位（或交货人）、交货方法、运输方式、到货地点</w:t>
      </w:r>
    </w:p>
    <w:p>
      <w:pPr>
        <w:spacing w:line="360" w:lineRule="auto"/>
        <w:ind w:left="122" w:leftChars="1" w:hanging="120" w:hangingChars="50"/>
        <w:rPr>
          <w:rFonts w:hint="eastAsia" w:ascii="宋体" w:hAnsi="宋体" w:cs="宋体"/>
          <w:color w:val="auto"/>
          <w:sz w:val="24"/>
          <w:highlight w:val="none"/>
        </w:rPr>
      </w:pPr>
      <w:r>
        <w:rPr>
          <w:rFonts w:hint="eastAsia" w:ascii="宋体" w:hAnsi="宋体" w:cs="宋体"/>
          <w:color w:val="auto"/>
          <w:sz w:val="24"/>
          <w:szCs w:val="22"/>
          <w:highlight w:val="none"/>
        </w:rPr>
        <w:t>1、货物的收货单位（或交货人）： 总包单位为</w:t>
      </w:r>
      <w:r>
        <w:rPr>
          <w:rFonts w:hint="eastAsia" w:ascii="宋体" w:hAnsi="宋体" w:cs="宋体"/>
          <w:color w:val="auto"/>
          <w:sz w:val="24"/>
          <w:szCs w:val="22"/>
          <w:highlight w:val="none"/>
          <w:lang w:val="en-US" w:eastAsia="zh-CN"/>
        </w:rPr>
        <w:t>中国建筑第五工程局有限公司</w:t>
      </w:r>
      <w:r>
        <w:rPr>
          <w:rFonts w:hint="eastAsia" w:ascii="宋体" w:hAnsi="宋体" w:cs="宋体"/>
          <w:color w:val="auto"/>
          <w:sz w:val="24"/>
          <w:szCs w:val="22"/>
          <w:highlight w:val="none"/>
        </w:rPr>
        <w:t>，乙方按照订货清单送至各订货</w:t>
      </w:r>
      <w:r>
        <w:rPr>
          <w:rFonts w:hint="eastAsia" w:ascii="宋体" w:hAnsi="宋体" w:cs="宋体"/>
          <w:color w:val="auto"/>
          <w:sz w:val="24"/>
          <w:highlight w:val="none"/>
        </w:rPr>
        <w:t>单位，乙方按照以上各楼栋接货人进行配送货物。</w:t>
      </w:r>
    </w:p>
    <w:p>
      <w:pPr>
        <w:spacing w:line="360" w:lineRule="auto"/>
        <w:ind w:left="238"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2、交货方法：乙方送货及装卸车；户内箱按照甲方要求送货，底盒和箱芯</w:t>
      </w:r>
      <w:r>
        <w:rPr>
          <w:rFonts w:hint="eastAsia" w:ascii="宋体" w:hAnsi="宋体" w:cs="宋体"/>
          <w:color w:val="auto"/>
          <w:sz w:val="24"/>
          <w:highlight w:val="none"/>
          <w:lang w:eastAsia="zh-CN"/>
        </w:rPr>
        <w:t>分开</w:t>
      </w:r>
      <w:r>
        <w:rPr>
          <w:rFonts w:hint="eastAsia" w:ascii="宋体" w:hAnsi="宋体" w:cs="宋体"/>
          <w:color w:val="auto"/>
          <w:sz w:val="24"/>
          <w:highlight w:val="none"/>
        </w:rPr>
        <w:t>供货。</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3、运输方式：乙方自行选择运输方式，确保货物按期送达。</w:t>
      </w:r>
    </w:p>
    <w:p>
      <w:pPr>
        <w:spacing w:line="360" w:lineRule="auto"/>
        <w:ind w:left="122" w:leftChars="1" w:hanging="120" w:hangingChars="50"/>
        <w:rPr>
          <w:rFonts w:hint="eastAsia" w:ascii="宋体" w:hAnsi="宋体" w:cs="宋体"/>
          <w:color w:val="auto"/>
          <w:sz w:val="24"/>
          <w:szCs w:val="22"/>
          <w:highlight w:val="none"/>
        </w:rPr>
      </w:pPr>
      <w:r>
        <w:rPr>
          <w:rFonts w:hint="eastAsia" w:ascii="宋体" w:hAnsi="宋体" w:cs="宋体"/>
          <w:color w:val="auto"/>
          <w:sz w:val="24"/>
          <w:highlight w:val="none"/>
        </w:rPr>
        <w:t>4</w:t>
      </w:r>
      <w:r>
        <w:rPr>
          <w:rFonts w:hint="eastAsia" w:ascii="宋体" w:hAnsi="宋体" w:cs="宋体"/>
          <w:color w:val="auto"/>
          <w:sz w:val="24"/>
          <w:szCs w:val="22"/>
          <w:highlight w:val="none"/>
        </w:rPr>
        <w:t>、到货地点和接货单位（或接货人）：乙方负责将货物送至合同指定的楼盘地址：</w:t>
      </w:r>
      <w:r>
        <w:rPr>
          <w:rFonts w:hint="eastAsia" w:ascii="宋体" w:hAnsi="宋体" w:eastAsia="宋体" w:cs="宋体"/>
          <w:bCs w:val="0"/>
          <w:color w:val="auto"/>
          <w:kern w:val="2"/>
          <w:sz w:val="24"/>
          <w:szCs w:val="22"/>
          <w:highlight w:val="none"/>
          <w:lang w:val="en-US" w:eastAsia="zh-CN"/>
        </w:rPr>
        <w:t>河</w:t>
      </w:r>
      <w:r>
        <w:rPr>
          <w:rFonts w:hint="eastAsia" w:ascii="宋体" w:hAnsi="宋体" w:eastAsia="宋体" w:cs="宋体"/>
          <w:bCs w:val="0"/>
          <w:color w:val="auto"/>
          <w:kern w:val="2"/>
          <w:sz w:val="24"/>
          <w:szCs w:val="22"/>
          <w:highlight w:val="none"/>
        </w:rPr>
        <w:t>南省洛阳市</w:t>
      </w:r>
      <w:r>
        <w:rPr>
          <w:rFonts w:hint="eastAsia" w:ascii="宋体" w:hAnsi="宋体" w:cs="宋体"/>
          <w:bCs w:val="0"/>
          <w:color w:val="auto"/>
          <w:kern w:val="2"/>
          <w:sz w:val="24"/>
          <w:szCs w:val="22"/>
          <w:highlight w:val="none"/>
          <w:lang w:eastAsia="zh-CN"/>
        </w:rPr>
        <w:t>洛龙区开元大道与蔡伦路交叉口东南开元壹号</w:t>
      </w:r>
      <w:r>
        <w:rPr>
          <w:rFonts w:hint="eastAsia" w:ascii="宋体" w:hAnsi="宋体" w:cs="宋体"/>
          <w:bCs w:val="0"/>
          <w:color w:val="auto"/>
          <w:kern w:val="2"/>
          <w:sz w:val="24"/>
          <w:szCs w:val="22"/>
          <w:highlight w:val="none"/>
          <w:lang w:val="en-US" w:eastAsia="zh-CN"/>
        </w:rPr>
        <w:t>项目，接货人：毛克予</w:t>
      </w:r>
      <w:r>
        <w:rPr>
          <w:rFonts w:hint="eastAsia" w:ascii="宋体" w:hAnsi="宋体" w:cs="宋体"/>
          <w:color w:val="auto"/>
          <w:sz w:val="24"/>
          <w:highlight w:val="none"/>
          <w:lang w:val="en-US" w:eastAsia="zh-CN"/>
        </w:rPr>
        <w:t>18103889699</w:t>
      </w:r>
      <w:r>
        <w:rPr>
          <w:rFonts w:hint="eastAsia" w:ascii="宋体" w:hAnsi="宋体" w:cs="宋体"/>
          <w:color w:val="auto"/>
          <w:sz w:val="24"/>
          <w:szCs w:val="22"/>
          <w:highlight w:val="none"/>
        </w:rPr>
        <w:t>5</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rPr>
        <w:t>附件3中为本次工程到货《收货单》及《验收单》，每次乙方送货后将签字《收货单》复印</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份送招采部及工程部备案。</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rPr>
        <w:t>验收单</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rPr>
        <w:t>一式5份，请款及结算都要随资料递交。</w:t>
      </w:r>
    </w:p>
    <w:p>
      <w:pPr>
        <w:spacing w:line="360" w:lineRule="auto"/>
        <w:ind w:left="244" w:leftChars="2" w:hanging="240" w:hangingChars="1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、每次送货，</w:t>
      </w:r>
      <w:r>
        <w:rPr>
          <w:rFonts w:hint="eastAsia" w:ascii="宋体" w:hAnsi="宋体" w:cs="宋体"/>
          <w:color w:val="auto"/>
          <w:sz w:val="24"/>
          <w:highlight w:val="none"/>
          <w:lang w:val="en-US" w:eastAsia="zh-CN"/>
        </w:rPr>
        <w:t>乙方应</w:t>
      </w:r>
      <w:r>
        <w:rPr>
          <w:rFonts w:hint="eastAsia" w:ascii="宋体" w:hAnsi="宋体" w:cs="宋体"/>
          <w:color w:val="auto"/>
          <w:sz w:val="24"/>
          <w:highlight w:val="none"/>
        </w:rPr>
        <w:t>报送各产品合格证件及加盖红章检测报告复印件各肆套。</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第四条  货物的交货时间</w:t>
      </w:r>
    </w:p>
    <w:p>
      <w:pPr>
        <w:spacing w:line="360" w:lineRule="auto"/>
        <w:ind w:left="-422" w:leftChars="-201" w:firstLine="420" w:firstLineChars="175"/>
        <w:rPr>
          <w:rFonts w:hint="eastAsia" w:ascii="宋体" w:hAnsi="宋体" w:cs="宋体"/>
          <w:color w:val="auto"/>
          <w:sz w:val="24"/>
          <w:highlight w:val="none"/>
          <w:u w:val="none"/>
        </w:rPr>
      </w:pPr>
      <w:r>
        <w:rPr>
          <w:rFonts w:hint="eastAsia" w:ascii="宋体" w:hAnsi="宋体" w:cs="宋体"/>
          <w:color w:val="auto"/>
          <w:sz w:val="24"/>
          <w:highlight w:val="none"/>
          <w:u w:val="none"/>
        </w:rPr>
        <w:t xml:space="preserve"> </w:t>
      </w:r>
      <w:r>
        <w:rPr>
          <w:rFonts w:hint="eastAsia" w:ascii="宋体" w:hAnsi="宋体" w:cs="宋体"/>
          <w:bCs/>
          <w:color w:val="auto"/>
          <w:sz w:val="24"/>
          <w:szCs w:val="24"/>
          <w:highlight w:val="none"/>
          <w:u w:val="none"/>
          <w:lang w:eastAsia="zh-CN"/>
        </w:rPr>
        <w:t>户箱箱体接甲方通知后</w:t>
      </w:r>
      <w:r>
        <w:rPr>
          <w:rFonts w:hint="eastAsia" w:ascii="宋体" w:hAnsi="宋体" w:cs="宋体"/>
          <w:bCs/>
          <w:color w:val="auto"/>
          <w:sz w:val="24"/>
          <w:szCs w:val="24"/>
          <w:highlight w:val="none"/>
          <w:u w:val="none"/>
          <w:lang w:val="en-US" w:eastAsia="zh-CN"/>
        </w:rPr>
        <w:t>7天到货，</w:t>
      </w:r>
      <w:r>
        <w:rPr>
          <w:rFonts w:hint="eastAsia" w:ascii="宋体" w:hAnsi="宋体" w:cs="宋体"/>
          <w:bCs/>
          <w:color w:val="auto"/>
          <w:spacing w:val="0"/>
          <w:kern w:val="2"/>
          <w:sz w:val="24"/>
          <w:szCs w:val="24"/>
          <w:highlight w:val="none"/>
          <w:u w:val="none"/>
          <w:lang w:val="en-US"/>
        </w:rPr>
        <w:t>每批次15日历天</w:t>
      </w:r>
      <w:r>
        <w:rPr>
          <w:rFonts w:hint="eastAsia" w:ascii="宋体" w:hAnsi="宋体" w:cs="宋体"/>
          <w:bCs/>
          <w:color w:val="auto"/>
          <w:spacing w:val="0"/>
          <w:kern w:val="2"/>
          <w:sz w:val="24"/>
          <w:szCs w:val="24"/>
          <w:highlight w:val="none"/>
          <w:u w:val="none"/>
          <w:lang w:val="en-US" w:eastAsia="zh-CN"/>
        </w:rPr>
        <w:t>，</w:t>
      </w:r>
      <w:r>
        <w:rPr>
          <w:rFonts w:hint="eastAsia" w:ascii="宋体" w:hAnsi="宋体" w:cs="宋体"/>
          <w:bCs/>
          <w:color w:val="auto"/>
          <w:sz w:val="24"/>
          <w:szCs w:val="24"/>
          <w:highlight w:val="none"/>
          <w:u w:val="none"/>
        </w:rPr>
        <w:t>货</w:t>
      </w:r>
      <w:r>
        <w:rPr>
          <w:rFonts w:hint="eastAsia" w:ascii="宋体" w:hAnsi="宋体" w:cs="宋体"/>
          <w:color w:val="auto"/>
          <w:sz w:val="24"/>
          <w:highlight w:val="none"/>
          <w:u w:val="none"/>
        </w:rPr>
        <w:t>物的交货日期</w:t>
      </w:r>
      <w:r>
        <w:rPr>
          <w:rFonts w:hint="eastAsia" w:ascii="宋体" w:hAnsi="宋体" w:cs="宋体"/>
          <w:color w:val="auto"/>
          <w:sz w:val="24"/>
          <w:highlight w:val="none"/>
          <w:u w:val="none"/>
          <w:lang w:eastAsia="zh-CN"/>
        </w:rPr>
        <w:t>具体</w:t>
      </w:r>
      <w:r>
        <w:rPr>
          <w:rFonts w:hint="eastAsia" w:ascii="宋体" w:hAnsi="宋体" w:cs="宋体"/>
          <w:bCs/>
          <w:color w:val="auto"/>
          <w:sz w:val="24"/>
          <w:szCs w:val="24"/>
          <w:highlight w:val="none"/>
          <w:u w:val="none"/>
        </w:rPr>
        <w:t>按甲方</w:t>
      </w:r>
      <w:r>
        <w:rPr>
          <w:rFonts w:hint="eastAsia" w:ascii="宋体" w:hAnsi="宋体" w:cs="宋体"/>
          <w:bCs/>
          <w:color w:val="auto"/>
          <w:sz w:val="24"/>
          <w:szCs w:val="24"/>
          <w:highlight w:val="none"/>
          <w:u w:val="none"/>
          <w:lang w:eastAsia="zh-CN"/>
        </w:rPr>
        <w:t>书面</w:t>
      </w:r>
      <w:r>
        <w:rPr>
          <w:rFonts w:hint="eastAsia" w:ascii="宋体" w:hAnsi="宋体" w:cs="宋体"/>
          <w:bCs/>
          <w:color w:val="auto"/>
          <w:sz w:val="24"/>
          <w:szCs w:val="24"/>
          <w:highlight w:val="none"/>
          <w:u w:val="none"/>
        </w:rPr>
        <w:t>通知为准</w:t>
      </w:r>
      <w:r>
        <w:rPr>
          <w:rFonts w:hint="eastAsia" w:ascii="宋体" w:hAnsi="宋体" w:cs="宋体"/>
          <w:bCs/>
          <w:color w:val="auto"/>
          <w:sz w:val="24"/>
          <w:szCs w:val="24"/>
          <w:highlight w:val="none"/>
          <w:u w:val="none"/>
          <w:lang w:eastAsia="zh-CN"/>
        </w:rPr>
        <w:t>。</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第五条  风险转移</w:t>
      </w:r>
    </w:p>
    <w:p>
      <w:pPr>
        <w:spacing w:line="360" w:lineRule="auto"/>
        <w:ind w:left="2" w:leftChars="1"/>
        <w:rPr>
          <w:rFonts w:hint="eastAsia" w:ascii="宋体" w:hAnsi="宋体" w:eastAsia="宋体" w:cs="宋体"/>
          <w:color w:val="auto"/>
          <w:sz w:val="24"/>
          <w:highlight w:val="none"/>
        </w:rPr>
      </w:pPr>
      <w:r>
        <w:rPr>
          <w:rFonts w:hint="eastAsia" w:ascii="宋体" w:hAnsi="宋体" w:cs="宋体"/>
          <w:color w:val="auto"/>
          <w:sz w:val="24"/>
          <w:highlight w:val="none"/>
        </w:rPr>
        <w:t>货物及运输的毁损灭失等风险，在送达完毕且未经甲方验收合格前由乙方承担，验收合格货物移交至收货单位后由甲方承担。</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第六条  验收方法 后附材料验收单</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1、样品封存：本合同签订前，由乙方提供箱体及内部元器件作为封样样品。</w:t>
      </w:r>
    </w:p>
    <w:p>
      <w:pPr>
        <w:tabs>
          <w:tab w:val="left" w:pos="1080"/>
        </w:tabs>
        <w:snapToGrid w:val="0"/>
        <w:spacing w:line="360" w:lineRule="auto"/>
        <w:ind w:left="362" w:leftChars="1" w:hanging="360" w:hangingChars="150"/>
        <w:rPr>
          <w:rFonts w:hint="eastAsia" w:ascii="宋体" w:hAnsi="宋体" w:cs="宋体"/>
          <w:color w:val="auto"/>
          <w:sz w:val="24"/>
          <w:highlight w:val="none"/>
        </w:rPr>
      </w:pPr>
      <w:r>
        <w:rPr>
          <w:rFonts w:hint="eastAsia" w:ascii="宋体" w:hAnsi="宋体" w:cs="宋体"/>
          <w:color w:val="auto"/>
          <w:sz w:val="24"/>
          <w:highlight w:val="none"/>
        </w:rPr>
        <w:t>2、甲方按双方签认的样品及合同文件中电器元件的产地或品牌的要求对到货产品进行验收</w:t>
      </w:r>
    </w:p>
    <w:p>
      <w:pPr>
        <w:tabs>
          <w:tab w:val="left" w:pos="1080"/>
        </w:tabs>
        <w:snapToGrid w:val="0"/>
        <w:spacing w:line="360" w:lineRule="auto"/>
        <w:ind w:left="362" w:leftChars="1" w:hanging="360" w:hangingChars="150"/>
        <w:rPr>
          <w:rFonts w:hint="eastAsia" w:ascii="宋体" w:hAnsi="宋体" w:cs="宋体"/>
          <w:color w:val="auto"/>
          <w:sz w:val="24"/>
          <w:highlight w:val="none"/>
        </w:rPr>
      </w:pPr>
      <w:r>
        <w:rPr>
          <w:rFonts w:hint="eastAsia" w:ascii="宋体" w:hAnsi="宋体" w:cs="宋体"/>
          <w:color w:val="auto"/>
          <w:sz w:val="24"/>
          <w:highlight w:val="none"/>
        </w:rPr>
        <w:t>3、质量标准按国家现行相关标准及规范执行，并达到优良等级标准。</w:t>
      </w:r>
    </w:p>
    <w:p>
      <w:pPr>
        <w:spacing w:line="360" w:lineRule="auto"/>
        <w:ind w:left="359" w:leftChars="28" w:hanging="300" w:hangingChars="125"/>
        <w:rPr>
          <w:rFonts w:hint="eastAsia" w:ascii="宋体" w:hAnsi="宋体" w:cs="宋体"/>
          <w:color w:val="auto"/>
          <w:sz w:val="24"/>
          <w:highlight w:val="none"/>
        </w:rPr>
      </w:pPr>
      <w:r>
        <w:rPr>
          <w:rFonts w:hint="eastAsia" w:ascii="宋体" w:hAnsi="宋体" w:cs="宋体"/>
          <w:color w:val="auto"/>
          <w:sz w:val="24"/>
          <w:highlight w:val="none"/>
        </w:rPr>
        <w:t>4、货物到达现场之日起7天内甲方必须验收完毕，如因甲方原因超过7天未验收，则视为验收合格。</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5、验收时乙方须随货物提交的附件包括：国家认可机构检验的质量合格报告、合格证书、保修书、安装说明书等；否则，视为货物质量不符合合同约定，甲方有权拒收货物，因此导致逾期交付由乙方承担相关违约责任。</w:t>
      </w:r>
    </w:p>
    <w:p>
      <w:pPr>
        <w:spacing w:line="360" w:lineRule="auto"/>
        <w:ind w:firstLine="0" w:firstLineChars="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甲方对施工过程中的工程质量问题实行零容忍，若乙方</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的材料设备不符合合同约定的品牌、厂家、产地、材质、工艺、规格、型号等标准，或者存在“假冒伪劣”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质量、强化施工质量意识，如出现前述约定的情形，乙方承诺除按照本条款承担相应责任外，还应当按照该部分材料设备对应的合同价款的</w:t>
      </w:r>
      <w:r>
        <w:rPr>
          <w:rFonts w:hint="eastAsia" w:ascii="宋体" w:hAnsi="宋体" w:cs="宋体"/>
          <w:color w:val="auto"/>
          <w:sz w:val="24"/>
          <w:highlight w:val="none"/>
          <w:lang w:eastAsia="zh-CN"/>
        </w:rPr>
        <w:t>叁</w:t>
      </w:r>
      <w:r>
        <w:rPr>
          <w:rFonts w:hint="eastAsia" w:ascii="宋体" w:hAnsi="宋体" w:cs="宋体"/>
          <w:color w:val="auto"/>
          <w:sz w:val="24"/>
          <w:highlight w:val="none"/>
        </w:rPr>
        <w:t>倍金额另行向甲方支付惩罚性赔偿。即便</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已验收合格或验收合格前甲方已经提前投入使用，但工程质量问题确系乙方原因造成的，乙方应当在甲方通知的期限内履行保修责任，按期整改合格的，该部分</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给予结算100%，拒不整改或未按期整改合格的，该部分</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甲方不予结算。</w:t>
      </w:r>
    </w:p>
    <w:p>
      <w:pPr>
        <w:pStyle w:val="23"/>
        <w:rPr>
          <w:rFonts w:hint="eastAsia" w:ascii="宋体" w:hAnsi="宋体" w:eastAsia="宋体" w:cs="宋体"/>
          <w:color w:val="auto"/>
          <w:highlight w:val="none"/>
          <w:lang w:val="en-US" w:eastAsia="zh-CN"/>
        </w:rPr>
      </w:pP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第七条  合同价款</w:t>
      </w:r>
    </w:p>
    <w:p>
      <w:pPr>
        <w:spacing w:line="360" w:lineRule="auto"/>
        <w:ind w:left="362" w:leftChars="1" w:hanging="360" w:hangingChars="150"/>
        <w:rPr>
          <w:rFonts w:hint="eastAsia" w:ascii="宋体" w:hAnsi="宋体" w:cs="宋体"/>
          <w:color w:val="auto"/>
          <w:sz w:val="24"/>
          <w:szCs w:val="22"/>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w:t>
      </w:r>
      <w:r>
        <w:rPr>
          <w:rFonts w:hint="eastAsia" w:ascii="宋体" w:hAnsi="宋体" w:cs="宋体"/>
          <w:b/>
          <w:bCs/>
          <w:color w:val="auto"/>
          <w:sz w:val="24"/>
          <w:szCs w:val="22"/>
          <w:highlight w:val="none"/>
        </w:rPr>
        <w:t>本合同采用固定综合单价、以实结算的形式</w:t>
      </w:r>
      <w:r>
        <w:rPr>
          <w:rFonts w:hint="eastAsia" w:ascii="宋体" w:hAnsi="宋体" w:cs="宋体"/>
          <w:b/>
          <w:bCs/>
          <w:color w:val="auto"/>
          <w:sz w:val="24"/>
          <w:highlight w:val="none"/>
        </w:rPr>
        <w:t>。在图纸有发生变更的情况下，乙方不得以任何理由提出单价变动。</w:t>
      </w:r>
    </w:p>
    <w:p>
      <w:pPr>
        <w:spacing w:line="360" w:lineRule="auto"/>
        <w:ind w:firstLine="480" w:firstLineChars="200"/>
        <w:rPr>
          <w:rFonts w:hint="eastAsia" w:ascii="宋体" w:hAnsi="宋体" w:eastAsia="宋体" w:cs="宋体"/>
          <w:color w:val="auto"/>
          <w:sz w:val="24"/>
          <w:szCs w:val="22"/>
          <w:highlight w:val="none"/>
          <w:lang w:eastAsia="zh-CN"/>
        </w:rPr>
      </w:pPr>
      <w:r>
        <w:rPr>
          <w:rFonts w:hint="eastAsia" w:ascii="宋体" w:hAnsi="宋体" w:cs="宋体"/>
          <w:color w:val="auto"/>
          <w:sz w:val="24"/>
          <w:szCs w:val="22"/>
          <w:highlight w:val="none"/>
        </w:rPr>
        <w:t>本次合同暂定总价为：</w:t>
      </w:r>
      <w:r>
        <w:rPr>
          <w:rFonts w:hint="eastAsia" w:ascii="宋体" w:hAnsi="宋体" w:cs="宋体"/>
          <w:color w:val="auto"/>
          <w:sz w:val="24"/>
          <w:szCs w:val="22"/>
          <w:highlight w:val="none"/>
          <w:lang w:val="en-US" w:eastAsia="zh-CN"/>
        </w:rPr>
        <w:t>300000</w:t>
      </w:r>
      <w:r>
        <w:rPr>
          <w:rFonts w:hint="eastAsia" w:ascii="宋体" w:hAnsi="宋体" w:cs="宋体"/>
          <w:color w:val="auto"/>
          <w:sz w:val="24"/>
          <w:szCs w:val="22"/>
          <w:highlight w:val="none"/>
        </w:rPr>
        <w:t>元整。大写：</w:t>
      </w:r>
      <w:r>
        <w:rPr>
          <w:rFonts w:hint="eastAsia" w:ascii="宋体" w:hAnsi="宋体" w:cs="宋体"/>
          <w:color w:val="auto"/>
          <w:sz w:val="24"/>
          <w:szCs w:val="22"/>
          <w:highlight w:val="none"/>
          <w:lang w:val="en-US" w:eastAsia="zh-CN"/>
        </w:rPr>
        <w:t xml:space="preserve"> 叁拾万</w:t>
      </w:r>
      <w:r>
        <w:rPr>
          <w:rFonts w:hint="eastAsia" w:ascii="宋体" w:hAnsi="宋体" w:cs="宋体"/>
          <w:color w:val="auto"/>
          <w:sz w:val="24"/>
          <w:szCs w:val="22"/>
          <w:highlight w:val="none"/>
        </w:rPr>
        <w:t>圆整。上述金额为含税金额，其中不含税金额为【</w:t>
      </w:r>
      <w:r>
        <w:rPr>
          <w:rFonts w:hint="eastAsia" w:ascii="宋体" w:hAnsi="宋体" w:cs="宋体"/>
          <w:color w:val="auto"/>
          <w:sz w:val="24"/>
          <w:szCs w:val="22"/>
          <w:highlight w:val="none"/>
          <w:lang w:val="en-US" w:eastAsia="zh-CN"/>
        </w:rPr>
        <w:t>265486.73</w:t>
      </w:r>
      <w:r>
        <w:rPr>
          <w:rFonts w:hint="eastAsia" w:ascii="宋体" w:hAnsi="宋体" w:cs="宋体"/>
          <w:color w:val="auto"/>
          <w:sz w:val="24"/>
          <w:szCs w:val="22"/>
          <w:highlight w:val="none"/>
        </w:rPr>
        <w:t>】元，增值税率为【</w:t>
      </w:r>
      <w:r>
        <w:rPr>
          <w:rFonts w:hint="eastAsia" w:ascii="宋体" w:hAnsi="宋体" w:cs="宋体"/>
          <w:color w:val="auto"/>
          <w:sz w:val="24"/>
          <w:szCs w:val="22"/>
          <w:highlight w:val="none"/>
          <w:lang w:val="en-US" w:eastAsia="zh-CN"/>
        </w:rPr>
        <w:t>13</w:t>
      </w:r>
      <w:r>
        <w:rPr>
          <w:rFonts w:hint="eastAsia" w:ascii="宋体" w:hAnsi="宋体" w:cs="宋体"/>
          <w:color w:val="auto"/>
          <w:sz w:val="24"/>
          <w:szCs w:val="22"/>
          <w:highlight w:val="none"/>
        </w:rPr>
        <w:t>】%，税款为【</w:t>
      </w:r>
      <w:r>
        <w:rPr>
          <w:rFonts w:hint="eastAsia" w:ascii="宋体" w:hAnsi="宋体" w:cs="宋体"/>
          <w:color w:val="auto"/>
          <w:sz w:val="24"/>
          <w:szCs w:val="22"/>
          <w:highlight w:val="none"/>
          <w:lang w:val="en-US" w:eastAsia="zh-CN"/>
        </w:rPr>
        <w:t>34513.27</w:t>
      </w:r>
      <w:r>
        <w:rPr>
          <w:rFonts w:hint="eastAsia" w:ascii="宋体" w:hAnsi="宋体" w:cs="宋体"/>
          <w:color w:val="auto"/>
          <w:sz w:val="24"/>
          <w:szCs w:val="22"/>
          <w:highlight w:val="none"/>
        </w:rPr>
        <w:t>】元。固定综合单价详见附件</w:t>
      </w:r>
      <w:r>
        <w:rPr>
          <w:rFonts w:hint="eastAsia" w:ascii="宋体" w:hAnsi="宋体" w:cs="宋体"/>
          <w:color w:val="auto"/>
          <w:sz w:val="24"/>
          <w:szCs w:val="22"/>
          <w:highlight w:val="none"/>
          <w:lang w:eastAsia="zh-CN"/>
        </w:rPr>
        <w:t>。</w:t>
      </w:r>
    </w:p>
    <w:p>
      <w:pPr>
        <w:spacing w:line="360" w:lineRule="auto"/>
        <w:ind w:left="362" w:leftChars="1" w:hanging="360" w:hangingChars="150"/>
        <w:rPr>
          <w:rFonts w:hint="eastAsia" w:ascii="宋体" w:hAnsi="宋体" w:cs="宋体"/>
          <w:color w:val="auto"/>
          <w:sz w:val="24"/>
          <w:szCs w:val="22"/>
          <w:highlight w:val="none"/>
        </w:rPr>
      </w:pPr>
      <w:r>
        <w:rPr>
          <w:rFonts w:hint="eastAsia" w:ascii="宋体" w:hAnsi="宋体" w:cs="宋体"/>
          <w:color w:val="auto"/>
          <w:sz w:val="24"/>
          <w:szCs w:val="22"/>
          <w:highlight w:val="none"/>
        </w:rPr>
        <w:t>货物的价格包括货物的材料费、运输费、交货地卸车费、相关税费及利润、各类风险、税费、二次装卸费、运到甲方指定地点等全部费用。</w:t>
      </w:r>
    </w:p>
    <w:p>
      <w:pPr>
        <w:numPr>
          <w:ilvl w:val="255"/>
          <w:numId w:val="0"/>
        </w:numPr>
        <w:tabs>
          <w:tab w:val="left" w:pos="4053"/>
          <w:tab w:val="left" w:pos="7141"/>
          <w:tab w:val="left" w:pos="8279"/>
        </w:tabs>
        <w:spacing w:line="480" w:lineRule="auto"/>
        <w:outlineLvl w:val="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第八条、 付款方式</w:t>
      </w:r>
      <w:r>
        <w:rPr>
          <w:rFonts w:hint="eastAsia" w:ascii="宋体" w:hAnsi="宋体" w:cs="宋体"/>
          <w:b/>
          <w:bCs/>
          <w:color w:val="auto"/>
          <w:sz w:val="24"/>
          <w:highlight w:val="none"/>
          <w:lang w:eastAsia="zh-CN"/>
        </w:rPr>
        <w:t>及发票规定</w:t>
      </w:r>
    </w:p>
    <w:p>
      <w:pPr>
        <w:numPr>
          <w:ilvl w:val="255"/>
          <w:numId w:val="0"/>
        </w:numPr>
        <w:tabs>
          <w:tab w:val="left" w:pos="4053"/>
          <w:tab w:val="left" w:pos="7141"/>
          <w:tab w:val="left" w:pos="8279"/>
        </w:tabs>
        <w:spacing w:line="480" w:lineRule="auto"/>
        <w:ind w:firstLine="241" w:firstLineChars="1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1、根据工程施工阶段需求分批供货</w:t>
      </w:r>
    </w:p>
    <w:p>
      <w:pPr>
        <w:pStyle w:val="11"/>
        <w:spacing w:line="48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（1）本工程无预付款；</w:t>
      </w:r>
    </w:p>
    <w:p>
      <w:pPr>
        <w:pStyle w:val="11"/>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（2）每批货全部到货完毕验收合格，支付至本批次配电箱</w:t>
      </w:r>
      <w:r>
        <w:rPr>
          <w:rFonts w:hint="eastAsia" w:ascii="宋体" w:hAnsi="宋体" w:eastAsia="宋体" w:cs="宋体"/>
          <w:color w:val="auto"/>
          <w:sz w:val="24"/>
          <w:szCs w:val="24"/>
          <w:highlight w:val="none"/>
          <w:lang w:val="en-US" w:eastAsia="zh-CN"/>
        </w:rPr>
        <w:t>到货</w:t>
      </w:r>
      <w:r>
        <w:rPr>
          <w:rFonts w:hint="eastAsia" w:ascii="宋体" w:hAnsi="宋体" w:eastAsia="宋体" w:cs="宋体"/>
          <w:color w:val="auto"/>
          <w:sz w:val="24"/>
          <w:szCs w:val="24"/>
          <w:highlight w:val="none"/>
        </w:rPr>
        <w:t>价款的80%</w:t>
      </w:r>
      <w:r>
        <w:rPr>
          <w:rFonts w:hint="eastAsia" w:ascii="宋体" w:hAnsi="宋体" w:eastAsia="宋体" w:cs="宋体"/>
          <w:color w:val="auto"/>
          <w:sz w:val="24"/>
          <w:szCs w:val="24"/>
          <w:highlight w:val="none"/>
          <w:lang w:eastAsia="zh-CN"/>
        </w:rPr>
        <w:t>；</w:t>
      </w:r>
    </w:p>
    <w:p>
      <w:pPr>
        <w:spacing w:line="413"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1"/>
          <w:highlight w:val="none"/>
        </w:rPr>
        <w:t>全部配电箱送货完毕并竣工验收合格，办理结算完毕后支付至结算金额的95%，留取5%质保金，质保期为两年</w:t>
      </w:r>
      <w:r>
        <w:rPr>
          <w:rFonts w:hint="eastAsia" w:ascii="宋体" w:hAnsi="宋体" w:cs="宋体"/>
          <w:color w:val="auto"/>
          <w:sz w:val="24"/>
          <w:szCs w:val="21"/>
          <w:highlight w:val="none"/>
          <w:lang w:eastAsia="zh-CN"/>
        </w:rPr>
        <w:t>，</w:t>
      </w:r>
      <w:r>
        <w:rPr>
          <w:rFonts w:hint="eastAsia" w:ascii="宋体" w:hAnsi="宋体" w:cs="宋体"/>
          <w:color w:val="auto"/>
          <w:sz w:val="24"/>
          <w:szCs w:val="21"/>
          <w:highlight w:val="none"/>
        </w:rPr>
        <w:t>质保期应自竣工验收合格开始计算</w:t>
      </w:r>
      <w:r>
        <w:rPr>
          <w:rFonts w:hint="eastAsia" w:ascii="宋体" w:hAnsi="宋体" w:cs="宋体"/>
          <w:color w:val="auto"/>
          <w:sz w:val="24"/>
          <w:szCs w:val="21"/>
          <w:highlight w:val="none"/>
          <w:lang w:eastAsia="zh-CN"/>
        </w:rPr>
        <w:t>；</w:t>
      </w:r>
    </w:p>
    <w:p>
      <w:pPr>
        <w:spacing w:line="413" w:lineRule="atLeas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（4）办理结算时</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需提供符合要求的《甲供材料、设备（配电箱）验收单》作为结算依据，详见附件3</w:t>
      </w:r>
      <w:r>
        <w:rPr>
          <w:rFonts w:hint="eastAsia" w:ascii="宋体" w:hAnsi="宋体" w:cs="宋体"/>
          <w:color w:val="auto"/>
          <w:sz w:val="24"/>
          <w:szCs w:val="24"/>
          <w:highlight w:val="none"/>
          <w:lang w:eastAsia="zh-CN"/>
        </w:rPr>
        <w:t>；</w:t>
      </w:r>
    </w:p>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（5）付</w:t>
      </w:r>
      <w:r>
        <w:rPr>
          <w:rFonts w:hint="eastAsia" w:ascii="宋体" w:hAnsi="宋体" w:cs="宋体"/>
          <w:color w:val="auto"/>
          <w:sz w:val="24"/>
          <w:szCs w:val="21"/>
          <w:highlight w:val="none"/>
        </w:rPr>
        <w:t>结算金额的</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款前，乙方应将结算金额100%的正规、有效的增值税专用发票全额开具，否则甲方除扣留质保金外，有权拒绝支付该笔款项。乙方应在开票之后5个工作日内将发票送达甲方，甲方签收发票的日期为发票的送达日期</w:t>
      </w:r>
      <w:r>
        <w:rPr>
          <w:rFonts w:hint="eastAsia" w:ascii="宋体" w:hAnsi="宋体" w:cs="宋体"/>
          <w:color w:val="auto"/>
          <w:sz w:val="24"/>
          <w:szCs w:val="24"/>
          <w:highlight w:val="none"/>
          <w:lang w:eastAsia="zh-CN"/>
        </w:rPr>
        <w:t>；</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2、对发票不合规的约定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23"/>
        <w:spacing w:line="360" w:lineRule="auto"/>
        <w:ind w:firstLine="480"/>
        <w:rPr>
          <w:rFonts w:hint="eastAsia" w:ascii="宋体" w:hAnsi="宋体" w:cs="宋体"/>
          <w:dstrike w:val="0"/>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dstrike w:val="0"/>
          <w:color w:val="auto"/>
          <w:sz w:val="24"/>
          <w:szCs w:val="24"/>
          <w:highlight w:val="none"/>
          <w:lang w:val="en-US" w:eastAsia="zh-CN"/>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pStyle w:val="23"/>
        <w:spacing w:line="360" w:lineRule="auto"/>
        <w:ind w:firstLine="480"/>
        <w:rPr>
          <w:rFonts w:hint="eastAsia" w:ascii="宋体" w:hAnsi="宋体" w:cs="宋体"/>
          <w:dstrike w:val="0"/>
          <w:color w:val="auto"/>
          <w:sz w:val="24"/>
          <w:szCs w:val="24"/>
          <w:highlight w:val="none"/>
          <w:lang w:val="en-US" w:eastAsia="zh-CN"/>
        </w:rPr>
      </w:pPr>
      <w:r>
        <w:rPr>
          <w:rFonts w:hint="eastAsia" w:ascii="宋体" w:hAnsi="宋体" w:cs="宋体"/>
          <w:dstrike w:val="0"/>
          <w:color w:val="auto"/>
          <w:sz w:val="24"/>
          <w:szCs w:val="24"/>
          <w:highlight w:val="none"/>
          <w:lang w:val="en-US" w:eastAsia="zh-CN"/>
        </w:rPr>
        <w:t>若非因国家税收政策变动，</w:t>
      </w:r>
      <w:r>
        <w:rPr>
          <w:rFonts w:hint="eastAsia" w:ascii="宋体" w:hAnsi="宋体" w:cs="宋体"/>
          <w:dstrike w:val="0"/>
          <w:color w:val="auto"/>
          <w:sz w:val="24"/>
          <w:szCs w:val="24"/>
          <w:highlight w:val="none"/>
        </w:rPr>
        <w:t>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dstrike w:val="0"/>
          <w:color w:val="auto"/>
          <w:sz w:val="24"/>
          <w:szCs w:val="24"/>
          <w:highlight w:val="none"/>
          <w:u w:val="single"/>
        </w:rPr>
        <w:t>_20</w:t>
      </w:r>
      <w:r>
        <w:rPr>
          <w:rFonts w:hint="eastAsia" w:ascii="宋体" w:hAnsi="宋体" w:cs="宋体"/>
          <w:dstrike w:val="0"/>
          <w:color w:val="auto"/>
          <w:sz w:val="24"/>
          <w:szCs w:val="24"/>
          <w:highlight w:val="none"/>
        </w:rPr>
        <w:t>_%的违约金，违约金不足以弥补甲方损失的，乙方应予赔偿，甲方有权终止合同。</w:t>
      </w:r>
    </w:p>
    <w:p>
      <w:pPr>
        <w:pStyle w:val="23"/>
        <w:spacing w:line="360" w:lineRule="auto"/>
        <w:ind w:firstLine="48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其它税务风险的合同约定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如果甲方丢失增值税专用发票联和抵扣联，乙方应向甲方提供专用发票记账联复印件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并加盖乙方发票专用章</w:t>
      </w:r>
      <w:r>
        <w:rPr>
          <w:rFonts w:hint="eastAsia" w:ascii="宋体" w:hAnsi="宋体" w:cs="宋体"/>
          <w:color w:val="auto"/>
          <w:sz w:val="24"/>
          <w:szCs w:val="24"/>
          <w:highlight w:val="none"/>
        </w:rPr>
        <w:t>。</w:t>
      </w:r>
    </w:p>
    <w:p>
      <w:pPr>
        <w:pStyle w:val="35"/>
        <w:autoSpaceDE w:val="0"/>
        <w:autoSpaceDN w:val="0"/>
        <w:adjustRightInd w:val="0"/>
        <w:snapToGrid w:val="0"/>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如果获得开具的汇总专用发票，则乙方应提供其防伪税控系统开具的《销售货物或者提供应税劳务清单》，并加盖发票专用章。</w:t>
      </w:r>
    </w:p>
    <w:p>
      <w:pPr>
        <w:ind w:firstLine="0" w:firstLineChars="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第九条、合同结算方式</w:t>
      </w:r>
    </w:p>
    <w:p>
      <w:pPr>
        <w:numPr>
          <w:ilvl w:val="-1"/>
          <w:numId w:val="0"/>
        </w:numPr>
        <w:spacing w:line="360" w:lineRule="auto"/>
        <w:ind w:left="0" w:leftChars="0" w:firstLine="480" w:firstLineChars="200"/>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1、结算价格=</w:t>
      </w:r>
      <w:r>
        <w:rPr>
          <w:rFonts w:hint="eastAsia" w:ascii="宋体" w:hAnsi="宋体" w:cs="宋体"/>
          <w:b/>
          <w:bCs/>
          <w:color w:val="auto"/>
          <w:sz w:val="24"/>
          <w:szCs w:val="22"/>
          <w:highlight w:val="none"/>
        </w:rPr>
        <w:t>综合</w:t>
      </w:r>
      <w:r>
        <w:rPr>
          <w:rFonts w:hint="eastAsia" w:ascii="宋体" w:hAnsi="宋体" w:cs="宋体"/>
          <w:color w:val="auto"/>
          <w:sz w:val="24"/>
          <w:highlight w:val="none"/>
        </w:rPr>
        <w:t>单价*数</w:t>
      </w:r>
      <w:r>
        <w:rPr>
          <w:rFonts w:hint="eastAsia" w:ascii="宋体" w:hAnsi="宋体" w:cs="宋体"/>
          <w:color w:val="auto"/>
          <w:sz w:val="24"/>
          <w:szCs w:val="22"/>
          <w:highlight w:val="none"/>
        </w:rPr>
        <w:t>量±变更签证-应扣费用</w:t>
      </w:r>
      <w:r>
        <w:rPr>
          <w:rFonts w:hint="eastAsia" w:ascii="宋体" w:hAnsi="宋体" w:cs="宋体"/>
          <w:color w:val="auto"/>
          <w:sz w:val="24"/>
          <w:szCs w:val="22"/>
          <w:highlight w:val="none"/>
          <w:lang w:eastAsia="zh-CN"/>
        </w:rPr>
        <w:t>。</w:t>
      </w:r>
    </w:p>
    <w:p>
      <w:pPr>
        <w:pStyle w:val="11"/>
        <w:spacing w:line="360" w:lineRule="auto"/>
        <w:ind w:left="0" w:leftChars="0" w:firstLine="480" w:firstLineChars="200"/>
        <w:jc w:val="both"/>
        <w:rPr>
          <w:rFonts w:hint="eastAsia" w:ascii="宋体" w:hAnsi="宋体" w:eastAsia="宋体" w:cs="宋体"/>
          <w:b w:val="0"/>
          <w:bCs w:val="0"/>
          <w:color w:val="auto"/>
          <w:kern w:val="2"/>
          <w:sz w:val="24"/>
          <w:szCs w:val="22"/>
          <w:highlight w:val="none"/>
        </w:rPr>
      </w:pPr>
      <w:r>
        <w:rPr>
          <w:rFonts w:hint="eastAsia" w:ascii="宋体" w:hAnsi="宋体" w:eastAsia="宋体" w:cs="宋体"/>
          <w:b w:val="0"/>
          <w:bCs w:val="0"/>
          <w:color w:val="auto"/>
          <w:kern w:val="2"/>
          <w:sz w:val="24"/>
          <w:szCs w:val="22"/>
          <w:highlight w:val="none"/>
        </w:rPr>
        <w:t>2、变更签证处理办法：在合同实际执行过程中，如配电箱图纸变更或数量增减发生的金额变化：</w:t>
      </w:r>
    </w:p>
    <w:p>
      <w:pPr>
        <w:pStyle w:val="11"/>
        <w:spacing w:line="360" w:lineRule="auto"/>
        <w:ind w:left="242" w:leftChars="1" w:hanging="240" w:hanging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（1）如仅配电箱数量变更，箱体内部配置并未发生改变，则按照合同后附表中对应货品价格进行增减。</w:t>
      </w:r>
    </w:p>
    <w:p>
      <w:pPr>
        <w:pStyle w:val="11"/>
        <w:spacing w:line="360" w:lineRule="auto"/>
        <w:ind w:left="242" w:leftChars="1" w:hanging="240" w:hanging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（2）配电箱图纸变更导致箱体内部配置发生变更的，元器件单价按照合同后附表中单价调整，无单价的由甲乙双方商定后列入结算价款中。</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第十条  质量保修期</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1、乙方货物的质量保修期为两年，自工程</w:t>
      </w:r>
      <w:r>
        <w:rPr>
          <w:rFonts w:hint="eastAsia" w:ascii="宋体" w:hAnsi="宋体" w:cs="宋体"/>
          <w:color w:val="auto"/>
          <w:sz w:val="24"/>
          <w:szCs w:val="21"/>
          <w:highlight w:val="none"/>
        </w:rPr>
        <w:t>竣工验收合格</w:t>
      </w:r>
      <w:r>
        <w:rPr>
          <w:rFonts w:hint="eastAsia" w:ascii="宋体" w:hAnsi="宋体" w:cs="宋体"/>
          <w:color w:val="auto"/>
          <w:sz w:val="24"/>
          <w:highlight w:val="none"/>
        </w:rPr>
        <w:t>之日起计算。</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2、如乙方所承诺的质量保修期，低于合同签定时强制性法规中所规定的最低质量保证期限，则乙方的保证责任按照国家强制性法规中所规定的最低质量保证期限执行。</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4、质量保修期内，乙方接到甲方通知后须在24小时内到场进行维修、更换，否则视为授权甲方另行安排维修、更换。由甲方另行安排维修、更换的，所发生费用及相应责任由乙方承担。前述情况下所发生的维修工作量及费用以甲方与负责维修方共同确认的工作量及费用为准。</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5、对质量缺陷有争议的，甲、乙双方均可委托权威部门进行鉴定，如经鉴定属于乙方责任，则所有鉴定费用由乙方承担，除此之外，乙方须对延迟修复质量缺陷给甲方或第三人造成</w:t>
      </w:r>
      <w:bookmarkStart w:id="10" w:name="_GoBack"/>
      <w:bookmarkEnd w:id="10"/>
      <w:r>
        <w:rPr>
          <w:rFonts w:hint="eastAsia" w:ascii="宋体" w:hAnsi="宋体" w:cs="宋体"/>
          <w:color w:val="auto"/>
          <w:sz w:val="24"/>
          <w:highlight w:val="none"/>
        </w:rPr>
        <w:t>的全部损失进行赔偿。</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6、因合同解除而导致乙方中途停止供货的，对其解除前所供的货物，乙方仍应按照原合同中质量保修责任条款之约定承担质量保修责任。</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第十一条  承包要求</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1、乙方不得将其在合同中的任何义务全部或部分转让给第三人。</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2、除非合同另有规定，乙方不得在未得到甲方的同意前，将合同的任何部分分包出去。</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3、甲方任何有关分包的同意，不免除乙方根据合同应担负的责任或应尽的义务，乙方对任何分包商、分包商代理人、分包商的服务人员及工作人员的行为、违约及疏忽负责。</w:t>
      </w:r>
    </w:p>
    <w:p>
      <w:pPr>
        <w:spacing w:line="360" w:lineRule="auto"/>
        <w:ind w:left="122" w:leftChars="1" w:hanging="120" w:hangingChars="50"/>
        <w:rPr>
          <w:rFonts w:hint="eastAsia" w:ascii="宋体" w:hAnsi="宋体" w:cs="宋体"/>
          <w:color w:val="auto"/>
          <w:sz w:val="24"/>
          <w:highlight w:val="none"/>
        </w:rPr>
      </w:pPr>
      <w:r>
        <w:rPr>
          <w:rFonts w:hint="eastAsia" w:ascii="宋体" w:hAnsi="宋体" w:cs="宋体"/>
          <w:color w:val="auto"/>
          <w:sz w:val="24"/>
          <w:highlight w:val="none"/>
        </w:rPr>
        <w:t>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5、乙方不得有将货物委托第三人生产后贴用合同所指定品牌的行为。</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第十二条  知识产权</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1、如因甲方购买乙方货物，造成对任何专利权、商标权、著作权、名称权或其它受保护之权利的侵犯，则所引起的一切索赔和诉讼由乙方承担责任并负责支付一切损害赔偿费、诉讼费和其它费用。</w:t>
      </w:r>
    </w:p>
    <w:p>
      <w:pPr>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2、按有关规定乙方生产的货物应办理生产许可证而未办理的，由此引发的各种纠纷、责任（含安全及质量事故责任）、相关费用均由乙方全部负责。</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第十三条  乙方责任</w:t>
      </w:r>
    </w:p>
    <w:p>
      <w:pPr>
        <w:tabs>
          <w:tab w:val="left" w:pos="1554"/>
        </w:tabs>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1、由于乙方原因导致工程总工期延误的，每延误一天，甲方给予警告，若延迟五天以上，乙方应每天向甲方偿付延误工期部分货款0.2％的违约金。若乙方施工工期延误7天以上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含7天）</w:t>
      </w:r>
      <w:r>
        <w:rPr>
          <w:rFonts w:hint="eastAsia" w:ascii="宋体" w:hAnsi="宋体" w:cs="宋体"/>
          <w:color w:val="auto"/>
          <w:sz w:val="24"/>
          <w:highlight w:val="none"/>
        </w:rPr>
        <w:t>的，甲方有权单方解除合同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甲方解除合同的，</w:t>
      </w:r>
      <w:r>
        <w:rPr>
          <w:rFonts w:hint="eastAsia" w:ascii="宋体" w:hAnsi="宋体" w:cs="宋体"/>
          <w:color w:val="auto"/>
          <w:sz w:val="24"/>
          <w:highlight w:val="none"/>
        </w:rPr>
        <w:t>乙方除按照本款前述约定承担违约金外，还应向甲方支付本批货物货款总额的3%作为违约金。本款约定的违约金若不足以弥补甲方损失的，乙方仍应当承担损害赔偿责任。</w:t>
      </w:r>
    </w:p>
    <w:p>
      <w:pPr>
        <w:tabs>
          <w:tab w:val="left" w:pos="1554"/>
        </w:tabs>
        <w:spacing w:line="360" w:lineRule="auto"/>
        <w:ind w:left="362" w:leftChars="1" w:hanging="360" w:hangingChars="150"/>
        <w:rPr>
          <w:rFonts w:hint="eastAsia" w:ascii="宋体" w:hAnsi="宋体" w:cs="宋体"/>
          <w:color w:val="auto"/>
          <w:sz w:val="24"/>
          <w:highlight w:val="none"/>
        </w:rPr>
      </w:pPr>
      <w:r>
        <w:rPr>
          <w:rFonts w:hint="eastAsia" w:ascii="宋体" w:hAnsi="宋体" w:cs="宋体"/>
          <w:color w:val="auto"/>
          <w:sz w:val="24"/>
          <w:highlight w:val="none"/>
        </w:rPr>
        <w:t>2、甲方对安装完成的货物进行验收，同一批次不合格率达到3%的，乙方须按甲方的要求及时整改，并按不合格货物货款总额的2%向甲方支付违约金。</w:t>
      </w:r>
    </w:p>
    <w:p>
      <w:pPr>
        <w:tabs>
          <w:tab w:val="left" w:pos="1554"/>
        </w:tabs>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3、乙方如有违反本合同第十条、第十一条的行为，一经查实，甲方有权单方解除合同，同时，乙方应向甲方支付当次订货清单总金额的1倍作为违约金。本款约定的违约金若不足以弥补甲方损失的，乙方仍应当承担损害赔偿责任。</w:t>
      </w:r>
    </w:p>
    <w:p>
      <w:pPr>
        <w:tabs>
          <w:tab w:val="left" w:pos="1554"/>
        </w:tabs>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4、本合同签订后，乙方无法定或约定理由提出解除合同，或以自己的行为表明解除合同的，乙方应向甲方支付2万元作为违约金，并赔偿甲方由此造成的全部损失。</w:t>
      </w:r>
    </w:p>
    <w:p>
      <w:pPr>
        <w:tabs>
          <w:tab w:val="left" w:pos="1554"/>
        </w:tabs>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5、本合同签订后，乙方不按本合同约定的价格向甲方供货或有其他违反本合同行为致使合同目的不能实现的，甲方有权解除合同，并有权要求乙方赔偿5万元，并赔偿甲方由此造成的全部损失。</w:t>
      </w:r>
    </w:p>
    <w:p>
      <w:pPr>
        <w:tabs>
          <w:tab w:val="left" w:pos="1080"/>
          <w:tab w:val="left" w:pos="1554"/>
        </w:tabs>
        <w:spacing w:line="360" w:lineRule="auto"/>
        <w:ind w:left="-422" w:leftChars="-201" w:firstLine="420" w:firstLineChars="175"/>
        <w:rPr>
          <w:rFonts w:hint="eastAsia" w:ascii="宋体" w:hAnsi="宋体" w:eastAsia="宋体" w:cs="宋体"/>
          <w:color w:val="auto"/>
          <w:sz w:val="24"/>
          <w:highlight w:val="none"/>
        </w:rPr>
      </w:pPr>
      <w:r>
        <w:rPr>
          <w:rFonts w:hint="eastAsia" w:ascii="宋体" w:hAnsi="宋体" w:cs="宋体"/>
          <w:color w:val="auto"/>
          <w:sz w:val="24"/>
          <w:highlight w:val="none"/>
        </w:rPr>
        <w:t>6、乙方提交虚假发票，甲方有权解除合同。</w:t>
      </w:r>
    </w:p>
    <w:p>
      <w:pPr>
        <w:tabs>
          <w:tab w:val="left" w:pos="1080"/>
          <w:tab w:val="left" w:pos="1554"/>
        </w:tabs>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7、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第十四条  不可抗力</w:t>
      </w:r>
    </w:p>
    <w:p>
      <w:pPr>
        <w:spacing w:line="360" w:lineRule="auto"/>
        <w:ind w:left="2" w:leftChars="1"/>
        <w:rPr>
          <w:rFonts w:hint="eastAsia" w:ascii="宋体" w:hAnsi="宋体" w:cs="宋体"/>
          <w:color w:val="auto"/>
          <w:sz w:val="24"/>
          <w:highlight w:val="none"/>
        </w:rPr>
      </w:pPr>
      <w:r>
        <w:rPr>
          <w:rFonts w:hint="eastAsia" w:ascii="宋体" w:hAnsi="宋体" w:cs="宋体"/>
          <w:color w:val="auto"/>
          <w:sz w:val="24"/>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第十五条  其它约定</w:t>
      </w:r>
    </w:p>
    <w:p>
      <w:pPr>
        <w:tabs>
          <w:tab w:val="left" w:pos="1560"/>
          <w:tab w:val="left" w:pos="1747"/>
        </w:tabs>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1、乙方须在安装前负责提交具体货物安装施工图纸或货物成品图样给甲方确认。</w:t>
      </w:r>
    </w:p>
    <w:p>
      <w:pPr>
        <w:tabs>
          <w:tab w:val="left" w:pos="1560"/>
          <w:tab w:val="left" w:pos="1747"/>
        </w:tabs>
        <w:spacing w:line="360" w:lineRule="auto"/>
        <w:ind w:left="362" w:leftChars="1" w:hanging="360" w:hangingChars="150"/>
        <w:rPr>
          <w:rFonts w:hint="eastAsia" w:ascii="宋体" w:hAnsi="宋体" w:cs="宋体"/>
          <w:color w:val="auto"/>
          <w:sz w:val="24"/>
          <w:highlight w:val="none"/>
        </w:rPr>
      </w:pPr>
      <w:r>
        <w:rPr>
          <w:rFonts w:hint="eastAsia" w:ascii="宋体" w:hAnsi="宋体" w:cs="宋体"/>
          <w:color w:val="auto"/>
          <w:sz w:val="24"/>
          <w:highlight w:val="none"/>
        </w:rPr>
        <w:t>2、如涉及到现场测量的，乙方负责到施工现场测量订做货物的尺寸，结算时按实际竣工数量乘以本合同相应的单价据实结算。因乙方测量尺寸误差引起的质量问题由乙方负全部责任。</w:t>
      </w:r>
    </w:p>
    <w:p>
      <w:pPr>
        <w:tabs>
          <w:tab w:val="left" w:pos="1560"/>
          <w:tab w:val="left" w:pos="1747"/>
        </w:tabs>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3、合同履行过程中，因乙方原因造成的工程质量事故、人身伤亡等事故由乙方负责。</w:t>
      </w:r>
    </w:p>
    <w:p>
      <w:pPr>
        <w:autoSpaceDE w:val="0"/>
        <w:autoSpaceDN w:val="0"/>
        <w:adjustRightInd w:val="0"/>
        <w:spacing w:line="360" w:lineRule="auto"/>
        <w:ind w:left="362" w:leftChars="1" w:hanging="360" w:hangingChars="150"/>
        <w:jc w:val="left"/>
        <w:rPr>
          <w:rFonts w:hint="eastAsia" w:ascii="宋体" w:hAnsi="宋体" w:cs="宋体"/>
          <w:color w:val="auto"/>
          <w:sz w:val="24"/>
          <w:highlight w:val="none"/>
        </w:rPr>
      </w:pPr>
      <w:r>
        <w:rPr>
          <w:rFonts w:hint="eastAsia" w:ascii="宋体" w:hAnsi="宋体" w:cs="宋体"/>
          <w:color w:val="auto"/>
          <w:sz w:val="24"/>
          <w:highlight w:val="none"/>
        </w:rPr>
        <w:t>4、按本合同规定应该偿付的违约金、赔偿金、保管保养费和各种经济损失，应当在明确责任后10天内付清，否则按逾期付款处理。乙方依本合同应支付上述费用的，甲方有权在货款中抵扣。</w:t>
      </w:r>
    </w:p>
    <w:p>
      <w:pPr>
        <w:tabs>
          <w:tab w:val="left" w:pos="1560"/>
          <w:tab w:val="left" w:pos="1747"/>
        </w:tabs>
        <w:spacing w:line="360" w:lineRule="auto"/>
        <w:ind w:left="362" w:leftChars="1" w:hanging="360" w:hangingChars="150"/>
        <w:rPr>
          <w:rFonts w:hint="eastAsia" w:ascii="宋体" w:hAnsi="宋体" w:cs="宋体"/>
          <w:color w:val="auto"/>
          <w:sz w:val="24"/>
          <w:highlight w:val="none"/>
        </w:rPr>
      </w:pPr>
      <w:r>
        <w:rPr>
          <w:rFonts w:hint="eastAsia" w:ascii="宋体" w:hAnsi="宋体" w:cs="宋体"/>
          <w:color w:val="auto"/>
          <w:sz w:val="24"/>
          <w:highlight w:val="none"/>
        </w:rPr>
        <w:t>5、甲方委派为甲方授权代表</w:t>
      </w:r>
      <w:r>
        <w:rPr>
          <w:rFonts w:hint="eastAsia" w:ascii="宋体" w:hAnsi="宋体" w:cs="宋体"/>
          <w:color w:val="auto"/>
          <w:sz w:val="24"/>
          <w:highlight w:val="none"/>
          <w:lang w:val="en-US" w:eastAsia="zh-CN"/>
        </w:rPr>
        <w:t>毛克予</w:t>
      </w:r>
      <w:r>
        <w:rPr>
          <w:rFonts w:hint="eastAsia" w:ascii="宋体" w:hAnsi="宋体" w:cs="宋体"/>
          <w:color w:val="auto"/>
          <w:sz w:val="24"/>
          <w:highlight w:val="none"/>
        </w:rPr>
        <w:t>，负责甲方合同履行的工作，联系电话为</w:t>
      </w:r>
      <w:r>
        <w:rPr>
          <w:rFonts w:hint="eastAsia" w:ascii="宋体" w:hAnsi="宋体" w:cs="宋体"/>
          <w:color w:val="auto"/>
          <w:sz w:val="24"/>
          <w:highlight w:val="none"/>
          <w:lang w:val="en-US" w:eastAsia="zh-CN"/>
        </w:rPr>
        <w:t>18103889699</w:t>
      </w:r>
      <w:r>
        <w:rPr>
          <w:rFonts w:hint="eastAsia" w:ascii="宋体" w:hAnsi="宋体" w:cs="宋体"/>
          <w:color w:val="auto"/>
          <w:sz w:val="24"/>
          <w:highlight w:val="none"/>
        </w:rPr>
        <w:t>。</w:t>
      </w:r>
    </w:p>
    <w:p>
      <w:pPr>
        <w:tabs>
          <w:tab w:val="left" w:pos="1560"/>
          <w:tab w:val="left" w:pos="1747"/>
        </w:tabs>
        <w:spacing w:line="360" w:lineRule="auto"/>
        <w:ind w:left="-422" w:leftChars="-201" w:firstLine="420" w:firstLineChars="175"/>
        <w:rPr>
          <w:rFonts w:hint="eastAsia" w:ascii="宋体" w:hAnsi="宋体" w:cs="宋体"/>
          <w:color w:val="auto"/>
          <w:sz w:val="24"/>
          <w:highlight w:val="none"/>
        </w:rPr>
      </w:pPr>
      <w:r>
        <w:rPr>
          <w:rFonts w:hint="eastAsia" w:ascii="宋体" w:hAnsi="宋体" w:cs="宋体"/>
          <w:color w:val="auto"/>
          <w:sz w:val="24"/>
          <w:highlight w:val="none"/>
        </w:rPr>
        <w:t>6、乙方委派</w:t>
      </w:r>
      <w:r>
        <w:rPr>
          <w:rFonts w:hint="eastAsia" w:ascii="宋体" w:hAnsi="宋体" w:cs="宋体"/>
          <w:color w:val="auto"/>
          <w:sz w:val="24"/>
          <w:highlight w:val="none"/>
          <w:lang w:val="en-US" w:eastAsia="zh-CN"/>
        </w:rPr>
        <w:t>王亚垒</w:t>
      </w:r>
      <w:r>
        <w:rPr>
          <w:rFonts w:hint="eastAsia" w:ascii="宋体" w:hAnsi="宋体" w:cs="宋体"/>
          <w:color w:val="auto"/>
          <w:sz w:val="24"/>
          <w:highlight w:val="none"/>
        </w:rPr>
        <w:t>为乙方授权代表，联系电话</w:t>
      </w:r>
      <w:r>
        <w:rPr>
          <w:rFonts w:hint="eastAsia" w:ascii="宋体" w:hAnsi="宋体" w:cs="宋体"/>
          <w:color w:val="auto"/>
          <w:sz w:val="24"/>
          <w:szCs w:val="24"/>
          <w:highlight w:val="none"/>
        </w:rPr>
        <w:t xml:space="preserve">13703821132 </w:t>
      </w:r>
      <w:r>
        <w:rPr>
          <w:rFonts w:hint="eastAsia" w:ascii="宋体" w:hAnsi="宋体" w:cs="宋体"/>
          <w:color w:val="auto"/>
          <w:sz w:val="24"/>
          <w:highlight w:val="none"/>
        </w:rPr>
        <w:t>身份证号</w:t>
      </w:r>
      <w:r>
        <w:rPr>
          <w:rFonts w:hint="eastAsia" w:ascii="宋体" w:hAnsi="宋体" w:cs="宋体"/>
          <w:color w:val="auto"/>
          <w:sz w:val="24"/>
          <w:highlight w:val="none"/>
          <w:lang w:val="en-US" w:eastAsia="zh-CN"/>
        </w:rPr>
        <w:t xml:space="preserve">411322198910274915 </w:t>
      </w:r>
      <w:r>
        <w:rPr>
          <w:rFonts w:hint="eastAsia" w:ascii="宋体" w:hAnsi="宋体" w:cs="宋体"/>
          <w:color w:val="auto"/>
          <w:sz w:val="24"/>
          <w:highlight w:val="none"/>
        </w:rPr>
        <w:t>负责乙方合同履行的工作。</w:t>
      </w:r>
    </w:p>
    <w:p>
      <w:pPr>
        <w:tabs>
          <w:tab w:val="left" w:pos="1560"/>
          <w:tab w:val="left" w:pos="1747"/>
        </w:tabs>
        <w:spacing w:line="360" w:lineRule="auto"/>
        <w:ind w:left="242" w:leftChars="1" w:hanging="240" w:hangingChars="100"/>
        <w:rPr>
          <w:rFonts w:hint="eastAsia" w:ascii="宋体" w:hAnsi="宋体" w:cs="宋体"/>
          <w:color w:val="auto"/>
          <w:sz w:val="24"/>
          <w:highlight w:val="none"/>
        </w:rPr>
      </w:pPr>
      <w:r>
        <w:rPr>
          <w:rFonts w:hint="eastAsia" w:ascii="宋体" w:hAnsi="宋体" w:cs="宋体"/>
          <w:color w:val="auto"/>
          <w:sz w:val="24"/>
          <w:highlight w:val="none"/>
        </w:rPr>
        <w:t>7、本合同如发生纠纷，当事人双方应当及时协商解决，协商不成时，双方同意向</w:t>
      </w:r>
      <w:r>
        <w:rPr>
          <w:rFonts w:hint="eastAsia" w:ascii="宋体" w:hAnsi="宋体" w:cs="宋体"/>
          <w:color w:val="auto"/>
          <w:sz w:val="24"/>
          <w:highlight w:val="none"/>
          <w:lang w:val="en-US" w:eastAsia="zh-CN"/>
        </w:rPr>
        <w:t>合同签订地（洛阳市洛龙区开元大道一号开元壹号营销中心）</w:t>
      </w:r>
      <w:r>
        <w:rPr>
          <w:rFonts w:hint="eastAsia" w:ascii="宋体" w:hAnsi="宋体" w:cs="宋体"/>
          <w:color w:val="auto"/>
          <w:sz w:val="24"/>
          <w:highlight w:val="none"/>
        </w:rPr>
        <w:t>人民法院提起诉讼。</w:t>
      </w:r>
    </w:p>
    <w:p>
      <w:pPr>
        <w:tabs>
          <w:tab w:val="left" w:pos="0"/>
        </w:tabs>
        <w:spacing w:line="360" w:lineRule="auto"/>
        <w:ind w:left="362" w:leftChars="1" w:hanging="360" w:hangingChars="150"/>
        <w:rPr>
          <w:rFonts w:hint="eastAsia" w:ascii="宋体" w:hAnsi="宋体" w:cs="宋体"/>
          <w:color w:val="auto"/>
          <w:sz w:val="24"/>
          <w:highlight w:val="none"/>
        </w:rPr>
      </w:pPr>
      <w:r>
        <w:rPr>
          <w:rFonts w:hint="eastAsia" w:ascii="宋体" w:hAnsi="宋体" w:cs="宋体"/>
          <w:color w:val="auto"/>
          <w:sz w:val="24"/>
          <w:highlight w:val="none"/>
        </w:rPr>
        <w:t>8、本合同壹式</w:t>
      </w:r>
      <w:r>
        <w:rPr>
          <w:rFonts w:hint="eastAsia" w:ascii="宋体" w:hAnsi="宋体" w:cs="宋体"/>
          <w:color w:val="auto"/>
          <w:sz w:val="24"/>
          <w:highlight w:val="none"/>
          <w:lang w:val="en-US" w:eastAsia="zh-CN"/>
        </w:rPr>
        <w:t>柒</w:t>
      </w:r>
      <w:r>
        <w:rPr>
          <w:rFonts w:hint="eastAsia" w:ascii="宋体" w:hAnsi="宋体" w:cs="宋体"/>
          <w:color w:val="auto"/>
          <w:sz w:val="24"/>
          <w:highlight w:val="none"/>
        </w:rPr>
        <w:t>份，甲方伍份，乙方</w:t>
      </w:r>
      <w:r>
        <w:rPr>
          <w:rFonts w:hint="eastAsia" w:ascii="宋体" w:hAnsi="宋体" w:cs="宋体"/>
          <w:color w:val="auto"/>
          <w:sz w:val="24"/>
          <w:highlight w:val="none"/>
          <w:lang w:val="en-US" w:eastAsia="zh-CN"/>
        </w:rPr>
        <w:t>贰</w:t>
      </w:r>
      <w:r>
        <w:rPr>
          <w:rFonts w:hint="eastAsia" w:ascii="宋体" w:hAnsi="宋体" w:cs="宋体"/>
          <w:color w:val="auto"/>
          <w:sz w:val="24"/>
          <w:highlight w:val="none"/>
        </w:rPr>
        <w:t>份，各具同等法律效力，自甲、乙双方签章之日起生效。</w:t>
      </w:r>
    </w:p>
    <w:p>
      <w:pPr>
        <w:tabs>
          <w:tab w:val="left" w:pos="900"/>
          <w:tab w:val="left" w:pos="1440"/>
        </w:tabs>
        <w:adjustRightInd w:val="0"/>
        <w:snapToGrid w:val="0"/>
        <w:spacing w:line="360" w:lineRule="auto"/>
        <w:ind w:left="360" w:hanging="360" w:hangingChars="150"/>
        <w:rPr>
          <w:rFonts w:hint="eastAsia" w:ascii="宋体" w:hAnsi="宋体" w:cs="宋体"/>
          <w:color w:val="auto"/>
          <w:sz w:val="24"/>
          <w:highlight w:val="none"/>
        </w:rPr>
      </w:pPr>
      <w:r>
        <w:rPr>
          <w:rFonts w:hint="eastAsia" w:ascii="宋体" w:hAnsi="宋体" w:cs="宋体"/>
          <w:color w:val="auto"/>
          <w:sz w:val="24"/>
          <w:highlight w:val="none"/>
          <w:shd w:val="clear" w:color="auto" w:fill="FFFFFF"/>
        </w:rPr>
        <w:t>9、本合同</w:t>
      </w:r>
      <w:r>
        <w:rPr>
          <w:rFonts w:hint="eastAsia" w:ascii="宋体" w:hAnsi="宋体" w:cs="宋体"/>
          <w:color w:val="auto"/>
          <w:sz w:val="24"/>
          <w:highlight w:val="none"/>
          <w:shd w:val="clear" w:color="auto" w:fill="FFFFFF"/>
          <w:lang w:eastAsia="zh-CN"/>
        </w:rPr>
        <w:t>箱体设备</w:t>
      </w:r>
      <w:r>
        <w:rPr>
          <w:rFonts w:hint="eastAsia" w:ascii="宋体" w:hAnsi="宋体" w:cs="宋体"/>
          <w:color w:val="auto"/>
          <w:sz w:val="24"/>
          <w:highlight w:val="none"/>
          <w:shd w:val="clear" w:color="auto" w:fill="FFFFFF"/>
        </w:rPr>
        <w:t>附图为甲方招标所</w:t>
      </w:r>
      <w:r>
        <w:rPr>
          <w:rFonts w:hint="eastAsia" w:ascii="宋体" w:hAnsi="宋体" w:cs="宋体"/>
          <w:color w:val="auto"/>
          <w:sz w:val="24"/>
          <w:highlight w:val="none"/>
          <w:shd w:val="clear" w:color="auto" w:fill="FFFFFF"/>
          <w:lang w:eastAsia="zh-CN"/>
        </w:rPr>
        <w:t>发</w:t>
      </w:r>
      <w:r>
        <w:rPr>
          <w:rFonts w:hint="eastAsia" w:ascii="宋体" w:hAnsi="宋体" w:cs="宋体"/>
          <w:color w:val="auto"/>
          <w:sz w:val="24"/>
          <w:highlight w:val="none"/>
          <w:shd w:val="clear" w:color="auto" w:fill="FFFFFF"/>
        </w:rPr>
        <w:t>标准图，实际合作过程中，乙方由于生产工艺，需作调整的，须先经甲方签字确认，方可调整。</w:t>
      </w:r>
    </w:p>
    <w:p>
      <w:pPr>
        <w:spacing w:line="360" w:lineRule="auto"/>
        <w:ind w:left="-422" w:leftChars="-201" w:firstLine="422" w:firstLineChars="175"/>
        <w:outlineLvl w:val="2"/>
        <w:rPr>
          <w:rFonts w:hint="eastAsia" w:ascii="宋体" w:hAnsi="宋体" w:cs="宋体"/>
          <w:b/>
          <w:color w:val="auto"/>
          <w:sz w:val="24"/>
          <w:highlight w:val="none"/>
        </w:rPr>
      </w:pPr>
      <w:r>
        <w:rPr>
          <w:rFonts w:hint="eastAsia" w:ascii="宋体" w:hAnsi="宋体" w:cs="宋体"/>
          <w:b/>
          <w:color w:val="auto"/>
          <w:sz w:val="24"/>
          <w:highlight w:val="none"/>
        </w:rPr>
        <w:t>第十六条  合同附件</w:t>
      </w:r>
    </w:p>
    <w:p>
      <w:pPr>
        <w:adjustRightInd w:val="0"/>
        <w:snapToGrid w:val="0"/>
        <w:spacing w:line="360" w:lineRule="auto"/>
        <w:ind w:left="-422" w:leftChars="-201" w:firstLine="900" w:firstLineChars="375"/>
        <w:rPr>
          <w:rFonts w:hint="eastAsia" w:ascii="宋体" w:hAnsi="宋体" w:cs="宋体"/>
          <w:color w:val="auto"/>
          <w:sz w:val="24"/>
          <w:highlight w:val="none"/>
        </w:rPr>
      </w:pPr>
      <w:r>
        <w:rPr>
          <w:rFonts w:hint="eastAsia" w:ascii="宋体" w:hAnsi="宋体" w:cs="宋体"/>
          <w:color w:val="auto"/>
          <w:sz w:val="24"/>
          <w:highlight w:val="none"/>
        </w:rPr>
        <w:t>本合同包含的附件：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附件1：</w:t>
      </w:r>
      <w:r>
        <w:rPr>
          <w:rFonts w:hint="eastAsia" w:ascii="宋体" w:hAnsi="宋体" w:eastAsia="宋体" w:cs="宋体"/>
          <w:b w:val="0"/>
          <w:i w:val="0"/>
          <w:color w:val="auto"/>
          <w:kern w:val="2"/>
          <w:sz w:val="24"/>
          <w:szCs w:val="24"/>
          <w:highlight w:val="none"/>
          <w:u w:val="none"/>
          <w:lang w:val="en-US" w:eastAsia="zh-CN" w:bidi="ar"/>
        </w:rPr>
        <w:t>照明配电箱采购项目价</w:t>
      </w:r>
      <w:r>
        <w:rPr>
          <w:rFonts w:hint="eastAsia" w:ascii="宋体" w:hAnsi="宋体" w:cs="宋体"/>
          <w:b w:val="0"/>
          <w:i w:val="0"/>
          <w:color w:val="auto"/>
          <w:kern w:val="2"/>
          <w:sz w:val="24"/>
          <w:szCs w:val="24"/>
          <w:highlight w:val="none"/>
          <w:u w:val="none"/>
          <w:lang w:val="en-US" w:eastAsia="zh-CN" w:bidi="ar"/>
        </w:rPr>
        <w:t>格</w:t>
      </w:r>
      <w:r>
        <w:rPr>
          <w:rFonts w:hint="eastAsia" w:ascii="宋体" w:hAnsi="宋体" w:eastAsia="宋体" w:cs="宋体"/>
          <w:b w:val="0"/>
          <w:i w:val="0"/>
          <w:color w:val="auto"/>
          <w:kern w:val="2"/>
          <w:sz w:val="24"/>
          <w:szCs w:val="24"/>
          <w:highlight w:val="none"/>
          <w:u w:val="none"/>
          <w:lang w:val="en-US" w:eastAsia="zh-CN" w:bidi="ar"/>
        </w:rPr>
        <w:t>表</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val="zh-CN"/>
        </w:rPr>
        <w:t>附件2：</w:t>
      </w:r>
      <w:r>
        <w:rPr>
          <w:rFonts w:hint="eastAsia" w:ascii="宋体" w:hAnsi="宋体" w:cs="宋体"/>
          <w:color w:val="auto"/>
          <w:sz w:val="24"/>
          <w:szCs w:val="24"/>
          <w:highlight w:val="none"/>
        </w:rPr>
        <w:t>配电箱技术指标及现场验收标准</w:t>
      </w:r>
    </w:p>
    <w:p>
      <w:pPr>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附件</w:t>
      </w:r>
      <w:r>
        <w:rPr>
          <w:rFonts w:hint="eastAsia" w:ascii="宋体" w:hAnsi="宋体" w:cs="宋体"/>
          <w:color w:val="auto"/>
          <w:sz w:val="24"/>
          <w:szCs w:val="24"/>
          <w:highlight w:val="none"/>
        </w:rPr>
        <w:t>3：《验收单》与《送货单》</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第十七项、送达条款</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送达地址：洛阳市洛龙区开元大道1号开元一号营销中心三楼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联系人及联系方式：</w:t>
      </w:r>
      <w:r>
        <w:rPr>
          <w:rFonts w:hint="eastAsia" w:ascii="宋体" w:hAnsi="宋体" w:cs="宋体"/>
          <w:color w:val="auto"/>
          <w:sz w:val="24"/>
          <w:szCs w:val="24"/>
          <w:highlight w:val="none"/>
          <w:lang w:eastAsia="zh-CN"/>
        </w:rPr>
        <w:t>张女士</w:t>
      </w:r>
      <w:r>
        <w:rPr>
          <w:rFonts w:hint="eastAsia" w:ascii="宋体" w:hAnsi="宋体" w:cs="宋体"/>
          <w:color w:val="auto"/>
          <w:sz w:val="24"/>
          <w:szCs w:val="24"/>
          <w:highlight w:val="none"/>
          <w:lang w:val="en-US" w:eastAsia="zh-CN"/>
        </w:rPr>
        <w:t xml:space="preserve"> 15037954375</w:t>
      </w:r>
      <w:r>
        <w:rPr>
          <w:rFonts w:hint="eastAsia"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送达地址：河南省郑州市新密市曲梁镇产业集聚区工信大道与蒋坡街西北角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 王亚垒 13703821132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（以下无正文）</w:t>
      </w:r>
    </w:p>
    <w:p>
      <w:pPr>
        <w:widowControl/>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甲方：洛阳浩德鑫置地有限公司       </w:t>
      </w:r>
      <w:r>
        <w:rPr>
          <w:rFonts w:hint="eastAsia" w:ascii="宋体" w:hAnsi="宋体" w:cs="宋体"/>
          <w:color w:val="auto"/>
          <w:kern w:val="0"/>
          <w:sz w:val="24"/>
          <w:highlight w:val="none"/>
        </w:rPr>
        <w:t>乙方</w:t>
      </w:r>
      <w:r>
        <w:rPr>
          <w:rFonts w:hint="eastAsia" w:ascii="宋体" w:hAnsi="宋体" w:cs="宋体"/>
          <w:color w:val="auto"/>
          <w:sz w:val="24"/>
          <w:highlight w:val="none"/>
        </w:rPr>
        <w:t>：</w:t>
      </w:r>
      <w:r>
        <w:rPr>
          <w:rFonts w:hint="eastAsia" w:ascii="宋体" w:hAnsi="宋体" w:cs="宋体"/>
          <w:color w:val="auto"/>
          <w:sz w:val="24"/>
          <w:highlight w:val="none"/>
          <w:lang w:eastAsia="zh-CN"/>
        </w:rPr>
        <w:t>郑州开开电气设备有限公司</w:t>
      </w:r>
      <w:r>
        <w:rPr>
          <w:rFonts w:hint="eastAsia" w:ascii="宋体" w:hAnsi="宋体" w:cs="宋体"/>
          <w:color w:val="auto"/>
          <w:sz w:val="24"/>
          <w:highlight w:val="none"/>
        </w:rPr>
        <w:t xml:space="preserve">    </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法定代表人：                       法定代表人：</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委托代理人：                       委托代理人：</w:t>
      </w:r>
    </w:p>
    <w:p>
      <w:pPr>
        <w:spacing w:line="360" w:lineRule="auto"/>
        <w:ind w:left="5490" w:leftChars="100" w:hanging="5280" w:hangingChars="22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kern w:val="0"/>
          <w:sz w:val="24"/>
          <w:highlight w:val="none"/>
        </w:rPr>
        <w:t>交行洛阳分行西苑支行</w:t>
      </w:r>
      <w:r>
        <w:rPr>
          <w:rFonts w:hint="eastAsia" w:ascii="宋体" w:hAnsi="宋体" w:cs="宋体"/>
          <w:color w:val="auto"/>
          <w:sz w:val="24"/>
          <w:highlight w:val="none"/>
        </w:rPr>
        <w:t xml:space="preserve">       开户行：中国工商银行郑州郑汴路支行 </w:t>
      </w:r>
    </w:p>
    <w:p>
      <w:pPr>
        <w:pStyle w:val="2"/>
      </w:pP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账号：</w:t>
      </w:r>
      <w:r>
        <w:rPr>
          <w:rFonts w:hint="eastAsia" w:ascii="宋体" w:hAnsi="宋体" w:cs="宋体"/>
          <w:color w:val="auto"/>
          <w:kern w:val="0"/>
          <w:sz w:val="24"/>
          <w:highlight w:val="none"/>
        </w:rPr>
        <w:t>413062200018170292470</w:t>
      </w:r>
      <w:r>
        <w:rPr>
          <w:rFonts w:hint="eastAsia" w:ascii="宋体" w:hAnsi="宋体" w:cs="宋体"/>
          <w:color w:val="auto"/>
          <w:sz w:val="24"/>
          <w:highlight w:val="none"/>
        </w:rPr>
        <w:t xml:space="preserve">        账号：1702320209200025322 </w:t>
      </w:r>
    </w:p>
    <w:p>
      <w:pPr>
        <w:spacing w:line="360" w:lineRule="auto"/>
        <w:ind w:firstLine="4560" w:firstLineChars="19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税号：</w:t>
      </w:r>
      <w:r>
        <w:rPr>
          <w:rFonts w:hint="eastAsia" w:ascii="宋体" w:hAnsi="宋体" w:cs="宋体"/>
          <w:color w:val="auto"/>
          <w:sz w:val="24"/>
          <w:highlight w:val="none"/>
        </w:rPr>
        <w:t>91410184565133054J </w:t>
      </w:r>
    </w:p>
    <w:p>
      <w:pPr>
        <w:spacing w:line="540" w:lineRule="exact"/>
        <w:ind w:firstLine="240" w:firstLineChars="100"/>
        <w:rPr>
          <w:rFonts w:hint="eastAsia"/>
          <w:b/>
          <w:bCs/>
          <w:color w:val="auto"/>
          <w:sz w:val="24"/>
          <w:szCs w:val="24"/>
          <w:highlight w:val="none"/>
        </w:rPr>
      </w:pPr>
      <w:r>
        <w:rPr>
          <w:rFonts w:hint="eastAsia" w:ascii="宋体" w:hAnsi="宋体" w:cs="宋体"/>
          <w:color w:val="auto"/>
          <w:sz w:val="24"/>
          <w:highlight w:val="none"/>
        </w:rPr>
        <w:t>日期：20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 xml:space="preserve">                日期：20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p>
    <w:p>
      <w:pPr>
        <w:jc w:val="center"/>
        <w:rPr>
          <w:rFonts w:hint="eastAsia"/>
          <w:b/>
          <w:bCs/>
          <w:color w:val="auto"/>
          <w:sz w:val="24"/>
          <w:szCs w:val="24"/>
          <w:highlight w:val="none"/>
        </w:rPr>
      </w:pPr>
    </w:p>
    <w:p>
      <w:pPr>
        <w:pStyle w:val="2"/>
        <w:snapToGrid w:val="0"/>
        <w:rPr>
          <w:rFonts w:hint="eastAsia" w:ascii="宋体" w:hAnsi="宋体" w:eastAsia="宋体" w:cs="宋体"/>
          <w:color w:val="auto"/>
          <w:sz w:val="24"/>
          <w:highlight w:val="none"/>
        </w:rPr>
      </w:pPr>
    </w:p>
    <w:p>
      <w:pPr>
        <w:spacing w:line="580" w:lineRule="exact"/>
        <w:jc w:val="left"/>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 xml:space="preserve">附件1  </w:t>
      </w:r>
    </w:p>
    <w:tbl>
      <w:tblPr>
        <w:tblStyle w:val="18"/>
        <w:tblW w:w="9240" w:type="dxa"/>
        <w:tblInd w:w="0" w:type="dxa"/>
        <w:shd w:val="clear" w:color="auto" w:fill="auto"/>
        <w:tblLayout w:type="autofit"/>
        <w:tblCellMar>
          <w:top w:w="0" w:type="dxa"/>
          <w:left w:w="0" w:type="dxa"/>
          <w:bottom w:w="0" w:type="dxa"/>
          <w:right w:w="0" w:type="dxa"/>
        </w:tblCellMar>
      </w:tblPr>
      <w:tblGrid>
        <w:gridCol w:w="671"/>
        <w:gridCol w:w="991"/>
        <w:gridCol w:w="1310"/>
        <w:gridCol w:w="1791"/>
        <w:gridCol w:w="672"/>
        <w:gridCol w:w="672"/>
        <w:gridCol w:w="1150"/>
        <w:gridCol w:w="1311"/>
        <w:gridCol w:w="672"/>
      </w:tblGrid>
      <w:tr>
        <w:tblPrEx>
          <w:shd w:val="clear" w:color="auto" w:fill="auto"/>
          <w:tblCellMar>
            <w:top w:w="0" w:type="dxa"/>
            <w:left w:w="0" w:type="dxa"/>
            <w:bottom w:w="0" w:type="dxa"/>
            <w:right w:w="0" w:type="dxa"/>
          </w:tblCellMar>
        </w:tblPrEx>
        <w:trPr>
          <w:trHeight w:val="780" w:hRule="atLeast"/>
        </w:trPr>
        <w:tc>
          <w:tcPr>
            <w:tcW w:w="9246" w:type="dxa"/>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开元壹号62#地块一期51/52/53/56/57/58号楼</w:t>
            </w:r>
            <w:r>
              <w:rPr>
                <w:rFonts w:hint="eastAsia" w:ascii="宋体" w:hAnsi="宋体" w:eastAsia="宋体" w:cs="宋体"/>
                <w:b/>
                <w:i w:val="0"/>
                <w:color w:val="auto"/>
                <w:kern w:val="0"/>
                <w:sz w:val="24"/>
                <w:szCs w:val="24"/>
                <w:highlight w:val="none"/>
                <w:u w:val="none"/>
                <w:lang w:val="en-US" w:eastAsia="zh-CN" w:bidi="ar"/>
              </w:rPr>
              <w:br w:type="textWrapping"/>
            </w:r>
            <w:r>
              <w:rPr>
                <w:rFonts w:hint="eastAsia" w:ascii="宋体" w:hAnsi="宋体" w:eastAsia="宋体" w:cs="宋体"/>
                <w:b/>
                <w:i w:val="0"/>
                <w:color w:val="auto"/>
                <w:kern w:val="0"/>
                <w:sz w:val="24"/>
                <w:szCs w:val="24"/>
                <w:highlight w:val="none"/>
                <w:u w:val="none"/>
                <w:lang w:val="en-US" w:eastAsia="zh-CN" w:bidi="ar"/>
              </w:rPr>
              <w:t>及垃圾房户内照明配电箱采购项目价</w:t>
            </w:r>
            <w:r>
              <w:rPr>
                <w:rFonts w:hint="eastAsia" w:ascii="宋体" w:hAnsi="宋体" w:cs="宋体"/>
                <w:b/>
                <w:i w:val="0"/>
                <w:color w:val="auto"/>
                <w:kern w:val="0"/>
                <w:sz w:val="24"/>
                <w:szCs w:val="24"/>
                <w:highlight w:val="none"/>
                <w:u w:val="none"/>
                <w:lang w:val="en-US" w:eastAsia="zh-CN" w:bidi="ar"/>
              </w:rPr>
              <w:t>格</w:t>
            </w:r>
            <w:r>
              <w:rPr>
                <w:rFonts w:hint="eastAsia" w:ascii="宋体" w:hAnsi="宋体" w:eastAsia="宋体" w:cs="宋体"/>
                <w:b/>
                <w:i w:val="0"/>
                <w:color w:val="auto"/>
                <w:kern w:val="0"/>
                <w:sz w:val="24"/>
                <w:szCs w:val="24"/>
                <w:highlight w:val="none"/>
                <w:u w:val="none"/>
                <w:lang w:val="en-US" w:eastAsia="zh-CN" w:bidi="ar"/>
              </w:rPr>
              <w:t>表</w:t>
            </w: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楼号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设备编号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51#楼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31655.68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14844.48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14844.48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MAL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462.56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414.58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829.16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1036.45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52#楼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32025.28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16012.64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1492.24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746.12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1865.61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1036.45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53#楼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1058.24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398*250*90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172.11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172.11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16803.18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16564.8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450.06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450.06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AL-E2`1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4145.8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56#楼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16434.96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32869.92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16434.96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608.72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462.82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41</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57#楼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7687.32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7687.32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479.62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16012.64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8006.32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AL-B2′1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746.12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AL-C2′1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434*250*90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MAL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344*380*90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462.56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414.58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414.58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垃圾房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AL-LJF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400*500*200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61</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AW1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4680.71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4680.71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SAL1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506*250*90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829.16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AL-G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398*250*90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1126</w:t>
            </w: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300000</w:t>
            </w: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1040" w:hRule="atLeast"/>
        </w:trPr>
        <w:tc>
          <w:tcPr>
            <w:tcW w:w="9246" w:type="dxa"/>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备注：1、固定综合单价包含货物的材料费、运输费、交货地卸车费、相关税费及利润、各类风险、税费、疫情增加费、二次装卸费、运到甲方指定地点等与之相关的全部费用。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     2、报价包含清单及配电箱明细报价。</w:t>
            </w:r>
          </w:p>
        </w:tc>
      </w:tr>
    </w:tbl>
    <w:p>
      <w:pPr>
        <w:spacing w:line="580" w:lineRule="exact"/>
        <w:jc w:val="left"/>
        <w:rPr>
          <w:rFonts w:hint="eastAsia" w:ascii="宋体" w:hAnsi="宋体" w:cs="宋体"/>
          <w:b/>
          <w:bCs/>
          <w:color w:val="auto"/>
          <w:kern w:val="0"/>
          <w:sz w:val="28"/>
          <w:szCs w:val="28"/>
          <w:highlight w:val="none"/>
        </w:rPr>
      </w:pPr>
    </w:p>
    <w:p>
      <w:pPr>
        <w:spacing w:line="580" w:lineRule="exact"/>
        <w:jc w:val="left"/>
        <w:rPr>
          <w:rFonts w:hint="eastAsia" w:ascii="宋体" w:hAnsi="宋体" w:cs="宋体"/>
          <w:b/>
          <w:bCs/>
          <w:color w:val="auto"/>
          <w:kern w:val="0"/>
          <w:sz w:val="28"/>
          <w:szCs w:val="28"/>
          <w:highlight w:val="none"/>
        </w:rPr>
      </w:pPr>
    </w:p>
    <w:p>
      <w:pPr>
        <w:spacing w:line="580" w:lineRule="exact"/>
        <w:jc w:val="left"/>
        <w:rPr>
          <w:rFonts w:hint="eastAsia" w:ascii="宋体" w:hAnsi="宋体" w:cs="宋体"/>
          <w:b/>
          <w:bCs/>
          <w:color w:val="auto"/>
          <w:kern w:val="0"/>
          <w:sz w:val="28"/>
          <w:szCs w:val="28"/>
          <w:highlight w:val="none"/>
        </w:rPr>
      </w:pPr>
    </w:p>
    <w:p>
      <w:pPr>
        <w:spacing w:line="580" w:lineRule="exact"/>
        <w:jc w:val="left"/>
        <w:rPr>
          <w:rFonts w:hint="eastAsia" w:ascii="宋体" w:hAnsi="宋体" w:cs="宋体"/>
          <w:b/>
          <w:bCs/>
          <w:color w:val="auto"/>
          <w:kern w:val="0"/>
          <w:sz w:val="28"/>
          <w:szCs w:val="28"/>
          <w:highlight w:val="none"/>
        </w:rPr>
      </w:pPr>
    </w:p>
    <w:p>
      <w:pPr>
        <w:spacing w:line="580" w:lineRule="exact"/>
        <w:jc w:val="left"/>
        <w:rPr>
          <w:rFonts w:hint="eastAsia" w:ascii="宋体" w:hAnsi="宋体" w:cs="宋体"/>
          <w:b/>
          <w:bCs/>
          <w:color w:val="auto"/>
          <w:kern w:val="0"/>
          <w:sz w:val="28"/>
          <w:szCs w:val="28"/>
          <w:highlight w:val="none"/>
        </w:rPr>
      </w:pPr>
    </w:p>
    <w:p>
      <w:pPr>
        <w:spacing w:line="580" w:lineRule="exact"/>
        <w:jc w:val="left"/>
        <w:rPr>
          <w:rFonts w:hint="eastAsia" w:ascii="宋体" w:hAnsi="宋体" w:cs="宋体"/>
          <w:b/>
          <w:bCs/>
          <w:color w:val="auto"/>
          <w:kern w:val="0"/>
          <w:sz w:val="28"/>
          <w:szCs w:val="28"/>
          <w:highlight w:val="none"/>
        </w:rPr>
      </w:pPr>
    </w:p>
    <w:p>
      <w:pPr>
        <w:spacing w:line="580" w:lineRule="exact"/>
        <w:jc w:val="left"/>
        <w:rPr>
          <w:rFonts w:hint="eastAsia" w:ascii="宋体" w:hAnsi="宋体" w:cs="宋体"/>
          <w:b/>
          <w:bCs/>
          <w:color w:val="auto"/>
          <w:kern w:val="0"/>
          <w:sz w:val="28"/>
          <w:szCs w:val="28"/>
          <w:highlight w:val="none"/>
        </w:rPr>
      </w:pPr>
    </w:p>
    <w:tbl>
      <w:tblPr>
        <w:tblStyle w:val="18"/>
        <w:tblW w:w="9682" w:type="dxa"/>
        <w:tblInd w:w="0" w:type="dxa"/>
        <w:shd w:val="clear" w:color="auto" w:fill="auto"/>
        <w:tblLayout w:type="autofit"/>
        <w:tblCellMar>
          <w:top w:w="0" w:type="dxa"/>
          <w:left w:w="0" w:type="dxa"/>
          <w:bottom w:w="0" w:type="dxa"/>
          <w:right w:w="0" w:type="dxa"/>
        </w:tblCellMar>
      </w:tblPr>
      <w:tblGrid>
        <w:gridCol w:w="575"/>
        <w:gridCol w:w="1360"/>
        <w:gridCol w:w="2774"/>
        <w:gridCol w:w="653"/>
        <w:gridCol w:w="813"/>
        <w:gridCol w:w="1000"/>
        <w:gridCol w:w="1374"/>
        <w:gridCol w:w="1133"/>
      </w:tblGrid>
      <w:tr>
        <w:tblPrEx>
          <w:shd w:val="clear" w:color="auto" w:fill="auto"/>
          <w:tblCellMar>
            <w:top w:w="0" w:type="dxa"/>
            <w:left w:w="0" w:type="dxa"/>
            <w:bottom w:w="0" w:type="dxa"/>
            <w:right w:w="0" w:type="dxa"/>
          </w:tblCellMar>
        </w:tblPrEx>
        <w:trPr>
          <w:trHeight w:val="840" w:hRule="atLeast"/>
        </w:trPr>
        <w:tc>
          <w:tcPr>
            <w:tcW w:w="9682"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开元壹号62#地块一期51/52/53/56/57/58号楼</w:t>
            </w:r>
            <w:r>
              <w:rPr>
                <w:rFonts w:hint="eastAsia" w:ascii="宋体" w:hAnsi="宋体" w:eastAsia="宋体" w:cs="宋体"/>
                <w:b/>
                <w:i w:val="0"/>
                <w:color w:val="auto"/>
                <w:kern w:val="0"/>
                <w:sz w:val="24"/>
                <w:szCs w:val="24"/>
                <w:highlight w:val="none"/>
                <w:u w:val="none"/>
                <w:lang w:val="en-US" w:eastAsia="zh-CN" w:bidi="ar"/>
              </w:rPr>
              <w:br w:type="textWrapping"/>
            </w:r>
            <w:r>
              <w:rPr>
                <w:rFonts w:hint="eastAsia" w:ascii="宋体" w:hAnsi="宋体" w:eastAsia="宋体" w:cs="宋体"/>
                <w:b/>
                <w:i w:val="0"/>
                <w:color w:val="auto"/>
                <w:kern w:val="0"/>
                <w:sz w:val="24"/>
                <w:szCs w:val="24"/>
                <w:highlight w:val="none"/>
                <w:u w:val="none"/>
                <w:lang w:val="en-US" w:eastAsia="zh-CN" w:bidi="ar"/>
              </w:rPr>
              <w:t>及幼儿园、垃圾房户内照明配电箱采购项目明细价</w:t>
            </w:r>
            <w:r>
              <w:rPr>
                <w:rFonts w:hint="eastAsia" w:ascii="宋体" w:hAnsi="宋体" w:cs="宋体"/>
                <w:b/>
                <w:i w:val="0"/>
                <w:color w:val="auto"/>
                <w:kern w:val="0"/>
                <w:sz w:val="24"/>
                <w:szCs w:val="24"/>
                <w:highlight w:val="none"/>
                <w:u w:val="none"/>
                <w:lang w:val="en-US" w:eastAsia="zh-CN" w:bidi="ar"/>
              </w:rPr>
              <w:t>格</w:t>
            </w:r>
            <w:r>
              <w:rPr>
                <w:rFonts w:hint="eastAsia" w:ascii="宋体" w:hAnsi="宋体" w:eastAsia="宋体" w:cs="宋体"/>
                <w:b/>
                <w:i w:val="0"/>
                <w:color w:val="auto"/>
                <w:kern w:val="0"/>
                <w:sz w:val="24"/>
                <w:szCs w:val="24"/>
                <w:highlight w:val="none"/>
                <w:u w:val="none"/>
                <w:lang w:val="en-US" w:eastAsia="zh-CN" w:bidi="ar"/>
              </w:rPr>
              <w:t>表</w:t>
            </w: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247.31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31655.68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141.55</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28.45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247.31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265.08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14844.48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156.09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265.08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265.08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14844.48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156.09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265.08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264.56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529.12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C63A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63A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155.67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264.56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264.56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529.12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C63A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63A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155.67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264.56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AL-B1′1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393.00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AL-B2′1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393.00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MAL</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231.28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462.56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 MX+OF</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51.84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65.34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128.43</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6.42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204.67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231.28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414.58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829.16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SAL4</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1036.45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51#</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32025.28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50A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16012.64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50A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373.06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1492.24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RDB5-63/4P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3N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244.47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12.22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7.65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330.14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373.06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373.06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746.12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RDB5-63/4P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3N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244.47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12.22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7.65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330.14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373.06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AL-C1′1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786.00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AL-C2′1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393.00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1865.61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1036.45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207.63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207.63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52#</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15.92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117.77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183.74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207.63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264.56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1058.24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50A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155.67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264.56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AL-E2a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172.11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172.11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100.91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5.05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398*250*90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152.31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172.11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289.71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16803.18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RDB5LE-63/2P C40A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66.01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50A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176.25</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8.81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5.51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256.38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33.33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289.71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16564.80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50A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225.03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450.06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123.32</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199.14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25.89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225.03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225.03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450.06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123.32</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199.14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25.89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225.03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AL-E1`1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316.00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632.00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RDB5-63/4P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3N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216.18</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10.81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279.65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36.35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316.00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AL-E2`1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316.00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632.00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RDB5-63/4P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3N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216.18</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10.81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279.65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36.35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316.00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4145.80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SAL6</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210.07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210.07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53#</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C63A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15.92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RDB5LE-63/4P D50A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42.55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42.55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119.76</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210.07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AL-C4</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265.08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16434.96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156.09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265.08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265.08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32869.92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156.09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265.08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265.08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16434.96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156.09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265.08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AL-C4'</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552.16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C63A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63A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1104.32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C63A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63A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552.16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C63A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63A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AL-C4'1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248.27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496.54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37.72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142.34</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4.45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219.71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248.27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AL-B3'1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152.18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608.72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87.16</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40.42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134.67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17.51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152.18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AL-C5'1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231.41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462.82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56#</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37.72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137.23</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204.79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26.62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231.41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265.08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7687.32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156.09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265.08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265.08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7687.32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156.09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265.08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239.81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479.62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32A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135.41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212.22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27.59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239.81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264.56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529.12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C63A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63A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155.67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234.12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264.56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253.55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15720.10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146.66</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7.33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224.38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29.17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253.55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16012.64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50A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276.08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8006.32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50A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30.53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165.1</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244.32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31.76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276.08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AL-B1′1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393.00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AL-B2′1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393.00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373.06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746.12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RDB5-63/4P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3N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244.47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12.22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7.65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330.14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373.06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373.06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373.06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RDB5-63/4P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18.86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3N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109.56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244.47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12.22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7.65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330.14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373.06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AL-C1′1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393.00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AL-C2′1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28.29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RDB5-63/2P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9.43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自恢复式过欠压</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RDB5GQ 40A 1N</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21.52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118.37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22.61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196.50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MAL</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231.28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462.56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 MX+OF</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11.25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51.84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65.34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128.43</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6.42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344*380*90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65.80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204.67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26.61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231.28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414.58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414.58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SAL4</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207.63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207.63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57#</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C50A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15.92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15.92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117.77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183.74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207.63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AL-LJF</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421.35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421.35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垃圾房</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C32A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13.85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浪涌</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RDU5-B100/4P/Uc420V</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174.15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174.15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熔断器</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RT18/63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中宇电气</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262.02</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13.10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8.20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400*500*200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373.32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48.03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421.35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AW1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4680.71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4680.71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58#</w:t>
            </w:r>
            <w:r>
              <w:rPr>
                <w:rStyle w:val="36"/>
                <w:color w:val="auto"/>
                <w:highlight w:val="none"/>
                <w:lang w:val="en-US" w:eastAsia="zh-CN" w:bidi="ar"/>
              </w:rPr>
              <w:t>楼</w:t>
            </w:r>
          </w:p>
        </w:tc>
      </w:tr>
      <w:tr>
        <w:tblPrEx>
          <w:tblCellMar>
            <w:top w:w="0" w:type="dxa"/>
            <w:left w:w="0" w:type="dxa"/>
            <w:bottom w:w="0" w:type="dxa"/>
            <w:right w:w="0" w:type="dxa"/>
          </w:tblCellMar>
        </w:tblPrEx>
        <w:trPr>
          <w:trHeight w:val="52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三相表</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DTSY858 3×220/380V 10</w:t>
            </w:r>
            <w:r>
              <w:rPr>
                <w:rStyle w:val="36"/>
                <w:color w:val="auto"/>
                <w:highlight w:val="none"/>
                <w:lang w:val="en-US" w:eastAsia="zh-CN" w:bidi="ar"/>
              </w:rPr>
              <w:t>（</w:t>
            </w:r>
            <w:r>
              <w:rPr>
                <w:rStyle w:val="37"/>
                <w:rFonts w:eastAsia="宋体"/>
                <w:color w:val="auto"/>
                <w:highlight w:val="none"/>
                <w:lang w:val="en-US" w:eastAsia="zh-CN" w:bidi="ar"/>
              </w:rPr>
              <w:t>40</w:t>
            </w:r>
            <w:r>
              <w:rPr>
                <w:rStyle w:val="36"/>
                <w:color w:val="auto"/>
                <w:highlight w:val="none"/>
                <w:lang w:val="en-US" w:eastAsia="zh-CN" w:bidi="ar"/>
              </w:rPr>
              <w:t>）</w:t>
            </w:r>
            <w:r>
              <w:rPr>
                <w:rStyle w:val="37"/>
                <w:rFonts w:eastAsia="宋体"/>
                <w:color w:val="auto"/>
                <w:highlight w:val="none"/>
                <w:lang w:val="en-US" w:eastAsia="zh-CN" w:bidi="ar"/>
              </w:rPr>
              <w:t>A</w:t>
            </w:r>
            <w:r>
              <w:rPr>
                <w:rStyle w:val="36"/>
                <w:color w:val="auto"/>
                <w:highlight w:val="none"/>
                <w:lang w:val="en-US" w:eastAsia="zh-CN" w:bidi="ar"/>
              </w:rPr>
              <w:t>内置继电器</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254.40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1526.40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2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三相表</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DTSY858 3×220/380V 5</w:t>
            </w:r>
            <w:r>
              <w:rPr>
                <w:rStyle w:val="36"/>
                <w:color w:val="auto"/>
                <w:highlight w:val="none"/>
                <w:lang w:val="en-US" w:eastAsia="zh-CN" w:bidi="ar"/>
              </w:rPr>
              <w:t>（</w:t>
            </w:r>
            <w:r>
              <w:rPr>
                <w:rStyle w:val="37"/>
                <w:rFonts w:eastAsia="宋体"/>
                <w:color w:val="auto"/>
                <w:highlight w:val="none"/>
                <w:lang w:val="en-US" w:eastAsia="zh-CN" w:bidi="ar"/>
              </w:rPr>
              <w:t>20</w:t>
            </w:r>
            <w:r>
              <w:rPr>
                <w:rStyle w:val="36"/>
                <w:color w:val="auto"/>
                <w:highlight w:val="none"/>
                <w:lang w:val="en-US" w:eastAsia="zh-CN" w:bidi="ar"/>
              </w:rPr>
              <w:t>）</w:t>
            </w:r>
            <w:r>
              <w:rPr>
                <w:rStyle w:val="37"/>
                <w:rFonts w:eastAsia="宋体"/>
                <w:color w:val="auto"/>
                <w:highlight w:val="none"/>
                <w:lang w:val="en-US" w:eastAsia="zh-CN" w:bidi="ar"/>
              </w:rPr>
              <w:t>A</w:t>
            </w:r>
            <w:r>
              <w:rPr>
                <w:rStyle w:val="36"/>
                <w:color w:val="auto"/>
                <w:highlight w:val="none"/>
                <w:lang w:val="en-US" w:eastAsia="zh-CN" w:bidi="ar"/>
              </w:rPr>
              <w:t>内置继电器</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254.40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508.80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93.84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13.85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27.70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浪涌</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RDU5-B100/4P/Uc420V</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174.15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174.15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熔断器</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RT18/63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中宇电气</w:t>
            </w:r>
          </w:p>
        </w:tc>
      </w:tr>
      <w:tr>
        <w:tblPrEx>
          <w:tblCellMar>
            <w:top w:w="0" w:type="dxa"/>
            <w:left w:w="0" w:type="dxa"/>
            <w:bottom w:w="0" w:type="dxa"/>
            <w:right w:w="0"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电气火灾监控探测器</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DH-GSTN5100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142.50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142.50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海湾</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9</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塑壳漏电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RDM1L-250L/4300B</w:t>
            </w:r>
            <w:r>
              <w:rPr>
                <w:rStyle w:val="36"/>
                <w:color w:val="auto"/>
                <w:highlight w:val="none"/>
                <w:lang w:val="en-US" w:eastAsia="zh-CN" w:bidi="ar"/>
              </w:rPr>
              <w:t>Ⅱ</w:t>
            </w:r>
            <w:r>
              <w:rPr>
                <w:rStyle w:val="37"/>
                <w:rFonts w:eastAsia="宋体"/>
                <w:color w:val="auto"/>
                <w:highlight w:val="none"/>
                <w:lang w:val="en-US" w:eastAsia="zh-CN" w:bidi="ar"/>
              </w:rPr>
              <w:t xml:space="preserve"> 160A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793.35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793.35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3284.24</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164.21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102.76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380*8</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591.00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4142.22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538.49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4680.71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SAL1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207.29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829.16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58#</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C40A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15.64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12.96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D20A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4.77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RDB5LE-32/4P D32A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40.56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117.49</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5.87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3.68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506*250*90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56.40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183.44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207.29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AL-G</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166.69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 xml:space="preserve">333.38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58#</w:t>
            </w:r>
            <w:r>
              <w:rPr>
                <w:rStyle w:val="36"/>
                <w:color w:val="auto"/>
                <w:highlight w:val="none"/>
                <w:lang w:val="en-US" w:eastAsia="zh-CN" w:bidi="ar"/>
              </w:rPr>
              <w:t>楼</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RDB5-63/3P C20A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13.85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13.85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RDB5-63/1P C16A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17.28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C16A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微断漏电</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RDB5LE-32/2P C20A 30mA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21.78 </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43.56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人民电器</w:t>
            </w: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w:t>
            </w:r>
            <w:r>
              <w:rPr>
                <w:rStyle w:val="36"/>
                <w:color w:val="auto"/>
                <w:highlight w:val="none"/>
                <w:lang w:val="en-US" w:eastAsia="zh-CN" w:bidi="ar"/>
              </w:rPr>
              <w:t>元件费合计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96.47</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w:t>
            </w:r>
            <w:r>
              <w:rPr>
                <w:rStyle w:val="36"/>
                <w:color w:val="auto"/>
                <w:highlight w:val="none"/>
                <w:lang w:val="en-US" w:eastAsia="zh-CN" w:bidi="ar"/>
              </w:rPr>
              <w:t>辅助材料费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4.82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(3)</w:t>
            </w:r>
            <w:r>
              <w:rPr>
                <w:rStyle w:val="36"/>
                <w:color w:val="auto"/>
                <w:highlight w:val="none"/>
                <w:lang w:val="en-US" w:eastAsia="zh-CN" w:bidi="ar"/>
              </w:rPr>
              <w:t>制造费</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3.02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(4)</w:t>
            </w:r>
            <w:r>
              <w:rPr>
                <w:rStyle w:val="36"/>
                <w:color w:val="auto"/>
                <w:highlight w:val="none"/>
                <w:lang w:val="en-US" w:eastAsia="zh-CN" w:bidi="ar"/>
              </w:rPr>
              <w:t>壳体</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398*250*90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43.20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(5)</w:t>
            </w:r>
            <w:r>
              <w:rPr>
                <w:rStyle w:val="36"/>
                <w:color w:val="auto"/>
                <w:highlight w:val="none"/>
                <w:lang w:val="en-US" w:eastAsia="zh-CN" w:bidi="ar"/>
              </w:rPr>
              <w:t>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147.51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(6)</w:t>
            </w:r>
            <w:r>
              <w:rPr>
                <w:rStyle w:val="36"/>
                <w:color w:val="auto"/>
                <w:highlight w:val="none"/>
                <w:lang w:val="en-US" w:eastAsia="zh-CN" w:bidi="ar"/>
              </w:rPr>
              <w:t>税费（明确税率）</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19.18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r>
      <w:tr>
        <w:tblPrEx>
          <w:tblCellMar>
            <w:top w:w="0" w:type="dxa"/>
            <w:left w:w="0" w:type="dxa"/>
            <w:bottom w:w="0" w:type="dxa"/>
            <w:right w:w="0" w:type="dxa"/>
          </w:tblCellMar>
        </w:tblPrEx>
        <w:trPr>
          <w:trHeight w:val="3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单体小计</w:t>
            </w:r>
          </w:p>
        </w:tc>
        <w:tc>
          <w:tcPr>
            <w:tcW w:w="2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Arial" w:hAnsi="Arial" w:eastAsia="宋体" w:cs="Arial"/>
                <w:i w:val="0"/>
                <w:color w:val="auto"/>
                <w:sz w:val="20"/>
                <w:szCs w:val="20"/>
                <w:highlight w:val="none"/>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166.69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r>
      <w:bookmarkEnd w:id="0"/>
      <w:bookmarkEnd w:id="1"/>
      <w:bookmarkEnd w:id="2"/>
      <w:bookmarkEnd w:id="3"/>
      <w:bookmarkEnd w:id="4"/>
      <w:bookmarkEnd w:id="5"/>
      <w:bookmarkEnd w:id="6"/>
      <w:bookmarkEnd w:id="7"/>
      <w:bookmarkEnd w:id="8"/>
    </w:tbl>
    <w:p>
      <w:pPr>
        <w:pStyle w:val="32"/>
        <w:spacing w:before="156" w:after="156" w:line="580" w:lineRule="exact"/>
        <w:ind w:firstLine="0" w:firstLineChars="0"/>
        <w:rPr>
          <w:rFonts w:hAnsi="宋体" w:cs="宋体"/>
          <w:b/>
          <w:color w:val="auto"/>
          <w:sz w:val="28"/>
          <w:szCs w:val="28"/>
          <w:highlight w:val="none"/>
        </w:rPr>
      </w:pPr>
      <w:bookmarkStart w:id="9" w:name="_Toc272503282"/>
    </w:p>
    <w:p>
      <w:pPr>
        <w:pStyle w:val="32"/>
        <w:spacing w:before="156" w:after="156" w:line="580" w:lineRule="exact"/>
        <w:ind w:firstLine="0" w:firstLineChars="0"/>
        <w:rPr>
          <w:rFonts w:hAnsi="宋体" w:cs="宋体"/>
          <w:color w:val="auto"/>
          <w:sz w:val="28"/>
          <w:szCs w:val="28"/>
          <w:highlight w:val="none"/>
        </w:rPr>
      </w:pPr>
      <w:r>
        <w:rPr>
          <w:rFonts w:hint="eastAsia" w:hAnsi="宋体" w:cs="宋体"/>
          <w:b/>
          <w:color w:val="auto"/>
          <w:sz w:val="28"/>
          <w:szCs w:val="28"/>
          <w:highlight w:val="none"/>
        </w:rPr>
        <w:t>附件2     配电箱技术指标及现场验收标准</w:t>
      </w:r>
      <w:bookmarkEnd w:id="9"/>
    </w:p>
    <w:p>
      <w:pPr>
        <w:spacing w:line="58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w:t>
      </w:r>
      <w:r>
        <w:rPr>
          <w:rFonts w:hint="eastAsia" w:ascii="宋体" w:hAnsi="宋体" w:cs="宋体"/>
          <w:b/>
          <w:color w:val="auto"/>
          <w:sz w:val="24"/>
          <w:szCs w:val="24"/>
          <w:highlight w:val="none"/>
        </w:rPr>
        <w:t>货物技术指标</w:t>
      </w:r>
      <w:r>
        <w:rPr>
          <w:rFonts w:hint="eastAsia" w:ascii="宋体" w:hAnsi="宋体" w:cs="宋体"/>
          <w:b/>
          <w:color w:val="auto"/>
          <w:kern w:val="0"/>
          <w:sz w:val="24"/>
          <w:szCs w:val="24"/>
          <w:highlight w:val="none"/>
        </w:rPr>
        <w:t>：</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1、箱体要求：</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（1）配电箱（柜）的外涂采用静电喷涂方式颜色根据甲方要求，表面应平整、干净、无凹坑；箱体内使用的有镀层的零部件，应保证无剥落、半点、漏镀、生锈等不良现象。</w:t>
      </w:r>
    </w:p>
    <w:p>
      <w:pPr>
        <w:spacing w:line="480" w:lineRule="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rPr>
        <w:t xml:space="preserve"> （2）配电箱（柜）箱体选用钢板厚度</w:t>
      </w:r>
      <w:r>
        <w:rPr>
          <w:rFonts w:hint="eastAsia" w:ascii="宋体" w:hAnsi="宋体" w:cs="宋体"/>
          <w:bCs/>
          <w:color w:val="auto"/>
          <w:kern w:val="0"/>
          <w:sz w:val="24"/>
          <w:szCs w:val="24"/>
          <w:highlight w:val="none"/>
          <w:lang w:eastAsia="zh-CN"/>
        </w:rPr>
        <w:t>：</w:t>
      </w:r>
    </w:p>
    <w:p>
      <w:pPr>
        <w:spacing w:line="360" w:lineRule="auto"/>
        <w:ind w:firstLine="420" w:firstLineChars="175"/>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明装</w:t>
      </w:r>
      <w:r>
        <w:rPr>
          <w:rFonts w:hint="eastAsia" w:ascii="宋体" w:hAnsi="宋体" w:cs="宋体"/>
          <w:bCs/>
          <w:color w:val="auto"/>
          <w:kern w:val="0"/>
          <w:sz w:val="24"/>
          <w:szCs w:val="24"/>
          <w:highlight w:val="none"/>
        </w:rPr>
        <w:t>配电箱钢板厚度裸板1.</w:t>
      </w:r>
      <w:r>
        <w:rPr>
          <w:rFonts w:hint="eastAsia" w:ascii="宋体" w:hAnsi="宋体" w:cs="宋体"/>
          <w:bCs/>
          <w:color w:val="auto"/>
          <w:kern w:val="0"/>
          <w:sz w:val="24"/>
          <w:szCs w:val="24"/>
          <w:highlight w:val="none"/>
          <w:lang w:val="en-US" w:eastAsia="zh-CN"/>
        </w:rPr>
        <w:t>2</w:t>
      </w:r>
      <w:r>
        <w:rPr>
          <w:rFonts w:ascii="宋体" w:hAnsi="宋体" w:cs="宋体"/>
          <w:bCs/>
          <w:color w:val="auto"/>
          <w:kern w:val="0"/>
          <w:sz w:val="24"/>
          <w:szCs w:val="24"/>
          <w:highlight w:val="none"/>
        </w:rPr>
        <w:t>mm</w:t>
      </w:r>
      <w:r>
        <w:rPr>
          <w:rFonts w:hint="eastAsia" w:ascii="宋体" w:hAnsi="宋体" w:cs="宋体"/>
          <w:bCs/>
          <w:color w:val="auto"/>
          <w:kern w:val="0"/>
          <w:sz w:val="24"/>
          <w:szCs w:val="24"/>
          <w:highlight w:val="none"/>
        </w:rPr>
        <w:t>（允许在国标范围内有误差--正负0</w:t>
      </w:r>
      <w:r>
        <w:rPr>
          <w:rFonts w:ascii="宋体" w:hAnsi="宋体" w:cs="宋体"/>
          <w:bCs/>
          <w:color w:val="auto"/>
          <w:kern w:val="0"/>
          <w:sz w:val="24"/>
          <w:szCs w:val="24"/>
          <w:highlight w:val="none"/>
        </w:rPr>
        <w:t>.07mm</w:t>
      </w:r>
      <w:r>
        <w:rPr>
          <w:rFonts w:hint="eastAsia" w:ascii="宋体" w:hAnsi="宋体" w:cs="宋体"/>
          <w:bCs/>
          <w:color w:val="auto"/>
          <w:kern w:val="0"/>
          <w:sz w:val="24"/>
          <w:szCs w:val="24"/>
          <w:highlight w:val="none"/>
        </w:rPr>
        <w:t>）</w:t>
      </w:r>
      <w:r>
        <w:rPr>
          <w:rFonts w:hint="default" w:ascii="宋体" w:hAnsi="宋体" w:cs="宋体"/>
          <w:bCs/>
          <w:color w:val="auto"/>
          <w:kern w:val="0"/>
          <w:sz w:val="24"/>
          <w:szCs w:val="24"/>
          <w:highlight w:val="none"/>
          <w:lang w:val="en-US"/>
        </w:rPr>
        <w:t>；</w:t>
      </w:r>
    </w:p>
    <w:p>
      <w:pPr>
        <w:spacing w:line="480" w:lineRule="auto"/>
        <w:ind w:firstLine="480" w:firstLineChars="2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户箱钢板厚度裸板1.0</w:t>
      </w:r>
      <w:r>
        <w:rPr>
          <w:rFonts w:ascii="宋体" w:hAnsi="宋体" w:cs="宋体"/>
          <w:bCs/>
          <w:color w:val="auto"/>
          <w:kern w:val="0"/>
          <w:sz w:val="24"/>
          <w:szCs w:val="24"/>
          <w:highlight w:val="none"/>
        </w:rPr>
        <w:t>mm</w:t>
      </w:r>
      <w:r>
        <w:rPr>
          <w:rFonts w:hint="eastAsia" w:ascii="宋体" w:hAnsi="宋体" w:cs="宋体"/>
          <w:bCs/>
          <w:color w:val="auto"/>
          <w:kern w:val="0"/>
          <w:sz w:val="24"/>
          <w:szCs w:val="24"/>
          <w:highlight w:val="none"/>
        </w:rPr>
        <w:t>（允许在国标范围内有误差--正负0</w:t>
      </w:r>
      <w:r>
        <w:rPr>
          <w:rFonts w:ascii="宋体" w:hAnsi="宋体" w:cs="宋体"/>
          <w:bCs/>
          <w:color w:val="auto"/>
          <w:kern w:val="0"/>
          <w:sz w:val="24"/>
          <w:szCs w:val="24"/>
          <w:highlight w:val="none"/>
        </w:rPr>
        <w:t>.05mm</w:t>
      </w:r>
      <w:r>
        <w:rPr>
          <w:rFonts w:hint="eastAsia" w:ascii="宋体" w:hAnsi="宋体" w:cs="宋体"/>
          <w:bCs/>
          <w:color w:val="auto"/>
          <w:kern w:val="0"/>
          <w:sz w:val="24"/>
          <w:szCs w:val="24"/>
          <w:highlight w:val="none"/>
        </w:rPr>
        <w:t>）。</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在非落地式配电箱背面左下角和右上角焊处两个承耳，承耳采用40*4的扁铁,扁铁长度在10CM，箱（柜）内部元器件揭发与装配布置合理、进出线预留洞口数量、大小、形状及箱（柜）的安装方式必须符合国际、图集、设计图纸具体参数的要求（相应图纸由我方提供）。</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（3）配电箱（柜）的铭牌和电路图：每台配电箱（柜）铭牌须采用金属铭牌</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不含户箱</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rPr>
        <w:t>，铭牌中至少有产品名称、型号、厂家名称、主要技术参数、出场编号、生产日期等五项。箱、柜必须附有主电路图、系统图、原理图、二次控制图等，电路图中各参数要求与实物相一致。</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2电器原件要求：</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1）箱（柜）内的电气元器件选用：所有元器件应严格按照我方提供的图纸进行选配，图纸上未注明的辅助性元器件应选用取得生产许可证的厂家的合格产品。所有产品的元器件均应保证能满足产品性能的要求，厂家并应提供元器件的供应商资质、规格型号、断路器分段能力、漏电断路器的证明文件。</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（2）配电箱电气元件选用产品。</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（3）配电箱总开关到分开关要用铜牌连接（不能有裸导体）并符合规范验收要求，不能用铜线连接；总开关的出现导线截面不能小于进线的截面；回路标注要用塑料条大字并固定牢靠。</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4）绝缘导线的配线要求：绝缘导线应根据图纸中该回路所带断路器额定电流选用。但电流回路不得小于2.5mm²，绝缘等级符合GB50303-2002的要求。绝缘导线的连接应采用符合JB2436标准的冷压铜质接线端子进行连接，并要求预留外进线的固定用紧固件，导线布设是不得紧贴带电部件和尖锐边角处，同一回路导线穿过金属孔洞时所有相线和中性线应从同一孔穿过，并要求在穿孔部位加上光滑的衬套。同一端子不上应超过二根导线，应采用过渡端子进行连接，导线连接要求牢固可靠。端子上的螺丝钉应配置齐全，同时预留适量备用端子孔。导线的两端要求有清晰、牢固的打印编号，编号应与所提供的电路原理、控制图一致。</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（5）电气连锁的要求：本次合同中的双电源供电的配电箱，要求进行电气联动，电气联动装置北许动作灵敏可靠，部分断路器采用分励脱扣，其相应的接线应接至接线端子，并有明确标记。</w:t>
      </w:r>
    </w:p>
    <w:p>
      <w:p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（6）配电箱的防护要求：配电箱均要求能在三级污染条件下运行，即配电箱柜的防护等级达到IP3X。所有箱体的钢板、型钢必须在喷涂前进行除油、除锈、磷化处理，其金属件均应有防腐蚀能力。</w:t>
      </w:r>
    </w:p>
    <w:p>
      <w:pPr>
        <w:numPr>
          <w:ilvl w:val="0"/>
          <w:numId w:val="2"/>
        </w:num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配电箱柜的试验要求：配电箱必须按照GB50171-2012和相关国家规范、标准进行各种电器性能的检、试验并由厂家将各检、试验报告提供给甲方、监理。设备进场后按照电气装置安装工程电气设备交接试验标准（GB50150）进行交接试验，试验合格后方可接受。</w:t>
      </w:r>
    </w:p>
    <w:p>
      <w:pPr>
        <w:numPr>
          <w:ilvl w:val="0"/>
          <w:numId w:val="2"/>
        </w:numPr>
        <w:spacing w:line="580" w:lineRule="exac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配电箱采用二层包装，内层为塑料保护罩，外层用纸箱包装。</w:t>
      </w:r>
    </w:p>
    <w:p>
      <w:pPr>
        <w:spacing w:line="58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二、品牌定位及质量等级</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质量等级：合格品</w:t>
      </w:r>
    </w:p>
    <w:p>
      <w:pPr>
        <w:spacing w:line="58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三、现场验收标准</w:t>
      </w:r>
    </w:p>
    <w:p>
      <w:pPr>
        <w:spacing w:line="5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1、按样板验收。</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2、外观质量要求：产品外观应平整光滑、色泽均匀、表面喷塑层牢固，不应有明显的流疤、划痕、麻坑、脱落等缺陷。</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3、配电箱合格证、CCC认证齐全，出场试验、检测报告齐全。</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4、配电箱、柜</w:t>
      </w:r>
      <w:r>
        <w:rPr>
          <w:rFonts w:hint="eastAsia" w:ascii="宋体" w:hAnsi="宋体" w:cs="宋体"/>
          <w:color w:val="auto"/>
          <w:kern w:val="0"/>
          <w:sz w:val="24"/>
          <w:szCs w:val="24"/>
          <w:highlight w:val="none"/>
          <w:lang w:val="en-US" w:eastAsia="zh-CN"/>
        </w:rPr>
        <w:t>(不含户箱)</w:t>
      </w:r>
      <w:r>
        <w:rPr>
          <w:rFonts w:hint="eastAsia" w:ascii="宋体" w:hAnsi="宋体" w:cs="宋体"/>
          <w:color w:val="auto"/>
          <w:kern w:val="0"/>
          <w:sz w:val="24"/>
          <w:szCs w:val="24"/>
          <w:highlight w:val="none"/>
        </w:rPr>
        <w:t>必须有不锈钢制产品铭牌，铭牌用不锈钢钉铆接在箱、柜门外左上侧或中下。</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5、配电箱、柜内</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(不含户箱)</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必须有配电系统图及原理图，图采用机打，塑封，贴箱、柜门内左上侧，并且图固定牢固、美观。</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6、元器件安装牢固，内部排放整齐，内部线路压线牢固无松动，箱内无油污及粉尘污染。</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7、配电箱、柜内配线规格、线色符合相色及相序要求，从总断路器下口配出各路导线必须考虑可独立拆卸、检修。</w:t>
      </w:r>
    </w:p>
    <w:p>
      <w:pPr>
        <w:spacing w:line="580" w:lineRule="exact"/>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8、配电箱、柜内配电支路电源线不能串接，并且一个端子上压接导线最多不能超过两根</w:t>
      </w:r>
    </w:p>
    <w:p>
      <w:pPr>
        <w:spacing w:line="580" w:lineRule="exact"/>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9、未尽事宜依据国家有关设计、施工验收规范及相关标准执行。</w:t>
      </w:r>
    </w:p>
    <w:p>
      <w:pPr>
        <w:spacing w:line="413" w:lineRule="atLeast"/>
        <w:rPr>
          <w:rFonts w:ascii="宋体" w:hAnsi="宋体" w:cs="宋体"/>
          <w:b/>
          <w:bCs/>
          <w:color w:val="auto"/>
          <w:sz w:val="24"/>
          <w:szCs w:val="24"/>
          <w:highlight w:val="none"/>
        </w:rPr>
      </w:pPr>
    </w:p>
    <w:p>
      <w:pPr>
        <w:spacing w:line="413" w:lineRule="atLeast"/>
        <w:rPr>
          <w:rFonts w:ascii="宋体" w:hAnsi="宋体" w:cs="宋体"/>
          <w:b/>
          <w:bCs/>
          <w:color w:val="auto"/>
          <w:sz w:val="24"/>
          <w:szCs w:val="24"/>
          <w:highlight w:val="none"/>
        </w:rPr>
      </w:pPr>
    </w:p>
    <w:p>
      <w:pPr>
        <w:pStyle w:val="23"/>
        <w:ind w:firstLine="482"/>
        <w:rPr>
          <w:rFonts w:ascii="宋体" w:hAnsi="宋体" w:cs="宋体"/>
          <w:b/>
          <w:bCs/>
          <w:color w:val="auto"/>
          <w:sz w:val="24"/>
          <w:szCs w:val="24"/>
          <w:highlight w:val="none"/>
        </w:rPr>
      </w:pPr>
    </w:p>
    <w:p>
      <w:pPr>
        <w:pStyle w:val="23"/>
        <w:ind w:firstLine="482"/>
        <w:rPr>
          <w:rFonts w:ascii="宋体" w:hAnsi="宋体" w:cs="宋体"/>
          <w:b/>
          <w:bCs/>
          <w:color w:val="auto"/>
          <w:sz w:val="24"/>
          <w:szCs w:val="24"/>
          <w:highlight w:val="none"/>
        </w:rPr>
      </w:pPr>
    </w:p>
    <w:p>
      <w:pPr>
        <w:spacing w:line="413" w:lineRule="atLeast"/>
        <w:rPr>
          <w:rFonts w:ascii="宋体" w:hAnsi="宋体" w:cs="宋体"/>
          <w:b/>
          <w:color w:val="auto"/>
          <w:sz w:val="28"/>
          <w:szCs w:val="28"/>
          <w:highlight w:val="none"/>
        </w:rPr>
      </w:pPr>
      <w:r>
        <w:rPr>
          <w:rFonts w:hint="eastAsia" w:ascii="宋体" w:hAnsi="宋体" w:cs="宋体"/>
          <w:b/>
          <w:bCs/>
          <w:color w:val="auto"/>
          <w:sz w:val="28"/>
          <w:szCs w:val="28"/>
          <w:highlight w:val="none"/>
        </w:rPr>
        <w:t xml:space="preserve">附件3              </w:t>
      </w:r>
      <w:r>
        <w:rPr>
          <w:rFonts w:hint="eastAsia" w:ascii="宋体" w:hAnsi="宋体" w:cs="宋体"/>
          <w:b/>
          <w:color w:val="auto"/>
          <w:sz w:val="28"/>
          <w:szCs w:val="28"/>
          <w:highlight w:val="none"/>
        </w:rPr>
        <w:t>甲供材料、设备（配电箱）验收单</w:t>
      </w:r>
    </w:p>
    <w:p>
      <w:pPr>
        <w:spacing w:line="413" w:lineRule="atLeast"/>
        <w:jc w:val="left"/>
        <w:rPr>
          <w:rFonts w:ascii="宋体" w:hAnsi="宋体" w:cs="宋体"/>
          <w:b/>
          <w:color w:val="auto"/>
          <w:sz w:val="24"/>
          <w:szCs w:val="24"/>
          <w:highlight w:val="none"/>
        </w:rPr>
      </w:pPr>
      <w:r>
        <w:rPr>
          <w:rFonts w:hint="eastAsia" w:ascii="宋体" w:hAnsi="宋体" w:cs="宋体"/>
          <w:color w:val="auto"/>
          <w:sz w:val="24"/>
          <w:szCs w:val="24"/>
          <w:highlight w:val="none"/>
        </w:rPr>
        <w:t>项目名称：</w:t>
      </w:r>
    </w:p>
    <w:p>
      <w:pPr>
        <w:spacing w:line="413"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合同名称：</w:t>
      </w:r>
    </w:p>
    <w:p>
      <w:pPr>
        <w:spacing w:line="413"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合同编号：</w:t>
      </w:r>
    </w:p>
    <w:p>
      <w:pPr>
        <w:spacing w:line="413"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供应商名称：</w:t>
      </w:r>
    </w:p>
    <w:tbl>
      <w:tblPr>
        <w:tblStyle w:val="18"/>
        <w:tblW w:w="9600"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25"/>
        <w:gridCol w:w="126"/>
        <w:gridCol w:w="1629"/>
        <w:gridCol w:w="109"/>
        <w:gridCol w:w="1041"/>
        <w:gridCol w:w="435"/>
        <w:gridCol w:w="849"/>
        <w:gridCol w:w="753"/>
        <w:gridCol w:w="178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600" w:type="dxa"/>
            <w:gridSpan w:val="10"/>
          </w:tcPr>
          <w:p>
            <w:pPr>
              <w:spacing w:line="413" w:lineRule="atLeast"/>
              <w:rPr>
                <w:rFonts w:ascii="宋体" w:hAnsi="宋体" w:cs="宋体"/>
                <w:color w:val="auto"/>
                <w:sz w:val="24"/>
                <w:szCs w:val="24"/>
                <w:highlight w:val="none"/>
              </w:rPr>
            </w:pPr>
            <w:r>
              <w:rPr>
                <w:rFonts w:hint="eastAsia" w:ascii="宋体" w:hAnsi="宋体" w:cs="宋体"/>
                <w:color w:val="auto"/>
                <w:sz w:val="24"/>
                <w:szCs w:val="24"/>
                <w:highlight w:val="none"/>
              </w:rPr>
              <w:t>施工单位与监理公司对进场材料的质量、数量验收结果如下：</w:t>
            </w:r>
          </w:p>
          <w:p>
            <w:pPr>
              <w:pStyle w:val="23"/>
              <w:ind w:firstLine="480"/>
              <w:rPr>
                <w:rFonts w:ascii="宋体" w:hAnsi="宋体" w:cs="宋体"/>
                <w:color w:val="auto"/>
                <w:sz w:val="24"/>
                <w:szCs w:val="24"/>
                <w:highlight w:val="none"/>
              </w:rPr>
            </w:pPr>
          </w:p>
          <w:p>
            <w:pPr>
              <w:pStyle w:val="23"/>
              <w:ind w:firstLine="480"/>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47" w:type="dxa"/>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楼号</w:t>
            </w:r>
          </w:p>
        </w:tc>
        <w:tc>
          <w:tcPr>
            <w:tcW w:w="2425" w:type="dxa"/>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材 料 名 称</w:t>
            </w:r>
          </w:p>
        </w:tc>
        <w:tc>
          <w:tcPr>
            <w:tcW w:w="1755" w:type="dxa"/>
            <w:gridSpan w:val="2"/>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1585" w:type="dxa"/>
            <w:gridSpan w:val="3"/>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质量评价</w:t>
            </w:r>
          </w:p>
        </w:tc>
        <w:tc>
          <w:tcPr>
            <w:tcW w:w="1602" w:type="dxa"/>
            <w:gridSpan w:val="2"/>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数量（单位）</w:t>
            </w:r>
          </w:p>
        </w:tc>
        <w:tc>
          <w:tcPr>
            <w:tcW w:w="1786" w:type="dxa"/>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       注</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color w:val="auto"/>
                <w:sz w:val="24"/>
                <w:szCs w:val="24"/>
                <w:highlight w:val="none"/>
              </w:rPr>
            </w:pPr>
          </w:p>
        </w:tc>
        <w:tc>
          <w:tcPr>
            <w:tcW w:w="2425" w:type="dxa"/>
          </w:tcPr>
          <w:p>
            <w:pPr>
              <w:spacing w:line="413" w:lineRule="atLeast"/>
              <w:rPr>
                <w:rFonts w:ascii="宋体" w:hAnsi="宋体" w:cs="宋体"/>
                <w:color w:val="auto"/>
                <w:sz w:val="24"/>
                <w:szCs w:val="24"/>
                <w:highlight w:val="none"/>
              </w:rPr>
            </w:pPr>
          </w:p>
        </w:tc>
        <w:tc>
          <w:tcPr>
            <w:tcW w:w="1755" w:type="dxa"/>
            <w:gridSpan w:val="2"/>
          </w:tcPr>
          <w:p>
            <w:pPr>
              <w:spacing w:line="413" w:lineRule="atLeast"/>
              <w:rPr>
                <w:rFonts w:ascii="宋体" w:hAnsi="宋体" w:cs="宋体"/>
                <w:color w:val="auto"/>
                <w:sz w:val="24"/>
                <w:szCs w:val="24"/>
                <w:highlight w:val="none"/>
              </w:rPr>
            </w:pPr>
          </w:p>
        </w:tc>
        <w:tc>
          <w:tcPr>
            <w:tcW w:w="1585" w:type="dxa"/>
            <w:gridSpan w:val="3"/>
          </w:tcPr>
          <w:p>
            <w:pPr>
              <w:spacing w:line="413" w:lineRule="atLeast"/>
              <w:rPr>
                <w:rFonts w:ascii="宋体" w:hAnsi="宋体" w:cs="宋体"/>
                <w:color w:val="auto"/>
                <w:sz w:val="24"/>
                <w:szCs w:val="24"/>
                <w:highlight w:val="none"/>
              </w:rPr>
            </w:pPr>
          </w:p>
        </w:tc>
        <w:tc>
          <w:tcPr>
            <w:tcW w:w="1602" w:type="dxa"/>
            <w:gridSpan w:val="2"/>
          </w:tcPr>
          <w:p>
            <w:pPr>
              <w:spacing w:line="413" w:lineRule="atLeast"/>
              <w:rPr>
                <w:rFonts w:ascii="宋体" w:hAnsi="宋体" w:cs="宋体"/>
                <w:color w:val="auto"/>
                <w:sz w:val="24"/>
                <w:szCs w:val="24"/>
                <w:highlight w:val="none"/>
              </w:rPr>
            </w:pPr>
          </w:p>
        </w:tc>
        <w:tc>
          <w:tcPr>
            <w:tcW w:w="1786" w:type="dxa"/>
          </w:tcPr>
          <w:p>
            <w:pPr>
              <w:spacing w:line="413" w:lineRule="atLeast"/>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color w:val="auto"/>
                <w:sz w:val="24"/>
                <w:szCs w:val="24"/>
                <w:highlight w:val="none"/>
              </w:rPr>
            </w:pPr>
          </w:p>
        </w:tc>
        <w:tc>
          <w:tcPr>
            <w:tcW w:w="2425" w:type="dxa"/>
          </w:tcPr>
          <w:p>
            <w:pPr>
              <w:spacing w:line="413" w:lineRule="atLeast"/>
              <w:rPr>
                <w:rFonts w:ascii="宋体" w:hAnsi="宋体" w:cs="宋体"/>
                <w:color w:val="auto"/>
                <w:sz w:val="24"/>
                <w:szCs w:val="24"/>
                <w:highlight w:val="none"/>
              </w:rPr>
            </w:pPr>
          </w:p>
        </w:tc>
        <w:tc>
          <w:tcPr>
            <w:tcW w:w="1755" w:type="dxa"/>
            <w:gridSpan w:val="2"/>
          </w:tcPr>
          <w:p>
            <w:pPr>
              <w:spacing w:line="413" w:lineRule="atLeast"/>
              <w:rPr>
                <w:rFonts w:ascii="宋体" w:hAnsi="宋体" w:cs="宋体"/>
                <w:color w:val="auto"/>
                <w:sz w:val="24"/>
                <w:szCs w:val="24"/>
                <w:highlight w:val="none"/>
              </w:rPr>
            </w:pPr>
          </w:p>
        </w:tc>
        <w:tc>
          <w:tcPr>
            <w:tcW w:w="1585" w:type="dxa"/>
            <w:gridSpan w:val="3"/>
          </w:tcPr>
          <w:p>
            <w:pPr>
              <w:spacing w:line="413" w:lineRule="atLeast"/>
              <w:rPr>
                <w:rFonts w:ascii="宋体" w:hAnsi="宋体" w:cs="宋体"/>
                <w:color w:val="auto"/>
                <w:sz w:val="24"/>
                <w:szCs w:val="24"/>
                <w:highlight w:val="none"/>
              </w:rPr>
            </w:pPr>
          </w:p>
        </w:tc>
        <w:tc>
          <w:tcPr>
            <w:tcW w:w="1602" w:type="dxa"/>
            <w:gridSpan w:val="2"/>
          </w:tcPr>
          <w:p>
            <w:pPr>
              <w:spacing w:line="413" w:lineRule="atLeast"/>
              <w:rPr>
                <w:rFonts w:ascii="宋体" w:hAnsi="宋体" w:cs="宋体"/>
                <w:color w:val="auto"/>
                <w:sz w:val="24"/>
                <w:szCs w:val="24"/>
                <w:highlight w:val="none"/>
              </w:rPr>
            </w:pPr>
          </w:p>
        </w:tc>
        <w:tc>
          <w:tcPr>
            <w:tcW w:w="1786" w:type="dxa"/>
          </w:tcPr>
          <w:p>
            <w:pPr>
              <w:spacing w:line="413" w:lineRule="atLeast"/>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color w:val="auto"/>
                <w:sz w:val="24"/>
                <w:szCs w:val="24"/>
                <w:highlight w:val="none"/>
              </w:rPr>
            </w:pPr>
          </w:p>
        </w:tc>
        <w:tc>
          <w:tcPr>
            <w:tcW w:w="2425" w:type="dxa"/>
          </w:tcPr>
          <w:p>
            <w:pPr>
              <w:spacing w:line="413" w:lineRule="atLeast"/>
              <w:rPr>
                <w:rFonts w:ascii="宋体" w:hAnsi="宋体" w:cs="宋体"/>
                <w:color w:val="auto"/>
                <w:sz w:val="24"/>
                <w:szCs w:val="24"/>
                <w:highlight w:val="none"/>
              </w:rPr>
            </w:pPr>
          </w:p>
        </w:tc>
        <w:tc>
          <w:tcPr>
            <w:tcW w:w="1755" w:type="dxa"/>
            <w:gridSpan w:val="2"/>
          </w:tcPr>
          <w:p>
            <w:pPr>
              <w:spacing w:line="413" w:lineRule="atLeast"/>
              <w:rPr>
                <w:rFonts w:ascii="宋体" w:hAnsi="宋体" w:cs="宋体"/>
                <w:color w:val="auto"/>
                <w:sz w:val="24"/>
                <w:szCs w:val="24"/>
                <w:highlight w:val="none"/>
              </w:rPr>
            </w:pPr>
          </w:p>
        </w:tc>
        <w:tc>
          <w:tcPr>
            <w:tcW w:w="1585" w:type="dxa"/>
            <w:gridSpan w:val="3"/>
          </w:tcPr>
          <w:p>
            <w:pPr>
              <w:spacing w:line="413" w:lineRule="atLeast"/>
              <w:rPr>
                <w:rFonts w:ascii="宋体" w:hAnsi="宋体" w:cs="宋体"/>
                <w:color w:val="auto"/>
                <w:sz w:val="24"/>
                <w:szCs w:val="24"/>
                <w:highlight w:val="none"/>
              </w:rPr>
            </w:pPr>
          </w:p>
        </w:tc>
        <w:tc>
          <w:tcPr>
            <w:tcW w:w="1602" w:type="dxa"/>
            <w:gridSpan w:val="2"/>
          </w:tcPr>
          <w:p>
            <w:pPr>
              <w:spacing w:line="413" w:lineRule="atLeast"/>
              <w:rPr>
                <w:rFonts w:ascii="宋体" w:hAnsi="宋体" w:cs="宋体"/>
                <w:color w:val="auto"/>
                <w:sz w:val="24"/>
                <w:szCs w:val="24"/>
                <w:highlight w:val="none"/>
              </w:rPr>
            </w:pPr>
          </w:p>
        </w:tc>
        <w:tc>
          <w:tcPr>
            <w:tcW w:w="1786" w:type="dxa"/>
          </w:tcPr>
          <w:p>
            <w:pPr>
              <w:spacing w:line="413" w:lineRule="atLeast"/>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color w:val="auto"/>
                <w:sz w:val="24"/>
                <w:szCs w:val="24"/>
                <w:highlight w:val="none"/>
              </w:rPr>
            </w:pPr>
          </w:p>
        </w:tc>
        <w:tc>
          <w:tcPr>
            <w:tcW w:w="2425" w:type="dxa"/>
          </w:tcPr>
          <w:p>
            <w:pPr>
              <w:spacing w:line="413" w:lineRule="atLeast"/>
              <w:rPr>
                <w:rFonts w:ascii="宋体" w:hAnsi="宋体" w:cs="宋体"/>
                <w:color w:val="auto"/>
                <w:sz w:val="24"/>
                <w:szCs w:val="24"/>
                <w:highlight w:val="none"/>
              </w:rPr>
            </w:pPr>
          </w:p>
        </w:tc>
        <w:tc>
          <w:tcPr>
            <w:tcW w:w="1755" w:type="dxa"/>
            <w:gridSpan w:val="2"/>
          </w:tcPr>
          <w:p>
            <w:pPr>
              <w:spacing w:line="413" w:lineRule="atLeast"/>
              <w:rPr>
                <w:rFonts w:ascii="宋体" w:hAnsi="宋体" w:cs="宋体"/>
                <w:color w:val="auto"/>
                <w:sz w:val="24"/>
                <w:szCs w:val="24"/>
                <w:highlight w:val="none"/>
              </w:rPr>
            </w:pPr>
          </w:p>
        </w:tc>
        <w:tc>
          <w:tcPr>
            <w:tcW w:w="1585" w:type="dxa"/>
            <w:gridSpan w:val="3"/>
          </w:tcPr>
          <w:p>
            <w:pPr>
              <w:spacing w:line="413" w:lineRule="atLeast"/>
              <w:rPr>
                <w:rFonts w:ascii="宋体" w:hAnsi="宋体" w:cs="宋体"/>
                <w:color w:val="auto"/>
                <w:sz w:val="24"/>
                <w:szCs w:val="24"/>
                <w:highlight w:val="none"/>
              </w:rPr>
            </w:pPr>
          </w:p>
        </w:tc>
        <w:tc>
          <w:tcPr>
            <w:tcW w:w="1602" w:type="dxa"/>
            <w:gridSpan w:val="2"/>
          </w:tcPr>
          <w:p>
            <w:pPr>
              <w:spacing w:line="413" w:lineRule="atLeast"/>
              <w:rPr>
                <w:rFonts w:ascii="宋体" w:hAnsi="宋体" w:cs="宋体"/>
                <w:color w:val="auto"/>
                <w:sz w:val="24"/>
                <w:szCs w:val="24"/>
                <w:highlight w:val="none"/>
              </w:rPr>
            </w:pPr>
          </w:p>
        </w:tc>
        <w:tc>
          <w:tcPr>
            <w:tcW w:w="1786" w:type="dxa"/>
          </w:tcPr>
          <w:p>
            <w:pPr>
              <w:spacing w:line="413" w:lineRule="atLeast"/>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color w:val="auto"/>
                <w:sz w:val="24"/>
                <w:szCs w:val="24"/>
                <w:highlight w:val="none"/>
              </w:rPr>
            </w:pPr>
          </w:p>
        </w:tc>
        <w:tc>
          <w:tcPr>
            <w:tcW w:w="2425" w:type="dxa"/>
          </w:tcPr>
          <w:p>
            <w:pPr>
              <w:spacing w:line="413" w:lineRule="atLeast"/>
              <w:rPr>
                <w:rFonts w:ascii="宋体" w:hAnsi="宋体" w:cs="宋体"/>
                <w:color w:val="auto"/>
                <w:sz w:val="24"/>
                <w:szCs w:val="24"/>
                <w:highlight w:val="none"/>
              </w:rPr>
            </w:pPr>
          </w:p>
        </w:tc>
        <w:tc>
          <w:tcPr>
            <w:tcW w:w="1755" w:type="dxa"/>
            <w:gridSpan w:val="2"/>
          </w:tcPr>
          <w:p>
            <w:pPr>
              <w:spacing w:line="413" w:lineRule="atLeast"/>
              <w:rPr>
                <w:rFonts w:ascii="宋体" w:hAnsi="宋体" w:cs="宋体"/>
                <w:color w:val="auto"/>
                <w:sz w:val="24"/>
                <w:szCs w:val="24"/>
                <w:highlight w:val="none"/>
              </w:rPr>
            </w:pPr>
          </w:p>
        </w:tc>
        <w:tc>
          <w:tcPr>
            <w:tcW w:w="1585" w:type="dxa"/>
            <w:gridSpan w:val="3"/>
          </w:tcPr>
          <w:p>
            <w:pPr>
              <w:spacing w:line="413" w:lineRule="atLeast"/>
              <w:rPr>
                <w:rFonts w:ascii="宋体" w:hAnsi="宋体" w:cs="宋体"/>
                <w:color w:val="auto"/>
                <w:sz w:val="24"/>
                <w:szCs w:val="24"/>
                <w:highlight w:val="none"/>
              </w:rPr>
            </w:pPr>
          </w:p>
        </w:tc>
        <w:tc>
          <w:tcPr>
            <w:tcW w:w="1602" w:type="dxa"/>
            <w:gridSpan w:val="2"/>
          </w:tcPr>
          <w:p>
            <w:pPr>
              <w:spacing w:line="413" w:lineRule="atLeast"/>
              <w:rPr>
                <w:rFonts w:ascii="宋体" w:hAnsi="宋体" w:cs="宋体"/>
                <w:color w:val="auto"/>
                <w:sz w:val="24"/>
                <w:szCs w:val="24"/>
                <w:highlight w:val="none"/>
              </w:rPr>
            </w:pPr>
          </w:p>
        </w:tc>
        <w:tc>
          <w:tcPr>
            <w:tcW w:w="1786" w:type="dxa"/>
          </w:tcPr>
          <w:p>
            <w:pPr>
              <w:spacing w:line="413" w:lineRule="atLeast"/>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color w:val="auto"/>
                <w:sz w:val="24"/>
                <w:szCs w:val="24"/>
                <w:highlight w:val="none"/>
              </w:rPr>
            </w:pPr>
          </w:p>
        </w:tc>
        <w:tc>
          <w:tcPr>
            <w:tcW w:w="2425" w:type="dxa"/>
          </w:tcPr>
          <w:p>
            <w:pPr>
              <w:spacing w:line="413" w:lineRule="atLeast"/>
              <w:rPr>
                <w:rFonts w:ascii="宋体" w:hAnsi="宋体" w:cs="宋体"/>
                <w:color w:val="auto"/>
                <w:sz w:val="24"/>
                <w:szCs w:val="24"/>
                <w:highlight w:val="none"/>
              </w:rPr>
            </w:pPr>
          </w:p>
        </w:tc>
        <w:tc>
          <w:tcPr>
            <w:tcW w:w="1755" w:type="dxa"/>
            <w:gridSpan w:val="2"/>
          </w:tcPr>
          <w:p>
            <w:pPr>
              <w:spacing w:line="413" w:lineRule="atLeast"/>
              <w:rPr>
                <w:rFonts w:ascii="宋体" w:hAnsi="宋体" w:cs="宋体"/>
                <w:color w:val="auto"/>
                <w:sz w:val="24"/>
                <w:szCs w:val="24"/>
                <w:highlight w:val="none"/>
              </w:rPr>
            </w:pPr>
          </w:p>
        </w:tc>
        <w:tc>
          <w:tcPr>
            <w:tcW w:w="1585" w:type="dxa"/>
            <w:gridSpan w:val="3"/>
          </w:tcPr>
          <w:p>
            <w:pPr>
              <w:spacing w:line="413" w:lineRule="atLeast"/>
              <w:rPr>
                <w:rFonts w:ascii="宋体" w:hAnsi="宋体" w:cs="宋体"/>
                <w:color w:val="auto"/>
                <w:sz w:val="24"/>
                <w:szCs w:val="24"/>
                <w:highlight w:val="none"/>
              </w:rPr>
            </w:pPr>
          </w:p>
        </w:tc>
        <w:tc>
          <w:tcPr>
            <w:tcW w:w="1602" w:type="dxa"/>
            <w:gridSpan w:val="2"/>
          </w:tcPr>
          <w:p>
            <w:pPr>
              <w:spacing w:line="413" w:lineRule="atLeast"/>
              <w:rPr>
                <w:rFonts w:ascii="宋体" w:hAnsi="宋体" w:cs="宋体"/>
                <w:color w:val="auto"/>
                <w:sz w:val="24"/>
                <w:szCs w:val="24"/>
                <w:highlight w:val="none"/>
              </w:rPr>
            </w:pPr>
          </w:p>
        </w:tc>
        <w:tc>
          <w:tcPr>
            <w:tcW w:w="1786" w:type="dxa"/>
          </w:tcPr>
          <w:p>
            <w:pPr>
              <w:spacing w:line="413" w:lineRule="atLeast"/>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600" w:type="dxa"/>
            <w:gridSpan w:val="10"/>
          </w:tcPr>
          <w:p>
            <w:pPr>
              <w:spacing w:line="413" w:lineRule="atLeast"/>
              <w:rPr>
                <w:rFonts w:ascii="宋体" w:hAnsi="宋体" w:cs="宋体"/>
                <w:color w:val="auto"/>
                <w:sz w:val="24"/>
                <w:szCs w:val="24"/>
                <w:highlight w:val="none"/>
              </w:rPr>
            </w:pPr>
            <w:r>
              <w:rPr>
                <w:rFonts w:hint="eastAsia" w:ascii="宋体" w:hAnsi="宋体" w:cs="宋体"/>
                <w:color w:val="auto"/>
                <w:sz w:val="24"/>
                <w:szCs w:val="24"/>
                <w:highlight w:val="none"/>
              </w:rPr>
              <w:t>注：1、出厂合格证齐全；2、表观合格（与样品一致）；3、材料厚度合格；4、元器件品牌与合同约定一致。</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0" w:type="dxa"/>
            <w:gridSpan w:val="10"/>
          </w:tcPr>
          <w:p>
            <w:pPr>
              <w:spacing w:line="413" w:lineRule="atLeast"/>
              <w:rPr>
                <w:rFonts w:ascii="宋体" w:hAnsi="宋体" w:cs="宋体"/>
                <w:color w:val="auto"/>
                <w:sz w:val="24"/>
                <w:szCs w:val="24"/>
                <w:highlight w:val="none"/>
              </w:rPr>
            </w:pPr>
            <w:r>
              <w:rPr>
                <w:rFonts w:hint="eastAsia" w:ascii="宋体" w:hAnsi="宋体" w:cs="宋体"/>
                <w:color w:val="auto"/>
                <w:sz w:val="24"/>
                <w:szCs w:val="24"/>
                <w:highlight w:val="none"/>
              </w:rPr>
              <w:t>有关各方责任工程师对进场材料的质量验收结果如下：</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998" w:type="dxa"/>
            <w:gridSpan w:val="3"/>
          </w:tcPr>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有关各方责任工程师</w:t>
            </w:r>
          </w:p>
        </w:tc>
        <w:tc>
          <w:tcPr>
            <w:tcW w:w="2779" w:type="dxa"/>
            <w:gridSpan w:val="3"/>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 量 验 收 结 果</w:t>
            </w:r>
          </w:p>
        </w:tc>
        <w:tc>
          <w:tcPr>
            <w:tcW w:w="1284" w:type="dxa"/>
            <w:gridSpan w:val="2"/>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签   名</w:t>
            </w:r>
          </w:p>
        </w:tc>
        <w:tc>
          <w:tcPr>
            <w:tcW w:w="2539" w:type="dxa"/>
            <w:gridSpan w:val="2"/>
          </w:tcPr>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     期</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b/>
                <w:color w:val="auto"/>
                <w:sz w:val="24"/>
                <w:szCs w:val="24"/>
                <w:highlight w:val="none"/>
              </w:rPr>
            </w:pPr>
            <w:r>
              <w:rPr>
                <w:rFonts w:hint="eastAsia" w:ascii="宋体" w:hAnsi="宋体" w:cs="宋体"/>
                <w:color w:val="auto"/>
                <w:sz w:val="24"/>
                <w:szCs w:val="24"/>
                <w:highlight w:val="none"/>
              </w:rPr>
              <w:t>施工单位责任人</w:t>
            </w:r>
          </w:p>
        </w:tc>
        <w:tc>
          <w:tcPr>
            <w:tcW w:w="2779" w:type="dxa"/>
            <w:gridSpan w:val="3"/>
          </w:tcPr>
          <w:p>
            <w:pPr>
              <w:spacing w:line="160" w:lineRule="atLeast"/>
              <w:rPr>
                <w:rFonts w:ascii="宋体" w:hAnsi="宋体" w:cs="宋体"/>
                <w:b/>
                <w:color w:val="auto"/>
                <w:sz w:val="24"/>
                <w:szCs w:val="24"/>
                <w:highlight w:val="none"/>
              </w:rPr>
            </w:pPr>
          </w:p>
        </w:tc>
        <w:tc>
          <w:tcPr>
            <w:tcW w:w="1284" w:type="dxa"/>
            <w:gridSpan w:val="2"/>
          </w:tcPr>
          <w:p>
            <w:pPr>
              <w:spacing w:line="160" w:lineRule="atLeast"/>
              <w:rPr>
                <w:rFonts w:ascii="宋体" w:hAnsi="宋体" w:cs="宋体"/>
                <w:b/>
                <w:color w:val="auto"/>
                <w:sz w:val="24"/>
                <w:szCs w:val="24"/>
                <w:highlight w:val="none"/>
              </w:rPr>
            </w:pPr>
          </w:p>
        </w:tc>
        <w:tc>
          <w:tcPr>
            <w:tcW w:w="2539" w:type="dxa"/>
            <w:gridSpan w:val="2"/>
          </w:tcPr>
          <w:p>
            <w:pPr>
              <w:spacing w:line="160" w:lineRule="atLeas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color w:val="auto"/>
                <w:sz w:val="24"/>
                <w:szCs w:val="24"/>
                <w:highlight w:val="none"/>
              </w:rPr>
            </w:pPr>
            <w:r>
              <w:rPr>
                <w:rFonts w:hint="eastAsia" w:ascii="宋体" w:hAnsi="宋体" w:cs="宋体"/>
                <w:color w:val="auto"/>
                <w:sz w:val="24"/>
                <w:szCs w:val="24"/>
                <w:highlight w:val="none"/>
              </w:rPr>
              <w:t>监理工程师</w:t>
            </w:r>
          </w:p>
        </w:tc>
        <w:tc>
          <w:tcPr>
            <w:tcW w:w="2779" w:type="dxa"/>
            <w:gridSpan w:val="3"/>
          </w:tcPr>
          <w:p>
            <w:pPr>
              <w:spacing w:line="160" w:lineRule="atLeast"/>
              <w:rPr>
                <w:rFonts w:ascii="宋体" w:hAnsi="宋体" w:cs="宋体"/>
                <w:b/>
                <w:color w:val="auto"/>
                <w:sz w:val="24"/>
                <w:szCs w:val="24"/>
                <w:highlight w:val="none"/>
              </w:rPr>
            </w:pPr>
          </w:p>
        </w:tc>
        <w:tc>
          <w:tcPr>
            <w:tcW w:w="1284" w:type="dxa"/>
            <w:gridSpan w:val="2"/>
          </w:tcPr>
          <w:p>
            <w:pPr>
              <w:spacing w:line="160" w:lineRule="atLeast"/>
              <w:rPr>
                <w:rFonts w:ascii="宋体" w:hAnsi="宋体" w:cs="宋体"/>
                <w:b/>
                <w:color w:val="auto"/>
                <w:sz w:val="24"/>
                <w:szCs w:val="24"/>
                <w:highlight w:val="none"/>
              </w:rPr>
            </w:pPr>
          </w:p>
        </w:tc>
        <w:tc>
          <w:tcPr>
            <w:tcW w:w="2539" w:type="dxa"/>
            <w:gridSpan w:val="2"/>
          </w:tcPr>
          <w:p>
            <w:pPr>
              <w:spacing w:line="160" w:lineRule="atLeas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color w:val="auto"/>
                <w:sz w:val="24"/>
                <w:szCs w:val="24"/>
                <w:highlight w:val="none"/>
              </w:rPr>
            </w:pPr>
            <w:r>
              <w:rPr>
                <w:rFonts w:hint="eastAsia" w:ascii="宋体" w:hAnsi="宋体" w:cs="宋体"/>
                <w:color w:val="auto"/>
                <w:sz w:val="24"/>
                <w:szCs w:val="24"/>
                <w:highlight w:val="none"/>
              </w:rPr>
              <w:t>甲方现场工程师</w:t>
            </w:r>
          </w:p>
        </w:tc>
        <w:tc>
          <w:tcPr>
            <w:tcW w:w="2779" w:type="dxa"/>
            <w:gridSpan w:val="3"/>
          </w:tcPr>
          <w:p>
            <w:pPr>
              <w:spacing w:line="160" w:lineRule="atLeast"/>
              <w:rPr>
                <w:rFonts w:ascii="宋体" w:hAnsi="宋体" w:cs="宋体"/>
                <w:b/>
                <w:color w:val="auto"/>
                <w:sz w:val="24"/>
                <w:szCs w:val="24"/>
                <w:highlight w:val="none"/>
              </w:rPr>
            </w:pPr>
          </w:p>
        </w:tc>
        <w:tc>
          <w:tcPr>
            <w:tcW w:w="1284" w:type="dxa"/>
            <w:gridSpan w:val="2"/>
          </w:tcPr>
          <w:p>
            <w:pPr>
              <w:spacing w:line="160" w:lineRule="atLeast"/>
              <w:rPr>
                <w:rFonts w:ascii="宋体" w:hAnsi="宋体" w:cs="宋体"/>
                <w:b/>
                <w:color w:val="auto"/>
                <w:sz w:val="24"/>
                <w:szCs w:val="24"/>
                <w:highlight w:val="none"/>
              </w:rPr>
            </w:pPr>
          </w:p>
        </w:tc>
        <w:tc>
          <w:tcPr>
            <w:tcW w:w="2539" w:type="dxa"/>
            <w:gridSpan w:val="2"/>
          </w:tcPr>
          <w:p>
            <w:pPr>
              <w:spacing w:line="160" w:lineRule="atLeas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甲方招采工程师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仅首批）</w:t>
            </w:r>
          </w:p>
        </w:tc>
        <w:tc>
          <w:tcPr>
            <w:tcW w:w="2779" w:type="dxa"/>
            <w:gridSpan w:val="3"/>
          </w:tcPr>
          <w:p>
            <w:pPr>
              <w:spacing w:line="160" w:lineRule="atLeast"/>
              <w:rPr>
                <w:rFonts w:ascii="宋体" w:hAnsi="宋体" w:cs="宋体"/>
                <w:b/>
                <w:color w:val="auto"/>
                <w:sz w:val="24"/>
                <w:szCs w:val="24"/>
                <w:highlight w:val="none"/>
              </w:rPr>
            </w:pPr>
          </w:p>
        </w:tc>
        <w:tc>
          <w:tcPr>
            <w:tcW w:w="1284" w:type="dxa"/>
            <w:gridSpan w:val="2"/>
          </w:tcPr>
          <w:p>
            <w:pPr>
              <w:spacing w:line="160" w:lineRule="atLeast"/>
              <w:rPr>
                <w:rFonts w:ascii="宋体" w:hAnsi="宋体" w:cs="宋体"/>
                <w:b/>
                <w:color w:val="auto"/>
                <w:sz w:val="24"/>
                <w:szCs w:val="24"/>
                <w:highlight w:val="none"/>
              </w:rPr>
            </w:pPr>
          </w:p>
        </w:tc>
        <w:tc>
          <w:tcPr>
            <w:tcW w:w="2539" w:type="dxa"/>
            <w:gridSpan w:val="2"/>
          </w:tcPr>
          <w:p>
            <w:pPr>
              <w:spacing w:line="160" w:lineRule="atLeas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736" w:type="dxa"/>
            <w:gridSpan w:val="5"/>
          </w:tcPr>
          <w:p>
            <w:pPr>
              <w:spacing w:line="413" w:lineRule="atLeast"/>
              <w:rPr>
                <w:rFonts w:ascii="宋体" w:hAnsi="宋体" w:cs="宋体"/>
                <w:color w:val="auto"/>
                <w:sz w:val="24"/>
                <w:szCs w:val="24"/>
                <w:highlight w:val="none"/>
              </w:rPr>
            </w:pPr>
            <w:r>
              <w:rPr>
                <w:rFonts w:hint="eastAsia" w:ascii="宋体" w:hAnsi="宋体" w:cs="宋体"/>
                <w:color w:val="auto"/>
                <w:sz w:val="24"/>
                <w:szCs w:val="24"/>
                <w:highlight w:val="none"/>
              </w:rPr>
              <w:t>施工单位项目专用章：</w:t>
            </w:r>
          </w:p>
        </w:tc>
        <w:tc>
          <w:tcPr>
            <w:tcW w:w="4864" w:type="dxa"/>
            <w:gridSpan w:val="5"/>
          </w:tcPr>
          <w:p>
            <w:pPr>
              <w:spacing w:line="413" w:lineRule="atLeast"/>
              <w:rPr>
                <w:rFonts w:ascii="宋体" w:hAnsi="宋体" w:cs="宋体"/>
                <w:color w:val="auto"/>
                <w:sz w:val="24"/>
                <w:szCs w:val="24"/>
                <w:highlight w:val="none"/>
              </w:rPr>
            </w:pPr>
            <w:r>
              <w:rPr>
                <w:rFonts w:hint="eastAsia" w:ascii="宋体" w:hAnsi="宋体" w:cs="宋体"/>
                <w:color w:val="auto"/>
                <w:sz w:val="24"/>
                <w:szCs w:val="24"/>
                <w:highlight w:val="none"/>
              </w:rPr>
              <w:t>监理公司项目专用章∶</w:t>
            </w:r>
          </w:p>
          <w:p>
            <w:pPr>
              <w:spacing w:line="413" w:lineRule="atLeast"/>
              <w:rPr>
                <w:rFonts w:ascii="宋体" w:hAnsi="宋体" w:cs="宋体"/>
                <w:color w:val="auto"/>
                <w:sz w:val="24"/>
                <w:szCs w:val="24"/>
                <w:highlight w:val="none"/>
              </w:rPr>
            </w:pPr>
          </w:p>
          <w:p>
            <w:pPr>
              <w:spacing w:line="413" w:lineRule="atLeast"/>
              <w:rPr>
                <w:rFonts w:ascii="宋体" w:hAnsi="宋体" w:cs="宋体"/>
                <w:color w:val="auto"/>
                <w:sz w:val="24"/>
                <w:szCs w:val="24"/>
                <w:highlight w:val="none"/>
              </w:rPr>
            </w:pPr>
          </w:p>
          <w:p>
            <w:pPr>
              <w:spacing w:line="413" w:lineRule="atLeast"/>
              <w:rPr>
                <w:rFonts w:ascii="宋体" w:hAnsi="宋体" w:cs="宋体"/>
                <w:color w:val="auto"/>
                <w:sz w:val="24"/>
                <w:szCs w:val="24"/>
                <w:highlight w:val="none"/>
              </w:rPr>
            </w:pPr>
          </w:p>
          <w:p>
            <w:pPr>
              <w:spacing w:line="413" w:lineRule="atLeast"/>
              <w:rPr>
                <w:rFonts w:ascii="宋体" w:hAnsi="宋体" w:cs="宋体"/>
                <w:color w:val="auto"/>
                <w:sz w:val="24"/>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00" w:type="dxa"/>
            <w:gridSpan w:val="10"/>
          </w:tcPr>
          <w:p>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注: 1、质量验收结果必须以“质量合格”或“质量不合格”字样填写，不得含糊其辞。</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2、招采第一批次验收参加，以后不再参与。</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600" w:type="dxa"/>
            <w:gridSpan w:val="10"/>
          </w:tcPr>
          <w:p>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注: 1、质量验收结果必须以“质量合格”或“质量不合格”字样填写，不得含糊其辞。</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2、招采第一批次验收参加，以后不再参与。</w:t>
            </w:r>
          </w:p>
        </w:tc>
      </w:tr>
    </w:tbl>
    <w:p>
      <w:pPr>
        <w:rPr>
          <w:rFonts w:ascii="宋体" w:hAnsi="宋体" w:cs="宋体"/>
          <w:color w:val="auto"/>
          <w:sz w:val="24"/>
          <w:szCs w:val="24"/>
          <w:highlight w:val="none"/>
        </w:rPr>
      </w:pPr>
    </w:p>
    <w:p>
      <w:pPr>
        <w:pStyle w:val="23"/>
        <w:ind w:firstLine="480"/>
        <w:rPr>
          <w:rFonts w:ascii="宋体" w:hAnsi="宋体" w:cs="宋体"/>
          <w:color w:val="auto"/>
          <w:sz w:val="24"/>
          <w:szCs w:val="24"/>
          <w:highlight w:val="none"/>
        </w:rPr>
      </w:pPr>
    </w:p>
    <w:p>
      <w:pPr>
        <w:pStyle w:val="23"/>
        <w:ind w:firstLine="480"/>
        <w:rPr>
          <w:rFonts w:ascii="宋体" w:hAnsi="宋体" w:cs="宋体"/>
          <w:color w:val="auto"/>
          <w:sz w:val="24"/>
          <w:szCs w:val="24"/>
          <w:highlight w:val="none"/>
        </w:rPr>
      </w:pPr>
    </w:p>
    <w:p>
      <w:pPr>
        <w:pStyle w:val="23"/>
        <w:ind w:firstLine="480"/>
        <w:rPr>
          <w:rFonts w:ascii="宋体" w:hAnsi="宋体" w:cs="宋体"/>
          <w:color w:val="auto"/>
          <w:sz w:val="24"/>
          <w:szCs w:val="24"/>
          <w:highlight w:val="none"/>
        </w:rPr>
      </w:pPr>
    </w:p>
    <w:p>
      <w:pPr>
        <w:tabs>
          <w:tab w:val="center" w:pos="6529"/>
          <w:tab w:val="left" w:pos="7987"/>
        </w:tabs>
        <w:ind w:firstLine="4216" w:firstLineChars="1500"/>
        <w:rPr>
          <w:rFonts w:ascii="宋体" w:hAnsi="宋体" w:cs="宋体"/>
          <w:b/>
          <w:color w:val="auto"/>
          <w:sz w:val="28"/>
          <w:szCs w:val="28"/>
          <w:highlight w:val="none"/>
        </w:rPr>
      </w:pPr>
      <w:r>
        <w:rPr>
          <w:rFonts w:hint="eastAsia" w:ascii="宋体" w:hAnsi="宋体" w:cs="宋体"/>
          <w:b/>
          <w:color w:val="auto"/>
          <w:sz w:val="28"/>
          <w:szCs w:val="28"/>
          <w:highlight w:val="none"/>
        </w:rPr>
        <w:t xml:space="preserve">  送  货  单</w:t>
      </w:r>
    </w:p>
    <w:p>
      <w:pPr>
        <w:rPr>
          <w:rFonts w:ascii="宋体" w:hAnsi="宋体" w:cs="宋体"/>
          <w:color w:val="auto"/>
          <w:sz w:val="24"/>
          <w:szCs w:val="24"/>
          <w:highlight w:val="none"/>
        </w:rPr>
      </w:pPr>
      <w:r>
        <w:rPr>
          <w:rFonts w:ascii="宋体" w:hAnsi="宋体" w:cs="宋体"/>
          <w:b/>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15240</wp:posOffset>
                </wp:positionV>
                <wp:extent cx="6057900" cy="0"/>
                <wp:effectExtent l="0" t="19050" r="7620" b="26670"/>
                <wp:wrapNone/>
                <wp:docPr id="3" name="Line 4"/>
                <wp:cNvGraphicFramePr/>
                <a:graphic xmlns:a="http://schemas.openxmlformats.org/drawingml/2006/main">
                  <a:graphicData uri="http://schemas.microsoft.com/office/word/2010/wordprocessingShape">
                    <wps:wsp>
                      <wps:cNvCnPr/>
                      <wps:spPr>
                        <a:xfrm>
                          <a:off x="0" y="0"/>
                          <a:ext cx="60579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4.8pt;margin-top:1.2pt;height:0pt;width:477pt;z-index:251661312;mso-width-relative:page;mso-height-relative:page;" filled="f" stroked="t" coordsize="21600,21600" o:gfxdata="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AC3KK1AAAAAYBAAAPAAAAAAAAAAEA&#10;IAAAACIAAABkcnMvZG93bnJldi54bWxQSwECFAAUAAAACACHTuJAYDLm/NoBAADaAwAADgAAAAAA&#10;AAABACAAAAAjAQAAZHJzL2Uyb0RvYy54bWxQSwUGAAAAAAYABgBZAQAAbwUAAAAA&#10;">
                <v:fill on="f" focussize="0,0"/>
                <v:stroke weight="3pt" color="#000000" linestyle="thinThin" joinstyle="round"/>
                <v:imagedata o:title=""/>
                <o:lock v:ext="edit" aspectratio="f"/>
              </v:line>
            </w:pict>
          </mc:Fallback>
        </mc:AlternateContent>
      </w:r>
      <w:r>
        <w:rPr>
          <w:rFonts w:hint="eastAsia" w:ascii="宋体" w:hAnsi="宋体" w:cs="宋体"/>
          <w:color w:val="auto"/>
          <w:sz w:val="24"/>
          <w:szCs w:val="24"/>
          <w:highlight w:val="none"/>
        </w:rPr>
        <w:t xml:space="preserve">                                                                  </w:t>
      </w:r>
    </w:p>
    <w:p>
      <w:pPr>
        <w:rPr>
          <w:rFonts w:ascii="宋体" w:hAnsi="宋体" w:cs="宋体"/>
          <w:color w:val="auto"/>
          <w:sz w:val="24"/>
          <w:szCs w:val="24"/>
          <w:highlight w:val="none"/>
        </w:rPr>
      </w:pPr>
      <w:r>
        <w:rPr>
          <w:rFonts w:hint="eastAsia" w:ascii="宋体" w:hAnsi="宋体" w:cs="宋体"/>
          <w:color w:val="auto"/>
          <w:sz w:val="24"/>
          <w:szCs w:val="24"/>
          <w:highlight w:val="none"/>
        </w:rPr>
        <w:t>收货单位：                                          送货时间：    年   月   日</w:t>
      </w:r>
    </w:p>
    <w:tbl>
      <w:tblPr>
        <w:tblStyle w:val="18"/>
        <w:tblW w:w="9282"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607"/>
        <w:gridCol w:w="575"/>
        <w:gridCol w:w="575"/>
        <w:gridCol w:w="606"/>
        <w:gridCol w:w="370"/>
        <w:gridCol w:w="354"/>
        <w:gridCol w:w="355"/>
        <w:gridCol w:w="354"/>
        <w:gridCol w:w="355"/>
        <w:gridCol w:w="354"/>
        <w:gridCol w:w="362"/>
        <w:gridCol w:w="347"/>
        <w:gridCol w:w="35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restart"/>
            <w:vAlign w:val="center"/>
          </w:tcPr>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607" w:type="dxa"/>
            <w:vMerge w:val="restart"/>
            <w:vAlign w:val="center"/>
          </w:tcPr>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名称及规格</w:t>
            </w:r>
          </w:p>
        </w:tc>
        <w:tc>
          <w:tcPr>
            <w:tcW w:w="575" w:type="dxa"/>
            <w:vMerge w:val="restart"/>
            <w:vAlign w:val="center"/>
          </w:tcPr>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单位</w:t>
            </w:r>
          </w:p>
        </w:tc>
        <w:tc>
          <w:tcPr>
            <w:tcW w:w="575" w:type="dxa"/>
            <w:vMerge w:val="restart"/>
            <w:vAlign w:val="center"/>
          </w:tcPr>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606" w:type="dxa"/>
            <w:vMerge w:val="restart"/>
            <w:vAlign w:val="center"/>
          </w:tcPr>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单价</w:t>
            </w:r>
          </w:p>
        </w:tc>
        <w:tc>
          <w:tcPr>
            <w:tcW w:w="3205" w:type="dxa"/>
            <w:gridSpan w:val="9"/>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金额</w:t>
            </w:r>
          </w:p>
        </w:tc>
        <w:tc>
          <w:tcPr>
            <w:tcW w:w="646" w:type="dxa"/>
            <w:vMerge w:val="restart"/>
          </w:tcPr>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continue"/>
            <w:vAlign w:val="center"/>
          </w:tcPr>
          <w:p>
            <w:pPr>
              <w:rPr>
                <w:rFonts w:ascii="宋体" w:hAnsi="宋体" w:cs="宋体"/>
                <w:color w:val="auto"/>
                <w:sz w:val="24"/>
                <w:szCs w:val="24"/>
                <w:highlight w:val="none"/>
              </w:rPr>
            </w:pPr>
          </w:p>
        </w:tc>
        <w:tc>
          <w:tcPr>
            <w:tcW w:w="2607" w:type="dxa"/>
            <w:vMerge w:val="continue"/>
            <w:vAlign w:val="center"/>
          </w:tcPr>
          <w:p>
            <w:pPr>
              <w:rPr>
                <w:rFonts w:ascii="宋体" w:hAnsi="宋体" w:cs="宋体"/>
                <w:color w:val="auto"/>
                <w:sz w:val="24"/>
                <w:szCs w:val="24"/>
                <w:highlight w:val="none"/>
              </w:rPr>
            </w:pPr>
          </w:p>
        </w:tc>
        <w:tc>
          <w:tcPr>
            <w:tcW w:w="575" w:type="dxa"/>
            <w:vMerge w:val="continue"/>
            <w:vAlign w:val="center"/>
          </w:tcPr>
          <w:p>
            <w:pPr>
              <w:rPr>
                <w:rFonts w:ascii="宋体" w:hAnsi="宋体" w:cs="宋体"/>
                <w:color w:val="auto"/>
                <w:sz w:val="24"/>
                <w:szCs w:val="24"/>
                <w:highlight w:val="none"/>
              </w:rPr>
            </w:pPr>
          </w:p>
        </w:tc>
        <w:tc>
          <w:tcPr>
            <w:tcW w:w="575" w:type="dxa"/>
            <w:vMerge w:val="continue"/>
            <w:vAlign w:val="center"/>
          </w:tcPr>
          <w:p>
            <w:pPr>
              <w:rPr>
                <w:rFonts w:ascii="宋体" w:hAnsi="宋体" w:cs="宋体"/>
                <w:color w:val="auto"/>
                <w:sz w:val="24"/>
                <w:szCs w:val="24"/>
                <w:highlight w:val="none"/>
              </w:rPr>
            </w:pPr>
          </w:p>
        </w:tc>
        <w:tc>
          <w:tcPr>
            <w:tcW w:w="606" w:type="dxa"/>
            <w:vMerge w:val="continue"/>
            <w:vAlign w:val="center"/>
          </w:tcPr>
          <w:p>
            <w:pPr>
              <w:rPr>
                <w:rFonts w:ascii="宋体" w:hAnsi="宋体" w:cs="宋体"/>
                <w:color w:val="auto"/>
                <w:sz w:val="24"/>
                <w:szCs w:val="24"/>
                <w:highlight w:val="none"/>
              </w:rPr>
            </w:pPr>
          </w:p>
        </w:tc>
        <w:tc>
          <w:tcPr>
            <w:tcW w:w="370"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百</w:t>
            </w:r>
          </w:p>
        </w:tc>
        <w:tc>
          <w:tcPr>
            <w:tcW w:w="354"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十</w:t>
            </w:r>
          </w:p>
        </w:tc>
        <w:tc>
          <w:tcPr>
            <w:tcW w:w="355"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万</w:t>
            </w:r>
          </w:p>
        </w:tc>
        <w:tc>
          <w:tcPr>
            <w:tcW w:w="354"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千</w:t>
            </w:r>
          </w:p>
        </w:tc>
        <w:tc>
          <w:tcPr>
            <w:tcW w:w="355"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百</w:t>
            </w:r>
          </w:p>
        </w:tc>
        <w:tc>
          <w:tcPr>
            <w:tcW w:w="354"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十</w:t>
            </w:r>
          </w:p>
        </w:tc>
        <w:tc>
          <w:tcPr>
            <w:tcW w:w="362"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元</w:t>
            </w:r>
          </w:p>
        </w:tc>
        <w:tc>
          <w:tcPr>
            <w:tcW w:w="347"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角</w:t>
            </w:r>
          </w:p>
        </w:tc>
        <w:tc>
          <w:tcPr>
            <w:tcW w:w="354" w:type="dxa"/>
            <w:vAlign w:val="center"/>
          </w:tcPr>
          <w:p>
            <w:pPr>
              <w:tabs>
                <w:tab w:val="left" w:pos="279"/>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分</w:t>
            </w:r>
          </w:p>
        </w:tc>
        <w:tc>
          <w:tcPr>
            <w:tcW w:w="646" w:type="dxa"/>
            <w:vMerge w:val="continue"/>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7" w:type="dxa"/>
            <w:vAlign w:val="center"/>
          </w:tcPr>
          <w:p>
            <w:pPr>
              <w:jc w:val="center"/>
              <w:rPr>
                <w:rFonts w:ascii="宋体" w:hAnsi="宋体" w:cs="宋体"/>
                <w:bCs/>
                <w:color w:val="auto"/>
                <w:sz w:val="24"/>
                <w:szCs w:val="24"/>
                <w:highlight w:val="none"/>
              </w:rPr>
            </w:pPr>
          </w:p>
        </w:tc>
        <w:tc>
          <w:tcPr>
            <w:tcW w:w="575" w:type="dxa"/>
          </w:tcPr>
          <w:p>
            <w:pPr>
              <w:jc w:val="center"/>
              <w:rPr>
                <w:rFonts w:ascii="宋体" w:hAnsi="宋体" w:cs="宋体"/>
                <w:bCs/>
                <w:color w:val="auto"/>
                <w:sz w:val="24"/>
                <w:szCs w:val="24"/>
                <w:highlight w:val="none"/>
              </w:rPr>
            </w:pPr>
          </w:p>
        </w:tc>
        <w:tc>
          <w:tcPr>
            <w:tcW w:w="575" w:type="dxa"/>
            <w:vAlign w:val="center"/>
          </w:tcPr>
          <w:p>
            <w:pPr>
              <w:jc w:val="center"/>
              <w:rPr>
                <w:rFonts w:ascii="宋体" w:hAnsi="宋体" w:cs="宋体"/>
                <w:bCs/>
                <w:color w:val="auto"/>
                <w:sz w:val="24"/>
                <w:szCs w:val="24"/>
                <w:highlight w:val="none"/>
              </w:rPr>
            </w:pPr>
          </w:p>
        </w:tc>
        <w:tc>
          <w:tcPr>
            <w:tcW w:w="606" w:type="dxa"/>
          </w:tcPr>
          <w:p>
            <w:pPr>
              <w:spacing w:line="360" w:lineRule="auto"/>
              <w:jc w:val="center"/>
              <w:rPr>
                <w:rFonts w:ascii="宋体" w:hAnsi="宋体" w:cs="宋体"/>
                <w:color w:val="auto"/>
                <w:sz w:val="24"/>
                <w:szCs w:val="24"/>
                <w:highlight w:val="none"/>
              </w:rPr>
            </w:pPr>
          </w:p>
        </w:tc>
        <w:tc>
          <w:tcPr>
            <w:tcW w:w="370"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62" w:type="dxa"/>
          </w:tcPr>
          <w:p>
            <w:pPr>
              <w:spacing w:line="360" w:lineRule="auto"/>
              <w:jc w:val="center"/>
              <w:rPr>
                <w:rFonts w:ascii="宋体" w:hAnsi="宋体" w:cs="宋体"/>
                <w:color w:val="auto"/>
                <w:sz w:val="24"/>
                <w:szCs w:val="24"/>
                <w:highlight w:val="none"/>
              </w:rPr>
            </w:pPr>
          </w:p>
        </w:tc>
        <w:tc>
          <w:tcPr>
            <w:tcW w:w="347"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646" w:type="dxa"/>
            <w:vMerge w:val="restart"/>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607" w:type="dxa"/>
            <w:vAlign w:val="center"/>
          </w:tcPr>
          <w:p>
            <w:pPr>
              <w:jc w:val="center"/>
              <w:rPr>
                <w:rFonts w:ascii="宋体" w:hAnsi="宋体" w:cs="宋体"/>
                <w:bCs/>
                <w:color w:val="auto"/>
                <w:sz w:val="24"/>
                <w:szCs w:val="24"/>
                <w:highlight w:val="none"/>
              </w:rPr>
            </w:pPr>
          </w:p>
        </w:tc>
        <w:tc>
          <w:tcPr>
            <w:tcW w:w="575" w:type="dxa"/>
          </w:tcPr>
          <w:p>
            <w:pPr>
              <w:jc w:val="center"/>
              <w:rPr>
                <w:rFonts w:ascii="宋体" w:hAnsi="宋体" w:cs="宋体"/>
                <w:bCs/>
                <w:color w:val="auto"/>
                <w:sz w:val="24"/>
                <w:szCs w:val="24"/>
                <w:highlight w:val="none"/>
              </w:rPr>
            </w:pPr>
          </w:p>
        </w:tc>
        <w:tc>
          <w:tcPr>
            <w:tcW w:w="575" w:type="dxa"/>
            <w:vAlign w:val="center"/>
          </w:tcPr>
          <w:p>
            <w:pPr>
              <w:jc w:val="center"/>
              <w:rPr>
                <w:rFonts w:ascii="宋体" w:hAnsi="宋体" w:cs="宋体"/>
                <w:bCs/>
                <w:color w:val="auto"/>
                <w:sz w:val="24"/>
                <w:szCs w:val="24"/>
                <w:highlight w:val="none"/>
              </w:rPr>
            </w:pPr>
          </w:p>
        </w:tc>
        <w:tc>
          <w:tcPr>
            <w:tcW w:w="606" w:type="dxa"/>
          </w:tcPr>
          <w:p>
            <w:pPr>
              <w:spacing w:line="360" w:lineRule="auto"/>
              <w:jc w:val="center"/>
              <w:rPr>
                <w:rFonts w:ascii="宋体" w:hAnsi="宋体" w:cs="宋体"/>
                <w:color w:val="auto"/>
                <w:sz w:val="24"/>
                <w:szCs w:val="24"/>
                <w:highlight w:val="none"/>
              </w:rPr>
            </w:pPr>
          </w:p>
        </w:tc>
        <w:tc>
          <w:tcPr>
            <w:tcW w:w="370"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62" w:type="dxa"/>
          </w:tcPr>
          <w:p>
            <w:pPr>
              <w:spacing w:line="360" w:lineRule="auto"/>
              <w:jc w:val="center"/>
              <w:rPr>
                <w:rFonts w:ascii="宋体" w:hAnsi="宋体" w:cs="宋体"/>
                <w:color w:val="auto"/>
                <w:sz w:val="24"/>
                <w:szCs w:val="24"/>
                <w:highlight w:val="none"/>
              </w:rPr>
            </w:pPr>
          </w:p>
        </w:tc>
        <w:tc>
          <w:tcPr>
            <w:tcW w:w="347"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646" w:type="dxa"/>
            <w:vMerge w:val="continue"/>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607" w:type="dxa"/>
            <w:vAlign w:val="center"/>
          </w:tcPr>
          <w:p>
            <w:pPr>
              <w:jc w:val="center"/>
              <w:rPr>
                <w:rFonts w:ascii="宋体" w:hAnsi="宋体" w:cs="宋体"/>
                <w:bCs/>
                <w:color w:val="auto"/>
                <w:sz w:val="24"/>
                <w:szCs w:val="24"/>
                <w:highlight w:val="none"/>
              </w:rPr>
            </w:pPr>
          </w:p>
        </w:tc>
        <w:tc>
          <w:tcPr>
            <w:tcW w:w="575" w:type="dxa"/>
          </w:tcPr>
          <w:p>
            <w:pPr>
              <w:jc w:val="center"/>
              <w:rPr>
                <w:rFonts w:ascii="宋体" w:hAnsi="宋体" w:cs="宋体"/>
                <w:bCs/>
                <w:color w:val="auto"/>
                <w:sz w:val="24"/>
                <w:szCs w:val="24"/>
                <w:highlight w:val="none"/>
              </w:rPr>
            </w:pPr>
          </w:p>
        </w:tc>
        <w:tc>
          <w:tcPr>
            <w:tcW w:w="575" w:type="dxa"/>
            <w:vAlign w:val="center"/>
          </w:tcPr>
          <w:p>
            <w:pPr>
              <w:jc w:val="center"/>
              <w:rPr>
                <w:rFonts w:ascii="宋体" w:hAnsi="宋体" w:cs="宋体"/>
                <w:bCs/>
                <w:color w:val="auto"/>
                <w:sz w:val="24"/>
                <w:szCs w:val="24"/>
                <w:highlight w:val="none"/>
              </w:rPr>
            </w:pPr>
          </w:p>
        </w:tc>
        <w:tc>
          <w:tcPr>
            <w:tcW w:w="606" w:type="dxa"/>
          </w:tcPr>
          <w:p>
            <w:pPr>
              <w:spacing w:line="360" w:lineRule="auto"/>
              <w:jc w:val="center"/>
              <w:rPr>
                <w:rFonts w:ascii="宋体" w:hAnsi="宋体" w:cs="宋体"/>
                <w:color w:val="auto"/>
                <w:sz w:val="24"/>
                <w:szCs w:val="24"/>
                <w:highlight w:val="none"/>
              </w:rPr>
            </w:pPr>
          </w:p>
        </w:tc>
        <w:tc>
          <w:tcPr>
            <w:tcW w:w="370"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62" w:type="dxa"/>
          </w:tcPr>
          <w:p>
            <w:pPr>
              <w:spacing w:line="360" w:lineRule="auto"/>
              <w:jc w:val="center"/>
              <w:rPr>
                <w:rFonts w:ascii="宋体" w:hAnsi="宋体" w:cs="宋体"/>
                <w:color w:val="auto"/>
                <w:sz w:val="24"/>
                <w:szCs w:val="24"/>
                <w:highlight w:val="none"/>
              </w:rPr>
            </w:pPr>
          </w:p>
        </w:tc>
        <w:tc>
          <w:tcPr>
            <w:tcW w:w="347"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646" w:type="dxa"/>
            <w:vMerge w:val="continue"/>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607" w:type="dxa"/>
            <w:vAlign w:val="center"/>
          </w:tcPr>
          <w:p>
            <w:pPr>
              <w:jc w:val="center"/>
              <w:rPr>
                <w:rFonts w:ascii="宋体" w:hAnsi="宋体" w:cs="宋体"/>
                <w:bCs/>
                <w:color w:val="auto"/>
                <w:sz w:val="24"/>
                <w:szCs w:val="24"/>
                <w:highlight w:val="none"/>
              </w:rPr>
            </w:pPr>
          </w:p>
        </w:tc>
        <w:tc>
          <w:tcPr>
            <w:tcW w:w="575" w:type="dxa"/>
          </w:tcPr>
          <w:p>
            <w:pPr>
              <w:jc w:val="center"/>
              <w:rPr>
                <w:rFonts w:ascii="宋体" w:hAnsi="宋体" w:cs="宋体"/>
                <w:bCs/>
                <w:color w:val="auto"/>
                <w:sz w:val="24"/>
                <w:szCs w:val="24"/>
                <w:highlight w:val="none"/>
              </w:rPr>
            </w:pPr>
          </w:p>
        </w:tc>
        <w:tc>
          <w:tcPr>
            <w:tcW w:w="575" w:type="dxa"/>
            <w:vAlign w:val="center"/>
          </w:tcPr>
          <w:p>
            <w:pPr>
              <w:jc w:val="center"/>
              <w:rPr>
                <w:rFonts w:ascii="宋体" w:hAnsi="宋体" w:cs="宋体"/>
                <w:bCs/>
                <w:color w:val="auto"/>
                <w:sz w:val="24"/>
                <w:szCs w:val="24"/>
                <w:highlight w:val="none"/>
              </w:rPr>
            </w:pPr>
          </w:p>
        </w:tc>
        <w:tc>
          <w:tcPr>
            <w:tcW w:w="606" w:type="dxa"/>
          </w:tcPr>
          <w:p>
            <w:pPr>
              <w:spacing w:line="360" w:lineRule="auto"/>
              <w:jc w:val="center"/>
              <w:rPr>
                <w:rFonts w:ascii="宋体" w:hAnsi="宋体" w:cs="宋体"/>
                <w:color w:val="auto"/>
                <w:sz w:val="24"/>
                <w:szCs w:val="24"/>
                <w:highlight w:val="none"/>
              </w:rPr>
            </w:pPr>
          </w:p>
        </w:tc>
        <w:tc>
          <w:tcPr>
            <w:tcW w:w="370"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62" w:type="dxa"/>
          </w:tcPr>
          <w:p>
            <w:pPr>
              <w:spacing w:line="360" w:lineRule="auto"/>
              <w:jc w:val="center"/>
              <w:rPr>
                <w:rFonts w:ascii="宋体" w:hAnsi="宋体" w:cs="宋体"/>
                <w:color w:val="auto"/>
                <w:sz w:val="24"/>
                <w:szCs w:val="24"/>
                <w:highlight w:val="none"/>
              </w:rPr>
            </w:pPr>
          </w:p>
        </w:tc>
        <w:tc>
          <w:tcPr>
            <w:tcW w:w="347"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646" w:type="dxa"/>
            <w:vMerge w:val="continue"/>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607" w:type="dxa"/>
            <w:vAlign w:val="center"/>
          </w:tcPr>
          <w:p>
            <w:pPr>
              <w:jc w:val="center"/>
              <w:rPr>
                <w:rFonts w:ascii="宋体" w:hAnsi="宋体" w:cs="宋体"/>
                <w:bCs/>
                <w:color w:val="auto"/>
                <w:sz w:val="24"/>
                <w:szCs w:val="24"/>
                <w:highlight w:val="none"/>
              </w:rPr>
            </w:pPr>
          </w:p>
        </w:tc>
        <w:tc>
          <w:tcPr>
            <w:tcW w:w="575" w:type="dxa"/>
          </w:tcPr>
          <w:p>
            <w:pPr>
              <w:jc w:val="center"/>
              <w:rPr>
                <w:rFonts w:ascii="宋体" w:hAnsi="宋体" w:cs="宋体"/>
                <w:bCs/>
                <w:color w:val="auto"/>
                <w:sz w:val="24"/>
                <w:szCs w:val="24"/>
                <w:highlight w:val="none"/>
              </w:rPr>
            </w:pPr>
          </w:p>
        </w:tc>
        <w:tc>
          <w:tcPr>
            <w:tcW w:w="575" w:type="dxa"/>
            <w:vAlign w:val="center"/>
          </w:tcPr>
          <w:p>
            <w:pPr>
              <w:jc w:val="center"/>
              <w:rPr>
                <w:rFonts w:ascii="宋体" w:hAnsi="宋体" w:cs="宋体"/>
                <w:bCs/>
                <w:color w:val="auto"/>
                <w:sz w:val="24"/>
                <w:szCs w:val="24"/>
                <w:highlight w:val="none"/>
              </w:rPr>
            </w:pPr>
          </w:p>
        </w:tc>
        <w:tc>
          <w:tcPr>
            <w:tcW w:w="606" w:type="dxa"/>
          </w:tcPr>
          <w:p>
            <w:pPr>
              <w:spacing w:line="360" w:lineRule="auto"/>
              <w:jc w:val="center"/>
              <w:rPr>
                <w:rFonts w:ascii="宋体" w:hAnsi="宋体" w:cs="宋体"/>
                <w:color w:val="auto"/>
                <w:sz w:val="24"/>
                <w:szCs w:val="24"/>
                <w:highlight w:val="none"/>
              </w:rPr>
            </w:pPr>
          </w:p>
        </w:tc>
        <w:tc>
          <w:tcPr>
            <w:tcW w:w="370"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62" w:type="dxa"/>
          </w:tcPr>
          <w:p>
            <w:pPr>
              <w:spacing w:line="360" w:lineRule="auto"/>
              <w:jc w:val="center"/>
              <w:rPr>
                <w:rFonts w:ascii="宋体" w:hAnsi="宋体" w:cs="宋体"/>
                <w:color w:val="auto"/>
                <w:sz w:val="24"/>
                <w:szCs w:val="24"/>
                <w:highlight w:val="none"/>
              </w:rPr>
            </w:pPr>
          </w:p>
        </w:tc>
        <w:tc>
          <w:tcPr>
            <w:tcW w:w="347"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646" w:type="dxa"/>
            <w:vMerge w:val="continue"/>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607" w:type="dxa"/>
            <w:vAlign w:val="center"/>
          </w:tcPr>
          <w:p>
            <w:pPr>
              <w:jc w:val="center"/>
              <w:rPr>
                <w:rFonts w:ascii="宋体" w:hAnsi="宋体" w:cs="宋体"/>
                <w:bCs/>
                <w:color w:val="auto"/>
                <w:sz w:val="24"/>
                <w:szCs w:val="24"/>
                <w:highlight w:val="none"/>
              </w:rPr>
            </w:pPr>
          </w:p>
        </w:tc>
        <w:tc>
          <w:tcPr>
            <w:tcW w:w="575" w:type="dxa"/>
          </w:tcPr>
          <w:p>
            <w:pPr>
              <w:jc w:val="center"/>
              <w:rPr>
                <w:rFonts w:ascii="宋体" w:hAnsi="宋体" w:cs="宋体"/>
                <w:bCs/>
                <w:color w:val="auto"/>
                <w:sz w:val="24"/>
                <w:szCs w:val="24"/>
                <w:highlight w:val="none"/>
              </w:rPr>
            </w:pPr>
          </w:p>
        </w:tc>
        <w:tc>
          <w:tcPr>
            <w:tcW w:w="575" w:type="dxa"/>
            <w:vAlign w:val="center"/>
          </w:tcPr>
          <w:p>
            <w:pPr>
              <w:jc w:val="center"/>
              <w:rPr>
                <w:rFonts w:ascii="宋体" w:hAnsi="宋体" w:cs="宋体"/>
                <w:bCs/>
                <w:color w:val="auto"/>
                <w:sz w:val="24"/>
                <w:szCs w:val="24"/>
                <w:highlight w:val="none"/>
              </w:rPr>
            </w:pPr>
          </w:p>
        </w:tc>
        <w:tc>
          <w:tcPr>
            <w:tcW w:w="606" w:type="dxa"/>
          </w:tcPr>
          <w:p>
            <w:pPr>
              <w:spacing w:line="360" w:lineRule="auto"/>
              <w:jc w:val="center"/>
              <w:rPr>
                <w:rFonts w:ascii="宋体" w:hAnsi="宋体" w:cs="宋体"/>
                <w:color w:val="auto"/>
                <w:sz w:val="24"/>
                <w:szCs w:val="24"/>
                <w:highlight w:val="none"/>
              </w:rPr>
            </w:pPr>
          </w:p>
        </w:tc>
        <w:tc>
          <w:tcPr>
            <w:tcW w:w="370"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62" w:type="dxa"/>
          </w:tcPr>
          <w:p>
            <w:pPr>
              <w:spacing w:line="360" w:lineRule="auto"/>
              <w:jc w:val="center"/>
              <w:rPr>
                <w:rFonts w:ascii="宋体" w:hAnsi="宋体" w:cs="宋体"/>
                <w:color w:val="auto"/>
                <w:sz w:val="24"/>
                <w:szCs w:val="24"/>
                <w:highlight w:val="none"/>
              </w:rPr>
            </w:pPr>
          </w:p>
        </w:tc>
        <w:tc>
          <w:tcPr>
            <w:tcW w:w="347" w:type="dxa"/>
          </w:tcPr>
          <w:p>
            <w:pPr>
              <w:spacing w:line="360" w:lineRule="auto"/>
              <w:jc w:val="center"/>
              <w:rPr>
                <w:rFonts w:ascii="宋体" w:hAnsi="宋体" w:cs="宋体"/>
                <w:color w:val="auto"/>
                <w:sz w:val="24"/>
                <w:szCs w:val="24"/>
                <w:highlight w:val="none"/>
              </w:rPr>
            </w:pPr>
          </w:p>
        </w:tc>
        <w:tc>
          <w:tcPr>
            <w:tcW w:w="354" w:type="dxa"/>
          </w:tcPr>
          <w:p>
            <w:pPr>
              <w:spacing w:line="360" w:lineRule="auto"/>
              <w:rPr>
                <w:rFonts w:ascii="宋体" w:hAnsi="宋体" w:cs="宋体"/>
                <w:color w:val="auto"/>
                <w:sz w:val="24"/>
                <w:szCs w:val="24"/>
                <w:highlight w:val="none"/>
              </w:rPr>
            </w:pPr>
          </w:p>
        </w:tc>
        <w:tc>
          <w:tcPr>
            <w:tcW w:w="646" w:type="dxa"/>
            <w:vMerge w:val="continue"/>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607" w:type="dxa"/>
            <w:vAlign w:val="center"/>
          </w:tcPr>
          <w:p>
            <w:pPr>
              <w:jc w:val="center"/>
              <w:rPr>
                <w:rFonts w:ascii="宋体" w:hAnsi="宋体" w:cs="宋体"/>
                <w:bCs/>
                <w:color w:val="auto"/>
                <w:sz w:val="24"/>
                <w:szCs w:val="24"/>
                <w:highlight w:val="none"/>
              </w:rPr>
            </w:pPr>
          </w:p>
        </w:tc>
        <w:tc>
          <w:tcPr>
            <w:tcW w:w="575" w:type="dxa"/>
          </w:tcPr>
          <w:p>
            <w:pPr>
              <w:jc w:val="center"/>
              <w:rPr>
                <w:rFonts w:ascii="宋体" w:hAnsi="宋体" w:cs="宋体"/>
                <w:bCs/>
                <w:color w:val="auto"/>
                <w:sz w:val="24"/>
                <w:szCs w:val="24"/>
                <w:highlight w:val="none"/>
              </w:rPr>
            </w:pPr>
          </w:p>
        </w:tc>
        <w:tc>
          <w:tcPr>
            <w:tcW w:w="575" w:type="dxa"/>
            <w:vAlign w:val="center"/>
          </w:tcPr>
          <w:p>
            <w:pPr>
              <w:jc w:val="center"/>
              <w:rPr>
                <w:rFonts w:ascii="宋体" w:hAnsi="宋体" w:cs="宋体"/>
                <w:bCs/>
                <w:color w:val="auto"/>
                <w:sz w:val="24"/>
                <w:szCs w:val="24"/>
                <w:highlight w:val="none"/>
              </w:rPr>
            </w:pPr>
          </w:p>
        </w:tc>
        <w:tc>
          <w:tcPr>
            <w:tcW w:w="606" w:type="dxa"/>
          </w:tcPr>
          <w:p>
            <w:pPr>
              <w:spacing w:line="360" w:lineRule="auto"/>
              <w:jc w:val="center"/>
              <w:rPr>
                <w:rFonts w:ascii="宋体" w:hAnsi="宋体" w:cs="宋体"/>
                <w:color w:val="auto"/>
                <w:sz w:val="24"/>
                <w:szCs w:val="24"/>
                <w:highlight w:val="none"/>
              </w:rPr>
            </w:pPr>
          </w:p>
        </w:tc>
        <w:tc>
          <w:tcPr>
            <w:tcW w:w="370"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55" w:type="dxa"/>
          </w:tcPr>
          <w:p>
            <w:pPr>
              <w:spacing w:line="360" w:lineRule="auto"/>
              <w:jc w:val="center"/>
              <w:rPr>
                <w:rFonts w:ascii="宋体" w:hAnsi="宋体" w:cs="宋体"/>
                <w:color w:val="auto"/>
                <w:sz w:val="24"/>
                <w:szCs w:val="24"/>
                <w:highlight w:val="none"/>
              </w:rPr>
            </w:pPr>
          </w:p>
        </w:tc>
        <w:tc>
          <w:tcPr>
            <w:tcW w:w="354" w:type="dxa"/>
          </w:tcPr>
          <w:p>
            <w:pPr>
              <w:spacing w:line="360" w:lineRule="auto"/>
              <w:jc w:val="center"/>
              <w:rPr>
                <w:rFonts w:ascii="宋体" w:hAnsi="宋体" w:cs="宋体"/>
                <w:color w:val="auto"/>
                <w:sz w:val="24"/>
                <w:szCs w:val="24"/>
                <w:highlight w:val="none"/>
              </w:rPr>
            </w:pPr>
          </w:p>
        </w:tc>
        <w:tc>
          <w:tcPr>
            <w:tcW w:w="362" w:type="dxa"/>
          </w:tcPr>
          <w:p>
            <w:pPr>
              <w:spacing w:line="360" w:lineRule="auto"/>
              <w:jc w:val="center"/>
              <w:rPr>
                <w:rFonts w:ascii="宋体" w:hAnsi="宋体" w:cs="宋体"/>
                <w:color w:val="auto"/>
                <w:sz w:val="24"/>
                <w:szCs w:val="24"/>
                <w:highlight w:val="none"/>
              </w:rPr>
            </w:pPr>
          </w:p>
        </w:tc>
        <w:tc>
          <w:tcPr>
            <w:tcW w:w="347" w:type="dxa"/>
          </w:tcPr>
          <w:p>
            <w:pPr>
              <w:spacing w:line="360" w:lineRule="auto"/>
              <w:jc w:val="center"/>
              <w:rPr>
                <w:rFonts w:ascii="宋体" w:hAnsi="宋体" w:cs="宋体"/>
                <w:color w:val="auto"/>
                <w:sz w:val="24"/>
                <w:szCs w:val="24"/>
                <w:highlight w:val="none"/>
              </w:rPr>
            </w:pPr>
          </w:p>
        </w:tc>
        <w:tc>
          <w:tcPr>
            <w:tcW w:w="354" w:type="dxa"/>
          </w:tcPr>
          <w:p>
            <w:pPr>
              <w:spacing w:line="360" w:lineRule="auto"/>
              <w:rPr>
                <w:rFonts w:ascii="宋体" w:hAnsi="宋体" w:cs="宋体"/>
                <w:color w:val="auto"/>
                <w:sz w:val="24"/>
                <w:szCs w:val="24"/>
                <w:highlight w:val="none"/>
              </w:rPr>
            </w:pPr>
          </w:p>
        </w:tc>
        <w:tc>
          <w:tcPr>
            <w:tcW w:w="646" w:type="dxa"/>
            <w:vMerge w:val="continue"/>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68" w:type="dxa"/>
          </w:tcPr>
          <w:p>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合计</w:t>
            </w:r>
          </w:p>
        </w:tc>
        <w:tc>
          <w:tcPr>
            <w:tcW w:w="7568" w:type="dxa"/>
            <w:gridSpan w:val="13"/>
            <w:vAlign w:val="center"/>
          </w:tcPr>
          <w:p>
            <w:pPr>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拾       万      仟      佰      拾      元     角     分  ¥： </w:t>
            </w:r>
          </w:p>
        </w:tc>
        <w:tc>
          <w:tcPr>
            <w:tcW w:w="646" w:type="dxa"/>
            <w:vMerge w:val="continue"/>
          </w:tcPr>
          <w:p>
            <w:pPr>
              <w:rPr>
                <w:rFonts w:ascii="宋体" w:hAnsi="宋体" w:cs="宋体"/>
                <w:color w:val="auto"/>
                <w:sz w:val="24"/>
                <w:szCs w:val="24"/>
                <w:highlight w:val="none"/>
              </w:rPr>
            </w:pPr>
          </w:p>
        </w:tc>
      </w:tr>
    </w:tbl>
    <w:p>
      <w:pPr>
        <w:rPr>
          <w:rFonts w:ascii="宋体" w:hAnsi="宋体" w:cs="宋体"/>
          <w:color w:val="auto"/>
          <w:sz w:val="24"/>
          <w:szCs w:val="24"/>
          <w:highlight w:val="none"/>
        </w:rPr>
      </w:pP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送货人：                               监理单位：           </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 xml:space="preserve">    收货单位及收货人：                      建设单位：</w:t>
      </w:r>
    </w:p>
    <w:p>
      <w:pPr>
        <w:rPr>
          <w:rFonts w:ascii="宋体" w:hAnsi="宋体" w:cs="宋体"/>
          <w:color w:val="auto"/>
          <w:sz w:val="24"/>
          <w:szCs w:val="24"/>
          <w:highlight w:val="none"/>
        </w:rPr>
      </w:pPr>
    </w:p>
    <w:p>
      <w:pPr>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rPr>
          <w:rFonts w:ascii="宋体" w:hAnsi="宋体" w:cs="宋体"/>
          <w:color w:val="auto"/>
          <w:sz w:val="24"/>
          <w:szCs w:val="24"/>
          <w:highlight w:val="none"/>
        </w:rPr>
      </w:pPr>
    </w:p>
    <w:p>
      <w:pPr>
        <w:pStyle w:val="23"/>
        <w:ind w:firstLine="0" w:firstLineChars="0"/>
        <w:rPr>
          <w:rFonts w:ascii="宋体" w:hAnsi="宋体" w:cs="宋体"/>
          <w:color w:val="auto"/>
          <w:sz w:val="24"/>
          <w:szCs w:val="24"/>
          <w:highlight w:val="none"/>
        </w:rPr>
      </w:pPr>
    </w:p>
    <w:p>
      <w:pPr>
        <w:jc w:val="center"/>
        <w:rPr>
          <w:b/>
          <w:bCs/>
          <w:color w:val="auto"/>
          <w:sz w:val="44"/>
          <w:szCs w:val="44"/>
          <w:highlight w:val="none"/>
        </w:rPr>
      </w:pPr>
      <w:r>
        <w:rPr>
          <w:rFonts w:hint="eastAsia"/>
          <w:b/>
          <w:bCs/>
          <w:color w:val="auto"/>
          <w:sz w:val="44"/>
          <w:szCs w:val="44"/>
          <w:highlight w:val="none"/>
        </w:rPr>
        <w:t>廉政合作协议</w:t>
      </w:r>
    </w:p>
    <w:p>
      <w:pPr>
        <w:spacing w:line="440" w:lineRule="exact"/>
        <w:rPr>
          <w:rFonts w:ascii="宋体" w:hAnsi="宋体" w:cs="宋体"/>
          <w:color w:val="auto"/>
          <w:sz w:val="28"/>
          <w:szCs w:val="36"/>
          <w:highlight w:val="none"/>
        </w:rPr>
      </w:pPr>
    </w:p>
    <w:p>
      <w:pPr>
        <w:spacing w:line="360" w:lineRule="auto"/>
        <w:ind w:right="359" w:rightChars="171"/>
        <w:rPr>
          <w:rFonts w:hint="eastAsia" w:ascii="宋体" w:hAnsi="宋体" w:eastAsia="宋体" w:cs="宋体"/>
          <w:color w:val="auto"/>
          <w:sz w:val="24"/>
          <w:szCs w:val="32"/>
          <w:highlight w:val="none"/>
          <w:u w:val="single"/>
          <w:lang w:eastAsia="zh-CN"/>
        </w:rPr>
      </w:pPr>
      <w:r>
        <w:rPr>
          <w:rFonts w:hint="eastAsia" w:ascii="宋体" w:hAnsi="宋体" w:cs="宋体"/>
          <w:color w:val="auto"/>
          <w:sz w:val="24"/>
          <w:szCs w:val="32"/>
          <w:highlight w:val="none"/>
        </w:rPr>
        <w:t>甲方：</w:t>
      </w:r>
      <w:r>
        <w:rPr>
          <w:rFonts w:hint="eastAsia" w:ascii="宋体" w:hAnsi="宋体" w:cs="宋体"/>
          <w:color w:val="auto"/>
          <w:sz w:val="24"/>
          <w:szCs w:val="32"/>
          <w:highlight w:val="none"/>
          <w:u w:val="single"/>
          <w:lang w:eastAsia="zh-CN"/>
        </w:rPr>
        <w:t>洛阳浩德鑫置地有限公司</w:t>
      </w:r>
    </w:p>
    <w:p>
      <w:pPr>
        <w:spacing w:line="360" w:lineRule="auto"/>
        <w:ind w:right="359" w:rightChars="171"/>
        <w:rPr>
          <w:rFonts w:ascii="宋体" w:hAnsi="宋体" w:cs="宋体"/>
          <w:color w:val="auto"/>
          <w:sz w:val="24"/>
          <w:szCs w:val="32"/>
          <w:highlight w:val="none"/>
          <w:u w:val="single"/>
        </w:rPr>
      </w:pPr>
      <w:r>
        <w:rPr>
          <w:rFonts w:hint="eastAsia" w:ascii="宋体" w:hAnsi="宋体" w:cs="宋体"/>
          <w:color w:val="auto"/>
          <w:sz w:val="24"/>
          <w:szCs w:val="32"/>
          <w:highlight w:val="none"/>
        </w:rPr>
        <w:t>乙方：</w:t>
      </w:r>
      <w:r>
        <w:rPr>
          <w:rFonts w:hint="eastAsia" w:ascii="宋体" w:hAnsi="宋体" w:cs="宋体"/>
          <w:color w:val="auto"/>
          <w:sz w:val="24"/>
          <w:szCs w:val="32"/>
          <w:highlight w:val="none"/>
          <w:u w:val="single"/>
          <w:lang w:eastAsia="zh-CN"/>
        </w:rPr>
        <w:t>郑州开开电气设备有限公司</w:t>
      </w:r>
      <w:r>
        <w:rPr>
          <w:rFonts w:hint="eastAsia" w:ascii="宋体" w:hAnsi="宋体" w:cs="宋体"/>
          <w:color w:val="auto"/>
          <w:sz w:val="24"/>
          <w:szCs w:val="32"/>
          <w:highlight w:val="none"/>
          <w:u w:val="single"/>
        </w:rPr>
        <w:t xml:space="preserve"> </w:t>
      </w:r>
    </w:p>
    <w:p>
      <w:pPr>
        <w:keepNext w:val="0"/>
        <w:keepLines w:val="0"/>
        <w:pageBreakBefore w:val="0"/>
        <w:widowControl w:val="0"/>
        <w:tabs>
          <w:tab w:val="left" w:pos="0"/>
        </w:tabs>
        <w:kinsoku/>
        <w:wordWrap/>
        <w:overflowPunct/>
        <w:topLinePunct w:val="0"/>
        <w:autoSpaceDE/>
        <w:autoSpaceDN w:val="0"/>
        <w:bidi w:val="0"/>
        <w:spacing w:line="360" w:lineRule="auto"/>
        <w:ind w:firstLine="360"/>
        <w:textAlignment w:val="auto"/>
        <w:rPr>
          <w:rFonts w:ascii="宋体" w:hAnsi="宋体" w:cs="宋体"/>
          <w:color w:val="auto"/>
          <w:sz w:val="24"/>
          <w:highlight w:val="none"/>
        </w:rPr>
      </w:pPr>
      <w:r>
        <w:rPr>
          <w:rFonts w:hint="eastAsia" w:ascii="宋体" w:hAnsi="宋体" w:cs="宋体"/>
          <w:color w:val="auto"/>
          <w:sz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一．甲方责任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1．甲方有责任向乙方介绍本单位有关廉政管理的各项制度和规定。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2．甲方有责任对本单位项目管理人员进行廉政教育。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2．乙方不得宴请甲方人员，不得以任何形式赠送实物、现金或礼券。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4．乙方有责任接受甲方对乙方在项目建设期间廉政管理执行情况的监督。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三、为维护甲乙双方的合法利益，营造良好的商务环境，甲方建立多种举报渠道（如</w:t>
      </w:r>
    </w:p>
    <w:p>
      <w:pPr>
        <w:spacing w:line="360" w:lineRule="auto"/>
        <w:rPr>
          <w:rFonts w:ascii="宋体" w:hAnsi="宋体" w:cs="宋体"/>
          <w:b/>
          <w:bCs/>
          <w:color w:val="auto"/>
          <w:sz w:val="24"/>
          <w:szCs w:val="24"/>
          <w:highlight w:val="none"/>
        </w:rPr>
      </w:pPr>
      <w:r>
        <w:rPr>
          <w:color w:val="auto"/>
          <w:highlight w:val="none"/>
        </w:rPr>
        <w:drawing>
          <wp:anchor distT="0" distB="0" distL="114300" distR="114300" simplePos="0" relativeHeight="251665408" behindDoc="0" locked="0" layoutInCell="1" allowOverlap="1">
            <wp:simplePos x="0" y="0"/>
            <wp:positionH relativeFrom="column">
              <wp:posOffset>4114165</wp:posOffset>
            </wp:positionH>
            <wp:positionV relativeFrom="paragraph">
              <wp:posOffset>217805</wp:posOffset>
            </wp:positionV>
            <wp:extent cx="1282065" cy="1282065"/>
            <wp:effectExtent l="0" t="0" r="13335" b="13335"/>
            <wp:wrapNone/>
            <wp:docPr id="9"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32dc313b898daf07a491037a11ba2c8"/>
                    <pic:cNvPicPr>
                      <a:picLocks noChangeAspect="1"/>
                    </pic:cNvPicPr>
                  </pic:nvPicPr>
                  <pic:blipFill>
                    <a:blip r:embed="rId8"/>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b/>
          <w:bCs/>
          <w:color w:val="auto"/>
          <w:sz w:val="24"/>
          <w:highlight w:val="none"/>
        </w:rPr>
        <w:t>下）。</w:t>
      </w:r>
      <w:r>
        <w:rPr>
          <w:rFonts w:hint="eastAsia" w:ascii="宋体" w:hAnsi="宋体" w:cs="宋体"/>
          <w:b/>
          <w:bCs/>
          <w:color w:val="auto"/>
          <w:sz w:val="24"/>
          <w:szCs w:val="24"/>
          <w:highlight w:val="none"/>
        </w:rPr>
        <w:t>甲方</w:t>
      </w:r>
      <w:r>
        <w:rPr>
          <w:rFonts w:hint="eastAsia" w:ascii="宋体" w:hAnsi="宋体" w:cs="宋体"/>
          <w:b/>
          <w:bCs/>
          <w:color w:val="auto"/>
          <w:sz w:val="24"/>
          <w:szCs w:val="24"/>
          <w:highlight w:val="none"/>
          <w:lang w:eastAsia="zh-CN"/>
        </w:rPr>
        <w:t>审计监察</w:t>
      </w:r>
      <w:r>
        <w:rPr>
          <w:rFonts w:hint="eastAsia" w:ascii="宋体" w:hAnsi="宋体" w:cs="宋体"/>
          <w:b/>
          <w:bCs/>
          <w:color w:val="auto"/>
          <w:sz w:val="24"/>
          <w:szCs w:val="24"/>
          <w:highlight w:val="none"/>
        </w:rPr>
        <w:t>人员将恪守职业道德，严格履行保密义务！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（1）电话：张先生：13903793259</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（2）电话：齐先生：18137710188</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（3）邮箱：314298756@qq.com</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（4）直接和</w:t>
      </w:r>
      <w:r>
        <w:rPr>
          <w:rFonts w:hint="eastAsia" w:ascii="宋体" w:hAnsi="宋体" w:cs="宋体"/>
          <w:color w:val="auto"/>
          <w:sz w:val="24"/>
          <w:szCs w:val="24"/>
          <w:highlight w:val="none"/>
          <w:lang w:eastAsia="zh-CN"/>
        </w:rPr>
        <w:t>审计监察</w:t>
      </w:r>
      <w:r>
        <w:rPr>
          <w:rFonts w:hint="eastAsia" w:ascii="宋体" w:hAnsi="宋体" w:cs="宋体"/>
          <w:color w:val="auto"/>
          <w:sz w:val="24"/>
          <w:szCs w:val="24"/>
          <w:highlight w:val="none"/>
        </w:rPr>
        <w:t>人员约定场所当面举报。</w:t>
      </w:r>
    </w:p>
    <w:p>
      <w:pPr>
        <w:spacing w:line="360" w:lineRule="auto"/>
        <w:ind w:firstLine="480" w:firstLineChars="200"/>
        <w:rPr>
          <w:rFonts w:ascii="宋体" w:hAnsi="宋体" w:cs="宋体"/>
          <w:color w:val="auto"/>
          <w:sz w:val="24"/>
          <w:highlight w:val="none"/>
        </w:rPr>
      </w:pP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1.推诿扯皮、有责不负、处事消极、渎职失职、弄虚作假等行为。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3.贪污、受贿、盗窃、欺上瞒下等违法乱纪行为。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4.出卖、泄露公司商业机密等危害公司行为。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5.重大经济活动未按公司制度、流程执行的违规违纪行为。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7.故意涂改公司文件或以公司名义谋私利，损害公司荣誉和利益的行为。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8.私自侵占、挪用公司财物，损坏公司重要设备或资产的行为。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11.其它违反法律或者招标人公司相关制度的行为。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spacing w:line="60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甲方：</w:t>
      </w:r>
      <w:r>
        <w:rPr>
          <w:rFonts w:hint="eastAsia" w:ascii="宋体" w:hAnsi="宋体" w:cs="宋体"/>
          <w:color w:val="auto"/>
          <w:sz w:val="24"/>
          <w:szCs w:val="32"/>
          <w:highlight w:val="none"/>
          <w:lang w:eastAsia="zh-CN"/>
        </w:rPr>
        <w:t>洛阳浩德鑫置地有限公司</w:t>
      </w:r>
      <w:r>
        <w:rPr>
          <w:rFonts w:hint="eastAsia" w:ascii="宋体" w:hAnsi="宋体" w:cs="宋体"/>
          <w:color w:val="auto"/>
          <w:sz w:val="24"/>
          <w:szCs w:val="32"/>
          <w:highlight w:val="none"/>
        </w:rPr>
        <w:t xml:space="preserve">                 乙方：</w:t>
      </w:r>
      <w:r>
        <w:rPr>
          <w:rFonts w:hint="eastAsia" w:ascii="宋体" w:hAnsi="宋体" w:cs="宋体"/>
          <w:color w:val="auto"/>
          <w:sz w:val="24"/>
          <w:szCs w:val="32"/>
          <w:highlight w:val="none"/>
          <w:lang w:eastAsia="zh-CN"/>
        </w:rPr>
        <w:t>郑州开开电气设备有限公司</w:t>
      </w:r>
    </w:p>
    <w:p>
      <w:pPr>
        <w:spacing w:line="60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签署日期： 2020年</w:t>
      </w:r>
      <w:r>
        <w:rPr>
          <w:rFonts w:hint="eastAsia" w:ascii="宋体" w:hAnsi="宋体" w:cs="宋体"/>
          <w:color w:val="auto"/>
          <w:sz w:val="24"/>
          <w:szCs w:val="32"/>
          <w:highlight w:val="none"/>
          <w:lang w:eastAsia="zh-CN"/>
        </w:rPr>
        <w:t>1</w:t>
      </w:r>
      <w:r>
        <w:rPr>
          <w:rFonts w:hint="eastAsia" w:ascii="宋体" w:hAnsi="宋体" w:cs="宋体"/>
          <w:color w:val="auto"/>
          <w:sz w:val="24"/>
          <w:szCs w:val="32"/>
          <w:highlight w:val="none"/>
        </w:rPr>
        <w:t>月                        签署日期： 2020年</w:t>
      </w:r>
      <w:r>
        <w:rPr>
          <w:rFonts w:hint="eastAsia" w:ascii="宋体" w:hAnsi="宋体" w:cs="宋体"/>
          <w:color w:val="auto"/>
          <w:sz w:val="24"/>
          <w:szCs w:val="32"/>
          <w:highlight w:val="none"/>
          <w:lang w:eastAsia="zh-CN"/>
        </w:rPr>
        <w:t>1</w:t>
      </w:r>
      <w:r>
        <w:rPr>
          <w:rFonts w:hint="eastAsia" w:ascii="宋体" w:hAnsi="宋体" w:cs="宋体"/>
          <w:color w:val="auto"/>
          <w:sz w:val="24"/>
          <w:szCs w:val="32"/>
          <w:highlight w:val="none"/>
        </w:rPr>
        <w:t xml:space="preserve">月   </w:t>
      </w:r>
    </w:p>
    <w:p>
      <w:pPr>
        <w:rPr>
          <w:color w:val="auto"/>
          <w:highlight w:val="none"/>
        </w:rPr>
      </w:pPr>
    </w:p>
    <w:sectPr>
      <w:headerReference r:id="rId4" w:type="first"/>
      <w:footerReference r:id="rId6" w:type="first"/>
      <w:headerReference r:id="rId3" w:type="default"/>
      <w:footerReference r:id="rId5" w:type="default"/>
      <w:pgSz w:w="11906" w:h="16838"/>
      <w:pgMar w:top="935" w:right="1196" w:bottom="623" w:left="105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ind w:left="-141" w:leftChars="-67" w:right="360"/>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1"/>
                            </w:rPr>
                          </w:pPr>
                          <w:r>
                            <w:fldChar w:fldCharType="begin"/>
                          </w:r>
                          <w:r>
                            <w:rPr>
                              <w:rStyle w:val="21"/>
                            </w:rPr>
                            <w:instrText xml:space="preserve">PAGE  </w:instrText>
                          </w:r>
                          <w:r>
                            <w:fldChar w:fldCharType="separate"/>
                          </w:r>
                          <w:r>
                            <w:rPr>
                              <w:rStyle w:val="21"/>
                            </w:rPr>
                            <w:t>25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68u3zSAQAApAMAAA4AAABkcnMvZTJvRG9jLnhtbK1TzY7TMBC+&#10;I+07WL5vk1Ys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sVNWFJimcGJn3/9PP/+&#10;e/7zg7xO+vQeaky795gYh/duwNz5HvAy0R5kMOmLhAjGUd3TRV0xRMLTo2pVVSWGOMZmB/GLh+c+&#10;QPwgnCHJaGjA8WVV2fETxDF1TknVrLtTWucRakt6RL2p3t7kF5cQomuLRRKLsdtkxWE3TNR2rj0h&#10;sx53oKEWV54S/dGixGldZiPMxm42Dj6ofYdNLnM98O8OEdvJXaYKI+xUGIeXeU6LlrbjsZ+zHn6u&#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bry7fNIBAACkAwAADgAAAAAAAAABACAAAAAi&#10;AQAAZHJzL2Uyb0RvYy54bWxQSwUGAAAAAAYABgBZAQAAZgUAAAAA&#10;">
              <v:fill on="f" focussize="0,0"/>
              <v:stroke on="f" weight="1.25pt"/>
              <v:imagedata o:title=""/>
              <o:lock v:ext="edit" aspectratio="f"/>
              <v:textbox inset="0mm,0mm,0mm,0mm" style="mso-fit-shape-to-text:t;">
                <w:txbxContent>
                  <w:p>
                    <w:pPr>
                      <w:pStyle w:val="13"/>
                      <w:rPr>
                        <w:rStyle w:val="21"/>
                      </w:rPr>
                    </w:pPr>
                    <w:r>
                      <w:fldChar w:fldCharType="begin"/>
                    </w:r>
                    <w:r>
                      <w:rPr>
                        <w:rStyle w:val="21"/>
                      </w:rPr>
                      <w:instrText xml:space="preserve">PAGE  </w:instrText>
                    </w:r>
                    <w:r>
                      <w:fldChar w:fldCharType="separate"/>
                    </w:r>
                    <w:r>
                      <w:rPr>
                        <w:rStyle w:val="21"/>
                      </w:rPr>
                      <w:t>25</w:t>
                    </w:r>
                    <w:r>
                      <w:fldChar w:fldCharType="end"/>
                    </w:r>
                  </w:p>
                </w:txbxContent>
              </v:textbox>
            </v:shape>
          </w:pict>
        </mc:Fallback>
      </mc:AlternateContent>
    </w:r>
    <w:r>
      <w:rPr>
        <w:rFonts w:hint="eastAsia"/>
        <w:b/>
        <w:color w:val="5F5F5F"/>
        <w:sz w:val="21"/>
        <w:szCs w:val="21"/>
        <w:lang w:eastAsia="zh-CN"/>
      </w:rPr>
      <w:t>洛阳浩德鑫置地有限公司</w:t>
    </w:r>
    <w:r>
      <w:rPr>
        <w:rFonts w:hint="eastAsia"/>
        <w:b/>
        <w:color w:val="5F5F5F"/>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ind w:left="-141" w:leftChars="-67"/>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Pk2TSAQAApA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eImrCixzODELz9/XH79&#10;ufz+TtZJn95DjWn3HhPj8N4NmDvfA14m2oMMJn2REME4qnu+qiuGSHh6VK2qqsQQx9jsIH7x+NwH&#10;iB+EMyQZDQ04vqwqO32COKbOKamadXdK6zxCbUmPqOvq3Tq/uIYQXVsskliM3SYrDvthorZ37RmZ&#10;9bgDDbW48pTojxYlTusyG2E29rNx9EEdOmxymeuBvz1GbCd3mSqMsFNhHF7mOS1a2o5//Zz1+HN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8+TZNIBAACkAwAADgAAAAAAAAABACAAAAAi&#10;AQAAZHJzL2Uyb0RvYy54bWxQSwUGAAAAAAYABgBZAQAAZgU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b/>
        <w:color w:val="5F5F5F"/>
        <w:sz w:val="21"/>
        <w:szCs w:val="21"/>
        <w:lang w:eastAsia="zh-CN"/>
      </w:rPr>
      <w:t>洛阳浩德鑫置地有限公司</w:t>
    </w:r>
    <w:r>
      <w:rPr>
        <w:rFonts w:hint="eastAsia"/>
        <w:b/>
        <w:color w:val="5F5F5F"/>
        <w:sz w:val="21"/>
        <w:szCs w:val="21"/>
      </w:rPr>
      <w:t xml:space="preserve">   </w:t>
    </w:r>
    <w:r>
      <w:rPr>
        <w:rFonts w:hint="eastAsia"/>
        <w:b/>
        <w:color w:val="5F5F5F"/>
      </w:rPr>
      <w:t>ADD:洛阳市经济开发区开元大道与长夏门街交汇处（）项目会所</w: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422" w:firstLine="270" w:firstLineChars="150"/>
      <w:jc w:val="both"/>
      <w:rPr>
        <w:rFonts w:ascii="Batang" w:hAnsi="Batang"/>
        <w:color w:val="999999"/>
        <w:sz w:val="16"/>
        <w:szCs w:val="16"/>
      </w:rPr>
    </w:pPr>
    <w:r>
      <w:rPr>
        <w:rFonts w:hint="eastAsia"/>
        <w:u w:val="single"/>
      </w:rPr>
      <w:drawing>
        <wp:inline distT="0" distB="0" distL="114300" distR="114300">
          <wp:extent cx="2223135" cy="350520"/>
          <wp:effectExtent l="0" t="0" r="1905" b="0"/>
          <wp:docPr id="4" name="图片 4" descr="中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浩德logo"/>
                  <pic:cNvPicPr>
                    <a:picLocks noChangeAspect="1"/>
                  </pic:cNvPicPr>
                </pic:nvPicPr>
                <pic:blipFill>
                  <a:blip r:embed="rId1"/>
                  <a:stretch>
                    <a:fillRect/>
                  </a:stretch>
                </pic:blipFill>
                <pic:spPr>
                  <a:xfrm>
                    <a:off x="0" y="0"/>
                    <a:ext cx="2223135" cy="350520"/>
                  </a:xfrm>
                  <a:prstGeom prst="rect">
                    <a:avLst/>
                  </a:prstGeom>
                  <a:noFill/>
                  <a:ln>
                    <a:noFill/>
                  </a:ln>
                </pic:spPr>
              </pic:pic>
            </a:graphicData>
          </a:graphic>
        </wp:inline>
      </w:drawing>
    </w:r>
    <w:r>
      <w:rPr>
        <w:rFonts w:hint="eastAsia"/>
        <w:b/>
        <w:color w:val="5F5F5F"/>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422" w:firstLine="270" w:firstLineChars="150"/>
      <w:jc w:val="both"/>
      <w:rPr>
        <w:rFonts w:hint="default" w:ascii="Batang" w:hAnsi="Batang" w:eastAsia="宋体"/>
        <w:color w:val="999999"/>
        <w:sz w:val="16"/>
        <w:szCs w:val="16"/>
        <w:lang w:val="en-US" w:eastAsia="zh-CN"/>
      </w:rPr>
    </w:pPr>
    <w:r>
      <w:rPr>
        <w:rFonts w:hint="eastAsia"/>
        <w:u w:val="single"/>
      </w:rPr>
      <w:drawing>
        <wp:inline distT="0" distB="0" distL="114300" distR="114300">
          <wp:extent cx="2223135" cy="350520"/>
          <wp:effectExtent l="0" t="0" r="1905" b="0"/>
          <wp:docPr id="2" name="图片 2" descr="中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浩德logo"/>
                  <pic:cNvPicPr>
                    <a:picLocks noChangeAspect="1"/>
                  </pic:cNvPicPr>
                </pic:nvPicPr>
                <pic:blipFill>
                  <a:blip r:embed="rId1"/>
                  <a:stretch>
                    <a:fillRect/>
                  </a:stretch>
                </pic:blipFill>
                <pic:spPr>
                  <a:xfrm>
                    <a:off x="0" y="0"/>
                    <a:ext cx="2223135" cy="350520"/>
                  </a:xfrm>
                  <a:prstGeom prst="rect">
                    <a:avLst/>
                  </a:prstGeom>
                  <a:noFill/>
                  <a:ln>
                    <a:noFill/>
                  </a:ln>
                </pic:spPr>
              </pic:pic>
            </a:graphicData>
          </a:graphic>
        </wp:inline>
      </w:drawing>
    </w:r>
    <w:r>
      <w:rPr>
        <w:rFonts w:hint="eastAsia"/>
        <w:b/>
        <w:color w:val="5F5F5F"/>
        <w:sz w:val="24"/>
        <w:szCs w:val="24"/>
      </w:rPr>
      <w:t xml:space="preserve">  TEL：</w:t>
    </w:r>
    <w:r>
      <w:rPr>
        <w:rFonts w:hint="eastAsia"/>
        <w:b/>
        <w:color w:val="5F5F5F"/>
        <w:sz w:val="24"/>
        <w:szCs w:val="24"/>
        <w:lang w:val="en-US" w:eastAsia="zh-CN"/>
      </w:rPr>
      <w:t>60198086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7"/>
      <w:numFmt w:val="decimal"/>
      <w:suff w:val="nothing"/>
      <w:lvlText w:val="（%1）"/>
      <w:lvlJc w:val="left"/>
    </w:lvl>
  </w:abstractNum>
  <w:abstractNum w:abstractNumId="1">
    <w:nsid w:val="0000000C"/>
    <w:multiLevelType w:val="multilevel"/>
    <w:tmpl w:val="0000000C"/>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8"/>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4E0"/>
    <w:rsid w:val="00040403"/>
    <w:rsid w:val="000414AF"/>
    <w:rsid w:val="000456F7"/>
    <w:rsid w:val="00051D33"/>
    <w:rsid w:val="00055069"/>
    <w:rsid w:val="00061B8C"/>
    <w:rsid w:val="000B7F77"/>
    <w:rsid w:val="000E3A0C"/>
    <w:rsid w:val="00110416"/>
    <w:rsid w:val="00111C91"/>
    <w:rsid w:val="00125C09"/>
    <w:rsid w:val="00126AAA"/>
    <w:rsid w:val="00135C13"/>
    <w:rsid w:val="00141B2B"/>
    <w:rsid w:val="001477CE"/>
    <w:rsid w:val="00155001"/>
    <w:rsid w:val="00160573"/>
    <w:rsid w:val="00172A27"/>
    <w:rsid w:val="00180988"/>
    <w:rsid w:val="00181646"/>
    <w:rsid w:val="00187D7F"/>
    <w:rsid w:val="00191A22"/>
    <w:rsid w:val="001A06B1"/>
    <w:rsid w:val="001A67D0"/>
    <w:rsid w:val="001B41FF"/>
    <w:rsid w:val="001D2AD7"/>
    <w:rsid w:val="001D46FD"/>
    <w:rsid w:val="001E2F32"/>
    <w:rsid w:val="001E4D9A"/>
    <w:rsid w:val="001F3BB4"/>
    <w:rsid w:val="002143E3"/>
    <w:rsid w:val="00224709"/>
    <w:rsid w:val="002318D0"/>
    <w:rsid w:val="00241483"/>
    <w:rsid w:val="002552D2"/>
    <w:rsid w:val="00260CDF"/>
    <w:rsid w:val="002633F0"/>
    <w:rsid w:val="002855DA"/>
    <w:rsid w:val="002A0AD9"/>
    <w:rsid w:val="002B24EF"/>
    <w:rsid w:val="002B5D0B"/>
    <w:rsid w:val="002C1EE1"/>
    <w:rsid w:val="002D1EEE"/>
    <w:rsid w:val="002D2E48"/>
    <w:rsid w:val="002D2F9B"/>
    <w:rsid w:val="002D4A92"/>
    <w:rsid w:val="002E53D5"/>
    <w:rsid w:val="003047C0"/>
    <w:rsid w:val="00306F70"/>
    <w:rsid w:val="00310EEC"/>
    <w:rsid w:val="0031601A"/>
    <w:rsid w:val="0034363E"/>
    <w:rsid w:val="00351659"/>
    <w:rsid w:val="00352BA9"/>
    <w:rsid w:val="00355D58"/>
    <w:rsid w:val="00357AC7"/>
    <w:rsid w:val="00373234"/>
    <w:rsid w:val="00375319"/>
    <w:rsid w:val="00384C9C"/>
    <w:rsid w:val="0038704D"/>
    <w:rsid w:val="0039453A"/>
    <w:rsid w:val="003B5103"/>
    <w:rsid w:val="003C2CF9"/>
    <w:rsid w:val="003C44CC"/>
    <w:rsid w:val="003C68CF"/>
    <w:rsid w:val="003D3A45"/>
    <w:rsid w:val="003D4A10"/>
    <w:rsid w:val="004039D2"/>
    <w:rsid w:val="00413545"/>
    <w:rsid w:val="0041557C"/>
    <w:rsid w:val="0042406E"/>
    <w:rsid w:val="004322FB"/>
    <w:rsid w:val="00435430"/>
    <w:rsid w:val="004465F2"/>
    <w:rsid w:val="00450678"/>
    <w:rsid w:val="00471499"/>
    <w:rsid w:val="00472727"/>
    <w:rsid w:val="00480E47"/>
    <w:rsid w:val="0049241A"/>
    <w:rsid w:val="00495AA3"/>
    <w:rsid w:val="004A63AA"/>
    <w:rsid w:val="004B3A2B"/>
    <w:rsid w:val="004B6D52"/>
    <w:rsid w:val="004C0A22"/>
    <w:rsid w:val="004C2533"/>
    <w:rsid w:val="004C716E"/>
    <w:rsid w:val="004D352F"/>
    <w:rsid w:val="004D78E0"/>
    <w:rsid w:val="004E0381"/>
    <w:rsid w:val="0050570E"/>
    <w:rsid w:val="005120AE"/>
    <w:rsid w:val="00514A7F"/>
    <w:rsid w:val="005169E6"/>
    <w:rsid w:val="00532A2D"/>
    <w:rsid w:val="005561C1"/>
    <w:rsid w:val="0056255B"/>
    <w:rsid w:val="0056434F"/>
    <w:rsid w:val="005836E7"/>
    <w:rsid w:val="00594002"/>
    <w:rsid w:val="005B1579"/>
    <w:rsid w:val="005D70E5"/>
    <w:rsid w:val="005E6EDA"/>
    <w:rsid w:val="00606405"/>
    <w:rsid w:val="00637146"/>
    <w:rsid w:val="0064413C"/>
    <w:rsid w:val="0066223C"/>
    <w:rsid w:val="00670964"/>
    <w:rsid w:val="006739A9"/>
    <w:rsid w:val="00675385"/>
    <w:rsid w:val="0067780A"/>
    <w:rsid w:val="0069020F"/>
    <w:rsid w:val="006C24F9"/>
    <w:rsid w:val="0070285F"/>
    <w:rsid w:val="00722EA5"/>
    <w:rsid w:val="007259DD"/>
    <w:rsid w:val="00740A03"/>
    <w:rsid w:val="007528FD"/>
    <w:rsid w:val="007531FB"/>
    <w:rsid w:val="00753B2B"/>
    <w:rsid w:val="00760340"/>
    <w:rsid w:val="007637D5"/>
    <w:rsid w:val="00770152"/>
    <w:rsid w:val="0078373C"/>
    <w:rsid w:val="007844AA"/>
    <w:rsid w:val="007A06BB"/>
    <w:rsid w:val="007A16CD"/>
    <w:rsid w:val="007A7F45"/>
    <w:rsid w:val="007C16FC"/>
    <w:rsid w:val="007C2520"/>
    <w:rsid w:val="007C5EA3"/>
    <w:rsid w:val="007D62FA"/>
    <w:rsid w:val="007F02F4"/>
    <w:rsid w:val="0081040E"/>
    <w:rsid w:val="008144A0"/>
    <w:rsid w:val="00825FD4"/>
    <w:rsid w:val="00843935"/>
    <w:rsid w:val="00851DF2"/>
    <w:rsid w:val="008567D2"/>
    <w:rsid w:val="00862A30"/>
    <w:rsid w:val="008656ED"/>
    <w:rsid w:val="0088760B"/>
    <w:rsid w:val="00892432"/>
    <w:rsid w:val="008A6C71"/>
    <w:rsid w:val="008B4D81"/>
    <w:rsid w:val="008C09D7"/>
    <w:rsid w:val="008D6306"/>
    <w:rsid w:val="008E3723"/>
    <w:rsid w:val="008F6E66"/>
    <w:rsid w:val="00901AC9"/>
    <w:rsid w:val="00904DD9"/>
    <w:rsid w:val="009115D6"/>
    <w:rsid w:val="00940E7E"/>
    <w:rsid w:val="00946AF7"/>
    <w:rsid w:val="00964BA2"/>
    <w:rsid w:val="009A2AAE"/>
    <w:rsid w:val="009B2751"/>
    <w:rsid w:val="009B3732"/>
    <w:rsid w:val="009C0D9C"/>
    <w:rsid w:val="009C21B6"/>
    <w:rsid w:val="009C26A6"/>
    <w:rsid w:val="009C7D94"/>
    <w:rsid w:val="009F5F85"/>
    <w:rsid w:val="00A13951"/>
    <w:rsid w:val="00A13FAE"/>
    <w:rsid w:val="00A17C67"/>
    <w:rsid w:val="00A23C64"/>
    <w:rsid w:val="00A41E9B"/>
    <w:rsid w:val="00A613F0"/>
    <w:rsid w:val="00A64920"/>
    <w:rsid w:val="00A66FC1"/>
    <w:rsid w:val="00A670BC"/>
    <w:rsid w:val="00A73BB5"/>
    <w:rsid w:val="00A87CFF"/>
    <w:rsid w:val="00AC26E4"/>
    <w:rsid w:val="00AC5874"/>
    <w:rsid w:val="00AC6B79"/>
    <w:rsid w:val="00AD2128"/>
    <w:rsid w:val="00AD310E"/>
    <w:rsid w:val="00AE599A"/>
    <w:rsid w:val="00AE6FB1"/>
    <w:rsid w:val="00AF2E81"/>
    <w:rsid w:val="00AF3574"/>
    <w:rsid w:val="00AF4F88"/>
    <w:rsid w:val="00B00392"/>
    <w:rsid w:val="00B04692"/>
    <w:rsid w:val="00B31B26"/>
    <w:rsid w:val="00B40281"/>
    <w:rsid w:val="00B6458D"/>
    <w:rsid w:val="00B916FF"/>
    <w:rsid w:val="00B91B43"/>
    <w:rsid w:val="00BB5F85"/>
    <w:rsid w:val="00BE0C46"/>
    <w:rsid w:val="00BE603F"/>
    <w:rsid w:val="00BF6D8C"/>
    <w:rsid w:val="00C2386F"/>
    <w:rsid w:val="00C23DF6"/>
    <w:rsid w:val="00C333CA"/>
    <w:rsid w:val="00C33C15"/>
    <w:rsid w:val="00C34BCA"/>
    <w:rsid w:val="00C35EEE"/>
    <w:rsid w:val="00C372FA"/>
    <w:rsid w:val="00C537FE"/>
    <w:rsid w:val="00C671B3"/>
    <w:rsid w:val="00C763F9"/>
    <w:rsid w:val="00C8047A"/>
    <w:rsid w:val="00C83FB8"/>
    <w:rsid w:val="00C87300"/>
    <w:rsid w:val="00C91CBA"/>
    <w:rsid w:val="00C92295"/>
    <w:rsid w:val="00CA5925"/>
    <w:rsid w:val="00CB333C"/>
    <w:rsid w:val="00CD186F"/>
    <w:rsid w:val="00CD1E36"/>
    <w:rsid w:val="00CE03D5"/>
    <w:rsid w:val="00CE0B57"/>
    <w:rsid w:val="00CF506C"/>
    <w:rsid w:val="00D16F01"/>
    <w:rsid w:val="00D23981"/>
    <w:rsid w:val="00D5512E"/>
    <w:rsid w:val="00D62058"/>
    <w:rsid w:val="00D6322B"/>
    <w:rsid w:val="00D6614D"/>
    <w:rsid w:val="00D71AEE"/>
    <w:rsid w:val="00D742ED"/>
    <w:rsid w:val="00D83616"/>
    <w:rsid w:val="00D842B0"/>
    <w:rsid w:val="00D87D00"/>
    <w:rsid w:val="00D964C0"/>
    <w:rsid w:val="00D977B3"/>
    <w:rsid w:val="00DA0346"/>
    <w:rsid w:val="00DA0C4B"/>
    <w:rsid w:val="00DA42DB"/>
    <w:rsid w:val="00DA59DD"/>
    <w:rsid w:val="00DC0049"/>
    <w:rsid w:val="00DC43E0"/>
    <w:rsid w:val="00DE48C0"/>
    <w:rsid w:val="00E01245"/>
    <w:rsid w:val="00E05D62"/>
    <w:rsid w:val="00E06803"/>
    <w:rsid w:val="00E356CD"/>
    <w:rsid w:val="00E37C69"/>
    <w:rsid w:val="00E436EF"/>
    <w:rsid w:val="00E44428"/>
    <w:rsid w:val="00E50499"/>
    <w:rsid w:val="00E51A66"/>
    <w:rsid w:val="00E656EA"/>
    <w:rsid w:val="00E75F44"/>
    <w:rsid w:val="00E864D7"/>
    <w:rsid w:val="00EA57C1"/>
    <w:rsid w:val="00EB4560"/>
    <w:rsid w:val="00EB4E1A"/>
    <w:rsid w:val="00ED0C8F"/>
    <w:rsid w:val="00ED1D01"/>
    <w:rsid w:val="00ED55DF"/>
    <w:rsid w:val="00ED60D4"/>
    <w:rsid w:val="00EE03A6"/>
    <w:rsid w:val="00EF5498"/>
    <w:rsid w:val="00F03E90"/>
    <w:rsid w:val="00F13CD1"/>
    <w:rsid w:val="00F253F8"/>
    <w:rsid w:val="00F32997"/>
    <w:rsid w:val="00F46838"/>
    <w:rsid w:val="00F51701"/>
    <w:rsid w:val="00F54A6E"/>
    <w:rsid w:val="00F6215B"/>
    <w:rsid w:val="00F63566"/>
    <w:rsid w:val="00F637C6"/>
    <w:rsid w:val="00F81F83"/>
    <w:rsid w:val="00F977CA"/>
    <w:rsid w:val="00FA34B1"/>
    <w:rsid w:val="00FE1D28"/>
    <w:rsid w:val="00FE2B5B"/>
    <w:rsid w:val="00FF3F9E"/>
    <w:rsid w:val="01964D3C"/>
    <w:rsid w:val="01FF29C0"/>
    <w:rsid w:val="021275B4"/>
    <w:rsid w:val="02753698"/>
    <w:rsid w:val="037269E9"/>
    <w:rsid w:val="05164384"/>
    <w:rsid w:val="055B6D22"/>
    <w:rsid w:val="057D442F"/>
    <w:rsid w:val="0633344C"/>
    <w:rsid w:val="06A11F5B"/>
    <w:rsid w:val="07987578"/>
    <w:rsid w:val="09895053"/>
    <w:rsid w:val="0A075715"/>
    <w:rsid w:val="0A0C53B2"/>
    <w:rsid w:val="0A7715B1"/>
    <w:rsid w:val="0BCF45B9"/>
    <w:rsid w:val="0BFE2EDC"/>
    <w:rsid w:val="0C0C2B6D"/>
    <w:rsid w:val="0C9107A1"/>
    <w:rsid w:val="0E0E698C"/>
    <w:rsid w:val="0E813BD1"/>
    <w:rsid w:val="0EC65B64"/>
    <w:rsid w:val="0FB22533"/>
    <w:rsid w:val="10F207A9"/>
    <w:rsid w:val="11047A7E"/>
    <w:rsid w:val="11EF788F"/>
    <w:rsid w:val="126E1A0A"/>
    <w:rsid w:val="13B41650"/>
    <w:rsid w:val="155A1391"/>
    <w:rsid w:val="182960F1"/>
    <w:rsid w:val="18EF20B5"/>
    <w:rsid w:val="1A9C5772"/>
    <w:rsid w:val="1B7B370F"/>
    <w:rsid w:val="1CE06244"/>
    <w:rsid w:val="1D6C39E2"/>
    <w:rsid w:val="1DED3AB4"/>
    <w:rsid w:val="1E1455DD"/>
    <w:rsid w:val="1E982023"/>
    <w:rsid w:val="1F0F37C7"/>
    <w:rsid w:val="20955D26"/>
    <w:rsid w:val="211B0153"/>
    <w:rsid w:val="21301108"/>
    <w:rsid w:val="226D781A"/>
    <w:rsid w:val="229D030E"/>
    <w:rsid w:val="23036DFE"/>
    <w:rsid w:val="256813A2"/>
    <w:rsid w:val="258B2904"/>
    <w:rsid w:val="265A0C0D"/>
    <w:rsid w:val="2680204A"/>
    <w:rsid w:val="270102C8"/>
    <w:rsid w:val="27817365"/>
    <w:rsid w:val="28E10A62"/>
    <w:rsid w:val="2A440D72"/>
    <w:rsid w:val="2CDA0948"/>
    <w:rsid w:val="2D363864"/>
    <w:rsid w:val="2E0904D5"/>
    <w:rsid w:val="2EB74A30"/>
    <w:rsid w:val="2EFB69EF"/>
    <w:rsid w:val="2FA13190"/>
    <w:rsid w:val="2FC23565"/>
    <w:rsid w:val="307A2879"/>
    <w:rsid w:val="31E84AE7"/>
    <w:rsid w:val="32852235"/>
    <w:rsid w:val="329358EF"/>
    <w:rsid w:val="32F66414"/>
    <w:rsid w:val="3418336B"/>
    <w:rsid w:val="34864A90"/>
    <w:rsid w:val="36221D18"/>
    <w:rsid w:val="364469FC"/>
    <w:rsid w:val="377A7DA1"/>
    <w:rsid w:val="37873B13"/>
    <w:rsid w:val="3A640B87"/>
    <w:rsid w:val="3AE13CD7"/>
    <w:rsid w:val="3CF74209"/>
    <w:rsid w:val="3CF958F9"/>
    <w:rsid w:val="3E0744DE"/>
    <w:rsid w:val="3E213FCE"/>
    <w:rsid w:val="3F6A5497"/>
    <w:rsid w:val="3F915CB3"/>
    <w:rsid w:val="3FE0223F"/>
    <w:rsid w:val="424421D3"/>
    <w:rsid w:val="42EC772A"/>
    <w:rsid w:val="4328018E"/>
    <w:rsid w:val="4334117C"/>
    <w:rsid w:val="433C58A7"/>
    <w:rsid w:val="46833517"/>
    <w:rsid w:val="47B10EAF"/>
    <w:rsid w:val="480621F5"/>
    <w:rsid w:val="48FF1CE8"/>
    <w:rsid w:val="491C4D58"/>
    <w:rsid w:val="49F6620E"/>
    <w:rsid w:val="4A026FE5"/>
    <w:rsid w:val="4C113BA4"/>
    <w:rsid w:val="4C50174E"/>
    <w:rsid w:val="4D514747"/>
    <w:rsid w:val="4D8A21B1"/>
    <w:rsid w:val="4E26382B"/>
    <w:rsid w:val="4F5A38A9"/>
    <w:rsid w:val="506A4808"/>
    <w:rsid w:val="50894F95"/>
    <w:rsid w:val="50E124BF"/>
    <w:rsid w:val="52EE1EC9"/>
    <w:rsid w:val="53694953"/>
    <w:rsid w:val="558D5DA3"/>
    <w:rsid w:val="55A72EFB"/>
    <w:rsid w:val="55CC4FC1"/>
    <w:rsid w:val="55D24D1B"/>
    <w:rsid w:val="5685072F"/>
    <w:rsid w:val="56B352BC"/>
    <w:rsid w:val="580B2C70"/>
    <w:rsid w:val="583D6138"/>
    <w:rsid w:val="58B7736D"/>
    <w:rsid w:val="5A3563C4"/>
    <w:rsid w:val="5B172D3B"/>
    <w:rsid w:val="5BB57420"/>
    <w:rsid w:val="5C226CDE"/>
    <w:rsid w:val="5E380B6F"/>
    <w:rsid w:val="5E41377E"/>
    <w:rsid w:val="601B0F31"/>
    <w:rsid w:val="60BB5928"/>
    <w:rsid w:val="612E5101"/>
    <w:rsid w:val="61DF46F3"/>
    <w:rsid w:val="631C75F3"/>
    <w:rsid w:val="63E37B5F"/>
    <w:rsid w:val="654445DE"/>
    <w:rsid w:val="6572513F"/>
    <w:rsid w:val="658232DB"/>
    <w:rsid w:val="66C12D2F"/>
    <w:rsid w:val="674F6399"/>
    <w:rsid w:val="69787D8E"/>
    <w:rsid w:val="69B25F60"/>
    <w:rsid w:val="6A4C7B99"/>
    <w:rsid w:val="6BAE689C"/>
    <w:rsid w:val="6C522C3F"/>
    <w:rsid w:val="6D563ED4"/>
    <w:rsid w:val="6D7D6B81"/>
    <w:rsid w:val="6DC37436"/>
    <w:rsid w:val="6E0B556A"/>
    <w:rsid w:val="6EE824C3"/>
    <w:rsid w:val="6F09234C"/>
    <w:rsid w:val="70301F1B"/>
    <w:rsid w:val="70E26490"/>
    <w:rsid w:val="717C5D3A"/>
    <w:rsid w:val="71FA291E"/>
    <w:rsid w:val="72072826"/>
    <w:rsid w:val="72074C72"/>
    <w:rsid w:val="733C0D03"/>
    <w:rsid w:val="738863D2"/>
    <w:rsid w:val="740064AE"/>
    <w:rsid w:val="74392A24"/>
    <w:rsid w:val="74544C2F"/>
    <w:rsid w:val="74983497"/>
    <w:rsid w:val="74F3003D"/>
    <w:rsid w:val="75361609"/>
    <w:rsid w:val="75836199"/>
    <w:rsid w:val="75C54855"/>
    <w:rsid w:val="771C2FB3"/>
    <w:rsid w:val="775C50E2"/>
    <w:rsid w:val="78454ABE"/>
    <w:rsid w:val="794B620A"/>
    <w:rsid w:val="79696C2F"/>
    <w:rsid w:val="79C97B4D"/>
    <w:rsid w:val="7A4137FF"/>
    <w:rsid w:val="7BB502FA"/>
    <w:rsid w:val="7BE164DF"/>
    <w:rsid w:val="7C1D3EA8"/>
    <w:rsid w:val="7C6303E5"/>
    <w:rsid w:val="7E426C29"/>
    <w:rsid w:val="7E8533FC"/>
    <w:rsid w:val="7E914777"/>
    <w:rsid w:val="7EDE3A93"/>
    <w:rsid w:val="7F0D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8">
    <w:name w:val="heading 3"/>
    <w:basedOn w:val="1"/>
    <w:next w:val="9"/>
    <w:qFormat/>
    <w:uiPriority w:val="0"/>
    <w:pPr>
      <w:keepNext/>
      <w:keepLines/>
      <w:numPr>
        <w:ilvl w:val="2"/>
        <w:numId w:val="1"/>
      </w:numPr>
      <w:adjustRightInd w:val="0"/>
      <w:spacing w:line="160" w:lineRule="atLeast"/>
      <w:ind w:hanging="284"/>
      <w:textAlignment w:val="baseline"/>
      <w:outlineLvl w:val="2"/>
    </w:pPr>
    <w:rPr>
      <w:rFonts w:ascii="黑体" w:eastAsia="黑体"/>
      <w:kern w:val="0"/>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0"/>
    <w:pPr>
      <w:spacing w:after="120"/>
    </w:pPr>
    <w:rPr>
      <w:rFonts w:eastAsia="Times New Roman"/>
      <w:szCs w:val="24"/>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spacing w:after="120"/>
      <w:ind w:left="420" w:leftChars="200"/>
    </w:pPr>
  </w:style>
  <w:style w:type="paragraph" w:customStyle="1" w:styleId="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10">
    <w:name w:val="Normal Indent"/>
    <w:basedOn w:val="1"/>
    <w:qFormat/>
    <w:uiPriority w:val="0"/>
    <w:pPr>
      <w:ind w:firstLine="420"/>
    </w:pPr>
    <w:rPr>
      <w:sz w:val="28"/>
    </w:rPr>
  </w:style>
  <w:style w:type="paragraph" w:styleId="11">
    <w:name w:val="annotation text"/>
    <w:basedOn w:val="1"/>
    <w:next w:val="10"/>
    <w:link w:val="30"/>
    <w:qFormat/>
    <w:uiPriority w:val="0"/>
    <w:pPr>
      <w:jc w:val="left"/>
    </w:pPr>
    <w:rPr>
      <w:rFonts w:eastAsia="Times New Roman"/>
      <w:kern w:val="0"/>
      <w:sz w:val="18"/>
      <w:szCs w:val="18"/>
    </w:rPr>
  </w:style>
  <w:style w:type="paragraph" w:styleId="12">
    <w:name w:val="Balloon Text"/>
    <w:basedOn w:val="1"/>
    <w:link w:val="34"/>
    <w:qFormat/>
    <w:uiPriority w:val="0"/>
    <w:rPr>
      <w:sz w:val="18"/>
      <w:szCs w:val="18"/>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styleId="16">
    <w:name w:val="Body Text Indent 3"/>
    <w:basedOn w:val="1"/>
    <w:link w:val="26"/>
    <w:qFormat/>
    <w:uiPriority w:val="0"/>
    <w:pPr>
      <w:ind w:left="1260"/>
    </w:pPr>
    <w:rPr>
      <w:rFonts w:ascii="宋体" w:hAnsi="宋体" w:eastAsia="Times New Roman"/>
      <w:sz w:val="28"/>
    </w:rPr>
  </w:style>
  <w:style w:type="paragraph" w:styleId="17">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Hyperlink"/>
    <w:qFormat/>
    <w:uiPriority w:val="0"/>
    <w:rPr>
      <w:color w:val="0000FF"/>
      <w:u w:val="single"/>
    </w:rPr>
  </w:style>
  <w:style w:type="paragraph" w:customStyle="1" w:styleId="23">
    <w:name w:val="正文1"/>
    <w:basedOn w:val="1"/>
    <w:qFormat/>
    <w:uiPriority w:val="0"/>
    <w:pPr>
      <w:ind w:firstLine="200" w:firstLineChars="200"/>
    </w:pPr>
  </w:style>
  <w:style w:type="character" w:customStyle="1" w:styleId="24">
    <w:name w:val="正文文本 字符"/>
    <w:link w:val="2"/>
    <w:qFormat/>
    <w:uiPriority w:val="0"/>
    <w:rPr>
      <w:kern w:val="2"/>
      <w:sz w:val="21"/>
      <w:szCs w:val="24"/>
      <w:lang w:bidi="ar-SA"/>
    </w:rPr>
  </w:style>
  <w:style w:type="character" w:customStyle="1" w:styleId="25">
    <w:name w:val="标题 1 字符"/>
    <w:link w:val="7"/>
    <w:qFormat/>
    <w:uiPriority w:val="0"/>
    <w:rPr>
      <w:rFonts w:eastAsia="宋体"/>
      <w:b/>
      <w:bCs/>
      <w:kern w:val="44"/>
      <w:sz w:val="44"/>
      <w:szCs w:val="44"/>
      <w:lang w:val="en-US" w:eastAsia="zh-CN" w:bidi="ar-SA"/>
    </w:rPr>
  </w:style>
  <w:style w:type="character" w:customStyle="1" w:styleId="26">
    <w:name w:val="正文文本缩进 3 字符"/>
    <w:link w:val="16"/>
    <w:qFormat/>
    <w:uiPriority w:val="0"/>
    <w:rPr>
      <w:rFonts w:ascii="宋体" w:hAnsi="宋体"/>
      <w:kern w:val="2"/>
      <w:sz w:val="28"/>
      <w:lang w:bidi="ar-SA"/>
    </w:rPr>
  </w:style>
  <w:style w:type="character" w:customStyle="1" w:styleId="27">
    <w:name w:val="页脚 字符"/>
    <w:link w:val="13"/>
    <w:qFormat/>
    <w:uiPriority w:val="0"/>
    <w:rPr>
      <w:rFonts w:eastAsia="宋体"/>
      <w:kern w:val="2"/>
      <w:sz w:val="18"/>
      <w:szCs w:val="18"/>
      <w:lang w:val="en-US" w:eastAsia="zh-CN" w:bidi="ar-SA"/>
    </w:rPr>
  </w:style>
  <w:style w:type="character" w:customStyle="1" w:styleId="28">
    <w:name w:val="页眉 字符"/>
    <w:link w:val="14"/>
    <w:qFormat/>
    <w:uiPriority w:val="0"/>
    <w:rPr>
      <w:rFonts w:eastAsia="宋体"/>
      <w:kern w:val="2"/>
      <w:sz w:val="18"/>
      <w:szCs w:val="18"/>
      <w:lang w:val="en-US" w:eastAsia="zh-CN" w:bidi="ar-SA"/>
    </w:rPr>
  </w:style>
  <w:style w:type="character" w:customStyle="1" w:styleId="29">
    <w:name w:val="Char Char1"/>
    <w:qFormat/>
    <w:uiPriority w:val="0"/>
    <w:rPr>
      <w:sz w:val="18"/>
      <w:szCs w:val="18"/>
    </w:rPr>
  </w:style>
  <w:style w:type="character" w:customStyle="1" w:styleId="30">
    <w:name w:val="批注文字 字符"/>
    <w:link w:val="11"/>
    <w:qFormat/>
    <w:uiPriority w:val="0"/>
    <w:rPr>
      <w:sz w:val="18"/>
      <w:szCs w:val="18"/>
    </w:rPr>
  </w:style>
  <w:style w:type="character" w:customStyle="1" w:styleId="31">
    <w:name w:val="页脚 Char Char"/>
    <w:qFormat/>
    <w:uiPriority w:val="0"/>
    <w:rPr>
      <w:kern w:val="2"/>
      <w:sz w:val="18"/>
      <w:szCs w:val="18"/>
    </w:rPr>
  </w:style>
  <w:style w:type="paragraph" w:customStyle="1" w:styleId="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character" w:customStyle="1" w:styleId="34">
    <w:name w:val="批注框文本 字符"/>
    <w:basedOn w:val="19"/>
    <w:link w:val="12"/>
    <w:qFormat/>
    <w:uiPriority w:val="0"/>
    <w:rPr>
      <w:kern w:val="2"/>
      <w:sz w:val="18"/>
      <w:szCs w:val="18"/>
    </w:rPr>
  </w:style>
  <w:style w:type="paragraph" w:styleId="35">
    <w:name w:val="List Paragraph"/>
    <w:basedOn w:val="1"/>
    <w:qFormat/>
    <w:uiPriority w:val="34"/>
    <w:pPr>
      <w:widowControl/>
      <w:spacing w:after="160" w:line="259" w:lineRule="auto"/>
      <w:ind w:left="720"/>
      <w:contextualSpacing/>
      <w:jc w:val="left"/>
    </w:pPr>
    <w:rPr>
      <w:rFonts w:ascii="Calibri" w:hAnsi="Calibri" w:eastAsia="宋体" w:cs="Times New Roman"/>
      <w:kern w:val="0"/>
      <w:sz w:val="22"/>
      <w:szCs w:val="22"/>
      <w:lang w:bidi="he-IL"/>
    </w:rPr>
  </w:style>
  <w:style w:type="character" w:customStyle="1" w:styleId="36">
    <w:name w:val="font31"/>
    <w:basedOn w:val="19"/>
    <w:qFormat/>
    <w:uiPriority w:val="0"/>
    <w:rPr>
      <w:rFonts w:hint="eastAsia" w:ascii="宋体" w:hAnsi="宋体" w:eastAsia="宋体" w:cs="宋体"/>
      <w:color w:val="000000"/>
      <w:sz w:val="20"/>
      <w:szCs w:val="20"/>
      <w:u w:val="none"/>
    </w:rPr>
  </w:style>
  <w:style w:type="character" w:customStyle="1" w:styleId="37">
    <w:name w:val="font21"/>
    <w:basedOn w:val="1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20959</Words>
  <Characters>35131</Characters>
  <Lines>139</Lines>
  <Paragraphs>39</Paragraphs>
  <TotalTime>2</TotalTime>
  <ScaleCrop>false</ScaleCrop>
  <LinksUpToDate>false</LinksUpToDate>
  <CharactersWithSpaces>37701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2017-07-13T11:09:00Z</dcterms:created>
  <dc:creator>User</dc:creator>
  <cp:lastModifiedBy>DD</cp:lastModifiedBy>
  <cp:lastPrinted>2020-11-19T11:20:00Z</cp:lastPrinted>
  <dcterms:modified xsi:type="dcterms:W3CDTF">2021-01-11T08:44:08Z</dcterms:modified>
  <dc:title>材料批价的办理流程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