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color w:val="auto"/>
          <w:sz w:val="56"/>
          <w:szCs w:val="56"/>
          <w:highlight w:val="none"/>
        </w:rPr>
      </w:pPr>
    </w:p>
    <w:p>
      <w:pPr>
        <w:pStyle w:val="2"/>
        <w:rPr>
          <w:rFonts w:hAnsi="宋体"/>
          <w:bCs/>
          <w:color w:val="auto"/>
          <w:sz w:val="48"/>
          <w:szCs w:val="44"/>
          <w:highlight w:val="none"/>
        </w:rPr>
      </w:pPr>
    </w:p>
    <w:p>
      <w:pPr>
        <w:pStyle w:val="2"/>
        <w:rPr>
          <w:rFonts w:hAnsi="宋体"/>
          <w:bCs/>
          <w:color w:val="auto"/>
          <w:sz w:val="48"/>
          <w:szCs w:val="44"/>
          <w:highlight w:val="none"/>
        </w:rPr>
      </w:pPr>
    </w:p>
    <w:p>
      <w:pPr>
        <w:spacing w:line="480" w:lineRule="auto"/>
        <w:jc w:val="center"/>
        <w:rPr>
          <w:rFonts w:hint="eastAsia" w:ascii="宋体" w:hAnsi="宋体" w:eastAsia="宋体" w:cs="Times New Roman"/>
          <w:b/>
          <w:bCs/>
          <w:color w:val="auto"/>
          <w:sz w:val="36"/>
          <w:szCs w:val="36"/>
          <w:highlight w:val="none"/>
          <w:lang w:val="en-US" w:eastAsia="zh-CN"/>
        </w:rPr>
      </w:pPr>
      <w:r>
        <w:rPr>
          <w:rFonts w:hint="eastAsia" w:ascii="宋体" w:hAnsi="宋体" w:cs="Times New Roman"/>
          <w:b/>
          <w:bCs/>
          <w:color w:val="auto"/>
          <w:sz w:val="36"/>
          <w:szCs w:val="36"/>
          <w:highlight w:val="none"/>
          <w:lang w:val="en-US" w:eastAsia="zh-CN"/>
        </w:rPr>
        <w:t>宜阳项目</w:t>
      </w:r>
      <w:r>
        <w:rPr>
          <w:rFonts w:hint="eastAsia" w:ascii="宋体" w:hAnsi="宋体" w:eastAsia="宋体" w:cs="Times New Roman"/>
          <w:b/>
          <w:bCs/>
          <w:color w:val="auto"/>
          <w:sz w:val="36"/>
          <w:szCs w:val="36"/>
          <w:highlight w:val="none"/>
          <w:lang w:val="en-US" w:eastAsia="zh-CN"/>
        </w:rPr>
        <w:t>1#、2#、3#、5#、6#、8#、9#楼</w:t>
      </w:r>
    </w:p>
    <w:p>
      <w:pPr>
        <w:spacing w:line="480" w:lineRule="auto"/>
        <w:jc w:val="center"/>
        <w:rPr>
          <w:rFonts w:ascii="宋体" w:hAnsi="宋体"/>
          <w:b/>
          <w:bCs/>
          <w:color w:val="auto"/>
          <w:sz w:val="36"/>
          <w:szCs w:val="36"/>
          <w:highlight w:val="none"/>
        </w:rPr>
      </w:pPr>
      <w:r>
        <w:rPr>
          <w:rFonts w:hint="eastAsia" w:ascii="宋体" w:hAnsi="宋体"/>
          <w:b/>
          <w:bCs/>
          <w:color w:val="auto"/>
          <w:sz w:val="36"/>
          <w:szCs w:val="36"/>
          <w:highlight w:val="none"/>
        </w:rPr>
        <w:t>外墙漆工程施工合同</w:t>
      </w:r>
    </w:p>
    <w:p>
      <w:pPr>
        <w:jc w:val="center"/>
        <w:rPr>
          <w:rFonts w:ascii="宋体" w:hAnsi="宋体"/>
          <w:b/>
          <w:bCs/>
          <w:color w:val="auto"/>
          <w:sz w:val="52"/>
          <w:szCs w:val="52"/>
          <w:highlight w:val="none"/>
        </w:rPr>
      </w:pPr>
    </w:p>
    <w:p>
      <w:pPr>
        <w:pStyle w:val="2"/>
        <w:rPr>
          <w:color w:val="auto"/>
          <w:highlight w:val="none"/>
        </w:rPr>
      </w:pPr>
    </w:p>
    <w:p>
      <w:pPr>
        <w:spacing w:line="360" w:lineRule="auto"/>
        <w:ind w:right="359" w:rightChars="171"/>
        <w:rPr>
          <w:rFonts w:ascii="宋体" w:hAnsi="宋体"/>
          <w:b/>
          <w:bCs/>
          <w:color w:val="auto"/>
          <w:sz w:val="30"/>
          <w:szCs w:val="30"/>
          <w:highlight w:val="none"/>
        </w:rPr>
      </w:pPr>
    </w:p>
    <w:p>
      <w:pPr>
        <w:spacing w:line="360" w:lineRule="auto"/>
        <w:ind w:right="359" w:rightChars="171" w:firstLine="1807" w:firstLineChars="600"/>
        <w:rPr>
          <w:rFonts w:hint="eastAsia" w:ascii="宋体" w:hAnsi="宋体" w:eastAsia="宋体"/>
          <w:b/>
          <w:bCs/>
          <w:color w:val="auto"/>
          <w:sz w:val="30"/>
          <w:szCs w:val="30"/>
          <w:highlight w:val="none"/>
          <w:lang w:val="en-US" w:eastAsia="zh-CN"/>
        </w:rPr>
      </w:pPr>
      <w:r>
        <w:rPr>
          <w:rFonts w:hint="eastAsia" w:ascii="宋体" w:hAnsi="宋体"/>
          <w:b/>
          <w:bCs/>
          <w:color w:val="auto"/>
          <w:sz w:val="30"/>
          <w:szCs w:val="30"/>
          <w:highlight w:val="none"/>
        </w:rPr>
        <w:t>合同编号：SSWY.01-JA-07</w:t>
      </w:r>
      <w:r>
        <w:rPr>
          <w:rFonts w:hint="eastAsia" w:ascii="宋体" w:hAnsi="宋体"/>
          <w:b/>
          <w:bCs/>
          <w:color w:val="auto"/>
          <w:sz w:val="30"/>
          <w:szCs w:val="30"/>
          <w:highlight w:val="none"/>
          <w:lang w:val="en-US" w:eastAsia="zh-CN"/>
        </w:rPr>
        <w:t>6</w:t>
      </w:r>
    </w:p>
    <w:p>
      <w:pPr>
        <w:spacing w:line="360" w:lineRule="auto"/>
        <w:ind w:right="359" w:rightChars="171"/>
        <w:rPr>
          <w:rFonts w:ascii="宋体" w:hAnsi="宋体"/>
          <w:b/>
          <w:bCs/>
          <w:color w:val="auto"/>
          <w:sz w:val="30"/>
          <w:szCs w:val="30"/>
          <w:highlight w:val="none"/>
        </w:rPr>
      </w:pPr>
      <w:r>
        <w:rPr>
          <w:rFonts w:hint="eastAsia" w:ascii="宋体" w:hAnsi="宋体"/>
          <w:b/>
          <w:bCs/>
          <w:color w:val="auto"/>
          <w:sz w:val="30"/>
          <w:szCs w:val="30"/>
          <w:highlight w:val="none"/>
        </w:rPr>
        <w:t xml:space="preserve">           成本科目：</w:t>
      </w:r>
      <w:r>
        <w:rPr>
          <w:rFonts w:ascii="宋体" w:hAnsi="宋体"/>
          <w:b/>
          <w:bCs/>
          <w:color w:val="auto"/>
          <w:sz w:val="30"/>
          <w:szCs w:val="30"/>
          <w:highlight w:val="none"/>
        </w:rPr>
        <w:t>3.2.1.7</w:t>
      </w:r>
    </w:p>
    <w:p>
      <w:pPr>
        <w:spacing w:line="360" w:lineRule="auto"/>
        <w:ind w:right="359" w:rightChars="171"/>
        <w:rPr>
          <w:rFonts w:ascii="宋体" w:hAnsi="宋体"/>
          <w:b/>
          <w:bCs/>
          <w:color w:val="auto"/>
          <w:sz w:val="30"/>
          <w:szCs w:val="30"/>
          <w:highlight w:val="none"/>
        </w:rPr>
      </w:pPr>
    </w:p>
    <w:p>
      <w:pPr>
        <w:spacing w:line="360" w:lineRule="auto"/>
        <w:ind w:right="359" w:rightChars="171"/>
        <w:rPr>
          <w:rFonts w:ascii="宋体" w:hAnsi="宋体"/>
          <w:b/>
          <w:bCs/>
          <w:color w:val="auto"/>
          <w:sz w:val="30"/>
          <w:szCs w:val="30"/>
          <w:highlight w:val="none"/>
        </w:rPr>
      </w:pPr>
    </w:p>
    <w:p>
      <w:pPr>
        <w:spacing w:line="360" w:lineRule="auto"/>
        <w:ind w:right="359" w:rightChars="171"/>
        <w:rPr>
          <w:rFonts w:ascii="宋体" w:hAnsi="宋体"/>
          <w:b/>
          <w:bCs/>
          <w:color w:val="auto"/>
          <w:sz w:val="30"/>
          <w:szCs w:val="30"/>
          <w:highlight w:val="none"/>
        </w:rPr>
      </w:pPr>
    </w:p>
    <w:p>
      <w:pPr>
        <w:pStyle w:val="2"/>
        <w:rPr>
          <w:rFonts w:hAnsi="宋体"/>
          <w:bCs/>
          <w:color w:val="auto"/>
          <w:sz w:val="30"/>
          <w:szCs w:val="30"/>
          <w:highlight w:val="none"/>
        </w:rPr>
      </w:pPr>
    </w:p>
    <w:p>
      <w:pPr>
        <w:pStyle w:val="2"/>
        <w:rPr>
          <w:rFonts w:hAnsi="宋体"/>
          <w:bCs/>
          <w:color w:val="auto"/>
          <w:sz w:val="30"/>
          <w:szCs w:val="30"/>
          <w:highlight w:val="none"/>
        </w:rPr>
      </w:pPr>
    </w:p>
    <w:p>
      <w:pPr>
        <w:pStyle w:val="2"/>
        <w:rPr>
          <w:rFonts w:hAnsi="宋体"/>
          <w:bCs/>
          <w:color w:val="auto"/>
          <w:sz w:val="30"/>
          <w:szCs w:val="30"/>
          <w:highlight w:val="none"/>
        </w:rPr>
      </w:pPr>
    </w:p>
    <w:p>
      <w:pPr>
        <w:spacing w:line="360" w:lineRule="auto"/>
        <w:ind w:right="359" w:rightChars="171"/>
        <w:rPr>
          <w:rFonts w:ascii="宋体" w:hAnsi="宋体"/>
          <w:b/>
          <w:bCs/>
          <w:color w:val="auto"/>
          <w:sz w:val="28"/>
          <w:szCs w:val="28"/>
          <w:highlight w:val="none"/>
        </w:rPr>
      </w:pPr>
      <w:r>
        <w:rPr>
          <w:rFonts w:hint="eastAsia" w:ascii="宋体" w:hAnsi="宋体"/>
          <w:b/>
          <w:bCs/>
          <w:color w:val="auto"/>
          <w:sz w:val="30"/>
          <w:szCs w:val="30"/>
          <w:highlight w:val="none"/>
        </w:rPr>
        <w:t xml:space="preserve">       </w:t>
      </w:r>
      <w:r>
        <w:rPr>
          <w:rFonts w:hint="eastAsia" w:ascii="宋体" w:hAnsi="宋体"/>
          <w:b/>
          <w:bCs/>
          <w:color w:val="auto"/>
          <w:sz w:val="28"/>
          <w:szCs w:val="28"/>
          <w:highlight w:val="none"/>
        </w:rPr>
        <w:t xml:space="preserve">   发 包 方：洛阳莘子园置业有限公司</w:t>
      </w:r>
    </w:p>
    <w:p>
      <w:pPr>
        <w:spacing w:line="360" w:lineRule="auto"/>
        <w:ind w:right="359" w:rightChars="171"/>
        <w:rPr>
          <w:rFonts w:hint="eastAsia" w:ascii="宋体" w:hAnsi="宋体"/>
          <w:b/>
          <w:bCs/>
          <w:color w:val="auto"/>
          <w:sz w:val="28"/>
          <w:szCs w:val="28"/>
          <w:highlight w:val="none"/>
        </w:rPr>
      </w:pPr>
      <w:r>
        <w:rPr>
          <w:rFonts w:hint="eastAsia" w:ascii="宋体" w:hAnsi="宋体"/>
          <w:b/>
          <w:bCs/>
          <w:color w:val="auto"/>
          <w:sz w:val="28"/>
          <w:szCs w:val="28"/>
          <w:highlight w:val="none"/>
        </w:rPr>
        <w:t xml:space="preserve">           承 包 方：</w:t>
      </w:r>
      <w:r>
        <w:rPr>
          <w:rFonts w:hint="eastAsia" w:ascii="宋体" w:hAnsi="宋体" w:eastAsia="宋体" w:cs="Times New Roman"/>
          <w:b/>
          <w:bCs/>
          <w:color w:val="auto"/>
          <w:sz w:val="28"/>
          <w:szCs w:val="28"/>
          <w:highlight w:val="none"/>
          <w:lang w:val="en-US" w:eastAsia="zh-CN"/>
        </w:rPr>
        <w:t>上海文宇建设集团有限公司</w:t>
      </w:r>
      <w:r>
        <w:rPr>
          <w:rFonts w:hint="eastAsia" w:ascii="宋体" w:hAnsi="宋体"/>
          <w:b/>
          <w:bCs/>
          <w:color w:val="auto"/>
          <w:sz w:val="28"/>
          <w:szCs w:val="28"/>
          <w:highlight w:val="none"/>
        </w:rPr>
        <w:t xml:space="preserve">          </w:t>
      </w:r>
    </w:p>
    <w:p>
      <w:pPr>
        <w:spacing w:line="360" w:lineRule="auto"/>
        <w:ind w:right="359" w:rightChars="171"/>
        <w:rPr>
          <w:rFonts w:hint="eastAsia" w:ascii="宋体" w:hAnsi="宋体" w:eastAsia="宋体"/>
          <w:b/>
          <w:bCs/>
          <w:color w:val="auto"/>
          <w:sz w:val="28"/>
          <w:szCs w:val="28"/>
          <w:highlight w:val="none"/>
          <w:lang w:val="en-US" w:eastAsia="zh-CN"/>
        </w:rPr>
      </w:pPr>
      <w:r>
        <w:rPr>
          <w:rFonts w:hint="eastAsia" w:ascii="宋体" w:hAnsi="宋体"/>
          <w:b/>
          <w:bCs/>
          <w:color w:val="auto"/>
          <w:sz w:val="28"/>
          <w:szCs w:val="28"/>
          <w:highlight w:val="none"/>
        </w:rPr>
        <w:t xml:space="preserve"> </w:t>
      </w:r>
      <w:r>
        <w:rPr>
          <w:rFonts w:hint="eastAsia" w:ascii="宋体" w:hAnsi="宋体"/>
          <w:b/>
          <w:bCs/>
          <w:color w:val="auto"/>
          <w:sz w:val="28"/>
          <w:szCs w:val="28"/>
          <w:highlight w:val="none"/>
          <w:lang w:val="en-US" w:eastAsia="zh-CN"/>
        </w:rPr>
        <w:t xml:space="preserve">         </w:t>
      </w:r>
      <w:r>
        <w:rPr>
          <w:rFonts w:hint="eastAsia" w:ascii="宋体" w:hAnsi="宋体"/>
          <w:b/>
          <w:bCs/>
          <w:color w:val="auto"/>
          <w:sz w:val="28"/>
          <w:szCs w:val="28"/>
          <w:highlight w:val="none"/>
        </w:rPr>
        <w:t xml:space="preserve">签订时间：2021年 </w:t>
      </w:r>
      <w:r>
        <w:rPr>
          <w:rFonts w:hint="eastAsia" w:ascii="宋体" w:hAnsi="宋体"/>
          <w:b/>
          <w:bCs/>
          <w:color w:val="auto"/>
          <w:sz w:val="28"/>
          <w:szCs w:val="28"/>
          <w:highlight w:val="none"/>
          <w:lang w:val="en-US" w:eastAsia="zh-CN"/>
        </w:rPr>
        <w:t>6月4日</w:t>
      </w:r>
    </w:p>
    <w:p>
      <w:pPr>
        <w:spacing w:line="360" w:lineRule="auto"/>
        <w:ind w:right="359" w:rightChars="171"/>
        <w:rPr>
          <w:rFonts w:ascii="宋体" w:hAnsi="宋体"/>
          <w:b/>
          <w:bCs/>
          <w:color w:val="auto"/>
          <w:sz w:val="30"/>
          <w:szCs w:val="30"/>
          <w:highlight w:val="none"/>
        </w:rPr>
      </w:pPr>
    </w:p>
    <w:p>
      <w:pPr>
        <w:pStyle w:val="2"/>
        <w:rPr>
          <w:rFonts w:ascii="宋体" w:hAnsi="宋体"/>
          <w:b/>
          <w:bCs/>
          <w:color w:val="auto"/>
          <w:sz w:val="30"/>
          <w:szCs w:val="30"/>
          <w:highlight w:val="none"/>
        </w:rPr>
      </w:pPr>
    </w:p>
    <w:p>
      <w:pPr>
        <w:spacing w:line="480" w:lineRule="auto"/>
        <w:jc w:val="center"/>
        <w:rPr>
          <w:rFonts w:hint="eastAsia" w:ascii="宋体" w:hAnsi="宋体" w:eastAsia="宋体" w:cs="Times New Roman"/>
          <w:b/>
          <w:bCs/>
          <w:color w:val="auto"/>
          <w:sz w:val="36"/>
          <w:szCs w:val="36"/>
          <w:highlight w:val="none"/>
          <w:lang w:val="en-US" w:eastAsia="zh-CN"/>
        </w:rPr>
      </w:pPr>
      <w:r>
        <w:rPr>
          <w:rFonts w:hint="eastAsia"/>
          <w:b/>
          <w:bCs/>
          <w:color w:val="auto"/>
          <w:sz w:val="32"/>
          <w:szCs w:val="40"/>
          <w:highlight w:val="none"/>
        </w:rPr>
        <w:t xml:space="preserve">  </w:t>
      </w:r>
      <w:r>
        <w:rPr>
          <w:rFonts w:hint="eastAsia" w:ascii="宋体" w:hAnsi="宋体" w:cs="Times New Roman"/>
          <w:b/>
          <w:bCs/>
          <w:color w:val="auto"/>
          <w:sz w:val="36"/>
          <w:szCs w:val="36"/>
          <w:highlight w:val="none"/>
          <w:lang w:val="en-US" w:eastAsia="zh-CN"/>
        </w:rPr>
        <w:t>宜阳项目</w:t>
      </w:r>
      <w:r>
        <w:rPr>
          <w:rFonts w:hint="eastAsia" w:ascii="宋体" w:hAnsi="宋体" w:eastAsia="宋体" w:cs="Times New Roman"/>
          <w:b/>
          <w:bCs/>
          <w:color w:val="auto"/>
          <w:sz w:val="36"/>
          <w:szCs w:val="36"/>
          <w:highlight w:val="none"/>
          <w:lang w:val="en-US" w:eastAsia="zh-CN"/>
        </w:rPr>
        <w:t>1#、2#、3#、5#、6#、8#、9#楼</w:t>
      </w:r>
    </w:p>
    <w:p>
      <w:pPr>
        <w:spacing w:line="360" w:lineRule="auto"/>
        <w:jc w:val="center"/>
        <w:rPr>
          <w:b/>
          <w:bCs/>
          <w:color w:val="auto"/>
          <w:sz w:val="32"/>
          <w:szCs w:val="40"/>
          <w:highlight w:val="none"/>
        </w:rPr>
      </w:pPr>
      <w:r>
        <w:rPr>
          <w:rFonts w:hint="eastAsia"/>
          <w:b/>
          <w:bCs/>
          <w:color w:val="auto"/>
          <w:sz w:val="32"/>
          <w:szCs w:val="40"/>
          <w:highlight w:val="none"/>
        </w:rPr>
        <w:t>外墙漆工程施工合同</w:t>
      </w:r>
    </w:p>
    <w:p>
      <w:p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 xml:space="preserve">发包方： </w:t>
      </w:r>
      <w:r>
        <w:rPr>
          <w:rFonts w:hint="eastAsia" w:ascii="宋体" w:hAnsi="宋体"/>
          <w:color w:val="auto"/>
          <w:sz w:val="24"/>
          <w:szCs w:val="28"/>
          <w:highlight w:val="none"/>
          <w:u w:val="single"/>
        </w:rPr>
        <w:t>洛阳莘子园置业有限公司</w:t>
      </w:r>
      <w:r>
        <w:rPr>
          <w:rFonts w:hint="eastAsia" w:ascii="宋体" w:hAnsi="宋体"/>
          <w:color w:val="auto"/>
          <w:sz w:val="24"/>
          <w:szCs w:val="28"/>
          <w:highlight w:val="none"/>
        </w:rPr>
        <w:t>（以下简称甲方）</w:t>
      </w:r>
    </w:p>
    <w:p>
      <w:p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 xml:space="preserve">承包方： </w:t>
      </w:r>
      <w:r>
        <w:rPr>
          <w:rFonts w:hint="eastAsia" w:ascii="宋体" w:hAnsi="宋体" w:eastAsia="宋体" w:cs="宋体"/>
          <w:b w:val="0"/>
          <w:bCs/>
          <w:color w:val="auto"/>
          <w:sz w:val="24"/>
          <w:szCs w:val="24"/>
          <w:highlight w:val="none"/>
          <w:lang w:val="en-US" w:eastAsia="zh-CN"/>
        </w:rPr>
        <w:t>上海文宇建设集团有限公司</w:t>
      </w:r>
      <w:r>
        <w:rPr>
          <w:rFonts w:hint="eastAsia" w:ascii="宋体" w:hAnsi="宋体"/>
          <w:color w:val="auto"/>
          <w:sz w:val="24"/>
          <w:szCs w:val="28"/>
          <w:highlight w:val="none"/>
        </w:rPr>
        <w:t>（以下简称乙方）</w:t>
      </w:r>
    </w:p>
    <w:p>
      <w:pPr>
        <w:spacing w:line="360" w:lineRule="auto"/>
        <w:ind w:right="359" w:rightChars="171" w:firstLine="600" w:firstLineChars="250"/>
        <w:rPr>
          <w:color w:val="auto"/>
          <w:sz w:val="24"/>
          <w:highlight w:val="none"/>
        </w:rPr>
      </w:pPr>
      <w:r>
        <w:rPr>
          <w:rFonts w:hint="eastAsia"/>
          <w:color w:val="auto"/>
          <w:sz w:val="24"/>
          <w:highlight w:val="none"/>
        </w:rPr>
        <w:t>依照《中华人民共和国</w:t>
      </w:r>
      <w:r>
        <w:rPr>
          <w:rFonts w:hint="eastAsia"/>
          <w:color w:val="auto"/>
          <w:sz w:val="24"/>
          <w:highlight w:val="none"/>
          <w:lang w:eastAsia="zh-CN"/>
        </w:rPr>
        <w:t>民法典</w:t>
      </w:r>
      <w:r>
        <w:rPr>
          <w:rFonts w:hint="eastAsia"/>
          <w:color w:val="auto"/>
          <w:sz w:val="24"/>
          <w:highlight w:val="none"/>
        </w:rPr>
        <w:t>》、《中华人民共和国建筑法》、《中华人民共和国招投标法》以及其他有关法律，法规的规定，遵守公平、诚实信用的原则，双方就本工程的有关事项协商达成一致，订立本合同。</w:t>
      </w:r>
    </w:p>
    <w:p>
      <w:pPr>
        <w:spacing w:line="360" w:lineRule="auto"/>
        <w:ind w:right="359" w:rightChars="171" w:firstLine="1"/>
        <w:rPr>
          <w:rFonts w:ascii="宋体" w:hAnsi="宋体"/>
          <w:b/>
          <w:bCs/>
          <w:color w:val="auto"/>
          <w:sz w:val="24"/>
          <w:szCs w:val="28"/>
          <w:highlight w:val="none"/>
        </w:rPr>
      </w:pPr>
      <w:r>
        <w:rPr>
          <w:rFonts w:hint="eastAsia" w:ascii="宋体" w:hAnsi="宋体"/>
          <w:b/>
          <w:bCs/>
          <w:color w:val="auto"/>
          <w:sz w:val="24"/>
          <w:szCs w:val="28"/>
          <w:highlight w:val="none"/>
        </w:rPr>
        <w:t>第一条  工程概况</w:t>
      </w:r>
    </w:p>
    <w:p>
      <w:pPr>
        <w:spacing w:line="360" w:lineRule="auto"/>
        <w:ind w:right="359" w:rightChars="171"/>
        <w:rPr>
          <w:color w:val="auto"/>
          <w:sz w:val="24"/>
          <w:highlight w:val="none"/>
        </w:rPr>
      </w:pPr>
      <w:r>
        <w:rPr>
          <w:rFonts w:hint="eastAsia" w:ascii="宋体" w:hAnsi="宋体"/>
          <w:color w:val="auto"/>
          <w:sz w:val="24"/>
          <w:szCs w:val="28"/>
          <w:highlight w:val="none"/>
        </w:rPr>
        <w:t>1、工程地点</w:t>
      </w:r>
      <w:r>
        <w:rPr>
          <w:rFonts w:hint="eastAsia"/>
          <w:color w:val="auto"/>
          <w:sz w:val="24"/>
          <w:highlight w:val="none"/>
        </w:rPr>
        <w:t>：河南省洛阳市宜阳县香鹿山镇滨河北路与锦龙大桥交汇处</w:t>
      </w:r>
    </w:p>
    <w:p>
      <w:pPr>
        <w:spacing w:line="360" w:lineRule="auto"/>
        <w:ind w:right="359" w:rightChars="171"/>
        <w:rPr>
          <w:color w:val="auto"/>
          <w:sz w:val="24"/>
          <w:highlight w:val="none"/>
        </w:rPr>
      </w:pPr>
      <w:r>
        <w:rPr>
          <w:rFonts w:hint="eastAsia"/>
          <w:color w:val="auto"/>
          <w:sz w:val="24"/>
          <w:highlight w:val="none"/>
        </w:rPr>
        <w:t>2、承包范围： 标段</w:t>
      </w:r>
      <w:r>
        <w:rPr>
          <w:rFonts w:hint="eastAsia" w:ascii="宋体" w:hAnsi="宋体" w:eastAsia="宋体" w:cs="宋体"/>
          <w:b w:val="0"/>
          <w:bCs/>
          <w:color w:val="auto"/>
          <w:sz w:val="24"/>
          <w:szCs w:val="24"/>
          <w:highlight w:val="none"/>
          <w:lang w:val="en-US" w:eastAsia="zh-CN"/>
        </w:rPr>
        <w:t>1#、2#、3#、5#、6#、8#、9#楼</w:t>
      </w:r>
      <w:r>
        <w:rPr>
          <w:rFonts w:hint="eastAsia"/>
          <w:color w:val="auto"/>
          <w:sz w:val="24"/>
          <w:highlight w:val="none"/>
        </w:rPr>
        <w:t>。</w:t>
      </w:r>
    </w:p>
    <w:p>
      <w:pPr>
        <w:spacing w:line="360" w:lineRule="auto"/>
        <w:rPr>
          <w:rFonts w:ascii="宋体" w:cs="宋体"/>
          <w:color w:val="auto"/>
          <w:sz w:val="24"/>
          <w:highlight w:val="none"/>
        </w:rPr>
      </w:pPr>
      <w:r>
        <w:rPr>
          <w:rFonts w:hint="eastAsia" w:ascii="宋体" w:cs="宋体"/>
          <w:color w:val="auto"/>
          <w:sz w:val="24"/>
          <w:highlight w:val="none"/>
        </w:rPr>
        <w:t xml:space="preserve">3、承包内容： </w:t>
      </w:r>
      <w:r>
        <w:rPr>
          <w:rFonts w:hint="eastAsia" w:ascii="宋体" w:cs="宋体"/>
          <w:color w:val="auto"/>
          <w:sz w:val="24"/>
          <w:highlight w:val="none"/>
          <w:lang w:val="en-US" w:eastAsia="zh-CN"/>
        </w:rPr>
        <w:t>主楼</w:t>
      </w:r>
      <w:r>
        <w:rPr>
          <w:rFonts w:hint="eastAsia" w:ascii="宋体" w:cs="宋体"/>
          <w:color w:val="auto"/>
          <w:sz w:val="24"/>
          <w:highlight w:val="none"/>
        </w:rPr>
        <w:t>及连廊外墙、各种造型、飘架、雨水管、透气帽等附属构件范围内的</w:t>
      </w:r>
      <w:r>
        <w:rPr>
          <w:rFonts w:hint="eastAsia" w:ascii="宋体" w:cs="宋体"/>
          <w:color w:val="auto"/>
          <w:sz w:val="24"/>
          <w:highlight w:val="none"/>
          <w:lang w:val="en-US" w:eastAsia="zh-CN"/>
        </w:rPr>
        <w:t>岩彩漆</w:t>
      </w:r>
      <w:r>
        <w:rPr>
          <w:rFonts w:hint="eastAsia" w:ascii="宋体" w:cs="宋体"/>
          <w:color w:val="auto"/>
          <w:sz w:val="24"/>
          <w:highlight w:val="none"/>
        </w:rPr>
        <w:t>饰面(不含保温)工程。</w:t>
      </w:r>
    </w:p>
    <w:p>
      <w:pPr>
        <w:spacing w:line="360" w:lineRule="auto"/>
        <w:rPr>
          <w:rFonts w:ascii="宋体" w:cs="宋体"/>
          <w:color w:val="auto"/>
          <w:sz w:val="24"/>
          <w:highlight w:val="none"/>
        </w:rPr>
      </w:pPr>
      <w:r>
        <w:rPr>
          <w:rFonts w:hint="eastAsia" w:ascii="宋体" w:cs="宋体"/>
          <w:color w:val="auto"/>
          <w:sz w:val="24"/>
          <w:highlight w:val="none"/>
        </w:rPr>
        <w:t>4、承包方式：包工包料</w:t>
      </w:r>
    </w:p>
    <w:p>
      <w:pPr>
        <w:spacing w:line="360" w:lineRule="auto"/>
        <w:rPr>
          <w:rFonts w:ascii="宋体" w:cs="宋体"/>
          <w:color w:val="auto"/>
          <w:sz w:val="24"/>
          <w:highlight w:val="none"/>
        </w:rPr>
      </w:pPr>
      <w:r>
        <w:rPr>
          <w:rFonts w:hint="eastAsia" w:ascii="宋体" w:cs="宋体"/>
          <w:color w:val="auto"/>
          <w:sz w:val="24"/>
          <w:highlight w:val="none"/>
        </w:rPr>
        <w:t>5、工    期：总工期60日历天（具体进场时间以甲方</w:t>
      </w:r>
      <w:r>
        <w:rPr>
          <w:rFonts w:hint="eastAsia" w:ascii="宋体" w:cs="宋体"/>
          <w:color w:val="auto"/>
          <w:sz w:val="24"/>
          <w:highlight w:val="none"/>
          <w:lang w:eastAsia="zh-CN"/>
        </w:rPr>
        <w:t>书面</w:t>
      </w:r>
      <w:r>
        <w:rPr>
          <w:rFonts w:hint="eastAsia" w:ascii="宋体" w:cs="宋体"/>
          <w:color w:val="auto"/>
          <w:sz w:val="24"/>
          <w:highlight w:val="none"/>
        </w:rPr>
        <w:t>通知为准，进场前按规范及设计要求做实地样板）。</w:t>
      </w:r>
    </w:p>
    <w:p>
      <w:p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6、工程材料及品牌：</w:t>
      </w:r>
    </w:p>
    <w:tbl>
      <w:tblPr>
        <w:tblStyle w:val="23"/>
        <w:tblW w:w="8853"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9"/>
        <w:gridCol w:w="4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ascii="宋体"/>
                <w:bCs/>
                <w:color w:val="auto"/>
                <w:sz w:val="24"/>
                <w:highlight w:val="none"/>
              </w:rPr>
            </w:pPr>
            <w:r>
              <w:rPr>
                <w:rFonts w:hint="eastAsia" w:ascii="宋体"/>
                <w:bCs/>
                <w:color w:val="auto"/>
                <w:sz w:val="24"/>
                <w:highlight w:val="none"/>
              </w:rPr>
              <w:t>材料名称</w:t>
            </w:r>
          </w:p>
        </w:tc>
        <w:tc>
          <w:tcPr>
            <w:tcW w:w="4974" w:type="dxa"/>
            <w:vAlign w:val="center"/>
          </w:tcPr>
          <w:p>
            <w:pPr>
              <w:widowControl/>
              <w:spacing w:line="360" w:lineRule="auto"/>
              <w:jc w:val="center"/>
              <w:rPr>
                <w:rFonts w:ascii="宋体"/>
                <w:bCs/>
                <w:color w:val="auto"/>
                <w:sz w:val="24"/>
                <w:highlight w:val="none"/>
              </w:rPr>
            </w:pPr>
            <w:r>
              <w:rPr>
                <w:rFonts w:hint="eastAsia" w:ascii="宋体"/>
                <w:bCs/>
                <w:color w:val="auto"/>
                <w:sz w:val="24"/>
                <w:highlight w:val="none"/>
              </w:rPr>
              <w:t>厂家和品牌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ascii="宋体"/>
                <w:bCs/>
                <w:color w:val="auto"/>
                <w:sz w:val="24"/>
                <w:highlight w:val="none"/>
              </w:rPr>
            </w:pPr>
            <w:r>
              <w:rPr>
                <w:rFonts w:hint="eastAsia" w:ascii="宋体"/>
                <w:bCs/>
                <w:color w:val="auto"/>
                <w:sz w:val="24"/>
                <w:highlight w:val="none"/>
              </w:rPr>
              <w:t>外墙腻子</w:t>
            </w:r>
          </w:p>
        </w:tc>
        <w:tc>
          <w:tcPr>
            <w:tcW w:w="4974" w:type="dxa"/>
            <w:vAlign w:val="center"/>
          </w:tcPr>
          <w:p>
            <w:pPr>
              <w:widowControl/>
              <w:spacing w:line="360" w:lineRule="auto"/>
              <w:jc w:val="center"/>
              <w:rPr>
                <w:rFonts w:hint="eastAsia" w:ascii="宋体" w:eastAsia="宋体"/>
                <w:bCs/>
                <w:color w:val="auto"/>
                <w:sz w:val="24"/>
                <w:highlight w:val="none"/>
                <w:lang w:eastAsia="zh-CN"/>
              </w:rPr>
            </w:pPr>
            <w:r>
              <w:rPr>
                <w:rFonts w:hint="eastAsia" w:ascii="宋体"/>
                <w:bCs/>
                <w:color w:val="auto"/>
                <w:sz w:val="24"/>
                <w:highlight w:val="none"/>
                <w:lang w:eastAsia="zh-CN"/>
              </w:rPr>
              <w:t>立邦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ascii="宋体"/>
                <w:bCs/>
                <w:color w:val="auto"/>
                <w:sz w:val="24"/>
                <w:highlight w:val="none"/>
              </w:rPr>
            </w:pPr>
            <w:r>
              <w:rPr>
                <w:rFonts w:hint="eastAsia" w:ascii="宋体"/>
                <w:bCs/>
                <w:color w:val="auto"/>
                <w:sz w:val="24"/>
                <w:highlight w:val="none"/>
              </w:rPr>
              <w:t>抹面砂浆</w:t>
            </w:r>
          </w:p>
        </w:tc>
        <w:tc>
          <w:tcPr>
            <w:tcW w:w="4974" w:type="dxa"/>
            <w:vAlign w:val="center"/>
          </w:tcPr>
          <w:p>
            <w:pPr>
              <w:widowControl/>
              <w:spacing w:line="360" w:lineRule="auto"/>
              <w:jc w:val="center"/>
              <w:rPr>
                <w:rFonts w:hint="eastAsia" w:ascii="宋体" w:eastAsia="宋体"/>
                <w:bCs/>
                <w:color w:val="auto"/>
                <w:sz w:val="24"/>
                <w:highlight w:val="none"/>
                <w:lang w:eastAsia="zh-CN"/>
              </w:rPr>
            </w:pPr>
            <w:r>
              <w:rPr>
                <w:rFonts w:hint="eastAsia" w:ascii="宋体"/>
                <w:bCs/>
                <w:color w:val="auto"/>
                <w:sz w:val="24"/>
                <w:highlight w:val="none"/>
                <w:lang w:eastAsia="zh-CN"/>
              </w:rPr>
              <w:t>立邦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ascii="宋体"/>
                <w:bCs/>
                <w:color w:val="auto"/>
                <w:sz w:val="24"/>
                <w:highlight w:val="none"/>
              </w:rPr>
            </w:pPr>
            <w:r>
              <w:rPr>
                <w:rFonts w:hint="eastAsia" w:ascii="宋体"/>
                <w:bCs/>
                <w:color w:val="auto"/>
                <w:sz w:val="24"/>
                <w:highlight w:val="none"/>
              </w:rPr>
              <w:t>底漆、饰面漆</w:t>
            </w:r>
          </w:p>
        </w:tc>
        <w:tc>
          <w:tcPr>
            <w:tcW w:w="4974" w:type="dxa"/>
            <w:vAlign w:val="center"/>
          </w:tcPr>
          <w:p>
            <w:pPr>
              <w:widowControl/>
              <w:spacing w:line="360" w:lineRule="auto"/>
              <w:jc w:val="center"/>
              <w:rPr>
                <w:rFonts w:hint="eastAsia" w:ascii="宋体" w:eastAsia="宋体"/>
                <w:bCs/>
                <w:color w:val="auto"/>
                <w:sz w:val="24"/>
                <w:highlight w:val="none"/>
                <w:lang w:eastAsia="zh-CN"/>
              </w:rPr>
            </w:pPr>
            <w:r>
              <w:rPr>
                <w:rFonts w:hint="eastAsia" w:ascii="宋体"/>
                <w:bCs/>
                <w:color w:val="auto"/>
                <w:sz w:val="24"/>
                <w:highlight w:val="none"/>
                <w:lang w:eastAsia="zh-CN"/>
              </w:rPr>
              <w:t>立邦</w:t>
            </w:r>
          </w:p>
        </w:tc>
      </w:tr>
    </w:tbl>
    <w:p>
      <w:pPr>
        <w:spacing w:line="360" w:lineRule="auto"/>
        <w:ind w:right="359" w:rightChars="171"/>
        <w:rPr>
          <w:rFonts w:ascii="宋体" w:hAnsi="宋体"/>
          <w:color w:val="auto"/>
          <w:sz w:val="24"/>
          <w:szCs w:val="28"/>
          <w:highlight w:val="none"/>
        </w:rPr>
      </w:pPr>
    </w:p>
    <w:p>
      <w:p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7、饰面技术把控方：上海文宇建设集团有限公司</w:t>
      </w:r>
    </w:p>
    <w:p>
      <w:pPr>
        <w:spacing w:line="360" w:lineRule="auto"/>
        <w:ind w:right="359" w:rightChars="171" w:firstLine="1"/>
        <w:rPr>
          <w:rFonts w:ascii="宋体" w:hAnsi="宋体"/>
          <w:b/>
          <w:bCs/>
          <w:color w:val="auto"/>
          <w:sz w:val="24"/>
          <w:szCs w:val="28"/>
          <w:highlight w:val="none"/>
        </w:rPr>
      </w:pPr>
      <w:r>
        <w:rPr>
          <w:rFonts w:hint="eastAsia" w:ascii="宋体" w:hAnsi="宋体"/>
          <w:b/>
          <w:bCs/>
          <w:color w:val="auto"/>
          <w:sz w:val="24"/>
          <w:szCs w:val="28"/>
          <w:highlight w:val="none"/>
        </w:rPr>
        <w:t>第二条  合同价款</w:t>
      </w:r>
    </w:p>
    <w:p>
      <w:pPr>
        <w:spacing w:line="360" w:lineRule="auto"/>
        <w:ind w:left="239" w:leftChars="114" w:right="359" w:rightChars="171" w:firstLine="480" w:firstLineChars="200"/>
        <w:rPr>
          <w:rFonts w:ascii="宋体" w:hAnsi="宋体"/>
          <w:color w:val="auto"/>
          <w:sz w:val="24"/>
          <w:szCs w:val="28"/>
          <w:highlight w:val="none"/>
        </w:rPr>
      </w:pPr>
      <w:r>
        <w:rPr>
          <w:rFonts w:hint="eastAsia" w:ascii="宋体" w:hAnsi="宋体"/>
          <w:color w:val="auto"/>
          <w:sz w:val="24"/>
          <w:szCs w:val="28"/>
          <w:highlight w:val="none"/>
        </w:rPr>
        <w:t>1、本合同采用固定综合单价包干的承包方式，固定综合单价包含人工费、材料费、机械费、施工措施费、运输费、试验费、安装费、管理费、利润及税金、验收等一切可能发生的直接及间接费</w:t>
      </w:r>
      <w:r>
        <w:rPr>
          <w:rFonts w:hint="eastAsia"/>
          <w:color w:val="auto"/>
          <w:sz w:val="24"/>
          <w:highlight w:val="none"/>
        </w:rPr>
        <w:t>用，暂定工程量及每平方米固定</w:t>
      </w:r>
      <w:r>
        <w:rPr>
          <w:rFonts w:hint="eastAsia" w:ascii="宋体" w:hAnsi="宋体"/>
          <w:color w:val="auto"/>
          <w:sz w:val="24"/>
          <w:szCs w:val="28"/>
          <w:highlight w:val="none"/>
        </w:rPr>
        <w:t>综合单价详见附表。本固定综合单价一次性包干，不随任何因素的变化而调整。</w:t>
      </w:r>
    </w:p>
    <w:p>
      <w:pPr>
        <w:widowControl/>
        <w:spacing w:before="4" w:line="360" w:lineRule="auto"/>
        <w:ind w:firstLine="482" w:firstLineChars="200"/>
        <w:rPr>
          <w:rFonts w:ascii="宋体" w:hAnsi="宋体"/>
          <w:color w:val="auto"/>
          <w:sz w:val="24"/>
          <w:szCs w:val="28"/>
          <w:highlight w:val="none"/>
        </w:rPr>
      </w:pPr>
      <w:r>
        <w:rPr>
          <w:rFonts w:hint="eastAsia" w:ascii="宋体" w:hAnsi="宋体"/>
          <w:b/>
          <w:bCs/>
          <w:color w:val="auto"/>
          <w:sz w:val="24"/>
          <w:szCs w:val="28"/>
          <w:highlight w:val="none"/>
        </w:rPr>
        <w:t>2、本合同含税总价暂定为：</w:t>
      </w:r>
      <w:r>
        <w:rPr>
          <w:rFonts w:hint="eastAsia" w:ascii="宋体" w:hAnsi="宋体" w:eastAsia="宋体" w:cs="宋体"/>
          <w:b w:val="0"/>
          <w:bCs/>
          <w:color w:val="auto"/>
          <w:sz w:val="24"/>
          <w:szCs w:val="24"/>
          <w:highlight w:val="none"/>
          <w:lang w:val="en-US" w:eastAsia="zh-CN"/>
        </w:rPr>
        <w:t>¥3137739.53</w:t>
      </w:r>
      <w:r>
        <w:rPr>
          <w:rFonts w:hint="eastAsia" w:ascii="宋体" w:hAnsi="宋体"/>
          <w:color w:val="auto"/>
          <w:sz w:val="24"/>
          <w:szCs w:val="28"/>
          <w:highlight w:val="none"/>
        </w:rPr>
        <w:t>元人民币，大写：</w:t>
      </w:r>
      <w:r>
        <w:rPr>
          <w:rFonts w:hint="eastAsia" w:ascii="宋体" w:hAnsi="宋体"/>
          <w:color w:val="auto"/>
          <w:sz w:val="24"/>
          <w:szCs w:val="28"/>
          <w:highlight w:val="none"/>
          <w:lang w:val="en-US" w:eastAsia="zh-CN"/>
        </w:rPr>
        <w:t>叁佰壹拾叁万柒仟柒佰叁拾玖元伍角叁分</w:t>
      </w:r>
      <w:r>
        <w:rPr>
          <w:rFonts w:hint="eastAsia" w:ascii="宋体" w:hAnsi="宋体"/>
          <w:color w:val="auto"/>
          <w:sz w:val="24"/>
          <w:szCs w:val="28"/>
          <w:highlight w:val="none"/>
          <w:lang w:eastAsia="zh-CN"/>
        </w:rPr>
        <w:t>。</w:t>
      </w:r>
      <w:r>
        <w:rPr>
          <w:rFonts w:hint="eastAsia" w:ascii="宋体" w:hAnsi="宋体"/>
          <w:color w:val="auto"/>
          <w:sz w:val="24"/>
          <w:szCs w:val="28"/>
          <w:highlight w:val="none"/>
        </w:rPr>
        <w:t>其中，不含税金额</w:t>
      </w:r>
      <w:r>
        <w:rPr>
          <w:rFonts w:hint="eastAsia" w:ascii="宋体" w:hAnsi="宋体"/>
          <w:color w:val="auto"/>
          <w:sz w:val="24"/>
          <w:szCs w:val="28"/>
          <w:highlight w:val="none"/>
          <w:lang w:eastAsia="zh-CN"/>
        </w:rPr>
        <w:t>大写：</w:t>
      </w:r>
      <w:r>
        <w:rPr>
          <w:rFonts w:hint="eastAsia" w:ascii="宋体" w:hAnsi="宋体"/>
          <w:color w:val="auto"/>
          <w:sz w:val="24"/>
          <w:szCs w:val="28"/>
          <w:highlight w:val="none"/>
          <w:lang w:val="en-US" w:eastAsia="zh-CN"/>
        </w:rPr>
        <w:t>贰佰捌拾柒万捌仟陆佰陆拾元壹角贰分， 小写</w:t>
      </w:r>
      <w:r>
        <w:rPr>
          <w:rFonts w:hint="eastAsia" w:ascii="宋体" w:hAnsi="宋体"/>
          <w:color w:val="auto"/>
          <w:sz w:val="24"/>
          <w:szCs w:val="28"/>
          <w:highlight w:val="none"/>
        </w:rPr>
        <w:t>【</w:t>
      </w:r>
      <w:r>
        <w:rPr>
          <w:rFonts w:hint="eastAsia" w:ascii="宋体" w:hAnsi="宋体"/>
          <w:color w:val="auto"/>
          <w:sz w:val="24"/>
          <w:szCs w:val="28"/>
          <w:highlight w:val="none"/>
          <w:lang w:val="en-US" w:eastAsia="zh-CN"/>
        </w:rPr>
        <w:t>¥2878660.12</w:t>
      </w:r>
      <w:r>
        <w:rPr>
          <w:rFonts w:hint="eastAsia" w:ascii="宋体" w:hAnsi="宋体"/>
          <w:color w:val="auto"/>
          <w:sz w:val="24"/>
          <w:szCs w:val="28"/>
          <w:highlight w:val="none"/>
        </w:rPr>
        <w:t>】元，增值税率为【</w:t>
      </w:r>
      <w:r>
        <w:rPr>
          <w:rFonts w:hint="eastAsia" w:ascii="宋体" w:hAnsi="宋体"/>
          <w:color w:val="auto"/>
          <w:sz w:val="24"/>
          <w:szCs w:val="28"/>
          <w:highlight w:val="none"/>
          <w:lang w:val="en-US" w:eastAsia="zh-CN"/>
        </w:rPr>
        <w:t>9</w:t>
      </w:r>
      <w:r>
        <w:rPr>
          <w:rFonts w:hint="eastAsia" w:ascii="宋体" w:hAnsi="宋体"/>
          <w:color w:val="auto"/>
          <w:sz w:val="24"/>
          <w:szCs w:val="28"/>
          <w:highlight w:val="none"/>
        </w:rPr>
        <w:t>】%，税款</w:t>
      </w:r>
      <w:r>
        <w:rPr>
          <w:rFonts w:hint="eastAsia" w:ascii="宋体" w:hAnsi="宋体"/>
          <w:color w:val="auto"/>
          <w:sz w:val="24"/>
          <w:szCs w:val="28"/>
          <w:highlight w:val="none"/>
          <w:lang w:eastAsia="zh-CN"/>
        </w:rPr>
        <w:t>大写</w:t>
      </w:r>
      <w:r>
        <w:rPr>
          <w:rFonts w:hint="eastAsia" w:ascii="宋体" w:hAnsi="宋体"/>
          <w:color w:val="auto"/>
          <w:sz w:val="24"/>
          <w:szCs w:val="28"/>
          <w:highlight w:val="none"/>
          <w:lang w:val="en-US" w:eastAsia="zh-CN"/>
        </w:rPr>
        <w:t>：</w:t>
      </w:r>
      <w:r>
        <w:rPr>
          <w:rFonts w:hint="eastAsia" w:ascii="宋体" w:hAnsi="宋体" w:cs="宋体"/>
          <w:b w:val="0"/>
          <w:bCs/>
          <w:color w:val="auto"/>
          <w:sz w:val="24"/>
          <w:szCs w:val="24"/>
          <w:highlight w:val="none"/>
          <w:lang w:val="en-US" w:eastAsia="zh-CN"/>
        </w:rPr>
        <w:t>贰拾伍万玖仟零柒拾玖元肆角壹分，</w:t>
      </w:r>
      <w:r>
        <w:rPr>
          <w:rFonts w:hint="eastAsia" w:ascii="宋体" w:hAnsi="宋体"/>
          <w:color w:val="auto"/>
          <w:sz w:val="24"/>
          <w:szCs w:val="28"/>
          <w:highlight w:val="none"/>
          <w:lang w:val="en-US" w:eastAsia="zh-CN"/>
        </w:rPr>
        <w:t>小写</w:t>
      </w:r>
      <w:r>
        <w:rPr>
          <w:rFonts w:hint="eastAsia" w:ascii="宋体" w:hAnsi="宋体"/>
          <w:color w:val="auto"/>
          <w:sz w:val="24"/>
          <w:szCs w:val="28"/>
          <w:highlight w:val="none"/>
        </w:rPr>
        <w:t>【</w:t>
      </w:r>
      <w:r>
        <w:rPr>
          <w:rFonts w:hint="eastAsia" w:ascii="宋体" w:hAnsi="宋体"/>
          <w:color w:val="auto"/>
          <w:sz w:val="24"/>
          <w:szCs w:val="28"/>
          <w:highlight w:val="none"/>
          <w:lang w:val="en-US" w:eastAsia="zh-CN"/>
        </w:rPr>
        <w:t>259079.41</w:t>
      </w:r>
      <w:r>
        <w:rPr>
          <w:rFonts w:hint="eastAsia" w:ascii="宋体" w:hAnsi="宋体"/>
          <w:color w:val="auto"/>
          <w:sz w:val="24"/>
          <w:szCs w:val="28"/>
          <w:highlight w:val="none"/>
        </w:rPr>
        <w:t>】元。</w:t>
      </w:r>
    </w:p>
    <w:p>
      <w:pPr>
        <w:widowControl/>
        <w:spacing w:before="4" w:line="360" w:lineRule="auto"/>
        <w:ind w:firstLine="480" w:firstLineChars="200"/>
        <w:rPr>
          <w:rFonts w:ascii="宋体" w:hAnsi="宋体" w:cs="宋体"/>
          <w:color w:val="auto"/>
          <w:kern w:val="1"/>
          <w:sz w:val="24"/>
          <w:highlight w:val="none"/>
          <w:lang w:bidi="ar"/>
        </w:rPr>
      </w:pPr>
      <w:r>
        <w:rPr>
          <w:rFonts w:hint="eastAsia" w:ascii="宋体" w:hAnsi="宋体"/>
          <w:color w:val="auto"/>
          <w:sz w:val="24"/>
          <w:szCs w:val="28"/>
          <w:highlight w:val="none"/>
        </w:rPr>
        <w:t>3、固定含税综合单价：</w:t>
      </w:r>
      <w:r>
        <w:rPr>
          <w:rFonts w:hint="eastAsia" w:ascii="宋体" w:hAnsi="宋体" w:eastAsia="宋体" w:cs="宋体"/>
          <w:b w:val="0"/>
          <w:bCs/>
          <w:color w:val="auto"/>
          <w:sz w:val="24"/>
          <w:szCs w:val="24"/>
          <w:highlight w:val="none"/>
          <w:lang w:val="en-US" w:eastAsia="zh-CN"/>
        </w:rPr>
        <w:t>墙面约53132.7m2，单价58.4元/m2，管道约740.84m2，单价46.96元/m2</w:t>
      </w:r>
      <w:r>
        <w:rPr>
          <w:rFonts w:hint="eastAsia" w:ascii="宋体" w:hAnsi="宋体"/>
          <w:color w:val="auto"/>
          <w:sz w:val="24"/>
          <w:szCs w:val="28"/>
          <w:highlight w:val="none"/>
        </w:rPr>
        <w:t>（</w:t>
      </w:r>
      <w:r>
        <w:rPr>
          <w:rFonts w:hint="eastAsia" w:ascii="宋体" w:hAnsi="宋体"/>
          <w:color w:val="auto"/>
          <w:sz w:val="24"/>
          <w:szCs w:val="28"/>
          <w:highlight w:val="none"/>
          <w:lang w:eastAsia="zh-CN"/>
        </w:rPr>
        <w:t>均</w:t>
      </w:r>
      <w:r>
        <w:rPr>
          <w:rFonts w:hint="eastAsia" w:ascii="宋体" w:hAnsi="宋体"/>
          <w:color w:val="auto"/>
          <w:sz w:val="24"/>
          <w:szCs w:val="28"/>
          <w:highlight w:val="none"/>
        </w:rPr>
        <w:t>含吊篮费用</w:t>
      </w:r>
      <w:r>
        <w:rPr>
          <w:rFonts w:hint="eastAsia" w:ascii="宋体" w:hAnsi="宋体"/>
          <w:color w:val="auto"/>
          <w:sz w:val="24"/>
          <w:szCs w:val="28"/>
          <w:highlight w:val="none"/>
          <w:lang w:eastAsia="zh-CN"/>
        </w:rPr>
        <w:t>）</w:t>
      </w:r>
      <w:r>
        <w:rPr>
          <w:rFonts w:hint="eastAsia" w:ascii="宋体" w:hAnsi="宋体" w:cs="宋体"/>
          <w:b w:val="0"/>
          <w:bCs/>
          <w:color w:val="auto"/>
          <w:sz w:val="24"/>
          <w:szCs w:val="24"/>
          <w:highlight w:val="none"/>
          <w:lang w:val="en-US" w:eastAsia="zh-CN"/>
        </w:rPr>
        <w:t>。</w:t>
      </w:r>
    </w:p>
    <w:p>
      <w:pPr>
        <w:spacing w:line="360" w:lineRule="auto"/>
        <w:ind w:right="359" w:rightChars="171"/>
        <w:rPr>
          <w:rFonts w:ascii="宋体" w:hAnsi="宋体"/>
          <w:color w:val="auto"/>
          <w:sz w:val="24"/>
          <w:szCs w:val="28"/>
          <w:highlight w:val="none"/>
        </w:rPr>
      </w:pPr>
      <w:r>
        <w:rPr>
          <w:rFonts w:hint="eastAsia" w:ascii="宋体" w:hAnsi="宋体"/>
          <w:b/>
          <w:bCs/>
          <w:color w:val="auto"/>
          <w:sz w:val="24"/>
          <w:szCs w:val="28"/>
          <w:highlight w:val="none"/>
        </w:rPr>
        <w:t>第三条 结算方式</w:t>
      </w:r>
    </w:p>
    <w:p>
      <w:pPr>
        <w:spacing w:line="360" w:lineRule="auto"/>
        <w:ind w:right="359" w:rightChars="171" w:firstLine="480" w:firstLineChars="200"/>
        <w:rPr>
          <w:rFonts w:ascii="Arial" w:hAnsi="Arial" w:cs="Arial"/>
          <w:color w:val="auto"/>
          <w:sz w:val="24"/>
          <w:szCs w:val="28"/>
          <w:highlight w:val="none"/>
        </w:rPr>
      </w:pPr>
      <w:r>
        <w:rPr>
          <w:rFonts w:hint="eastAsia" w:ascii="宋体" w:hAnsi="宋体"/>
          <w:color w:val="auto"/>
          <w:sz w:val="24"/>
          <w:szCs w:val="28"/>
          <w:highlight w:val="none"/>
        </w:rPr>
        <w:t>1、结算金额=实际工程量</w:t>
      </w:r>
      <w:r>
        <w:rPr>
          <w:rFonts w:ascii="Arial" w:hAnsi="Arial" w:cs="Arial"/>
          <w:color w:val="auto"/>
          <w:sz w:val="24"/>
          <w:szCs w:val="28"/>
          <w:highlight w:val="none"/>
        </w:rPr>
        <w:t>×</w:t>
      </w:r>
      <w:r>
        <w:rPr>
          <w:rFonts w:hint="eastAsia" w:ascii="Arial" w:hAnsi="Arial" w:cs="Arial"/>
          <w:color w:val="auto"/>
          <w:sz w:val="24"/>
          <w:szCs w:val="28"/>
          <w:highlight w:val="none"/>
        </w:rPr>
        <w:t>固定综合单价-应扣费用±变更签证，实际工程量为甲、乙双方依据施工图纸、</w:t>
      </w:r>
      <w:r>
        <w:rPr>
          <w:rFonts w:hint="eastAsia" w:ascii="Arial" w:hAnsi="Arial" w:cs="Arial"/>
          <w:color w:val="auto"/>
          <w:sz w:val="24"/>
          <w:szCs w:val="28"/>
          <w:highlight w:val="none"/>
          <w:lang w:val="en-US" w:eastAsia="zh-CN"/>
        </w:rPr>
        <w:t>设计</w:t>
      </w:r>
      <w:r>
        <w:rPr>
          <w:rFonts w:hint="eastAsia" w:ascii="Arial" w:hAnsi="Arial" w:cs="Arial"/>
          <w:color w:val="auto"/>
          <w:sz w:val="24"/>
          <w:szCs w:val="28"/>
          <w:highlight w:val="none"/>
        </w:rPr>
        <w:t>方案要求、定额计算规则计算的工程量。</w:t>
      </w:r>
    </w:p>
    <w:p>
      <w:pPr>
        <w:tabs>
          <w:tab w:val="left" w:pos="630"/>
        </w:tabs>
        <w:spacing w:line="360" w:lineRule="auto"/>
        <w:ind w:firstLine="480" w:firstLineChars="200"/>
        <w:rPr>
          <w:rFonts w:ascii="Arial" w:hAnsi="Arial" w:cs="Arial"/>
          <w:color w:val="auto"/>
          <w:sz w:val="24"/>
          <w:szCs w:val="28"/>
          <w:highlight w:val="none"/>
        </w:rPr>
      </w:pPr>
      <w:r>
        <w:rPr>
          <w:rFonts w:hint="eastAsia" w:ascii="Arial" w:hAnsi="Arial" w:cs="Arial"/>
          <w:color w:val="auto"/>
          <w:sz w:val="24"/>
          <w:szCs w:val="28"/>
          <w:highlight w:val="none"/>
        </w:rPr>
        <w:t>2、</w:t>
      </w:r>
      <w:r>
        <w:rPr>
          <w:rFonts w:hint="eastAsia" w:ascii="宋体"/>
          <w:color w:val="auto"/>
          <w:sz w:val="24"/>
          <w:highlight w:val="none"/>
        </w:rPr>
        <w:t xml:space="preserve"> 若有本合同约定以外的外墙涂装形式，则其价格由双方另行协商确定。</w:t>
      </w:r>
    </w:p>
    <w:p>
      <w:pPr>
        <w:spacing w:line="360" w:lineRule="auto"/>
        <w:ind w:right="359" w:rightChars="171"/>
        <w:rPr>
          <w:rFonts w:ascii="宋体" w:hAnsi="宋体"/>
          <w:b/>
          <w:bCs/>
          <w:color w:val="auto"/>
          <w:sz w:val="24"/>
          <w:szCs w:val="28"/>
          <w:highlight w:val="none"/>
        </w:rPr>
      </w:pPr>
      <w:r>
        <w:rPr>
          <w:rFonts w:hint="eastAsia" w:ascii="宋体" w:hAnsi="宋体"/>
          <w:b/>
          <w:bCs/>
          <w:color w:val="auto"/>
          <w:sz w:val="24"/>
          <w:szCs w:val="28"/>
          <w:highlight w:val="none"/>
        </w:rPr>
        <w:t>第四条</w:t>
      </w:r>
      <w:r>
        <w:rPr>
          <w:rFonts w:hint="eastAsia" w:ascii="宋体" w:hAnsi="宋体"/>
          <w:color w:val="auto"/>
          <w:sz w:val="24"/>
          <w:szCs w:val="28"/>
          <w:highlight w:val="none"/>
        </w:rPr>
        <w:t xml:space="preserve">  </w:t>
      </w:r>
      <w:r>
        <w:rPr>
          <w:rFonts w:hint="eastAsia" w:ascii="宋体" w:hAnsi="宋体"/>
          <w:b/>
          <w:bCs/>
          <w:color w:val="auto"/>
          <w:sz w:val="24"/>
          <w:szCs w:val="28"/>
          <w:highlight w:val="none"/>
        </w:rPr>
        <w:t>甲方责任</w:t>
      </w:r>
    </w:p>
    <w:p>
      <w:pPr>
        <w:numPr>
          <w:ilvl w:val="1"/>
          <w:numId w:val="1"/>
        </w:num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指派</w:t>
      </w:r>
      <w:r>
        <w:rPr>
          <w:rFonts w:hint="eastAsia" w:ascii="宋体" w:hAnsi="宋体"/>
          <w:color w:val="auto"/>
          <w:sz w:val="24"/>
          <w:szCs w:val="28"/>
          <w:highlight w:val="none"/>
          <w:u w:val="single"/>
          <w:lang w:eastAsia="zh-CN"/>
        </w:rPr>
        <w:t>李中伟</w:t>
      </w:r>
      <w:r>
        <w:rPr>
          <w:rFonts w:hint="eastAsia" w:ascii="宋体" w:hAnsi="宋体"/>
          <w:color w:val="auto"/>
          <w:sz w:val="24"/>
          <w:szCs w:val="28"/>
          <w:highlight w:val="none"/>
          <w:u w:val="single"/>
        </w:rPr>
        <w:t xml:space="preserve"> </w:t>
      </w:r>
      <w:r>
        <w:rPr>
          <w:rFonts w:hint="eastAsia" w:ascii="宋体" w:hAnsi="宋体"/>
          <w:color w:val="auto"/>
          <w:sz w:val="24"/>
          <w:szCs w:val="28"/>
          <w:highlight w:val="none"/>
        </w:rPr>
        <w:t>电话：</w:t>
      </w:r>
      <w:r>
        <w:rPr>
          <w:rFonts w:hint="eastAsia" w:ascii="宋体" w:hAnsi="宋体"/>
          <w:color w:val="auto"/>
          <w:sz w:val="24"/>
          <w:szCs w:val="28"/>
          <w:highlight w:val="none"/>
          <w:u w:val="single"/>
        </w:rPr>
        <w:t xml:space="preserve"> </w:t>
      </w:r>
      <w:r>
        <w:rPr>
          <w:rFonts w:hint="eastAsia" w:ascii="宋体" w:hAnsi="宋体"/>
          <w:color w:val="auto"/>
          <w:sz w:val="24"/>
          <w:szCs w:val="28"/>
          <w:highlight w:val="none"/>
          <w:u w:val="single"/>
          <w:lang w:val="en-US" w:eastAsia="zh-CN"/>
        </w:rPr>
        <w:t>15137930543</w:t>
      </w:r>
      <w:r>
        <w:rPr>
          <w:rFonts w:hint="eastAsia" w:ascii="宋体" w:hAnsi="宋体"/>
          <w:color w:val="auto"/>
          <w:sz w:val="24"/>
          <w:szCs w:val="28"/>
          <w:highlight w:val="none"/>
          <w:u w:val="single"/>
        </w:rPr>
        <w:t xml:space="preserve"> </w:t>
      </w:r>
      <w:r>
        <w:rPr>
          <w:rFonts w:hint="eastAsia" w:ascii="宋体" w:hAnsi="宋体"/>
          <w:color w:val="auto"/>
          <w:sz w:val="24"/>
          <w:szCs w:val="28"/>
          <w:highlight w:val="none"/>
        </w:rPr>
        <w:t>为甲方驻工地代表，负责合同履行。对工程质量、进度进行监督检查、办理验收、变更、登记手续和其它事宜。</w:t>
      </w:r>
    </w:p>
    <w:p>
      <w:pPr>
        <w:numPr>
          <w:ilvl w:val="1"/>
          <w:numId w:val="1"/>
        </w:num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按合同约定支付乙方工程款。</w:t>
      </w:r>
    </w:p>
    <w:p>
      <w:pPr>
        <w:numPr>
          <w:ilvl w:val="1"/>
          <w:numId w:val="1"/>
        </w:numPr>
        <w:spacing w:line="360" w:lineRule="auto"/>
        <w:ind w:right="359" w:rightChars="171"/>
        <w:rPr>
          <w:rFonts w:ascii="宋体" w:hAnsi="宋体"/>
          <w:b/>
          <w:bCs/>
          <w:color w:val="auto"/>
          <w:sz w:val="24"/>
          <w:szCs w:val="28"/>
          <w:highlight w:val="none"/>
        </w:rPr>
      </w:pPr>
      <w:r>
        <w:rPr>
          <w:rFonts w:hint="eastAsia" w:ascii="宋体" w:hAnsi="宋体"/>
          <w:color w:val="auto"/>
          <w:sz w:val="24"/>
          <w:szCs w:val="28"/>
          <w:highlight w:val="none"/>
        </w:rPr>
        <w:t>按甲方与总包方双方签订的总包施工合同中约定向总包方支付总承包管理配合费（含竣工资料整理、成品保护、看管）。</w:t>
      </w:r>
    </w:p>
    <w:p>
      <w:pPr>
        <w:spacing w:line="360" w:lineRule="auto"/>
        <w:ind w:right="359" w:rightChars="171"/>
        <w:rPr>
          <w:rFonts w:ascii="宋体" w:hAnsi="宋体"/>
          <w:b/>
          <w:bCs/>
          <w:color w:val="auto"/>
          <w:sz w:val="24"/>
          <w:szCs w:val="28"/>
          <w:highlight w:val="none"/>
        </w:rPr>
      </w:pPr>
      <w:r>
        <w:rPr>
          <w:rFonts w:hint="eastAsia" w:ascii="宋体" w:hAnsi="宋体"/>
          <w:b/>
          <w:bCs/>
          <w:color w:val="auto"/>
          <w:sz w:val="24"/>
          <w:szCs w:val="28"/>
          <w:highlight w:val="none"/>
        </w:rPr>
        <w:t>第五条  总包方责任</w:t>
      </w:r>
    </w:p>
    <w:p>
      <w:pPr>
        <w:tabs>
          <w:tab w:val="left" w:pos="0"/>
          <w:tab w:val="left" w:pos="360"/>
          <w:tab w:val="left" w:pos="900"/>
        </w:tabs>
        <w:spacing w:line="360" w:lineRule="auto"/>
        <w:ind w:right="171" w:firstLine="240" w:firstLineChars="100"/>
        <w:outlineLvl w:val="0"/>
        <w:rPr>
          <w:color w:val="auto"/>
          <w:sz w:val="24"/>
          <w:highlight w:val="none"/>
        </w:rPr>
      </w:pPr>
      <w:r>
        <w:rPr>
          <w:rFonts w:hint="eastAsia"/>
          <w:color w:val="auto"/>
          <w:sz w:val="24"/>
          <w:highlight w:val="none"/>
        </w:rPr>
        <w:t>1、总包方提供详细施工进度，并有权按乙方上报并经甲方审批的进度计划要求乙方；</w:t>
      </w:r>
    </w:p>
    <w:p>
      <w:pPr>
        <w:tabs>
          <w:tab w:val="left" w:pos="0"/>
          <w:tab w:val="left" w:pos="360"/>
          <w:tab w:val="left" w:pos="900"/>
        </w:tabs>
        <w:spacing w:line="360" w:lineRule="auto"/>
        <w:ind w:right="171" w:firstLine="240" w:firstLineChars="100"/>
        <w:rPr>
          <w:color w:val="auto"/>
          <w:sz w:val="24"/>
          <w:highlight w:val="none"/>
        </w:rPr>
      </w:pPr>
      <w:r>
        <w:rPr>
          <w:rFonts w:hint="eastAsia"/>
          <w:color w:val="auto"/>
          <w:sz w:val="24"/>
          <w:highlight w:val="none"/>
        </w:rPr>
        <w:t>2、总包方在工期范围内为乙方提供施工工作面；</w:t>
      </w:r>
    </w:p>
    <w:p>
      <w:pPr>
        <w:tabs>
          <w:tab w:val="left" w:pos="0"/>
          <w:tab w:val="left" w:pos="360"/>
          <w:tab w:val="left" w:pos="900"/>
        </w:tabs>
        <w:spacing w:line="360" w:lineRule="auto"/>
        <w:ind w:right="171" w:firstLine="240" w:firstLineChars="100"/>
        <w:rPr>
          <w:color w:val="auto"/>
          <w:sz w:val="24"/>
          <w:highlight w:val="none"/>
        </w:rPr>
      </w:pPr>
      <w:r>
        <w:rPr>
          <w:rFonts w:hint="eastAsia"/>
          <w:color w:val="auto"/>
          <w:sz w:val="24"/>
          <w:highlight w:val="none"/>
        </w:rPr>
        <w:t>3、总包方会同监理按施工图纸和施工规范要求对工程质量进行验收；</w:t>
      </w:r>
    </w:p>
    <w:p>
      <w:pPr>
        <w:tabs>
          <w:tab w:val="left" w:pos="0"/>
          <w:tab w:val="left" w:pos="360"/>
          <w:tab w:val="left" w:pos="900"/>
        </w:tabs>
        <w:spacing w:line="360" w:lineRule="auto"/>
        <w:ind w:right="171" w:firstLine="240" w:firstLineChars="100"/>
        <w:rPr>
          <w:color w:val="auto"/>
          <w:sz w:val="24"/>
          <w:highlight w:val="none"/>
        </w:rPr>
      </w:pPr>
      <w:r>
        <w:rPr>
          <w:rFonts w:hint="eastAsia"/>
          <w:color w:val="auto"/>
          <w:sz w:val="24"/>
          <w:highlight w:val="none"/>
        </w:rPr>
        <w:t>4、总包方按约定出具工程量完成情况证明；</w:t>
      </w:r>
    </w:p>
    <w:p>
      <w:pPr>
        <w:tabs>
          <w:tab w:val="left" w:pos="0"/>
          <w:tab w:val="left" w:pos="360"/>
        </w:tabs>
        <w:spacing w:line="360" w:lineRule="auto"/>
        <w:ind w:left="358" w:leftChars="115" w:right="171" w:hanging="117" w:hangingChars="49"/>
        <w:rPr>
          <w:color w:val="auto"/>
          <w:sz w:val="24"/>
          <w:highlight w:val="none"/>
        </w:rPr>
      </w:pPr>
      <w:r>
        <w:rPr>
          <w:rFonts w:hint="eastAsia"/>
          <w:color w:val="auto"/>
          <w:sz w:val="24"/>
          <w:highlight w:val="none"/>
        </w:rPr>
        <w:t>5、总包方有义务提供安装施工用水用电接口（其用水用电费用由乙方承担）及材料存放地；</w:t>
      </w:r>
    </w:p>
    <w:p>
      <w:pPr>
        <w:spacing w:line="360" w:lineRule="auto"/>
        <w:ind w:right="359" w:rightChars="171"/>
        <w:rPr>
          <w:rFonts w:ascii="宋体" w:hAnsi="宋体"/>
          <w:b/>
          <w:bCs/>
          <w:color w:val="auto"/>
          <w:sz w:val="24"/>
          <w:szCs w:val="28"/>
          <w:highlight w:val="none"/>
        </w:rPr>
      </w:pPr>
      <w:r>
        <w:rPr>
          <w:rFonts w:hint="eastAsia"/>
          <w:color w:val="auto"/>
          <w:sz w:val="24"/>
          <w:highlight w:val="none"/>
        </w:rPr>
        <w:t xml:space="preserve"> </w:t>
      </w:r>
      <w:r>
        <w:rPr>
          <w:rFonts w:hint="eastAsia" w:ascii="宋体" w:hAnsi="宋体"/>
          <w:b/>
          <w:bCs/>
          <w:color w:val="auto"/>
          <w:sz w:val="24"/>
          <w:szCs w:val="28"/>
          <w:highlight w:val="none"/>
        </w:rPr>
        <w:t>第六条 乙方责任</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1、参加甲方组织的设计及有关数据说明的现场交底，负责外立面分隔深化图纸设计，并经甲方认可。</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2、负责配合甲方现场土建准备工作。</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3、指派</w:t>
      </w:r>
      <w:r>
        <w:rPr>
          <w:rFonts w:hint="eastAsia"/>
          <w:color w:val="auto"/>
          <w:highlight w:val="none"/>
          <w:lang w:val="en-US" w:eastAsia="zh-CN"/>
        </w:rPr>
        <w:t xml:space="preserve">成鑫  电话：15722503039 </w:t>
      </w:r>
      <w:r>
        <w:rPr>
          <w:rFonts w:hint="eastAsia" w:ascii="宋体" w:hAnsi="宋体"/>
          <w:color w:val="auto"/>
          <w:sz w:val="24"/>
          <w:szCs w:val="28"/>
          <w:highlight w:val="none"/>
        </w:rPr>
        <w:t>为乙方驻工地代表，负责合同履行。按要求组织施工，保质、保量、按期完成施工任务，解决由乙方负责的各项事宜，乙方项目管理人员须提供社保。</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4、严格执行施工规范、安全操作规程、防火安全规定、环境保护规定。严格按照图纸或作法说明进行施工，做好各项质量检查记录。</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5、施工中未经甲方同意或有关部门批准，不得随意拆改原建筑物结构及各种设备管线。</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6、工程竣工未移交甲方之前，负责工地现场的一切设施和工程成品进行保护；吊篮、吊绳对女儿墙等的损坏承担修复责任；对外门窗、石材、栏杆等构件应采取保护措施，承担污染的清理 。</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7、所用水电费用由乙方负担。</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8、明确安全管理责任，建议签订安全管理协议。</w:t>
      </w:r>
    </w:p>
    <w:p>
      <w:pPr>
        <w:spacing w:line="360" w:lineRule="auto"/>
        <w:ind w:right="359" w:rightChars="171" w:firstLine="240" w:firstLineChars="100"/>
        <w:rPr>
          <w:color w:val="auto"/>
          <w:sz w:val="24"/>
          <w:szCs w:val="28"/>
          <w:highlight w:val="none"/>
        </w:rPr>
      </w:pPr>
      <w:r>
        <w:rPr>
          <w:rFonts w:hint="eastAsia" w:ascii="宋体" w:hAnsi="宋体"/>
          <w:color w:val="auto"/>
          <w:sz w:val="24"/>
          <w:szCs w:val="28"/>
          <w:highlight w:val="none"/>
        </w:rPr>
        <w:t>9、乙方负责整理、收集所分包项目的资料，竣工验收前30天（壹式肆份，全套原件不低于叁套）交付总包方。</w:t>
      </w:r>
    </w:p>
    <w:p>
      <w:pPr>
        <w:spacing w:line="360" w:lineRule="auto"/>
        <w:ind w:right="359" w:rightChars="171" w:firstLine="240" w:firstLineChars="100"/>
        <w:rPr>
          <w:color w:val="auto"/>
          <w:sz w:val="24"/>
          <w:szCs w:val="28"/>
          <w:highlight w:val="none"/>
        </w:rPr>
      </w:pPr>
      <w:r>
        <w:rPr>
          <w:rFonts w:hint="eastAsia" w:ascii="宋体" w:hAnsi="宋体"/>
          <w:color w:val="auto"/>
          <w:sz w:val="24"/>
          <w:szCs w:val="28"/>
          <w:highlight w:val="none"/>
        </w:rPr>
        <w:t>10、保修期为两年，保修期限内如因为乙方原因出现质量问题，乙方免费维修。乙方</w:t>
      </w:r>
      <w:r>
        <w:rPr>
          <w:color w:val="auto"/>
          <w:sz w:val="24"/>
          <w:szCs w:val="28"/>
          <w:highlight w:val="none"/>
        </w:rPr>
        <w:t>应在接到甲方修理通知后24小时内派人维修，否则甲方</w:t>
      </w:r>
      <w:r>
        <w:rPr>
          <w:rFonts w:hint="eastAsia"/>
          <w:color w:val="auto"/>
          <w:sz w:val="24"/>
          <w:szCs w:val="28"/>
          <w:highlight w:val="none"/>
        </w:rPr>
        <w:t>或进驻物业公司</w:t>
      </w:r>
      <w:r>
        <w:rPr>
          <w:color w:val="auto"/>
          <w:sz w:val="24"/>
          <w:szCs w:val="28"/>
          <w:highlight w:val="none"/>
        </w:rPr>
        <w:t>自行组织人员维修，其费用在</w:t>
      </w:r>
      <w:r>
        <w:rPr>
          <w:rFonts w:hint="eastAsia"/>
          <w:color w:val="auto"/>
          <w:sz w:val="24"/>
          <w:szCs w:val="28"/>
          <w:highlight w:val="none"/>
        </w:rPr>
        <w:t>质保金</w:t>
      </w:r>
      <w:r>
        <w:rPr>
          <w:color w:val="auto"/>
          <w:sz w:val="24"/>
          <w:szCs w:val="28"/>
          <w:highlight w:val="none"/>
        </w:rPr>
        <w:t>内扣除，不足部分由</w:t>
      </w:r>
      <w:r>
        <w:rPr>
          <w:rFonts w:hint="eastAsia" w:ascii="宋体" w:hAnsi="宋体"/>
          <w:color w:val="auto"/>
          <w:sz w:val="24"/>
          <w:szCs w:val="28"/>
          <w:highlight w:val="none"/>
        </w:rPr>
        <w:t>乙方</w:t>
      </w:r>
      <w:r>
        <w:rPr>
          <w:color w:val="auto"/>
          <w:sz w:val="24"/>
          <w:szCs w:val="28"/>
          <w:highlight w:val="none"/>
        </w:rPr>
        <w:t>支付。</w:t>
      </w:r>
    </w:p>
    <w:p>
      <w:pPr>
        <w:tabs>
          <w:tab w:val="left" w:pos="1260"/>
        </w:tabs>
        <w:spacing w:line="360" w:lineRule="auto"/>
        <w:ind w:right="359" w:rightChars="171"/>
        <w:rPr>
          <w:rFonts w:ascii="宋体" w:hAnsi="宋体"/>
          <w:b/>
          <w:bCs/>
          <w:color w:val="auto"/>
          <w:sz w:val="24"/>
          <w:szCs w:val="28"/>
          <w:highlight w:val="none"/>
        </w:rPr>
      </w:pPr>
      <w:r>
        <w:rPr>
          <w:rFonts w:hint="eastAsia" w:ascii="宋体" w:hAnsi="宋体"/>
          <w:b/>
          <w:bCs/>
          <w:color w:val="auto"/>
          <w:sz w:val="24"/>
          <w:szCs w:val="28"/>
          <w:highlight w:val="none"/>
        </w:rPr>
        <w:t>第七条  工期说明</w:t>
      </w:r>
    </w:p>
    <w:p>
      <w:p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 xml:space="preserve">  1、乙方按合同第一条工程概况中约定的工期按时竣工</w:t>
      </w:r>
      <w:r>
        <w:rPr>
          <w:rFonts w:hint="eastAsia" w:ascii="宋体" w:hAnsi="宋体"/>
          <w:color w:val="auto"/>
          <w:sz w:val="24"/>
          <w:szCs w:val="28"/>
          <w:highlight w:val="none"/>
          <w:lang w:eastAsia="zh-CN"/>
        </w:rPr>
        <w:t>，现场移交乙方后</w:t>
      </w:r>
      <w:r>
        <w:rPr>
          <w:rFonts w:hint="eastAsia" w:ascii="宋体" w:hAnsi="宋体"/>
          <w:color w:val="auto"/>
          <w:sz w:val="24"/>
          <w:szCs w:val="28"/>
          <w:highlight w:val="none"/>
          <w:lang w:val="en-US" w:eastAsia="zh-CN"/>
        </w:rPr>
        <w:t>，小高层40天完工，洋房35天完工</w:t>
      </w:r>
      <w:r>
        <w:rPr>
          <w:rFonts w:hint="eastAsia" w:ascii="宋体" w:hAnsi="宋体"/>
          <w:color w:val="auto"/>
          <w:sz w:val="24"/>
          <w:szCs w:val="28"/>
          <w:highlight w:val="none"/>
        </w:rPr>
        <w:t>。</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2、乙方必须服从甲方管理和进度要求，确保工程按期完成。</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3、因以下原因造成工期延误经甲方书面确认后工期相应顺延：</w:t>
      </w:r>
    </w:p>
    <w:p>
      <w:pPr>
        <w:spacing w:line="360" w:lineRule="auto"/>
        <w:ind w:right="359" w:rightChars="171" w:firstLine="480" w:firstLineChars="200"/>
        <w:rPr>
          <w:rFonts w:ascii="宋体" w:hAnsi="宋体"/>
          <w:color w:val="auto"/>
          <w:sz w:val="24"/>
          <w:szCs w:val="28"/>
          <w:highlight w:val="none"/>
        </w:rPr>
      </w:pPr>
      <w:r>
        <w:rPr>
          <w:rFonts w:hint="eastAsia" w:ascii="宋体" w:hAnsi="宋体"/>
          <w:color w:val="auto"/>
          <w:sz w:val="24"/>
          <w:szCs w:val="28"/>
          <w:highlight w:val="none"/>
        </w:rPr>
        <w:t xml:space="preserve"> 3.1甲方不能按约定提供开工条件。</w:t>
      </w:r>
    </w:p>
    <w:p>
      <w:pPr>
        <w:spacing w:line="360" w:lineRule="auto"/>
        <w:ind w:left="359" w:leftChars="171" w:right="359" w:rightChars="171"/>
        <w:rPr>
          <w:rFonts w:ascii="宋体" w:hAnsi="宋体"/>
          <w:color w:val="auto"/>
          <w:sz w:val="24"/>
          <w:szCs w:val="28"/>
          <w:highlight w:val="none"/>
        </w:rPr>
      </w:pPr>
      <w:r>
        <w:rPr>
          <w:rFonts w:hint="eastAsia" w:ascii="宋体" w:hAnsi="宋体"/>
          <w:color w:val="auto"/>
          <w:sz w:val="24"/>
          <w:szCs w:val="28"/>
          <w:highlight w:val="none"/>
        </w:rPr>
        <w:t xml:space="preserve">  3.2设计变更和工程量增加。</w:t>
      </w:r>
    </w:p>
    <w:p>
      <w:pPr>
        <w:spacing w:line="360" w:lineRule="auto"/>
        <w:ind w:left="359" w:leftChars="171" w:right="359" w:rightChars="171"/>
        <w:rPr>
          <w:rFonts w:ascii="宋体" w:hAnsi="宋体"/>
          <w:color w:val="auto"/>
          <w:sz w:val="24"/>
          <w:szCs w:val="28"/>
          <w:highlight w:val="none"/>
        </w:rPr>
      </w:pPr>
      <w:r>
        <w:rPr>
          <w:rFonts w:hint="eastAsia" w:ascii="宋体" w:hAnsi="宋体"/>
          <w:color w:val="auto"/>
          <w:sz w:val="24"/>
          <w:szCs w:val="28"/>
          <w:highlight w:val="none"/>
        </w:rPr>
        <w:t xml:space="preserve">  3.3甲方同意相应顺延的其他情况。</w:t>
      </w:r>
    </w:p>
    <w:p>
      <w:pPr>
        <w:spacing w:line="360" w:lineRule="auto"/>
        <w:ind w:right="171" w:firstLine="240" w:firstLineChars="100"/>
        <w:rPr>
          <w:rFonts w:ascii="宋体" w:hAnsi="宋体"/>
          <w:color w:val="auto"/>
          <w:sz w:val="24"/>
          <w:szCs w:val="28"/>
          <w:highlight w:val="none"/>
        </w:rPr>
      </w:pPr>
      <w:r>
        <w:rPr>
          <w:rFonts w:hint="eastAsia" w:ascii="宋体" w:hAnsi="宋体"/>
          <w:color w:val="auto"/>
          <w:sz w:val="24"/>
          <w:szCs w:val="28"/>
          <w:highlight w:val="none"/>
        </w:rPr>
        <w:t>4、由于乙方原因逾期竣工的，每逾期一天，乙方支付甲方合同金额0.5％的违约金。逾期满十天的，乙方除按前述约定承担逾期竣工违约金外，甲方还有权将乙方所承包工程另行发包，乙方应在甲方通知的期限内无条件及时退场（乙方逾期退场的，每逾期一日向甲方支付逾期退场违约金人民币伍万元），甲方按乙方所完工程量的70%进行结算。</w:t>
      </w:r>
    </w:p>
    <w:p>
      <w:pPr>
        <w:spacing w:line="360" w:lineRule="auto"/>
        <w:ind w:right="171" w:firstLine="118" w:firstLineChars="49"/>
        <w:rPr>
          <w:rFonts w:ascii="宋体" w:hAnsi="宋体"/>
          <w:color w:val="auto"/>
          <w:sz w:val="24"/>
          <w:szCs w:val="28"/>
          <w:highlight w:val="none"/>
        </w:rPr>
      </w:pPr>
      <w:r>
        <w:rPr>
          <w:rFonts w:hint="eastAsia" w:ascii="宋体" w:hAnsi="宋体"/>
          <w:b/>
          <w:bCs/>
          <w:color w:val="auto"/>
          <w:sz w:val="24"/>
          <w:szCs w:val="28"/>
          <w:highlight w:val="none"/>
        </w:rPr>
        <w:t>第八条  规范及技术要求</w:t>
      </w:r>
    </w:p>
    <w:p>
      <w:pPr>
        <w:tabs>
          <w:tab w:val="left" w:pos="1080"/>
        </w:tabs>
        <w:spacing w:line="360" w:lineRule="auto"/>
        <w:ind w:right="171" w:firstLine="241" w:firstLineChars="100"/>
        <w:rPr>
          <w:rFonts w:ascii="宋体" w:hAnsi="宋体"/>
          <w:b/>
          <w:bCs/>
          <w:color w:val="auto"/>
          <w:sz w:val="24"/>
          <w:szCs w:val="28"/>
          <w:highlight w:val="none"/>
        </w:rPr>
      </w:pPr>
      <w:r>
        <w:rPr>
          <w:rFonts w:hint="eastAsia" w:ascii="宋体" w:hAnsi="宋体"/>
          <w:b/>
          <w:bCs/>
          <w:color w:val="auto"/>
          <w:sz w:val="24"/>
          <w:szCs w:val="28"/>
          <w:highlight w:val="none"/>
        </w:rPr>
        <w:t>1、技  术  规  范</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1.1国家现行的有关规范、法规及行业标准；</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1.2应采用的主要设计、施工、检验、评定标准。</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1.3《建筑工程施工质量验收统一标准》        GB50300-2013</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1.4《建筑装饰装修工程质量验收规范》        GB50210-2001</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1.5《河南省工程建设标准设计》              12YJ1~14</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1.6《外墙保温工程技术规程》                JGJ 144-2008 </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1.7《建筑施工安全检查标准》                JGJ59-2011</w:t>
      </w:r>
    </w:p>
    <w:p>
      <w:pPr>
        <w:tabs>
          <w:tab w:val="left" w:pos="1080"/>
        </w:tabs>
        <w:spacing w:line="360" w:lineRule="auto"/>
        <w:ind w:right="171" w:firstLine="240" w:firstLineChars="100"/>
        <w:rPr>
          <w:rFonts w:ascii="宋体" w:hAnsi="宋体"/>
          <w:color w:val="auto"/>
          <w:sz w:val="24"/>
          <w:szCs w:val="28"/>
          <w:highlight w:val="none"/>
        </w:rPr>
      </w:pPr>
      <w:r>
        <w:rPr>
          <w:rFonts w:hint="eastAsia" w:ascii="宋体" w:hAnsi="宋体"/>
          <w:color w:val="auto"/>
          <w:sz w:val="24"/>
          <w:szCs w:val="28"/>
          <w:highlight w:val="none"/>
        </w:rPr>
        <w:t xml:space="preserve"> 1.8《施工现场临时用电安全技术规范》        JGJ46-2005</w:t>
      </w:r>
    </w:p>
    <w:p>
      <w:pPr>
        <w:tabs>
          <w:tab w:val="left" w:pos="1080"/>
        </w:tabs>
        <w:spacing w:line="360" w:lineRule="auto"/>
        <w:ind w:left="240" w:right="171" w:hanging="240" w:hangingChars="100"/>
        <w:rPr>
          <w:rFonts w:ascii="宋体" w:cs="宋体"/>
          <w:color w:val="auto"/>
          <w:sz w:val="24"/>
          <w:highlight w:val="none"/>
        </w:rPr>
      </w:pPr>
      <w:r>
        <w:rPr>
          <w:rFonts w:hint="eastAsia" w:ascii="宋体" w:hAnsi="宋体"/>
          <w:color w:val="auto"/>
          <w:sz w:val="24"/>
          <w:szCs w:val="28"/>
          <w:highlight w:val="none"/>
        </w:rPr>
        <w:t xml:space="preserve">    注明：</w:t>
      </w:r>
      <w:r>
        <w:rPr>
          <w:rFonts w:hint="eastAsia" w:ascii="宋体" w:cs="宋体"/>
          <w:color w:val="auto"/>
          <w:sz w:val="24"/>
          <w:highlight w:val="none"/>
        </w:rPr>
        <w:t>上述标准如有更新，以最新标准为准。其他与本工程有关的现行工程技术、质量评定标准、施工验收标准及规范作为本工程质量评定验收标准。</w:t>
      </w:r>
    </w:p>
    <w:p>
      <w:pPr>
        <w:tabs>
          <w:tab w:val="left" w:pos="1080"/>
        </w:tabs>
        <w:spacing w:line="360" w:lineRule="auto"/>
        <w:ind w:left="239" w:leftChars="114" w:right="171"/>
        <w:rPr>
          <w:rFonts w:ascii="宋体" w:hAnsi="宋体"/>
          <w:b/>
          <w:bCs/>
          <w:color w:val="auto"/>
          <w:sz w:val="24"/>
          <w:szCs w:val="28"/>
          <w:highlight w:val="none"/>
        </w:rPr>
      </w:pPr>
      <w:r>
        <w:rPr>
          <w:rFonts w:hint="eastAsia" w:ascii="宋体" w:hAnsi="宋体"/>
          <w:b/>
          <w:bCs/>
          <w:color w:val="auto"/>
          <w:sz w:val="24"/>
          <w:szCs w:val="28"/>
          <w:highlight w:val="none"/>
        </w:rPr>
        <w:t>2、技 术 要 求</w:t>
      </w:r>
    </w:p>
    <w:p>
      <w:pPr>
        <w:widowControl/>
        <w:spacing w:line="360" w:lineRule="auto"/>
        <w:ind w:firstLine="240" w:firstLineChars="100"/>
        <w:rPr>
          <w:rFonts w:ascii="宋体" w:cs="宋体"/>
          <w:color w:val="auto"/>
          <w:sz w:val="24"/>
          <w:highlight w:val="none"/>
        </w:rPr>
      </w:pPr>
      <w:r>
        <w:rPr>
          <w:rFonts w:hint="eastAsia" w:ascii="宋体" w:cs="宋体"/>
          <w:color w:val="auto"/>
          <w:sz w:val="24"/>
          <w:highlight w:val="none"/>
        </w:rPr>
        <w:t>2.1</w:t>
      </w:r>
      <w:r>
        <w:rPr>
          <w:rFonts w:hint="eastAsia" w:ascii="宋体" w:cs="宋体"/>
          <w:color w:val="auto"/>
          <w:sz w:val="24"/>
          <w:highlight w:val="none"/>
          <w:lang w:eastAsia="zh-CN"/>
        </w:rPr>
        <w:t>进场前提供主要材料封样，</w:t>
      </w:r>
      <w:r>
        <w:rPr>
          <w:rFonts w:hint="eastAsia" w:ascii="宋体" w:hAnsi="宋体" w:eastAsia="宋体" w:cs="宋体"/>
          <w:color w:val="auto"/>
          <w:sz w:val="24"/>
          <w:highlight w:val="none"/>
          <w:lang w:eastAsia="zh-CN"/>
        </w:rPr>
        <w:t>按设计部确认的样板（项目要求提供浅于样板色、原样板色、深于样板色的三种颜色展板），要求材料含量必须满足所报品牌厂家规定含量标准</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同时进场前</w:t>
      </w:r>
      <w:r>
        <w:rPr>
          <w:rFonts w:hint="eastAsia" w:ascii="宋体" w:hAnsi="宋体" w:cs="宋体"/>
          <w:color w:val="auto"/>
          <w:sz w:val="24"/>
          <w:highlight w:val="none"/>
        </w:rPr>
        <w:t>先做现场实体样板，</w:t>
      </w:r>
      <w:r>
        <w:rPr>
          <w:rFonts w:hint="eastAsia" w:ascii="宋体" w:hAnsi="宋体" w:eastAsia="宋体" w:cs="宋体"/>
          <w:color w:val="auto"/>
          <w:sz w:val="24"/>
          <w:highlight w:val="none"/>
          <w:lang w:val="en-US" w:eastAsia="zh-CN"/>
        </w:rPr>
        <w:t>6月</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lang w:val="en-US" w:eastAsia="zh-CN"/>
        </w:rPr>
        <w:t>日现场具备条件后做不少于三层的东立面或西立面的实体样板</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经甲方验收合格后方可按验收合格样板的工艺和涂布率进行大面积施工，</w:t>
      </w:r>
      <w:r>
        <w:rPr>
          <w:rFonts w:hint="eastAsia" w:ascii="宋体" w:hAnsi="宋体" w:eastAsia="宋体" w:cs="宋体"/>
          <w:color w:val="auto"/>
          <w:sz w:val="24"/>
          <w:highlight w:val="none"/>
          <w:lang w:eastAsia="zh-CN"/>
        </w:rPr>
        <w:t>项目公司在</w:t>
      </w:r>
      <w:r>
        <w:rPr>
          <w:rFonts w:hint="eastAsia" w:ascii="宋体" w:hAnsi="宋体" w:cs="宋体"/>
          <w:color w:val="auto"/>
          <w:sz w:val="24"/>
          <w:highlight w:val="none"/>
        </w:rPr>
        <w:t>施工中项目需严格控制</w:t>
      </w:r>
      <w:r>
        <w:rPr>
          <w:rFonts w:hint="eastAsia" w:ascii="宋体" w:hAnsi="宋体" w:eastAsia="宋体" w:cs="宋体"/>
          <w:color w:val="auto"/>
          <w:sz w:val="24"/>
          <w:highlight w:val="none"/>
          <w:lang w:eastAsia="zh-CN"/>
        </w:rPr>
        <w:t>以上单位</w:t>
      </w:r>
      <w:r>
        <w:rPr>
          <w:rFonts w:hint="eastAsia" w:ascii="宋体" w:hAnsi="宋体" w:cs="宋体"/>
          <w:color w:val="auto"/>
          <w:sz w:val="24"/>
          <w:highlight w:val="none"/>
        </w:rPr>
        <w:t>施工质量</w:t>
      </w:r>
      <w:r>
        <w:rPr>
          <w:rFonts w:hint="eastAsia" w:ascii="宋体" w:hAnsi="宋体" w:eastAsia="宋体" w:cs="宋体"/>
          <w:color w:val="auto"/>
          <w:sz w:val="24"/>
          <w:highlight w:val="none"/>
          <w:lang w:eastAsia="zh-CN"/>
        </w:rPr>
        <w:t>及工艺</w:t>
      </w:r>
      <w:r>
        <w:rPr>
          <w:rFonts w:hint="eastAsia" w:ascii="宋体" w:hAnsi="宋体" w:cs="宋体"/>
          <w:color w:val="auto"/>
          <w:sz w:val="24"/>
          <w:highlight w:val="none"/>
        </w:rPr>
        <w:t>。</w:t>
      </w:r>
    </w:p>
    <w:p>
      <w:pPr>
        <w:widowControl/>
        <w:spacing w:line="360" w:lineRule="auto"/>
        <w:ind w:firstLine="240" w:firstLineChars="100"/>
        <w:rPr>
          <w:rFonts w:ascii="宋体" w:cs="宋体"/>
          <w:color w:val="auto"/>
          <w:sz w:val="24"/>
          <w:highlight w:val="none"/>
        </w:rPr>
      </w:pPr>
      <w:r>
        <w:rPr>
          <w:rFonts w:hint="eastAsia" w:ascii="宋体" w:cs="宋体"/>
          <w:color w:val="auto"/>
          <w:sz w:val="24"/>
          <w:highlight w:val="none"/>
        </w:rPr>
        <w:t>2.2经甲方认可颜色后，需上墙制作实体样板，并以此为标准进行整栋楼的检查及验收。</w:t>
      </w:r>
    </w:p>
    <w:p>
      <w:pPr>
        <w:widowControl/>
        <w:spacing w:line="360" w:lineRule="auto"/>
        <w:ind w:firstLine="240" w:firstLineChars="100"/>
        <w:rPr>
          <w:rFonts w:ascii="宋体" w:cs="宋体"/>
          <w:color w:val="auto"/>
          <w:sz w:val="24"/>
          <w:highlight w:val="none"/>
        </w:rPr>
      </w:pPr>
      <w:r>
        <w:rPr>
          <w:rFonts w:hint="eastAsia" w:ascii="宋体" w:cs="宋体"/>
          <w:color w:val="auto"/>
          <w:sz w:val="24"/>
          <w:highlight w:val="none"/>
        </w:rPr>
        <w:t>2.3分割图设计：乙方在接到中标通知书后，十日内将各楼宇的外墙漆施工分割方案</w:t>
      </w:r>
      <w:r>
        <w:rPr>
          <w:rFonts w:hint="eastAsia" w:ascii="宋体" w:cs="宋体"/>
          <w:color w:val="auto"/>
          <w:sz w:val="24"/>
          <w:highlight w:val="none"/>
          <w:lang w:eastAsia="zh-CN"/>
        </w:rPr>
        <w:t>，</w:t>
      </w:r>
      <w:r>
        <w:rPr>
          <w:rFonts w:hint="eastAsia" w:ascii="宋体" w:cs="宋体"/>
          <w:color w:val="auto"/>
          <w:sz w:val="24"/>
          <w:highlight w:val="none"/>
          <w:lang w:val="en-US" w:eastAsia="zh-CN"/>
        </w:rPr>
        <w:t>按照招标资料分缝示意要求</w:t>
      </w:r>
      <w:r>
        <w:rPr>
          <w:rFonts w:hint="eastAsia" w:ascii="宋体" w:cs="宋体"/>
          <w:color w:val="auto"/>
          <w:sz w:val="24"/>
          <w:highlight w:val="none"/>
        </w:rPr>
        <w:t>提交我司，在我司审核确定后，按确定分割方案进行施工。</w:t>
      </w:r>
    </w:p>
    <w:p>
      <w:pPr>
        <w:pStyle w:val="2"/>
        <w:rPr>
          <w:rFonts w:hint="eastAsia"/>
          <w:b w:val="0"/>
          <w:bCs/>
          <w:color w:val="auto"/>
          <w:highlight w:val="none"/>
        </w:rPr>
      </w:pPr>
      <w:r>
        <w:rPr>
          <w:rFonts w:hint="eastAsia" w:ascii="宋体" w:cs="宋体"/>
          <w:color w:val="auto"/>
          <w:sz w:val="24"/>
          <w:highlight w:val="none"/>
        </w:rPr>
        <w:t>2.4外墙漆工程各涂层厚度适中，喷涂丰满、平整，光泽统一，饰面美观，投标方应完全遵循以下技术要求，并在施工过程中严格按照步骤进行。</w:t>
      </w:r>
      <w:r>
        <w:rPr>
          <w:rFonts w:hint="eastAsia"/>
          <w:b w:val="0"/>
          <w:bCs/>
          <w:color w:val="auto"/>
          <w:highlight w:val="none"/>
        </w:rPr>
        <w:t>（1）喷涂</w:t>
      </w:r>
      <w:r>
        <w:rPr>
          <w:rFonts w:hint="eastAsia"/>
          <w:b w:val="0"/>
          <w:bCs/>
          <w:color w:val="auto"/>
          <w:highlight w:val="none"/>
          <w:lang w:val="en-US" w:eastAsia="zh-CN"/>
        </w:rPr>
        <w:t>岩彩</w:t>
      </w:r>
      <w:r>
        <w:rPr>
          <w:rFonts w:hint="eastAsia"/>
          <w:b w:val="0"/>
          <w:bCs/>
          <w:color w:val="auto"/>
          <w:highlight w:val="none"/>
        </w:rPr>
        <w:t>漆</w:t>
      </w:r>
    </w:p>
    <w:tbl>
      <w:tblPr>
        <w:tblStyle w:val="23"/>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84"/>
        <w:gridCol w:w="1418"/>
        <w:gridCol w:w="113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11"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工序</w:t>
            </w:r>
          </w:p>
        </w:tc>
        <w:tc>
          <w:tcPr>
            <w:tcW w:w="1984"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涂料名称</w:t>
            </w:r>
          </w:p>
        </w:tc>
        <w:tc>
          <w:tcPr>
            <w:tcW w:w="1418"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涂装方式</w:t>
            </w:r>
          </w:p>
        </w:tc>
        <w:tc>
          <w:tcPr>
            <w:tcW w:w="1134"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涂装</w:t>
            </w:r>
          </w:p>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道数</w:t>
            </w:r>
          </w:p>
        </w:tc>
        <w:tc>
          <w:tcPr>
            <w:tcW w:w="2693"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基层找平</w:t>
            </w:r>
          </w:p>
        </w:tc>
        <w:tc>
          <w:tcPr>
            <w:tcW w:w="1984" w:type="dxa"/>
            <w:vAlign w:val="center"/>
          </w:tcPr>
          <w:p>
            <w:pPr>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外墙耐水腻子</w:t>
            </w:r>
          </w:p>
        </w:tc>
        <w:tc>
          <w:tcPr>
            <w:tcW w:w="1418" w:type="dxa"/>
            <w:vAlign w:val="center"/>
          </w:tcPr>
          <w:p>
            <w:pPr>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刮涂</w:t>
            </w:r>
          </w:p>
        </w:tc>
        <w:tc>
          <w:tcPr>
            <w:tcW w:w="1134" w:type="dxa"/>
            <w:vAlign w:val="center"/>
          </w:tcPr>
          <w:p>
            <w:pPr>
              <w:widowControl/>
              <w:jc w:val="center"/>
              <w:rPr>
                <w:rFonts w:asciiTheme="majorEastAsia" w:hAnsiTheme="majorEastAsia" w:eastAsiaTheme="majorEastAsia" w:cstheme="majorEastAsia"/>
                <w:color w:val="auto"/>
                <w:szCs w:val="21"/>
                <w:highlight w:val="none"/>
              </w:rPr>
            </w:pPr>
            <w:r>
              <w:rPr>
                <w:rFonts w:asciiTheme="majorEastAsia" w:hAnsiTheme="majorEastAsia" w:eastAsiaTheme="majorEastAsia" w:cstheme="majorEastAsia"/>
                <w:color w:val="auto"/>
                <w:szCs w:val="21"/>
                <w:highlight w:val="none"/>
              </w:rPr>
              <w:t>1-2</w:t>
            </w:r>
          </w:p>
        </w:tc>
        <w:tc>
          <w:tcPr>
            <w:tcW w:w="2693" w:type="dxa"/>
            <w:vAlign w:val="center"/>
          </w:tcPr>
          <w:p>
            <w:pPr>
              <w:widowControl/>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实际耗量与墙体的平整度有差异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底漆</w:t>
            </w:r>
          </w:p>
        </w:tc>
        <w:tc>
          <w:tcPr>
            <w:tcW w:w="1984" w:type="dxa"/>
            <w:vAlign w:val="center"/>
          </w:tcPr>
          <w:p>
            <w:pPr>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封闭抗碱底漆</w:t>
            </w:r>
          </w:p>
        </w:tc>
        <w:tc>
          <w:tcPr>
            <w:tcW w:w="1418" w:type="dxa"/>
            <w:vAlign w:val="center"/>
          </w:tcPr>
          <w:p>
            <w:pPr>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辊涂</w:t>
            </w:r>
          </w:p>
        </w:tc>
        <w:tc>
          <w:tcPr>
            <w:tcW w:w="1134"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2693" w:type="dxa"/>
            <w:vAlign w:val="center"/>
          </w:tcPr>
          <w:p>
            <w:pPr>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实际耗量与墙体的粗糙度有差异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中涂</w:t>
            </w:r>
          </w:p>
        </w:tc>
        <w:tc>
          <w:tcPr>
            <w:tcW w:w="1984" w:type="dxa"/>
            <w:vAlign w:val="center"/>
          </w:tcPr>
          <w:p>
            <w:pPr>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color w:val="auto"/>
                <w:szCs w:val="21"/>
                <w:highlight w:val="none"/>
              </w:rPr>
              <w:t>真石面漆</w:t>
            </w:r>
          </w:p>
        </w:tc>
        <w:tc>
          <w:tcPr>
            <w:tcW w:w="1418"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喷涂</w:t>
            </w:r>
          </w:p>
        </w:tc>
        <w:tc>
          <w:tcPr>
            <w:tcW w:w="1134"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w:t>
            </w:r>
          </w:p>
        </w:tc>
        <w:tc>
          <w:tcPr>
            <w:tcW w:w="2693" w:type="dxa"/>
            <w:vAlign w:val="center"/>
          </w:tcPr>
          <w:p>
            <w:pPr>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实际耗量与效果和厚度有差异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罩面清漆</w:t>
            </w:r>
          </w:p>
        </w:tc>
        <w:tc>
          <w:tcPr>
            <w:tcW w:w="1984" w:type="dxa"/>
            <w:vAlign w:val="center"/>
          </w:tcPr>
          <w:p>
            <w:pPr>
              <w:widowControl/>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Cs/>
                <w:color w:val="auto"/>
                <w:szCs w:val="21"/>
                <w:highlight w:val="none"/>
              </w:rPr>
              <w:t>耐沾污罩面清漆</w:t>
            </w:r>
          </w:p>
        </w:tc>
        <w:tc>
          <w:tcPr>
            <w:tcW w:w="1418"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辊涂</w:t>
            </w:r>
          </w:p>
        </w:tc>
        <w:tc>
          <w:tcPr>
            <w:tcW w:w="1134"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2693" w:type="dxa"/>
            <w:vAlign w:val="center"/>
          </w:tcPr>
          <w:p>
            <w:pPr>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实际耗量与表面粗糙度有差异</w:t>
            </w:r>
          </w:p>
        </w:tc>
      </w:tr>
    </w:tbl>
    <w:p>
      <w:pPr>
        <w:pStyle w:val="2"/>
        <w:rPr>
          <w:rFonts w:hint="default"/>
          <w:b w:val="0"/>
          <w:bCs/>
          <w:color w:val="auto"/>
          <w:highlight w:val="none"/>
        </w:rPr>
      </w:pPr>
      <w:r>
        <w:rPr>
          <w:rFonts w:hint="eastAsia"/>
          <w:b w:val="0"/>
          <w:bCs/>
          <w:color w:val="auto"/>
          <w:highlight w:val="none"/>
        </w:rPr>
        <w:t>（</w:t>
      </w:r>
      <w:r>
        <w:rPr>
          <w:b w:val="0"/>
          <w:bCs/>
          <w:color w:val="auto"/>
          <w:highlight w:val="none"/>
        </w:rPr>
        <w:t>2</w:t>
      </w:r>
      <w:r>
        <w:rPr>
          <w:rFonts w:hint="eastAsia"/>
          <w:b w:val="0"/>
          <w:bCs/>
          <w:color w:val="auto"/>
          <w:highlight w:val="none"/>
        </w:rPr>
        <w:t>）平涂乳胶漆</w:t>
      </w:r>
      <w:r>
        <w:rPr>
          <w:rFonts w:hint="eastAsia"/>
          <w:b w:val="0"/>
          <w:bCs/>
          <w:color w:val="auto"/>
          <w:highlight w:val="none"/>
          <w:lang w:val="en-US" w:eastAsia="zh-CN"/>
        </w:rPr>
        <w:t>改为岩彩漆</w:t>
      </w:r>
    </w:p>
    <w:tbl>
      <w:tblPr>
        <w:tblStyle w:val="23"/>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84"/>
        <w:gridCol w:w="1418"/>
        <w:gridCol w:w="113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11"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工序</w:t>
            </w:r>
          </w:p>
        </w:tc>
        <w:tc>
          <w:tcPr>
            <w:tcW w:w="1984"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涂料名称</w:t>
            </w:r>
          </w:p>
        </w:tc>
        <w:tc>
          <w:tcPr>
            <w:tcW w:w="1418"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涂装方式</w:t>
            </w:r>
          </w:p>
        </w:tc>
        <w:tc>
          <w:tcPr>
            <w:tcW w:w="1134"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涂装</w:t>
            </w:r>
          </w:p>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道数</w:t>
            </w:r>
          </w:p>
        </w:tc>
        <w:tc>
          <w:tcPr>
            <w:tcW w:w="2693"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基层找平</w:t>
            </w:r>
          </w:p>
        </w:tc>
        <w:tc>
          <w:tcPr>
            <w:tcW w:w="1984" w:type="dxa"/>
            <w:vAlign w:val="center"/>
          </w:tcPr>
          <w:p>
            <w:pPr>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外墙耐水腻子</w:t>
            </w:r>
          </w:p>
        </w:tc>
        <w:tc>
          <w:tcPr>
            <w:tcW w:w="1418" w:type="dxa"/>
            <w:vAlign w:val="center"/>
          </w:tcPr>
          <w:p>
            <w:pPr>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刮涂</w:t>
            </w:r>
          </w:p>
        </w:tc>
        <w:tc>
          <w:tcPr>
            <w:tcW w:w="1134" w:type="dxa"/>
            <w:vAlign w:val="center"/>
          </w:tcPr>
          <w:p>
            <w:pPr>
              <w:widowControl/>
              <w:jc w:val="center"/>
              <w:rPr>
                <w:rFonts w:asciiTheme="majorEastAsia" w:hAnsiTheme="majorEastAsia" w:eastAsiaTheme="majorEastAsia" w:cstheme="majorEastAsia"/>
                <w:color w:val="auto"/>
                <w:szCs w:val="21"/>
                <w:highlight w:val="none"/>
              </w:rPr>
            </w:pPr>
            <w:r>
              <w:rPr>
                <w:rFonts w:asciiTheme="majorEastAsia" w:hAnsiTheme="majorEastAsia" w:eastAsiaTheme="majorEastAsia" w:cstheme="majorEastAsia"/>
                <w:color w:val="auto"/>
                <w:szCs w:val="21"/>
                <w:highlight w:val="none"/>
              </w:rPr>
              <w:t>1-2</w:t>
            </w:r>
          </w:p>
        </w:tc>
        <w:tc>
          <w:tcPr>
            <w:tcW w:w="2693" w:type="dxa"/>
            <w:vAlign w:val="center"/>
          </w:tcPr>
          <w:p>
            <w:pPr>
              <w:widowControl/>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实际耗量与墙体的平整度有差异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底漆</w:t>
            </w:r>
          </w:p>
        </w:tc>
        <w:tc>
          <w:tcPr>
            <w:tcW w:w="1984" w:type="dxa"/>
            <w:vAlign w:val="center"/>
          </w:tcPr>
          <w:p>
            <w:pPr>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封闭抗碱底漆（乳胶漆用）</w:t>
            </w:r>
          </w:p>
        </w:tc>
        <w:tc>
          <w:tcPr>
            <w:tcW w:w="1418" w:type="dxa"/>
            <w:vAlign w:val="center"/>
          </w:tcPr>
          <w:p>
            <w:pPr>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辊涂</w:t>
            </w:r>
          </w:p>
        </w:tc>
        <w:tc>
          <w:tcPr>
            <w:tcW w:w="1134"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2693" w:type="dxa"/>
            <w:vAlign w:val="center"/>
          </w:tcPr>
          <w:p>
            <w:pPr>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实际耗量与墙体的粗糙度有差异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面漆</w:t>
            </w:r>
          </w:p>
        </w:tc>
        <w:tc>
          <w:tcPr>
            <w:tcW w:w="1984" w:type="dxa"/>
            <w:vAlign w:val="center"/>
          </w:tcPr>
          <w:p>
            <w:pPr>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color w:val="auto"/>
                <w:szCs w:val="21"/>
                <w:highlight w:val="none"/>
              </w:rPr>
              <w:t>乳胶面漆</w:t>
            </w:r>
          </w:p>
        </w:tc>
        <w:tc>
          <w:tcPr>
            <w:tcW w:w="1418"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平涂</w:t>
            </w:r>
          </w:p>
        </w:tc>
        <w:tc>
          <w:tcPr>
            <w:tcW w:w="1134"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w:t>
            </w:r>
          </w:p>
        </w:tc>
        <w:tc>
          <w:tcPr>
            <w:tcW w:w="2693" w:type="dxa"/>
            <w:vAlign w:val="center"/>
          </w:tcPr>
          <w:p>
            <w:pPr>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实际耗量与效果和厚度有差异</w:t>
            </w:r>
          </w:p>
        </w:tc>
      </w:tr>
    </w:tbl>
    <w:p>
      <w:pPr>
        <w:widowControl/>
        <w:spacing w:line="360" w:lineRule="auto"/>
        <w:rPr>
          <w:rFonts w:hint="eastAsia" w:asciiTheme="majorEastAsia" w:hAnsiTheme="majorEastAsia" w:eastAsiaTheme="majorEastAsia" w:cstheme="majorEastAsia"/>
          <w:color w:val="auto"/>
          <w:sz w:val="24"/>
          <w:highlight w:val="none"/>
        </w:rPr>
      </w:pPr>
    </w:p>
    <w:p>
      <w:pPr>
        <w:widowControl/>
        <w:spacing w:line="360" w:lineRule="auto"/>
        <w:ind w:firstLine="60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5、施工工序构成：</w:t>
      </w:r>
    </w:p>
    <w:tbl>
      <w:tblPr>
        <w:tblStyle w:val="23"/>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6"/>
        <w:gridCol w:w="1584"/>
        <w:gridCol w:w="7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工序</w:t>
            </w:r>
          </w:p>
        </w:tc>
        <w:tc>
          <w:tcPr>
            <w:tcW w:w="1584"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工序及材料名称</w:t>
            </w:r>
          </w:p>
        </w:tc>
        <w:tc>
          <w:tcPr>
            <w:tcW w:w="7674" w:type="dxa"/>
            <w:tcMar>
              <w:top w:w="20" w:type="dxa"/>
              <w:left w:w="20" w:type="dxa"/>
              <w:bottom w:w="0" w:type="dxa"/>
              <w:right w:w="20" w:type="dxa"/>
            </w:tcMar>
            <w:vAlign w:val="center"/>
          </w:tcPr>
          <w:p>
            <w:pPr>
              <w:ind w:firstLine="2940" w:firstLineChars="1400"/>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施工工艺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1</w:t>
            </w:r>
          </w:p>
        </w:tc>
        <w:tc>
          <w:tcPr>
            <w:tcW w:w="1584" w:type="dxa"/>
            <w:tcMar>
              <w:top w:w="20" w:type="dxa"/>
              <w:left w:w="20" w:type="dxa"/>
              <w:bottom w:w="0" w:type="dxa"/>
              <w:right w:w="20" w:type="dxa"/>
            </w:tcMar>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基层检查</w:t>
            </w:r>
          </w:p>
        </w:tc>
        <w:tc>
          <w:tcPr>
            <w:tcW w:w="7674" w:type="dxa"/>
            <w:tcMar>
              <w:top w:w="20" w:type="dxa"/>
              <w:left w:w="20" w:type="dxa"/>
              <w:bottom w:w="0" w:type="dxa"/>
              <w:right w:w="20" w:type="dxa"/>
            </w:tcMar>
            <w:vAlign w:val="center"/>
          </w:tcPr>
          <w:p>
            <w:pP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基层需符合</w:t>
            </w:r>
            <w:r>
              <w:rPr>
                <w:rFonts w:hint="eastAsia" w:asciiTheme="majorEastAsia" w:hAnsiTheme="majorEastAsia" w:eastAsiaTheme="majorEastAsia" w:cstheme="majorEastAsia"/>
                <w:b/>
                <w:color w:val="auto"/>
                <w:szCs w:val="21"/>
                <w:highlight w:val="none"/>
              </w:rPr>
              <w:t>基层一般条件要求</w:t>
            </w:r>
            <w:r>
              <w:rPr>
                <w:rFonts w:hint="eastAsia" w:asciiTheme="majorEastAsia" w:hAnsiTheme="majorEastAsia" w:eastAsiaTheme="majorEastAsia" w:cstheme="majorEastAsia"/>
                <w:color w:val="auto"/>
                <w:szCs w:val="21"/>
                <w:highlight w:val="none"/>
              </w:rPr>
              <w:t>中的相关要求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2</w:t>
            </w:r>
          </w:p>
        </w:tc>
        <w:tc>
          <w:tcPr>
            <w:tcW w:w="1584" w:type="dxa"/>
            <w:tcMar>
              <w:top w:w="20" w:type="dxa"/>
              <w:left w:w="20" w:type="dxa"/>
              <w:bottom w:w="0" w:type="dxa"/>
              <w:right w:w="20" w:type="dxa"/>
            </w:tcMar>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基层局部打磨修补</w:t>
            </w:r>
          </w:p>
        </w:tc>
        <w:tc>
          <w:tcPr>
            <w:tcW w:w="7674" w:type="dxa"/>
            <w:tcMar>
              <w:top w:w="20" w:type="dxa"/>
              <w:left w:w="20" w:type="dxa"/>
              <w:bottom w:w="0" w:type="dxa"/>
              <w:right w:w="20" w:type="dxa"/>
            </w:tcMar>
            <w:vAlign w:val="center"/>
          </w:tcPr>
          <w:p>
            <w:pP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对于局部高出部位用角磨机打磨平整。部分存在偏差较大的凹陷、和脚手孔洞及部分掉角要提前用聚合物抗裂砂浆修补。对开裂空鼓面积超过200cm</w:t>
            </w:r>
            <w:r>
              <w:rPr>
                <w:rFonts w:hint="eastAsia" w:asciiTheme="majorEastAsia" w:hAnsiTheme="majorEastAsia" w:eastAsiaTheme="majorEastAsia" w:cstheme="majorEastAsia"/>
                <w:color w:val="auto"/>
                <w:szCs w:val="21"/>
                <w:highlight w:val="none"/>
                <w:vertAlign w:val="superscript"/>
              </w:rPr>
              <w:t>2</w:t>
            </w:r>
            <w:r>
              <w:rPr>
                <w:rFonts w:hint="eastAsia" w:asciiTheme="majorEastAsia" w:hAnsiTheme="majorEastAsia" w:eastAsiaTheme="majorEastAsia" w:cstheme="majorEastAsia"/>
                <w:color w:val="auto"/>
                <w:szCs w:val="21"/>
                <w:highlight w:val="none"/>
              </w:rPr>
              <w:t>的部位需打掉重新粘贴保温板、网格布，用聚合物抗裂砂浆抹平。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3</w:t>
            </w:r>
          </w:p>
        </w:tc>
        <w:tc>
          <w:tcPr>
            <w:tcW w:w="1584" w:type="dxa"/>
            <w:tcMar>
              <w:top w:w="20" w:type="dxa"/>
              <w:left w:w="20" w:type="dxa"/>
              <w:bottom w:w="0" w:type="dxa"/>
              <w:right w:w="20" w:type="dxa"/>
            </w:tcMar>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腻子打磨</w:t>
            </w:r>
          </w:p>
        </w:tc>
        <w:tc>
          <w:tcPr>
            <w:tcW w:w="7674" w:type="dxa"/>
            <w:tcMar>
              <w:top w:w="20" w:type="dxa"/>
              <w:left w:w="20" w:type="dxa"/>
              <w:bottom w:w="0" w:type="dxa"/>
              <w:right w:w="20" w:type="dxa"/>
            </w:tcMar>
            <w:vAlign w:val="center"/>
          </w:tcPr>
          <w:p>
            <w:pP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腻子干燥后用240目左右砂布打磨，确保墙面的平整度。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4</w:t>
            </w:r>
          </w:p>
        </w:tc>
        <w:tc>
          <w:tcPr>
            <w:tcW w:w="1584" w:type="dxa"/>
            <w:tcMar>
              <w:top w:w="20" w:type="dxa"/>
              <w:left w:w="20" w:type="dxa"/>
              <w:bottom w:w="0" w:type="dxa"/>
              <w:right w:w="20" w:type="dxa"/>
            </w:tcMar>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涂装封闭抗碱底漆</w:t>
            </w:r>
          </w:p>
        </w:tc>
        <w:tc>
          <w:tcPr>
            <w:tcW w:w="7674" w:type="dxa"/>
            <w:tcMar>
              <w:top w:w="20" w:type="dxa"/>
              <w:left w:w="20" w:type="dxa"/>
              <w:bottom w:w="0" w:type="dxa"/>
              <w:right w:w="20" w:type="dxa"/>
            </w:tcMar>
            <w:vAlign w:val="center"/>
          </w:tcPr>
          <w:p>
            <w:pP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腻子彻底干燥磨平后，涂装一道</w:t>
            </w:r>
            <w:r>
              <w:rPr>
                <w:rFonts w:hint="eastAsia" w:asciiTheme="majorEastAsia" w:hAnsiTheme="majorEastAsia" w:eastAsiaTheme="majorEastAsia" w:cstheme="majorEastAsia"/>
                <w:bCs/>
                <w:color w:val="auto"/>
                <w:szCs w:val="21"/>
                <w:highlight w:val="none"/>
              </w:rPr>
              <w:t>封闭底漆</w:t>
            </w:r>
            <w:r>
              <w:rPr>
                <w:rFonts w:hint="eastAsia" w:asciiTheme="majorEastAsia" w:hAnsiTheme="majorEastAsia" w:eastAsiaTheme="majorEastAsia" w:cstheme="majorEastAsia"/>
                <w:color w:val="auto"/>
                <w:szCs w:val="21"/>
                <w:highlight w:val="none"/>
              </w:rPr>
              <w:t>，涂装时漆膜厚度控制要均匀，门窗边角、分格缝处要涂装到位，不流挂，不少涂、不漏涂。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5</w:t>
            </w:r>
          </w:p>
        </w:tc>
        <w:tc>
          <w:tcPr>
            <w:tcW w:w="1584" w:type="dxa"/>
            <w:vAlign w:val="center"/>
          </w:tcPr>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弹线分格、涂装分缝漆</w:t>
            </w:r>
          </w:p>
        </w:tc>
        <w:tc>
          <w:tcPr>
            <w:tcW w:w="7674" w:type="dxa"/>
            <w:vAlign w:val="center"/>
          </w:tcPr>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底漆完全实干后，按设计要求分格弹线，沿分格线涂装分缝漆（非弹性水性乳胶漆）1道。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06" w:type="dxa"/>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6</w:t>
            </w:r>
          </w:p>
        </w:tc>
        <w:tc>
          <w:tcPr>
            <w:tcW w:w="1584" w:type="dxa"/>
            <w:vAlign w:val="center"/>
          </w:tcPr>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粘贴分色纸</w:t>
            </w:r>
          </w:p>
        </w:tc>
        <w:tc>
          <w:tcPr>
            <w:tcW w:w="7674" w:type="dxa"/>
            <w:vAlign w:val="center"/>
          </w:tcPr>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分缝漆干燥后，沿弹好的分格线粘贴分色美纹纸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606" w:type="dxa"/>
            <w:vAlign w:val="center"/>
          </w:tcPr>
          <w:p>
            <w:pPr>
              <w:jc w:val="center"/>
              <w:rPr>
                <w:rFonts w:hint="eastAsia" w:asciiTheme="majorEastAsia" w:hAnsiTheme="majorEastAsia" w:eastAsiaTheme="majorEastAsia" w:cstheme="majorEastAsia"/>
                <w:bCs/>
                <w:color w:val="auto"/>
                <w:szCs w:val="21"/>
                <w:highlight w:val="none"/>
                <w:lang w:eastAsia="zh-CN"/>
              </w:rPr>
            </w:pPr>
            <w:r>
              <w:rPr>
                <w:rFonts w:hint="eastAsia" w:asciiTheme="majorEastAsia" w:hAnsiTheme="majorEastAsia" w:eastAsiaTheme="majorEastAsia" w:cstheme="majorEastAsia"/>
                <w:bCs/>
                <w:color w:val="auto"/>
                <w:szCs w:val="21"/>
                <w:highlight w:val="none"/>
                <w:lang w:val="en-US" w:eastAsia="zh-CN"/>
              </w:rPr>
              <w:t>7</w:t>
            </w:r>
          </w:p>
        </w:tc>
        <w:tc>
          <w:tcPr>
            <w:tcW w:w="1584" w:type="dxa"/>
            <w:vAlign w:val="center"/>
          </w:tcPr>
          <w:p>
            <w:pPr>
              <w:tabs>
                <w:tab w:val="left" w:pos="540"/>
                <w:tab w:val="left" w:pos="1222"/>
              </w:tabs>
              <w:rPr>
                <w:rFonts w:hint="eastAsia" w:asciiTheme="majorEastAsia" w:hAnsiTheme="majorEastAsia" w:eastAsiaTheme="majorEastAsia" w:cstheme="majorEastAsia"/>
                <w:bCs/>
                <w:color w:val="auto"/>
                <w:szCs w:val="21"/>
                <w:highlight w:val="none"/>
                <w:lang w:eastAsia="zh-CN"/>
              </w:rPr>
            </w:pPr>
            <w:r>
              <w:rPr>
                <w:rFonts w:hint="eastAsia" w:asciiTheme="majorEastAsia" w:hAnsiTheme="majorEastAsia" w:eastAsiaTheme="majorEastAsia" w:cstheme="majorEastAsia"/>
                <w:bCs/>
                <w:color w:val="auto"/>
                <w:szCs w:val="21"/>
                <w:highlight w:val="none"/>
              </w:rPr>
              <w:t>喷涂</w:t>
            </w:r>
            <w:r>
              <w:rPr>
                <w:rFonts w:hint="eastAsia" w:asciiTheme="majorEastAsia" w:hAnsiTheme="majorEastAsia" w:eastAsiaTheme="majorEastAsia" w:cstheme="majorEastAsia"/>
                <w:bCs/>
                <w:color w:val="auto"/>
                <w:szCs w:val="21"/>
                <w:highlight w:val="none"/>
                <w:lang w:val="en-US" w:eastAsia="zh-CN"/>
              </w:rPr>
              <w:t>岩彩漆</w:t>
            </w:r>
          </w:p>
        </w:tc>
        <w:tc>
          <w:tcPr>
            <w:tcW w:w="7674" w:type="dxa"/>
            <w:vAlign w:val="center"/>
          </w:tcPr>
          <w:p>
            <w:pPr>
              <w:spacing w:line="276" w:lineRule="auto"/>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1.需用专用喷枪喷涂（压力罐喷枪），喷涂压力一般控制在1-2kg/cm</w:t>
            </w:r>
            <w:r>
              <w:rPr>
                <w:rFonts w:hint="eastAsia" w:asciiTheme="majorEastAsia" w:hAnsiTheme="majorEastAsia" w:eastAsiaTheme="majorEastAsia" w:cstheme="majorEastAsia"/>
                <w:color w:val="auto"/>
                <w:szCs w:val="21"/>
                <w:highlight w:val="none"/>
                <w:vertAlign w:val="superscript"/>
              </w:rPr>
              <w:t>2</w:t>
            </w:r>
            <w:r>
              <w:rPr>
                <w:rFonts w:hint="eastAsia" w:asciiTheme="majorEastAsia" w:hAnsiTheme="majorEastAsia" w:eastAsiaTheme="majorEastAsia" w:cstheme="majorEastAsia"/>
                <w:color w:val="auto"/>
                <w:szCs w:val="21"/>
                <w:highlight w:val="none"/>
              </w:rPr>
              <w:t>；</w:t>
            </w:r>
          </w:p>
          <w:p>
            <w:pPr>
              <w:spacing w:line="276" w:lineRule="auto"/>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w:t>
            </w:r>
            <w:r>
              <w:rPr>
                <w:rFonts w:hint="eastAsia" w:asciiTheme="majorEastAsia" w:hAnsiTheme="majorEastAsia" w:eastAsiaTheme="majorEastAsia" w:cstheme="majorEastAsia"/>
                <w:color w:val="auto"/>
                <w:szCs w:val="21"/>
                <w:highlight w:val="none"/>
                <w:lang w:val="en-US" w:eastAsia="zh-CN"/>
              </w:rPr>
              <w:t>岩彩漆</w:t>
            </w:r>
            <w:r>
              <w:rPr>
                <w:rFonts w:hint="eastAsia" w:asciiTheme="majorEastAsia" w:hAnsiTheme="majorEastAsia" w:eastAsiaTheme="majorEastAsia" w:cstheme="majorEastAsia"/>
                <w:color w:val="auto"/>
                <w:szCs w:val="21"/>
                <w:highlight w:val="none"/>
              </w:rPr>
              <w:t>一般无需稀释，可轻轻摇晃</w:t>
            </w:r>
            <w:r>
              <w:rPr>
                <w:rFonts w:hint="eastAsia" w:asciiTheme="majorEastAsia" w:hAnsiTheme="majorEastAsia" w:eastAsiaTheme="majorEastAsia" w:cstheme="majorEastAsia"/>
                <w:color w:val="auto"/>
                <w:szCs w:val="21"/>
                <w:highlight w:val="none"/>
                <w:lang w:val="en-US" w:eastAsia="zh-CN"/>
              </w:rPr>
              <w:t>漆</w:t>
            </w:r>
            <w:r>
              <w:rPr>
                <w:rFonts w:hint="eastAsia" w:asciiTheme="majorEastAsia" w:hAnsiTheme="majorEastAsia" w:eastAsiaTheme="majorEastAsia" w:cstheme="majorEastAsia"/>
                <w:color w:val="auto"/>
                <w:szCs w:val="21"/>
                <w:highlight w:val="none"/>
              </w:rPr>
              <w:t>桶，有较大彩点的效果，可将</w:t>
            </w:r>
            <w:r>
              <w:rPr>
                <w:rFonts w:hint="eastAsia" w:asciiTheme="majorEastAsia" w:hAnsiTheme="majorEastAsia" w:eastAsiaTheme="majorEastAsia" w:cstheme="majorEastAsia"/>
                <w:color w:val="auto"/>
                <w:szCs w:val="21"/>
                <w:highlight w:val="none"/>
                <w:lang w:val="en-US" w:eastAsia="zh-CN"/>
              </w:rPr>
              <w:t>漆</w:t>
            </w:r>
            <w:r>
              <w:rPr>
                <w:rFonts w:hint="eastAsia" w:asciiTheme="majorEastAsia" w:hAnsiTheme="majorEastAsia" w:eastAsiaTheme="majorEastAsia" w:cstheme="majorEastAsia"/>
                <w:color w:val="auto"/>
                <w:szCs w:val="21"/>
                <w:highlight w:val="none"/>
              </w:rPr>
              <w:t xml:space="preserve">桶上下翻转，反复两次，确保喷涂时彩点均匀，该产品严禁机械搅拌； </w:t>
            </w:r>
          </w:p>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color w:val="auto"/>
                <w:szCs w:val="21"/>
                <w:highlight w:val="none"/>
              </w:rPr>
              <w:t>3.喷涂时，根据效果不同，喷枪离墙距离一般在40-60CM，均匀将</w:t>
            </w:r>
            <w:r>
              <w:rPr>
                <w:rFonts w:hint="eastAsia" w:asciiTheme="majorEastAsia" w:hAnsiTheme="majorEastAsia" w:eastAsiaTheme="majorEastAsia" w:cstheme="majorEastAsia"/>
                <w:color w:val="auto"/>
                <w:szCs w:val="21"/>
                <w:highlight w:val="none"/>
                <w:lang w:val="en-US" w:eastAsia="zh-CN"/>
              </w:rPr>
              <w:t>漆</w:t>
            </w:r>
            <w:r>
              <w:rPr>
                <w:rFonts w:hint="eastAsia" w:asciiTheme="majorEastAsia" w:hAnsiTheme="majorEastAsia" w:eastAsiaTheme="majorEastAsia" w:cstheme="majorEastAsia"/>
                <w:color w:val="auto"/>
                <w:szCs w:val="21"/>
                <w:highlight w:val="none"/>
              </w:rPr>
              <w:t>喷涂到墙面，注意避免一次喷涂过厚产生流挂，根据效果不同，一般需喷涂2道。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hint="eastAsia" w:asciiTheme="majorEastAsia" w:hAnsiTheme="majorEastAsia" w:eastAsiaTheme="majorEastAsia" w:cstheme="majorEastAsia"/>
                <w:bCs/>
                <w:color w:val="auto"/>
                <w:szCs w:val="21"/>
                <w:highlight w:val="none"/>
                <w:lang w:eastAsia="zh-CN"/>
              </w:rPr>
            </w:pPr>
            <w:r>
              <w:rPr>
                <w:rFonts w:hint="eastAsia" w:asciiTheme="majorEastAsia" w:hAnsiTheme="majorEastAsia" w:eastAsiaTheme="majorEastAsia" w:cstheme="majorEastAsia"/>
                <w:bCs/>
                <w:color w:val="auto"/>
                <w:szCs w:val="21"/>
                <w:highlight w:val="none"/>
                <w:lang w:val="en-US" w:eastAsia="zh-CN"/>
              </w:rPr>
              <w:t>8</w:t>
            </w:r>
          </w:p>
        </w:tc>
        <w:tc>
          <w:tcPr>
            <w:tcW w:w="1584" w:type="dxa"/>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揭去分色纸</w:t>
            </w:r>
          </w:p>
        </w:tc>
        <w:tc>
          <w:tcPr>
            <w:tcW w:w="7674" w:type="dxa"/>
            <w:vAlign w:val="center"/>
          </w:tcPr>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lang w:val="en-US" w:eastAsia="zh-CN"/>
              </w:rPr>
              <w:t>岩彩漆</w:t>
            </w:r>
            <w:r>
              <w:rPr>
                <w:rFonts w:hint="eastAsia" w:asciiTheme="majorEastAsia" w:hAnsiTheme="majorEastAsia" w:eastAsiaTheme="majorEastAsia" w:cstheme="majorEastAsia"/>
                <w:bCs/>
                <w:color w:val="auto"/>
                <w:szCs w:val="21"/>
                <w:highlight w:val="none"/>
              </w:rPr>
              <w:t>涂装成活后，立即去除分格用的分色纸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hint="eastAsia" w:asciiTheme="majorEastAsia" w:hAnsiTheme="majorEastAsia" w:eastAsiaTheme="majorEastAsia" w:cstheme="majorEastAsia"/>
                <w:bCs/>
                <w:color w:val="auto"/>
                <w:szCs w:val="21"/>
                <w:highlight w:val="none"/>
                <w:lang w:eastAsia="zh-CN"/>
              </w:rPr>
            </w:pPr>
            <w:r>
              <w:rPr>
                <w:rFonts w:hint="eastAsia" w:asciiTheme="majorEastAsia" w:hAnsiTheme="majorEastAsia" w:eastAsiaTheme="majorEastAsia" w:cstheme="majorEastAsia"/>
                <w:bCs/>
                <w:color w:val="auto"/>
                <w:szCs w:val="21"/>
                <w:highlight w:val="none"/>
                <w:lang w:val="en-US" w:eastAsia="zh-CN"/>
              </w:rPr>
              <w:t>9</w:t>
            </w:r>
          </w:p>
        </w:tc>
        <w:tc>
          <w:tcPr>
            <w:tcW w:w="1584" w:type="dxa"/>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涂装耐沾污罩面清漆</w:t>
            </w:r>
          </w:p>
        </w:tc>
        <w:tc>
          <w:tcPr>
            <w:tcW w:w="7674" w:type="dxa"/>
            <w:vAlign w:val="center"/>
          </w:tcPr>
          <w:p>
            <w:pP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lang w:val="en-US" w:eastAsia="zh-CN"/>
              </w:rPr>
              <w:t>岩彩漆</w:t>
            </w:r>
            <w:r>
              <w:rPr>
                <w:rFonts w:hint="eastAsia" w:asciiTheme="majorEastAsia" w:hAnsiTheme="majorEastAsia" w:eastAsiaTheme="majorEastAsia" w:cstheme="majorEastAsia"/>
                <w:color w:val="auto"/>
                <w:szCs w:val="21"/>
                <w:highlight w:val="none"/>
              </w:rPr>
              <w:t>干燥后，使用中毛辊涂，辊涂耐沾污罩面清漆，辊涂时漆膜厚度要控制均匀，避免一次性厚涂，要少蘸料，多辊涂，避免流挂，每一分格块中要一次性完成，确保每块中的漆膜厚度与光泽均匀一致无发花。</w:t>
            </w:r>
          </w:p>
        </w:tc>
      </w:tr>
    </w:tbl>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2.6.质量要求：</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2.6.1在天气温差较大时，致使内外层干燥速度不同，形成表干里不干时改用小嘴喷枪，薄喷多层，尽量控制每层的干燥速度，喷涂距离以略远为好。</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2.6.2 喷涂后要求表面平整，起伏小，颗粒分布均匀、密实，颜色一致并不得有过密过稀疏、流坠等质量缺陷。</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2.6.3干燥后不得有发白、发花、变黄迹象，不允许有脱皮、漏刷、反锈、开裂、针孔、砂眼、反碱现象，并且光泽一致，颜色一致。</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2.6.4各部位的分色要干净，不得有咬色现象。</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2.6.5严禁雨天施工。</w:t>
      </w:r>
    </w:p>
    <w:p>
      <w:pPr>
        <w:tabs>
          <w:tab w:val="left" w:pos="1080"/>
        </w:tabs>
        <w:spacing w:line="360" w:lineRule="auto"/>
        <w:ind w:right="171" w:firstLine="240" w:firstLineChars="100"/>
        <w:rPr>
          <w:rFonts w:ascii="宋体" w:hAnsi="宋体"/>
          <w:color w:val="auto"/>
          <w:sz w:val="24"/>
          <w:szCs w:val="28"/>
          <w:highlight w:val="none"/>
        </w:rPr>
      </w:pPr>
      <w:r>
        <w:rPr>
          <w:rFonts w:hint="eastAsia" w:ascii="宋体" w:hAnsi="宋体"/>
          <w:color w:val="auto"/>
          <w:sz w:val="24"/>
          <w:szCs w:val="28"/>
          <w:highlight w:val="none"/>
        </w:rPr>
        <w:t>2.6.6本工程的施工图纸、作法说明、设计变更和有关国家标准作为本工程质量评定验收标准。</w:t>
      </w:r>
    </w:p>
    <w:p>
      <w:pPr>
        <w:tabs>
          <w:tab w:val="left" w:pos="1080"/>
        </w:tabs>
        <w:spacing w:line="360" w:lineRule="auto"/>
        <w:ind w:right="171" w:firstLine="240" w:firstLineChars="100"/>
        <w:rPr>
          <w:rFonts w:ascii="宋体" w:hAnsi="宋体"/>
          <w:color w:val="auto"/>
          <w:sz w:val="24"/>
          <w:szCs w:val="28"/>
          <w:highlight w:val="none"/>
        </w:rPr>
      </w:pPr>
      <w:r>
        <w:rPr>
          <w:rFonts w:hint="eastAsia" w:ascii="宋体" w:hAnsi="宋体"/>
          <w:color w:val="auto"/>
          <w:sz w:val="24"/>
          <w:szCs w:val="28"/>
          <w:highlight w:val="none"/>
        </w:rPr>
        <w:t>2.6.7本工程质量应达到质量评定合格标准。</w:t>
      </w:r>
    </w:p>
    <w:p>
      <w:pPr>
        <w:tabs>
          <w:tab w:val="left" w:pos="1080"/>
        </w:tabs>
        <w:spacing w:line="360" w:lineRule="auto"/>
        <w:ind w:right="171" w:firstLine="482" w:firstLineChars="200"/>
        <w:rPr>
          <w:rFonts w:ascii="宋体" w:hAnsi="宋体"/>
          <w:b/>
          <w:bCs/>
          <w:color w:val="auto"/>
          <w:sz w:val="24"/>
          <w:szCs w:val="28"/>
          <w:highlight w:val="none"/>
        </w:rPr>
      </w:pPr>
      <w:r>
        <w:rPr>
          <w:rFonts w:hint="eastAsia" w:ascii="宋体" w:hAnsi="宋体"/>
          <w:b/>
          <w:bCs/>
          <w:color w:val="auto"/>
          <w:sz w:val="24"/>
          <w:szCs w:val="28"/>
          <w:highlight w:val="none"/>
        </w:rPr>
        <w:t>3、施工管理要求</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3.1本工程施工均为楼宇外侧部分，乙方应派遣有高空作业资质和经验的施工人员进行施工。</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3.2总包单位根据其实际情况对外脚手架和围挡进行设置及拆除，在有必要时乙方应自行设置施工过程中的防护围挡，并承担相应发生的费用。  </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3.3乙方应对实施施工的工人的安全负责，并为他们投保人身安全保险，并将施工人员名单提交甲方备案，保单复印件提交甲方存档，如有未投保人员上架施工，甲方给予每人次1000元罚款。</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3.4乙方租赁的吊篮应经过国家安全检测机构检测通过，并持有检测合格证，在监理、甲方、政府进行的安全检查过程中如发现吊篮设备存在安全隐患或手续不齐全的一次处罚5000元，并整改至合格后方可使用。</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3.5吊篮施工备案手续由乙方完成，发生费用由乙方承担。</w:t>
      </w:r>
    </w:p>
    <w:p>
      <w:pPr>
        <w:tabs>
          <w:tab w:val="left" w:pos="1080"/>
        </w:tabs>
        <w:spacing w:line="360" w:lineRule="auto"/>
        <w:ind w:right="171" w:firstLine="240" w:firstLineChars="100"/>
        <w:rPr>
          <w:rFonts w:ascii="宋体" w:hAnsi="宋体"/>
          <w:color w:val="auto"/>
          <w:sz w:val="24"/>
          <w:szCs w:val="28"/>
          <w:highlight w:val="none"/>
        </w:rPr>
      </w:pPr>
      <w:r>
        <w:rPr>
          <w:rFonts w:hint="eastAsia" w:ascii="宋体" w:hAnsi="宋体"/>
          <w:color w:val="auto"/>
          <w:sz w:val="24"/>
          <w:szCs w:val="28"/>
          <w:highlight w:val="none"/>
        </w:rPr>
        <w:t>3.6作业人员进入施工现场必须佩带安全帽，安全带。</w:t>
      </w:r>
    </w:p>
    <w:p>
      <w:pPr>
        <w:tabs>
          <w:tab w:val="left" w:pos="1080"/>
        </w:tabs>
        <w:spacing w:line="360" w:lineRule="auto"/>
        <w:ind w:right="171" w:firstLine="240" w:firstLineChars="100"/>
        <w:rPr>
          <w:rFonts w:hint="eastAsia" w:ascii="宋体" w:hAnsi="宋体"/>
          <w:color w:val="auto"/>
          <w:sz w:val="24"/>
          <w:szCs w:val="28"/>
          <w:highlight w:val="none"/>
        </w:rPr>
      </w:pPr>
      <w:r>
        <w:rPr>
          <w:rFonts w:hint="eastAsia" w:ascii="宋体" w:hAnsi="宋体"/>
          <w:color w:val="auto"/>
          <w:sz w:val="24"/>
          <w:szCs w:val="28"/>
          <w:highlight w:val="none"/>
        </w:rPr>
        <w:t>3.7必须服从甲方及监理公司管理，严格遵守建设单位《现场管理办法》，乙方同意按该办法执行落实；</w:t>
      </w:r>
    </w:p>
    <w:p>
      <w:pPr>
        <w:pStyle w:val="2"/>
        <w:rPr>
          <w:rFonts w:hint="default" w:eastAsia="宋体"/>
          <w:color w:val="auto"/>
          <w:highlight w:val="none"/>
          <w:lang w:val="en-US" w:eastAsia="zh-CN"/>
        </w:rPr>
      </w:pPr>
      <w:r>
        <w:rPr>
          <w:rFonts w:hint="eastAsia" w:hAnsi="宋体"/>
          <w:color w:val="auto"/>
          <w:sz w:val="24"/>
          <w:szCs w:val="28"/>
          <w:highlight w:val="none"/>
          <w:lang w:val="en-US" w:eastAsia="zh-CN"/>
        </w:rPr>
        <w:t>3.8对接该项目经理及技术负责人须提供身份证明及社保证明，要求尼派项目经理常驻项目每周不少于6天，按时参加甲方或监理组织的会议，提供施工人员名单，主专业工人为公司正式员工。</w:t>
      </w:r>
    </w:p>
    <w:p>
      <w:pPr>
        <w:spacing w:line="360" w:lineRule="auto"/>
        <w:ind w:right="171"/>
        <w:rPr>
          <w:rFonts w:ascii="宋体" w:hAnsi="宋体"/>
          <w:b/>
          <w:bCs/>
          <w:color w:val="auto"/>
          <w:sz w:val="24"/>
          <w:szCs w:val="28"/>
          <w:highlight w:val="none"/>
        </w:rPr>
      </w:pPr>
      <w:r>
        <w:rPr>
          <w:rFonts w:hint="eastAsia" w:ascii="宋体" w:hAnsi="宋体"/>
          <w:b/>
          <w:bCs/>
          <w:color w:val="auto"/>
          <w:sz w:val="24"/>
          <w:szCs w:val="28"/>
          <w:highlight w:val="none"/>
        </w:rPr>
        <w:t>第九条  工程款支付方式</w:t>
      </w:r>
    </w:p>
    <w:p>
      <w:pPr>
        <w:autoSpaceDE w:val="0"/>
        <w:autoSpaceDN w:val="0"/>
        <w:adjustRightInd w:val="0"/>
        <w:snapToGrid w:val="0"/>
        <w:spacing w:line="500" w:lineRule="atLeast"/>
        <w:ind w:firstLine="420" w:firstLineChars="175"/>
        <w:jc w:val="left"/>
        <w:rPr>
          <w:rFonts w:ascii="宋体"/>
          <w:color w:val="auto"/>
          <w:sz w:val="24"/>
          <w:highlight w:val="none"/>
        </w:rPr>
      </w:pPr>
      <w:r>
        <w:rPr>
          <w:rFonts w:hint="eastAsia" w:ascii="宋体"/>
          <w:color w:val="auto"/>
          <w:sz w:val="24"/>
          <w:highlight w:val="none"/>
        </w:rPr>
        <w:t>1、本工程无预付款，</w:t>
      </w:r>
      <w:r>
        <w:rPr>
          <w:rFonts w:hint="eastAsia" w:ascii="宋体" w:hAnsi="宋体"/>
          <w:color w:val="auto"/>
          <w:sz w:val="24"/>
          <w:szCs w:val="28"/>
          <w:highlight w:val="none"/>
        </w:rPr>
        <w:t>本工程按楼号进行结算，在施工到达支付节点时由乙方先按照甲方的要求提出付款申请，甲方根据乙方的付款申请及本合同的其他约定支付相应的工程款</w:t>
      </w:r>
      <w:r>
        <w:rPr>
          <w:rFonts w:hint="eastAsia" w:ascii="宋体"/>
          <w:color w:val="auto"/>
          <w:sz w:val="24"/>
          <w:highlight w:val="none"/>
        </w:rPr>
        <w:t>。</w:t>
      </w:r>
    </w:p>
    <w:p>
      <w:pPr>
        <w:tabs>
          <w:tab w:val="left" w:pos="630"/>
        </w:tabs>
        <w:spacing w:line="360" w:lineRule="auto"/>
        <w:ind w:firstLine="420" w:firstLineChars="175"/>
        <w:rPr>
          <w:rFonts w:ascii="宋体"/>
          <w:color w:val="auto"/>
          <w:sz w:val="24"/>
          <w:highlight w:val="none"/>
        </w:rPr>
      </w:pPr>
      <w:r>
        <w:rPr>
          <w:rFonts w:hint="eastAsia" w:ascii="宋体"/>
          <w:color w:val="auto"/>
          <w:sz w:val="24"/>
          <w:highlight w:val="none"/>
        </w:rPr>
        <w:t>2、单栋楼宇外饰面工程量完成50%，经甲方及相关部门验收合格后，支付本单栋楼宇外饰面总造价30%。</w:t>
      </w:r>
    </w:p>
    <w:p>
      <w:pPr>
        <w:tabs>
          <w:tab w:val="left" w:pos="630"/>
        </w:tabs>
        <w:spacing w:line="360" w:lineRule="auto"/>
        <w:ind w:firstLine="420" w:firstLineChars="175"/>
        <w:rPr>
          <w:rFonts w:ascii="宋体"/>
          <w:color w:val="auto"/>
          <w:sz w:val="24"/>
          <w:highlight w:val="none"/>
        </w:rPr>
      </w:pPr>
      <w:r>
        <w:rPr>
          <w:rFonts w:hint="eastAsia" w:ascii="宋体"/>
          <w:color w:val="auto"/>
          <w:sz w:val="24"/>
          <w:highlight w:val="none"/>
        </w:rPr>
        <w:t>3、单栋楼宇外饰面工程量全部完成，经甲方及相关部门验收合格后，支付至本单栋楼宇外饰面总造价70%。</w:t>
      </w:r>
    </w:p>
    <w:p>
      <w:pPr>
        <w:tabs>
          <w:tab w:val="left" w:pos="630"/>
        </w:tabs>
        <w:spacing w:line="360" w:lineRule="auto"/>
        <w:ind w:firstLine="420" w:firstLineChars="175"/>
        <w:jc w:val="left"/>
        <w:rPr>
          <w:rFonts w:ascii="宋体"/>
          <w:color w:val="auto"/>
          <w:sz w:val="24"/>
          <w:highlight w:val="none"/>
        </w:rPr>
      </w:pPr>
      <w:r>
        <w:rPr>
          <w:rFonts w:hint="eastAsia" w:ascii="宋体"/>
          <w:color w:val="auto"/>
          <w:sz w:val="24"/>
          <w:highlight w:val="none"/>
        </w:rPr>
        <w:t>4、工程全部施工完毕，经竣工验收合格，无质量问题，乙方报送完备的结算资料并配合甲方结算完毕后（结算完毕以双方签署正式的结算协议书为准），支付至结算金额的95%（结算金额以双方签署的结算协议书载明的结算金额为准）。留取5%结算金额为质保金，质保期两年，从工程竣工验收合格之日起计算。</w:t>
      </w:r>
    </w:p>
    <w:p>
      <w:pPr>
        <w:tabs>
          <w:tab w:val="left" w:pos="630"/>
        </w:tabs>
        <w:spacing w:line="360" w:lineRule="auto"/>
        <w:ind w:firstLine="240" w:firstLineChars="100"/>
        <w:rPr>
          <w:rFonts w:ascii="宋体" w:cs="宋体"/>
          <w:color w:val="auto"/>
          <w:sz w:val="24"/>
          <w:highlight w:val="none"/>
          <w:lang w:bidi="ar"/>
        </w:rPr>
      </w:pPr>
      <w:r>
        <w:rPr>
          <w:rFonts w:hint="eastAsia" w:ascii="宋体"/>
          <w:color w:val="auto"/>
          <w:sz w:val="24"/>
          <w:highlight w:val="none"/>
        </w:rPr>
        <w:t>5、每次付款前，乙方应按甲方要求出具合法有效的增值税【专用】发票。当甲方向乙方累计支付款项至本合同结算值的95％时，乙方须向甲方开具结算值100％的合法有效的发票，否则甲方除扣留质保金外，有权拒绝支付最后一笔工程款。乙方应在开票之后【5】个工作</w:t>
      </w:r>
      <w:r>
        <w:rPr>
          <w:rFonts w:hint="eastAsia" w:ascii="宋体" w:cs="宋体"/>
          <w:color w:val="auto"/>
          <w:sz w:val="24"/>
          <w:highlight w:val="none"/>
          <w:lang w:bidi="ar"/>
        </w:rPr>
        <w:t>日内将发票送达甲方，甲方签收发票的日期为发票的送达日期。</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6、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7、对发票不合规的约定</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7.1乙方提供的发票为增值税专用发票的，因乙方迟延送达、开具错误等原因导致其提供的增值税专用发票没有通过税务部门认证，造成甲方不能抵扣的，甲方有权拒绝接收。</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7.2乙方开具虚假、作废等无效发票或者违反国家法律法规开具、提供发票的，乙方应自行承担相应法律责任，并应向甲方支付合同总价【20】%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7.3乙方未按合同约定开具增值税专用发票或实际开具的增值税专用发票税率低于合同中约定税率的，乙方除应向甲方支付无法抵扣部分的税款金额外，乙方还应向甲方支付合同总价【20】%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8、其它税务风险的合同约定，</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8.1如果甲方丢失增值税专用发票联和抵扣联，乙方应向甲方提供专用发票记账联复印件及主管税务机关出具的《丢失增值税专用发票已报税证明单》。</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8.2如果获得开具的汇总专用发票，则乙方应提供其防伪税控系统开具的《销售货物或者提供应税劳务清单》，并加盖发票专用章。</w:t>
      </w:r>
    </w:p>
    <w:p>
      <w:pPr>
        <w:spacing w:line="360" w:lineRule="auto"/>
        <w:ind w:right="171" w:firstLine="118" w:firstLineChars="49"/>
        <w:rPr>
          <w:rFonts w:ascii="宋体" w:hAnsi="宋体"/>
          <w:b/>
          <w:bCs/>
          <w:color w:val="auto"/>
          <w:sz w:val="24"/>
          <w:szCs w:val="28"/>
          <w:highlight w:val="none"/>
        </w:rPr>
      </w:pPr>
      <w:r>
        <w:rPr>
          <w:rFonts w:hint="eastAsia" w:ascii="宋体" w:hAnsi="宋体"/>
          <w:b/>
          <w:bCs/>
          <w:color w:val="auto"/>
          <w:sz w:val="24"/>
          <w:szCs w:val="28"/>
          <w:highlight w:val="none"/>
        </w:rPr>
        <w:t>第十条 材料要求</w:t>
      </w:r>
    </w:p>
    <w:p>
      <w:pPr>
        <w:pStyle w:val="15"/>
        <w:ind w:left="0" w:leftChars="0" w:firstLine="0" w:firstLineChars="0"/>
        <w:rPr>
          <w:color w:val="auto"/>
          <w:highlight w:val="none"/>
        </w:rPr>
      </w:pPr>
      <w:r>
        <w:rPr>
          <w:rFonts w:hint="eastAsia"/>
          <w:color w:val="auto"/>
          <w:highlight w:val="none"/>
        </w:rPr>
        <w:t xml:space="preserve">     1、在合同签订后，乙方应在安装前提供施工中所用柔性腻子，真石彩砂，拌合乳胶液，罩面漆样品，作为甲方及监理方验收产品材质之依据。</w:t>
      </w:r>
    </w:p>
    <w:p>
      <w:pPr>
        <w:pStyle w:val="15"/>
        <w:ind w:left="0" w:leftChars="0" w:firstLine="0" w:firstLineChars="0"/>
        <w:rPr>
          <w:color w:val="auto"/>
          <w:highlight w:val="none"/>
        </w:rPr>
      </w:pPr>
      <w:r>
        <w:rPr>
          <w:rFonts w:hint="eastAsia"/>
          <w:color w:val="auto"/>
          <w:highlight w:val="none"/>
        </w:rPr>
        <w:t xml:space="preserve">     2、凡由乙方采购的材料如不符合质量要求或规格有差异，应禁止使用。若已使用，对工程造成的损失由乙方负责。</w:t>
      </w:r>
    </w:p>
    <w:p>
      <w:pPr>
        <w:pStyle w:val="15"/>
        <w:ind w:left="0" w:leftChars="0" w:firstLine="0" w:firstLineChars="0"/>
        <w:rPr>
          <w:color w:val="auto"/>
          <w:highlight w:val="none"/>
        </w:rPr>
      </w:pPr>
      <w:r>
        <w:rPr>
          <w:rFonts w:hint="eastAsia"/>
          <w:color w:val="auto"/>
          <w:highlight w:val="none"/>
        </w:rPr>
        <w:t xml:space="preserve">     3、</w:t>
      </w:r>
      <w:r>
        <w:rPr>
          <w:rFonts w:hint="eastAsia"/>
          <w:color w:val="auto"/>
          <w:highlight w:val="none"/>
          <w:lang w:val="en-US" w:eastAsia="zh-CN"/>
        </w:rPr>
        <w:t>岩彩漆</w:t>
      </w:r>
      <w:r>
        <w:rPr>
          <w:rFonts w:hint="eastAsia"/>
          <w:color w:val="auto"/>
          <w:highlight w:val="none"/>
        </w:rPr>
        <w:t>和柔性腻子提供材料出厂合格证书、性能检测报告、说明书，进场时</w:t>
      </w:r>
      <w:r>
        <w:rPr>
          <w:rFonts w:hint="eastAsia"/>
          <w:color w:val="auto"/>
          <w:highlight w:val="none"/>
          <w:lang w:eastAsia="zh-CN"/>
        </w:rPr>
        <w:t>外墙漆</w:t>
      </w:r>
      <w:r>
        <w:rPr>
          <w:rFonts w:hint="eastAsia"/>
          <w:color w:val="auto"/>
          <w:highlight w:val="none"/>
        </w:rPr>
        <w:t>对</w:t>
      </w:r>
      <w:r>
        <w:rPr>
          <w:color w:val="auto"/>
          <w:highlight w:val="none"/>
        </w:rPr>
        <w:t>耐水性、耐碱性、耐洗刷性、耐沾污性</w:t>
      </w:r>
      <w:r>
        <w:rPr>
          <w:rFonts w:hint="eastAsia"/>
          <w:color w:val="auto"/>
          <w:highlight w:val="none"/>
        </w:rPr>
        <w:t>进行复检，柔性腻子对</w:t>
      </w:r>
      <w:r>
        <w:rPr>
          <w:color w:val="auto"/>
          <w:highlight w:val="none"/>
        </w:rPr>
        <w:t>打磨性、</w:t>
      </w:r>
      <w:r>
        <w:rPr>
          <w:rFonts w:hint="eastAsia"/>
          <w:color w:val="auto"/>
          <w:highlight w:val="none"/>
        </w:rPr>
        <w:t>抗裂性、</w:t>
      </w:r>
      <w:r>
        <w:rPr>
          <w:color w:val="auto"/>
          <w:highlight w:val="none"/>
        </w:rPr>
        <w:t>粘结强度、耐水性及耐碱性</w:t>
      </w:r>
      <w:r>
        <w:rPr>
          <w:rFonts w:hint="eastAsia"/>
          <w:color w:val="auto"/>
          <w:highlight w:val="none"/>
        </w:rPr>
        <w:t xml:space="preserve">进行复检，并出具复检合格报告。 </w:t>
      </w:r>
    </w:p>
    <w:p>
      <w:pPr>
        <w:numPr>
          <w:ilvl w:val="0"/>
          <w:numId w:val="0"/>
        </w:numPr>
        <w:spacing w:line="460" w:lineRule="exact"/>
        <w:ind w:firstLine="480" w:firstLineChars="200"/>
        <w:rPr>
          <w:color w:val="auto"/>
          <w:highlight w:val="none"/>
        </w:rPr>
      </w:pPr>
      <w:r>
        <w:rPr>
          <w:rFonts w:hint="eastAsia" w:ascii="宋体" w:hAnsi="宋体" w:cs="宋体"/>
          <w:color w:val="auto"/>
          <w:sz w:val="24"/>
          <w:highlight w:val="none"/>
        </w:rPr>
        <w:t>4、</w:t>
      </w:r>
      <w:r>
        <w:rPr>
          <w:rFonts w:hint="eastAsia" w:ascii="宋体" w:hAnsi="宋体" w:eastAsia="宋体" w:cs="宋体"/>
          <w:color w:val="auto"/>
          <w:sz w:val="24"/>
          <w:szCs w:val="24"/>
          <w:highlight w:val="none"/>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该惩罚性赔偿不足伍万元的，按伍万元计）</w:t>
      </w:r>
      <w:r>
        <w:rPr>
          <w:rFonts w:hint="eastAsia" w:ascii="宋体" w:hAnsi="宋体" w:eastAsia="宋体" w:cs="宋体"/>
          <w:color w:val="auto"/>
          <w:sz w:val="24"/>
          <w:szCs w:val="24"/>
          <w:highlight w:val="none"/>
        </w:rPr>
        <w:t>。除此之外，乙方应当勤勉尽责的履行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t>
      </w:r>
    </w:p>
    <w:p>
      <w:pPr>
        <w:spacing w:line="360" w:lineRule="auto"/>
        <w:ind w:right="359" w:rightChars="171" w:firstLine="118" w:firstLineChars="49"/>
        <w:rPr>
          <w:rFonts w:ascii="宋体" w:hAnsi="宋体"/>
          <w:b/>
          <w:bCs/>
          <w:color w:val="auto"/>
          <w:sz w:val="24"/>
          <w:szCs w:val="28"/>
          <w:highlight w:val="none"/>
        </w:rPr>
      </w:pPr>
      <w:r>
        <w:rPr>
          <w:rFonts w:hint="eastAsia" w:ascii="宋体" w:hAnsi="宋体"/>
          <w:b/>
          <w:bCs/>
          <w:color w:val="auto"/>
          <w:sz w:val="24"/>
          <w:szCs w:val="28"/>
          <w:highlight w:val="none"/>
        </w:rPr>
        <w:t>第十一条  安全约定</w:t>
      </w:r>
    </w:p>
    <w:p>
      <w:pPr>
        <w:spacing w:line="360" w:lineRule="auto"/>
        <w:ind w:right="359" w:rightChars="171" w:firstLine="480" w:firstLineChars="200"/>
        <w:jc w:val="left"/>
        <w:rPr>
          <w:rFonts w:ascii="宋体" w:hAnsi="宋体"/>
          <w:color w:val="auto"/>
          <w:sz w:val="24"/>
          <w:szCs w:val="28"/>
          <w:highlight w:val="none"/>
        </w:rPr>
      </w:pPr>
      <w:r>
        <w:rPr>
          <w:rFonts w:hint="eastAsia" w:ascii="宋体" w:hAnsi="宋体"/>
          <w:color w:val="auto"/>
          <w:sz w:val="24"/>
          <w:szCs w:val="28"/>
          <w:highlight w:val="none"/>
        </w:rPr>
        <w:t>1、乙方在施工期间应严格遵守《建筑安装工程安全技术规程》、《建筑安装工人安全操作规程》和其它相关的法规、规范。</w:t>
      </w:r>
    </w:p>
    <w:p>
      <w:pPr>
        <w:spacing w:line="360" w:lineRule="auto"/>
        <w:ind w:right="359" w:rightChars="171" w:firstLine="480" w:firstLineChars="200"/>
        <w:jc w:val="left"/>
        <w:rPr>
          <w:rFonts w:ascii="宋体" w:hAnsi="宋体"/>
          <w:color w:val="auto"/>
          <w:sz w:val="24"/>
          <w:szCs w:val="28"/>
          <w:highlight w:val="none"/>
        </w:rPr>
      </w:pPr>
      <w:r>
        <w:rPr>
          <w:rFonts w:hint="eastAsia" w:ascii="宋体" w:hAnsi="宋体"/>
          <w:color w:val="auto"/>
          <w:sz w:val="24"/>
          <w:szCs w:val="28"/>
          <w:highlight w:val="none"/>
        </w:rPr>
        <w:t>2、由于乙方在施工生产过程中违反有关安全操作规程，导致发生安全事故，乙方应承担由此引发的一切经济损失。</w:t>
      </w:r>
    </w:p>
    <w:p>
      <w:pPr>
        <w:spacing w:line="360" w:lineRule="auto"/>
        <w:ind w:right="359" w:rightChars="171" w:firstLine="118" w:firstLineChars="49"/>
        <w:rPr>
          <w:rFonts w:ascii="宋体" w:hAnsi="宋体"/>
          <w:b/>
          <w:bCs/>
          <w:color w:val="auto"/>
          <w:sz w:val="24"/>
          <w:szCs w:val="28"/>
          <w:highlight w:val="none"/>
        </w:rPr>
      </w:pPr>
      <w:r>
        <w:rPr>
          <w:rFonts w:hint="eastAsia" w:ascii="宋体" w:hAnsi="宋体"/>
          <w:b/>
          <w:bCs/>
          <w:color w:val="auto"/>
          <w:sz w:val="24"/>
          <w:szCs w:val="28"/>
          <w:highlight w:val="none"/>
        </w:rPr>
        <w:t>第十二条 违约责任</w:t>
      </w:r>
    </w:p>
    <w:p>
      <w:pPr>
        <w:spacing w:line="360" w:lineRule="auto"/>
        <w:ind w:left="239" w:leftChars="114" w:firstLine="480" w:firstLineChars="200"/>
        <w:jc w:val="left"/>
        <w:rPr>
          <w:rFonts w:ascii="宋体" w:cs="宋体"/>
          <w:color w:val="auto"/>
          <w:sz w:val="24"/>
          <w:highlight w:val="none"/>
          <w:lang w:bidi="ar"/>
        </w:rPr>
      </w:pPr>
      <w:r>
        <w:rPr>
          <w:rFonts w:hint="eastAsia" w:ascii="宋体" w:cs="宋体"/>
          <w:color w:val="auto"/>
          <w:sz w:val="24"/>
          <w:highlight w:val="none"/>
          <w:lang w:bidi="ar"/>
        </w:rPr>
        <w:t>1、未经甲方同意乙方擅自拆改原建筑物结构或设备管线，由此发生的损失或事故（包括罚款）由乙方负责并承担损失。</w:t>
      </w:r>
    </w:p>
    <w:p>
      <w:pPr>
        <w:spacing w:line="360" w:lineRule="auto"/>
        <w:ind w:left="239" w:leftChars="114" w:firstLine="480" w:firstLineChars="200"/>
        <w:jc w:val="left"/>
        <w:rPr>
          <w:rFonts w:ascii="宋体" w:cs="宋体"/>
          <w:color w:val="auto"/>
          <w:sz w:val="24"/>
          <w:highlight w:val="none"/>
          <w:lang w:bidi="ar"/>
        </w:rPr>
      </w:pPr>
      <w:r>
        <w:rPr>
          <w:rFonts w:hint="eastAsia" w:ascii="宋体" w:cs="宋体"/>
          <w:color w:val="auto"/>
          <w:sz w:val="24"/>
          <w:highlight w:val="none"/>
          <w:lang w:bidi="ar"/>
        </w:rPr>
        <w:t>2、因一方原因，合同无法继续履行时，应通知对方，双方协商一致后签署合同解除协议，并由责任方赔偿对方由此造成的经济损失。</w:t>
      </w:r>
    </w:p>
    <w:p>
      <w:pPr>
        <w:spacing w:line="360" w:lineRule="auto"/>
        <w:ind w:left="239" w:leftChars="114" w:firstLine="480" w:firstLineChars="200"/>
        <w:jc w:val="left"/>
        <w:rPr>
          <w:rFonts w:ascii="宋体" w:cs="宋体"/>
          <w:color w:val="auto"/>
          <w:sz w:val="24"/>
          <w:highlight w:val="none"/>
          <w:lang w:bidi="ar"/>
        </w:rPr>
      </w:pPr>
      <w:r>
        <w:rPr>
          <w:rFonts w:hint="eastAsia" w:ascii="宋体" w:cs="宋体"/>
          <w:color w:val="auto"/>
          <w:sz w:val="24"/>
          <w:highlight w:val="none"/>
          <w:lang w:bidi="ar"/>
        </w:rPr>
        <w:t>3、甲方发现乙方将用于本项目的材料/设备转作他用，导致供应单位或甲方损失，举报经查属实，给予施工单位10000元-30000元/次的违约处罚，并按实赔偿供应单位或者甲方的一切损失。</w:t>
      </w:r>
    </w:p>
    <w:p>
      <w:pPr>
        <w:spacing w:line="360" w:lineRule="auto"/>
        <w:ind w:left="239" w:leftChars="114" w:firstLine="480" w:firstLineChars="200"/>
        <w:jc w:val="left"/>
        <w:rPr>
          <w:rFonts w:ascii="宋体" w:cs="宋体"/>
          <w:color w:val="auto"/>
          <w:sz w:val="24"/>
          <w:highlight w:val="none"/>
          <w:lang w:bidi="ar"/>
        </w:rPr>
      </w:pPr>
      <w:r>
        <w:rPr>
          <w:rFonts w:hint="eastAsia" w:ascii="宋体" w:cs="宋体"/>
          <w:color w:val="auto"/>
          <w:sz w:val="24"/>
          <w:highlight w:val="none"/>
          <w:lang w:bidi="ar"/>
        </w:rPr>
        <w:t>4、甲方如果发现乙方用于本项目的材料/设备存在“假冒伪劣”“以假充真”产品，经查属实，给予乙方10000元/次处罚，并勒令立即退场，并有权解除合同。</w:t>
      </w:r>
    </w:p>
    <w:p>
      <w:pPr>
        <w:spacing w:line="360" w:lineRule="auto"/>
        <w:ind w:left="239" w:leftChars="114" w:firstLine="480" w:firstLineChars="200"/>
        <w:jc w:val="left"/>
        <w:rPr>
          <w:rFonts w:ascii="宋体" w:cs="宋体"/>
          <w:color w:val="auto"/>
          <w:sz w:val="24"/>
          <w:highlight w:val="none"/>
          <w:lang w:bidi="ar"/>
        </w:rPr>
      </w:pPr>
      <w:r>
        <w:rPr>
          <w:rFonts w:hint="eastAsia" w:ascii="宋体" w:cs="宋体"/>
          <w:color w:val="auto"/>
          <w:sz w:val="24"/>
          <w:highlight w:val="none"/>
          <w:lang w:bidi="ar"/>
        </w:rPr>
        <w:t>5、甲方如果发现乙方用于本项目的材料/设备存在“以次充好”产品，经查属实，给予施工单位5000元/次处罚，并勒令立即退场，并有权解除合同。</w:t>
      </w:r>
    </w:p>
    <w:p>
      <w:pPr>
        <w:spacing w:line="360" w:lineRule="auto"/>
        <w:ind w:left="239" w:leftChars="114" w:firstLine="480" w:firstLineChars="200"/>
        <w:jc w:val="left"/>
        <w:rPr>
          <w:rFonts w:ascii="宋体" w:hAnsi="宋体"/>
          <w:color w:val="auto"/>
          <w:sz w:val="24"/>
          <w:highlight w:val="none"/>
        </w:rPr>
      </w:pPr>
      <w:r>
        <w:rPr>
          <w:rFonts w:hint="eastAsia" w:ascii="宋体" w:cs="宋体"/>
          <w:color w:val="auto"/>
          <w:sz w:val="24"/>
          <w:highlight w:val="none"/>
          <w:lang w:bidi="ar"/>
        </w:rPr>
        <w:t>6、乙方必须服从甲方及监理单位管理，项目经理每周4上午按时参加监理例会，乙方已了解和熟</w:t>
      </w:r>
      <w:r>
        <w:rPr>
          <w:rFonts w:hint="eastAsia" w:ascii="宋体" w:hAnsi="宋体" w:cs="宋体"/>
          <w:color w:val="auto"/>
          <w:sz w:val="24"/>
          <w:highlight w:val="none"/>
        </w:rPr>
        <w:t>知《现场管理办法》，愿意接受管理和考核。</w:t>
      </w:r>
    </w:p>
    <w:p>
      <w:pPr>
        <w:spacing w:line="360" w:lineRule="auto"/>
        <w:ind w:right="359" w:rightChars="171"/>
        <w:rPr>
          <w:rFonts w:ascii="宋体" w:hAnsi="宋体"/>
          <w:b/>
          <w:bCs/>
          <w:color w:val="auto"/>
          <w:sz w:val="24"/>
          <w:szCs w:val="28"/>
          <w:highlight w:val="none"/>
        </w:rPr>
      </w:pPr>
      <w:r>
        <w:rPr>
          <w:rFonts w:hint="eastAsia" w:ascii="宋体" w:hAnsi="宋体"/>
          <w:b/>
          <w:bCs/>
          <w:color w:val="auto"/>
          <w:sz w:val="24"/>
          <w:szCs w:val="28"/>
          <w:highlight w:val="none"/>
        </w:rPr>
        <w:t>第十</w:t>
      </w:r>
      <w:r>
        <w:rPr>
          <w:rFonts w:hint="eastAsia" w:ascii="宋体" w:hAnsi="宋体"/>
          <w:b/>
          <w:bCs/>
          <w:color w:val="auto"/>
          <w:sz w:val="24"/>
          <w:szCs w:val="28"/>
          <w:highlight w:val="none"/>
          <w:lang w:eastAsia="zh-CN"/>
        </w:rPr>
        <w:t>三</w:t>
      </w:r>
      <w:r>
        <w:rPr>
          <w:rFonts w:hint="eastAsia" w:ascii="宋体" w:hAnsi="宋体"/>
          <w:b/>
          <w:bCs/>
          <w:color w:val="auto"/>
          <w:sz w:val="24"/>
          <w:szCs w:val="28"/>
          <w:highlight w:val="none"/>
        </w:rPr>
        <w:t>条  争议或纠纷处理及解约条款</w:t>
      </w:r>
    </w:p>
    <w:p>
      <w:pPr>
        <w:tabs>
          <w:tab w:val="left" w:pos="6840"/>
        </w:tabs>
        <w:spacing w:line="360" w:lineRule="auto"/>
        <w:ind w:right="359" w:rightChars="171" w:firstLine="480" w:firstLineChars="200"/>
        <w:rPr>
          <w:rFonts w:ascii="宋体" w:hAnsi="宋体"/>
          <w:bCs/>
          <w:color w:val="auto"/>
          <w:sz w:val="24"/>
          <w:szCs w:val="28"/>
          <w:highlight w:val="none"/>
        </w:rPr>
      </w:pPr>
      <w:r>
        <w:rPr>
          <w:rFonts w:hint="eastAsia" w:ascii="宋体" w:hAnsi="宋体"/>
          <w:bCs/>
          <w:color w:val="auto"/>
          <w:sz w:val="24"/>
          <w:szCs w:val="28"/>
          <w:highlight w:val="none"/>
        </w:rPr>
        <w:t>合同在履行过程中发生争议时，合同双方及时协商解决。协商不成时，双方</w:t>
      </w:r>
      <w:r>
        <w:rPr>
          <w:rFonts w:hint="eastAsia" w:ascii="宋体" w:hAnsi="宋体"/>
          <w:bCs/>
          <w:color w:val="auto"/>
          <w:sz w:val="24"/>
          <w:szCs w:val="28"/>
          <w:highlight w:val="none"/>
          <w:lang w:val="en-US" w:eastAsia="zh-CN"/>
        </w:rPr>
        <w:t>均有权</w:t>
      </w:r>
      <w:r>
        <w:rPr>
          <w:rFonts w:hint="eastAsia" w:ascii="宋体" w:hAnsi="宋体"/>
          <w:bCs/>
          <w:color w:val="auto"/>
          <w:sz w:val="24"/>
          <w:szCs w:val="28"/>
          <w:highlight w:val="none"/>
        </w:rPr>
        <w:t>向</w:t>
      </w:r>
      <w:r>
        <w:rPr>
          <w:rFonts w:hint="eastAsia" w:ascii="宋体" w:hAnsi="宋体"/>
          <w:bCs/>
          <w:color w:val="auto"/>
          <w:sz w:val="24"/>
          <w:szCs w:val="28"/>
          <w:highlight w:val="none"/>
          <w:lang w:val="en-US" w:eastAsia="zh-CN"/>
        </w:rPr>
        <w:t>合同签订地（</w:t>
      </w:r>
      <w:r>
        <w:rPr>
          <w:rFonts w:hint="eastAsia" w:ascii="宋体" w:cs="宋体"/>
          <w:color w:val="auto"/>
          <w:sz w:val="24"/>
          <w:highlight w:val="none"/>
          <w:u w:val="single"/>
          <w:lang w:bidi="ar"/>
        </w:rPr>
        <w:t>洛阳市洛龙区开元大道1号开元一号营销中心</w:t>
      </w:r>
      <w:r>
        <w:rPr>
          <w:rFonts w:hint="eastAsia" w:ascii="宋体" w:hAnsi="宋体"/>
          <w:bCs/>
          <w:color w:val="auto"/>
          <w:sz w:val="24"/>
          <w:szCs w:val="28"/>
          <w:highlight w:val="none"/>
          <w:lang w:val="en-US" w:eastAsia="zh-CN"/>
        </w:rPr>
        <w:t>）</w:t>
      </w:r>
      <w:r>
        <w:rPr>
          <w:rFonts w:hint="eastAsia" w:ascii="宋体" w:hAnsi="宋体"/>
          <w:bCs/>
          <w:color w:val="auto"/>
          <w:sz w:val="24"/>
          <w:szCs w:val="28"/>
          <w:highlight w:val="none"/>
        </w:rPr>
        <w:t>人民法院起诉。</w:t>
      </w:r>
    </w:p>
    <w:p>
      <w:pPr>
        <w:tabs>
          <w:tab w:val="left" w:pos="6840"/>
        </w:tabs>
        <w:spacing w:line="360" w:lineRule="auto"/>
        <w:ind w:right="359" w:rightChars="171" w:firstLine="480" w:firstLineChars="200"/>
        <w:rPr>
          <w:rFonts w:ascii="宋体" w:hAnsi="宋体"/>
          <w:bCs/>
          <w:color w:val="auto"/>
          <w:sz w:val="24"/>
          <w:szCs w:val="28"/>
          <w:highlight w:val="none"/>
        </w:rPr>
      </w:pP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如发生以下情况甲方有权解除合同：</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乙方未经甲方同意停工</w:t>
      </w:r>
      <w:r>
        <w:rPr>
          <w:rFonts w:hint="eastAsia" w:ascii="宋体" w:hAnsi="宋体" w:cs="宋体"/>
          <w:color w:val="auto"/>
          <w:sz w:val="24"/>
          <w:szCs w:val="24"/>
          <w:highlight w:val="none"/>
          <w:u w:val="none"/>
          <w:lang w:val="en-US" w:eastAsia="zh-CN"/>
        </w:rPr>
        <w:t>7</w:t>
      </w:r>
      <w:r>
        <w:rPr>
          <w:rFonts w:hint="eastAsia" w:ascii="宋体" w:hAnsi="宋体" w:cs="宋体"/>
          <w:color w:val="auto"/>
          <w:sz w:val="24"/>
          <w:szCs w:val="24"/>
          <w:highlight w:val="none"/>
        </w:rPr>
        <w:t>日（含</w:t>
      </w:r>
      <w:r>
        <w:rPr>
          <w:rFonts w:hint="eastAsia" w:ascii="宋体" w:hAnsi="宋体" w:cs="宋体"/>
          <w:color w:val="auto"/>
          <w:sz w:val="24"/>
          <w:szCs w:val="24"/>
          <w:highlight w:val="none"/>
          <w:u w:val="none"/>
          <w:lang w:val="en-US" w:eastAsia="zh-CN"/>
        </w:rPr>
        <w:t>7</w:t>
      </w:r>
      <w:r>
        <w:rPr>
          <w:rFonts w:hint="eastAsia" w:ascii="宋体" w:hAnsi="宋体" w:cs="宋体"/>
          <w:color w:val="auto"/>
          <w:sz w:val="24"/>
          <w:szCs w:val="24"/>
          <w:highlight w:val="none"/>
        </w:rPr>
        <w:t>日）以上。</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甲方或监理方对同一施工问题连续下发三次整改通知书后乙方无作为或整改问题未解决。</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乙方购置假冒伪劣产品用于本工程。</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w:t>
      </w:r>
    </w:p>
    <w:p>
      <w:pPr>
        <w:widowControl/>
        <w:spacing w:line="360" w:lineRule="auto"/>
        <w:ind w:firstLine="480" w:firstLineChars="200"/>
        <w:rPr>
          <w:color w:val="auto"/>
          <w:highlight w:val="none"/>
        </w:rPr>
      </w:pPr>
      <w:r>
        <w:rPr>
          <w:rFonts w:hint="eastAsia" w:ascii="宋体" w:hAnsi="宋体" w:cs="宋体"/>
          <w:color w:val="auto"/>
          <w:sz w:val="24"/>
          <w:szCs w:val="24"/>
          <w:highlight w:val="none"/>
        </w:rPr>
        <w:t>如合同解约甲方有权委托其他公司进行施工。</w:t>
      </w:r>
    </w:p>
    <w:p>
      <w:pPr>
        <w:spacing w:line="360" w:lineRule="auto"/>
        <w:ind w:right="359" w:rightChars="171"/>
        <w:rPr>
          <w:rFonts w:ascii="宋体" w:hAnsi="宋体"/>
          <w:b/>
          <w:bCs/>
          <w:color w:val="auto"/>
          <w:sz w:val="24"/>
          <w:szCs w:val="28"/>
          <w:highlight w:val="none"/>
        </w:rPr>
      </w:pPr>
      <w:r>
        <w:rPr>
          <w:rFonts w:hint="eastAsia" w:ascii="宋体" w:hAnsi="宋体"/>
          <w:b/>
          <w:bCs/>
          <w:color w:val="auto"/>
          <w:sz w:val="24"/>
          <w:szCs w:val="28"/>
          <w:highlight w:val="none"/>
        </w:rPr>
        <w:t>第十</w:t>
      </w:r>
      <w:r>
        <w:rPr>
          <w:rFonts w:hint="eastAsia" w:ascii="宋体" w:hAnsi="宋体"/>
          <w:b/>
          <w:bCs/>
          <w:color w:val="auto"/>
          <w:sz w:val="24"/>
          <w:szCs w:val="28"/>
          <w:highlight w:val="none"/>
          <w:lang w:eastAsia="zh-CN"/>
        </w:rPr>
        <w:t>四</w:t>
      </w:r>
      <w:r>
        <w:rPr>
          <w:rFonts w:hint="eastAsia" w:ascii="宋体" w:hAnsi="宋体"/>
          <w:b/>
          <w:bCs/>
          <w:color w:val="auto"/>
          <w:sz w:val="24"/>
          <w:szCs w:val="28"/>
          <w:highlight w:val="none"/>
        </w:rPr>
        <w:t>条  附则</w:t>
      </w:r>
    </w:p>
    <w:p>
      <w:pPr>
        <w:spacing w:line="360" w:lineRule="auto"/>
        <w:ind w:right="359" w:rightChars="171" w:firstLine="720" w:firstLineChars="300"/>
        <w:rPr>
          <w:rFonts w:ascii="宋体" w:hAnsi="宋体"/>
          <w:color w:val="auto"/>
          <w:sz w:val="24"/>
          <w:szCs w:val="28"/>
          <w:highlight w:val="none"/>
        </w:rPr>
      </w:pPr>
      <w:r>
        <w:rPr>
          <w:rFonts w:hint="eastAsia" w:ascii="宋体" w:hAnsi="宋体"/>
          <w:color w:val="auto"/>
          <w:sz w:val="24"/>
          <w:szCs w:val="28"/>
          <w:highlight w:val="none"/>
        </w:rPr>
        <w:t>1、本合同壹式陆份，甲方执伍份，乙方执壹份，每份具有同等法律效力。</w:t>
      </w:r>
    </w:p>
    <w:p>
      <w:pPr>
        <w:spacing w:line="360" w:lineRule="auto"/>
        <w:ind w:right="359" w:rightChars="171" w:firstLine="720" w:firstLineChars="300"/>
        <w:rPr>
          <w:rFonts w:ascii="宋体" w:hAnsi="宋体"/>
          <w:color w:val="auto"/>
          <w:sz w:val="24"/>
          <w:szCs w:val="28"/>
          <w:highlight w:val="none"/>
        </w:rPr>
      </w:pPr>
      <w:r>
        <w:rPr>
          <w:rFonts w:hint="eastAsia" w:ascii="宋体" w:hAnsi="宋体"/>
          <w:color w:val="auto"/>
          <w:sz w:val="24"/>
          <w:szCs w:val="28"/>
          <w:highlight w:val="none"/>
        </w:rPr>
        <w:t xml:space="preserve">2、本合同未尽事宜，双方经协商可另行补充。补充协议与本合同具有同等法律效力。 </w:t>
      </w:r>
    </w:p>
    <w:p>
      <w:pPr>
        <w:spacing w:line="360" w:lineRule="auto"/>
        <w:ind w:right="218" w:rightChars="104" w:firstLine="720" w:firstLineChars="300"/>
        <w:rPr>
          <w:rFonts w:ascii="宋体" w:hAnsi="宋体"/>
          <w:color w:val="auto"/>
          <w:sz w:val="24"/>
          <w:szCs w:val="28"/>
          <w:highlight w:val="none"/>
        </w:rPr>
      </w:pPr>
      <w:r>
        <w:rPr>
          <w:rFonts w:hint="eastAsia" w:ascii="宋体" w:hAnsi="宋体"/>
          <w:color w:val="auto"/>
          <w:sz w:val="24"/>
          <w:szCs w:val="28"/>
          <w:highlight w:val="none"/>
        </w:rPr>
        <w:t>3、本合同自双方签字或盖章后生效。</w:t>
      </w:r>
    </w:p>
    <w:p>
      <w:pPr>
        <w:spacing w:line="360" w:lineRule="auto"/>
        <w:ind w:right="218" w:rightChars="104" w:firstLine="720" w:firstLineChars="300"/>
        <w:rPr>
          <w:rFonts w:ascii="宋体" w:hAnsi="宋体"/>
          <w:color w:val="auto"/>
          <w:sz w:val="24"/>
          <w:szCs w:val="28"/>
          <w:highlight w:val="none"/>
        </w:rPr>
      </w:pPr>
      <w:r>
        <w:rPr>
          <w:rFonts w:hint="eastAsia" w:ascii="宋体" w:hAnsi="宋体"/>
          <w:color w:val="auto"/>
          <w:sz w:val="24"/>
          <w:szCs w:val="28"/>
          <w:highlight w:val="none"/>
        </w:rPr>
        <w:t>4、合同签订后3日内，乙方须缴纳</w:t>
      </w:r>
      <w:r>
        <w:rPr>
          <w:rFonts w:hint="eastAsia" w:ascii="宋体" w:hAnsi="宋体"/>
          <w:color w:val="auto"/>
          <w:sz w:val="24"/>
          <w:szCs w:val="28"/>
          <w:highlight w:val="none"/>
          <w:lang w:val="en-US" w:eastAsia="zh-CN"/>
        </w:rPr>
        <w:t>20</w:t>
      </w:r>
      <w:r>
        <w:rPr>
          <w:rFonts w:hint="eastAsia" w:ascii="宋体" w:hAnsi="宋体"/>
          <w:color w:val="auto"/>
          <w:sz w:val="24"/>
          <w:szCs w:val="28"/>
          <w:highlight w:val="none"/>
        </w:rPr>
        <w:t>万元人民币的履约保证金，在工程验收合格后7日内无息退还。</w:t>
      </w:r>
    </w:p>
    <w:p>
      <w:pPr>
        <w:tabs>
          <w:tab w:val="left" w:pos="600"/>
        </w:tabs>
        <w:spacing w:line="360" w:lineRule="auto"/>
        <w:rPr>
          <w:rFonts w:ascii="宋体" w:cs="宋体"/>
          <w:b/>
          <w:bCs/>
          <w:color w:val="auto"/>
          <w:sz w:val="24"/>
          <w:highlight w:val="none"/>
          <w:lang w:bidi="ar"/>
        </w:rPr>
      </w:pPr>
      <w:r>
        <w:rPr>
          <w:rFonts w:hint="eastAsia" w:ascii="宋体"/>
          <w:b/>
          <w:bCs/>
          <w:color w:val="auto"/>
          <w:sz w:val="24"/>
          <w:highlight w:val="none"/>
        </w:rPr>
        <w:t>第十</w:t>
      </w:r>
      <w:r>
        <w:rPr>
          <w:rFonts w:hint="eastAsia" w:ascii="宋体"/>
          <w:b/>
          <w:bCs/>
          <w:color w:val="auto"/>
          <w:sz w:val="24"/>
          <w:highlight w:val="none"/>
          <w:lang w:eastAsia="zh-CN"/>
        </w:rPr>
        <w:t>五</w:t>
      </w:r>
      <w:r>
        <w:rPr>
          <w:rFonts w:hint="eastAsia" w:ascii="宋体"/>
          <w:b/>
          <w:bCs/>
          <w:color w:val="auto"/>
          <w:sz w:val="24"/>
          <w:highlight w:val="none"/>
        </w:rPr>
        <w:t>条</w:t>
      </w:r>
      <w:r>
        <w:rPr>
          <w:rFonts w:hint="eastAsia" w:ascii="宋体" w:cs="宋体"/>
          <w:b/>
          <w:bCs/>
          <w:color w:val="auto"/>
          <w:sz w:val="24"/>
          <w:highlight w:val="none"/>
          <w:lang w:bidi="ar"/>
        </w:rPr>
        <w:t>、送达条款</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甲乙双方明确送达信息如下：</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甲方确认的送达信息为：</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送达地址：</w:t>
      </w:r>
      <w:r>
        <w:rPr>
          <w:rFonts w:hint="eastAsia" w:ascii="宋体" w:cs="宋体"/>
          <w:color w:val="auto"/>
          <w:sz w:val="24"/>
          <w:highlight w:val="none"/>
          <w:u w:val="single"/>
          <w:lang w:bidi="ar"/>
        </w:rPr>
        <w:t xml:space="preserve">洛阳市洛龙区开元大道1号开元一号营销中心三楼    </w:t>
      </w:r>
      <w:r>
        <w:rPr>
          <w:rFonts w:hint="eastAsia" w:ascii="宋体" w:cs="宋体"/>
          <w:color w:val="auto"/>
          <w:sz w:val="24"/>
          <w:highlight w:val="none"/>
          <w:lang w:bidi="ar"/>
        </w:rPr>
        <w:t xml:space="preserve">                                                </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联系人及联系方式：</w:t>
      </w:r>
      <w:r>
        <w:rPr>
          <w:rFonts w:hint="eastAsia" w:ascii="宋体" w:cs="宋体"/>
          <w:color w:val="auto"/>
          <w:sz w:val="24"/>
          <w:highlight w:val="none"/>
          <w:u w:val="single"/>
          <w:lang w:bidi="ar"/>
        </w:rPr>
        <w:t xml:space="preserve"> </w:t>
      </w:r>
      <w:r>
        <w:rPr>
          <w:rFonts w:hint="eastAsia" w:ascii="宋体" w:cs="宋体"/>
          <w:color w:val="auto"/>
          <w:sz w:val="24"/>
          <w:highlight w:val="none"/>
          <w:u w:val="single"/>
          <w:lang w:eastAsia="zh-CN" w:bidi="ar"/>
        </w:rPr>
        <w:t>张女士</w:t>
      </w:r>
      <w:r>
        <w:rPr>
          <w:rFonts w:hint="eastAsia" w:ascii="宋体" w:cs="宋体"/>
          <w:color w:val="auto"/>
          <w:sz w:val="24"/>
          <w:highlight w:val="none"/>
          <w:u w:val="single"/>
          <w:lang w:val="en-US" w:eastAsia="zh-CN" w:bidi="ar"/>
        </w:rPr>
        <w:t>0379-60198086</w:t>
      </w:r>
      <w:r>
        <w:rPr>
          <w:rFonts w:hint="eastAsia" w:ascii="宋体" w:cs="宋体"/>
          <w:color w:val="auto"/>
          <w:sz w:val="24"/>
          <w:highlight w:val="none"/>
          <w:u w:val="single"/>
          <w:lang w:bidi="ar"/>
        </w:rPr>
        <w:t xml:space="preserve"> </w:t>
      </w:r>
      <w:r>
        <w:rPr>
          <w:rFonts w:hint="eastAsia" w:ascii="宋体" w:cs="宋体"/>
          <w:color w:val="auto"/>
          <w:sz w:val="24"/>
          <w:highlight w:val="none"/>
          <w:lang w:bidi="ar"/>
        </w:rPr>
        <w:t xml:space="preserve">                                     </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乙方确认的送达信息为：</w:t>
      </w:r>
    </w:p>
    <w:p>
      <w:pPr>
        <w:ind w:firstLine="480" w:firstLineChars="200"/>
        <w:rPr>
          <w:rFonts w:hint="eastAsia"/>
          <w:color w:val="auto"/>
          <w:highlight w:val="none"/>
          <w:lang w:val="en-US" w:eastAsia="zh-CN"/>
        </w:rPr>
      </w:pPr>
      <w:r>
        <w:rPr>
          <w:rFonts w:hint="eastAsia" w:ascii="宋体" w:cs="宋体"/>
          <w:color w:val="auto"/>
          <w:sz w:val="24"/>
          <w:highlight w:val="none"/>
          <w:lang w:bidi="ar"/>
        </w:rPr>
        <w:t>送达地址：</w:t>
      </w:r>
      <w:r>
        <w:rPr>
          <w:rFonts w:hint="eastAsia"/>
          <w:color w:val="auto"/>
          <w:highlight w:val="none"/>
          <w:lang w:val="en-US" w:eastAsia="zh-CN"/>
        </w:rPr>
        <w:t>上海市普陀区曹杨路2021号天汇广场2号楼11楼A座</w:t>
      </w:r>
    </w:p>
    <w:p>
      <w:pPr>
        <w:spacing w:line="240" w:lineRule="auto"/>
        <w:ind w:firstLine="420" w:firstLineChars="200"/>
        <w:rPr>
          <w:rFonts w:ascii="宋体" w:cs="宋体"/>
          <w:color w:val="auto"/>
          <w:sz w:val="24"/>
          <w:highlight w:val="none"/>
          <w:lang w:bidi="ar"/>
        </w:rPr>
      </w:pPr>
      <w:r>
        <w:rPr>
          <w:rFonts w:hint="eastAsia"/>
          <w:color w:val="auto"/>
          <w:highlight w:val="none"/>
          <w:lang w:val="en-US" w:eastAsia="zh-CN"/>
        </w:rPr>
        <w:t>联系人及联系方式： 成鑫  15722503039</w:t>
      </w:r>
      <w:r>
        <w:rPr>
          <w:rFonts w:hint="eastAsia" w:ascii="宋体" w:cs="宋体"/>
          <w:color w:val="auto"/>
          <w:sz w:val="24"/>
          <w:highlight w:val="none"/>
          <w:lang w:bidi="ar"/>
        </w:rPr>
        <w:t xml:space="preserve">                           </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tabs>
          <w:tab w:val="left" w:pos="600"/>
        </w:tabs>
        <w:spacing w:line="360" w:lineRule="auto"/>
        <w:rPr>
          <w:rFonts w:ascii="宋体" w:cs="宋体"/>
          <w:color w:val="auto"/>
          <w:sz w:val="24"/>
          <w:highlight w:val="none"/>
          <w:lang w:bidi="ar"/>
        </w:rPr>
      </w:pPr>
      <w:r>
        <w:rPr>
          <w:rFonts w:hint="eastAsia" w:ascii="宋体" w:cs="宋体"/>
          <w:color w:val="auto"/>
          <w:sz w:val="24"/>
          <w:highlight w:val="none"/>
          <w:lang w:bidi="ar"/>
        </w:rPr>
        <w:t>（以下无正文）</w:t>
      </w:r>
    </w:p>
    <w:p>
      <w:pPr>
        <w:snapToGrid w:val="0"/>
        <w:spacing w:line="360" w:lineRule="auto"/>
        <w:rPr>
          <w:rFonts w:ascii="宋体" w:hAnsi="宋体" w:cs="宋体"/>
          <w:color w:val="auto"/>
          <w:sz w:val="24"/>
          <w:highlight w:val="none"/>
          <w:u w:val="single"/>
        </w:rPr>
      </w:pP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甲方名称：（盖章）                       乙方名称：（盖章）                        </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法定代表人或授权代表：（签字）           法定代表人或授权代表：（签字）</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住    所：                              住    所： </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邮政编码：471900                         邮政编码：</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传    真：                              传    真：</w:t>
      </w:r>
    </w:p>
    <w:p>
      <w:pPr>
        <w:rPr>
          <w:rFonts w:hint="eastAsia"/>
          <w:color w:val="auto"/>
          <w:highlight w:val="none"/>
          <w:lang w:val="en-US" w:eastAsia="zh-CN"/>
        </w:rPr>
      </w:pPr>
      <w:r>
        <w:rPr>
          <w:rFonts w:hint="eastAsia" w:ascii="宋体" w:hAnsi="宋体" w:cs="宋体"/>
          <w:color w:val="auto"/>
          <w:sz w:val="24"/>
          <w:highlight w:val="none"/>
        </w:rPr>
        <w:t>开户银行：</w:t>
      </w:r>
      <w:r>
        <w:rPr>
          <w:rFonts w:hint="eastAsia" w:ascii="宋体" w:hAnsi="宋体" w:cs="宋体"/>
          <w:color w:val="auto"/>
          <w:highlight w:val="none"/>
        </w:rPr>
        <w:t xml:space="preserve">河南宜阳农村商业银行文化路支行   </w:t>
      </w:r>
      <w:r>
        <w:rPr>
          <w:rFonts w:hint="eastAsia" w:ascii="宋体" w:hAnsi="宋体" w:cs="宋体"/>
          <w:color w:val="auto"/>
          <w:sz w:val="24"/>
          <w:highlight w:val="none"/>
        </w:rPr>
        <w:t>开户银行：</w:t>
      </w:r>
      <w:r>
        <w:rPr>
          <w:rFonts w:hint="eastAsia"/>
          <w:color w:val="auto"/>
          <w:highlight w:val="none"/>
          <w:lang w:val="en-US" w:eastAsia="zh-CN"/>
        </w:rPr>
        <w:t>上海银行宜川支行</w:t>
      </w:r>
    </w:p>
    <w:p>
      <w:pPr>
        <w:spacing w:line="360" w:lineRule="auto"/>
        <w:jc w:val="left"/>
        <w:rPr>
          <w:rFonts w:ascii="宋体" w:hAnsi="宋体" w:cs="宋体"/>
          <w:color w:val="auto"/>
          <w:sz w:val="24"/>
          <w:highlight w:val="none"/>
        </w:rPr>
      </w:pPr>
    </w:p>
    <w:p>
      <w:pPr>
        <w:rPr>
          <w:rFonts w:hint="eastAsia"/>
          <w:color w:val="auto"/>
          <w:highlight w:val="none"/>
          <w:lang w:val="en-US" w:eastAsia="zh-CN"/>
        </w:rPr>
      </w:pPr>
      <w:r>
        <w:rPr>
          <w:rFonts w:hint="eastAsia" w:ascii="宋体" w:hAnsi="宋体" w:cs="宋体"/>
          <w:color w:val="auto"/>
          <w:sz w:val="24"/>
          <w:highlight w:val="none"/>
        </w:rPr>
        <w:t>银行帐号：</w:t>
      </w:r>
      <w:r>
        <w:rPr>
          <w:rFonts w:hint="eastAsia" w:ascii="宋体" w:hAnsi="宋体" w:cs="宋体"/>
          <w:snapToGrid w:val="0"/>
          <w:color w:val="auto"/>
          <w:kern w:val="0"/>
          <w:sz w:val="24"/>
          <w:highlight w:val="none"/>
        </w:rPr>
        <w:t>66121011800000498</w:t>
      </w:r>
      <w:r>
        <w:rPr>
          <w:rFonts w:hint="eastAsia" w:ascii="宋体" w:hAnsi="宋体" w:cs="宋体"/>
          <w:color w:val="auto"/>
          <w:sz w:val="24"/>
          <w:highlight w:val="none"/>
        </w:rPr>
        <w:t xml:space="preserve">              银行账号：</w:t>
      </w:r>
      <w:r>
        <w:rPr>
          <w:rFonts w:hint="eastAsia"/>
          <w:color w:val="auto"/>
          <w:highlight w:val="none"/>
          <w:lang w:val="en-US" w:eastAsia="zh-CN"/>
        </w:rPr>
        <w:t>31659903000027013</w:t>
      </w:r>
    </w:p>
    <w:p>
      <w:pPr>
        <w:spacing w:line="360" w:lineRule="auto"/>
        <w:jc w:val="left"/>
        <w:rPr>
          <w:rFonts w:ascii="宋体" w:hAnsi="宋体" w:cs="宋体"/>
          <w:color w:val="auto"/>
          <w:sz w:val="24"/>
          <w:highlight w:val="none"/>
        </w:rPr>
      </w:pPr>
    </w:p>
    <w:p>
      <w:pPr>
        <w:pStyle w:val="2"/>
        <w:rPr>
          <w:rFonts w:hint="eastAsia" w:hAnsi="宋体" w:eastAsia="宋体" w:cs="宋体"/>
          <w:b w:val="0"/>
          <w:bCs/>
          <w:color w:val="auto"/>
          <w:szCs w:val="24"/>
          <w:highlight w:val="none"/>
          <w:lang w:eastAsia="zh-CN"/>
        </w:rPr>
      </w:pPr>
      <w:r>
        <w:rPr>
          <w:rFonts w:hint="eastAsia" w:hAnsi="宋体" w:cs="宋体"/>
          <w:b w:val="0"/>
          <w:bCs/>
          <w:color w:val="auto"/>
          <w:szCs w:val="24"/>
          <w:highlight w:val="none"/>
        </w:rPr>
        <w:t>纳税人类别：一般纳税人                   纳税人类别：</w:t>
      </w:r>
      <w:r>
        <w:rPr>
          <w:rFonts w:hint="eastAsia" w:hAnsi="宋体" w:cs="宋体"/>
          <w:b w:val="0"/>
          <w:bCs/>
          <w:color w:val="auto"/>
          <w:szCs w:val="24"/>
          <w:highlight w:val="none"/>
          <w:lang w:eastAsia="zh-CN"/>
        </w:rPr>
        <w:t>一般纳税人</w:t>
      </w:r>
    </w:p>
    <w:p>
      <w:pPr>
        <w:pStyle w:val="2"/>
        <w:rPr>
          <w:rFonts w:hAnsi="宋体" w:cs="宋体"/>
          <w:b w:val="0"/>
          <w:bCs/>
          <w:color w:val="auto"/>
          <w:szCs w:val="24"/>
          <w:highlight w:val="none"/>
        </w:rPr>
      </w:pPr>
      <w:r>
        <w:rPr>
          <w:rFonts w:hint="eastAsia" w:hAnsi="宋体" w:cs="宋体"/>
          <w:b w:val="0"/>
          <w:bCs/>
          <w:color w:val="auto"/>
          <w:szCs w:val="24"/>
          <w:highlight w:val="none"/>
        </w:rPr>
        <w:t>纳税人识别号：91410327MA46Q3579G          纳税人识别号：</w:t>
      </w:r>
      <w:r>
        <w:rPr>
          <w:rFonts w:hint="eastAsia" w:hAnsi="宋体" w:cs="宋体"/>
          <w:b w:val="0"/>
          <w:bCs/>
          <w:color w:val="auto"/>
          <w:szCs w:val="24"/>
          <w:highlight w:val="none"/>
          <w:lang w:val="en-US" w:eastAsia="zh-CN"/>
        </w:rPr>
        <w:t>91310000785166528E</w:t>
      </w:r>
      <w:r>
        <w:rPr>
          <w:rFonts w:hint="eastAsia" w:hAnsi="宋体" w:cs="宋体"/>
          <w:b w:val="0"/>
          <w:bCs/>
          <w:color w:val="auto"/>
          <w:szCs w:val="24"/>
          <w:highlight w:val="none"/>
        </w:rPr>
        <w:t xml:space="preserve">                      </w:t>
      </w:r>
    </w:p>
    <w:p>
      <w:pPr>
        <w:pStyle w:val="2"/>
        <w:rPr>
          <w:rFonts w:hint="eastAsia" w:hAnsi="宋体" w:eastAsia="宋体" w:cs="宋体"/>
          <w:b w:val="0"/>
          <w:bCs/>
          <w:color w:val="auto"/>
          <w:szCs w:val="24"/>
          <w:highlight w:val="none"/>
          <w:lang w:eastAsia="zh-CN"/>
        </w:rPr>
      </w:pPr>
      <w:r>
        <w:rPr>
          <w:rFonts w:hint="eastAsia" w:hAnsi="宋体" w:cs="宋体"/>
          <w:b w:val="0"/>
          <w:bCs/>
          <w:color w:val="auto"/>
          <w:szCs w:val="24"/>
          <w:highlight w:val="none"/>
        </w:rPr>
        <w:t>计税方式：一般计税方法                   计税方式：</w:t>
      </w:r>
      <w:r>
        <w:rPr>
          <w:rFonts w:hint="eastAsia" w:hAnsi="宋体" w:cs="宋体"/>
          <w:b w:val="0"/>
          <w:bCs/>
          <w:color w:val="auto"/>
          <w:szCs w:val="24"/>
          <w:highlight w:val="none"/>
          <w:lang w:eastAsia="zh-CN"/>
        </w:rPr>
        <w:t>一般纳税人</w:t>
      </w:r>
    </w:p>
    <w:p>
      <w:pPr>
        <w:pStyle w:val="2"/>
        <w:rPr>
          <w:rFonts w:hAnsi="宋体" w:cs="宋体"/>
          <w:b w:val="0"/>
          <w:bCs/>
          <w:color w:val="auto"/>
          <w:szCs w:val="24"/>
          <w:highlight w:val="none"/>
        </w:rPr>
      </w:pPr>
      <w:r>
        <w:rPr>
          <w:rFonts w:hint="eastAsia" w:hAnsi="宋体" w:cs="宋体"/>
          <w:b w:val="0"/>
          <w:bCs/>
          <w:color w:val="auto"/>
          <w:szCs w:val="24"/>
          <w:highlight w:val="none"/>
        </w:rPr>
        <w:t>签订日期：2021.</w:t>
      </w:r>
      <w:r>
        <w:rPr>
          <w:rFonts w:hint="eastAsia" w:hAnsi="宋体" w:cs="宋体"/>
          <w:b w:val="0"/>
          <w:bCs/>
          <w:color w:val="auto"/>
          <w:szCs w:val="24"/>
          <w:highlight w:val="none"/>
          <w:lang w:val="en-US" w:eastAsia="zh-CN"/>
        </w:rPr>
        <w:t>6.4</w:t>
      </w:r>
      <w:r>
        <w:rPr>
          <w:rFonts w:hint="eastAsia" w:hAnsi="宋体" w:cs="宋体"/>
          <w:b w:val="0"/>
          <w:bCs/>
          <w:color w:val="auto"/>
          <w:szCs w:val="24"/>
          <w:highlight w:val="none"/>
        </w:rPr>
        <w:t xml:space="preserve">                  </w:t>
      </w: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r>
        <w:rPr>
          <w:rFonts w:hint="eastAsia" w:ascii="宋体" w:hAnsi="宋体"/>
          <w:color w:val="auto"/>
          <w:sz w:val="24"/>
          <w:szCs w:val="28"/>
          <w:highlight w:val="none"/>
        </w:rPr>
        <w:t>附表1</w:t>
      </w:r>
    </w:p>
    <w:p>
      <w:pPr>
        <w:rPr>
          <w:rFonts w:hint="eastAsia"/>
          <w:color w:val="auto"/>
          <w:sz w:val="24"/>
          <w:highlight w:val="none"/>
        </w:rPr>
      </w:pPr>
      <w:r>
        <w:rPr>
          <w:rFonts w:hint="eastAsia"/>
          <w:color w:val="auto"/>
          <w:sz w:val="24"/>
          <w:highlight w:val="none"/>
        </w:rPr>
        <w:t xml:space="preserve"> </w:t>
      </w:r>
    </w:p>
    <w:tbl>
      <w:tblPr>
        <w:tblStyle w:val="23"/>
        <w:tblW w:w="9920" w:type="dxa"/>
        <w:tblInd w:w="96" w:type="dxa"/>
        <w:shd w:val="clear" w:color="auto" w:fill="auto"/>
        <w:tblLayout w:type="autofit"/>
        <w:tblCellMar>
          <w:top w:w="0" w:type="dxa"/>
          <w:left w:w="108" w:type="dxa"/>
          <w:bottom w:w="0" w:type="dxa"/>
          <w:right w:w="108" w:type="dxa"/>
        </w:tblCellMar>
      </w:tblPr>
      <w:tblGrid>
        <w:gridCol w:w="771"/>
        <w:gridCol w:w="2233"/>
        <w:gridCol w:w="772"/>
        <w:gridCol w:w="1170"/>
        <w:gridCol w:w="2633"/>
        <w:gridCol w:w="1570"/>
        <w:gridCol w:w="771"/>
      </w:tblGrid>
      <w:tr>
        <w:tblPrEx>
          <w:shd w:val="clear" w:color="auto" w:fill="auto"/>
          <w:tblCellMar>
            <w:top w:w="0" w:type="dxa"/>
            <w:left w:w="108" w:type="dxa"/>
            <w:bottom w:w="0" w:type="dxa"/>
            <w:right w:w="108" w:type="dxa"/>
          </w:tblCellMar>
        </w:tblPrEx>
        <w:trPr>
          <w:trHeight w:val="1223" w:hRule="atLeast"/>
        </w:trPr>
        <w:tc>
          <w:tcPr>
            <w:tcW w:w="992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宜阳山水文苑项目</w:t>
            </w:r>
            <w:r>
              <w:rPr>
                <w:rFonts w:hint="eastAsia" w:ascii="宋体" w:hAnsi="宋体" w:eastAsia="宋体" w:cs="宋体"/>
                <w:b/>
                <w:bCs/>
                <w:i w:val="0"/>
                <w:iCs w:val="0"/>
                <w:color w:val="auto"/>
                <w:kern w:val="0"/>
                <w:sz w:val="32"/>
                <w:szCs w:val="32"/>
                <w:highlight w:val="none"/>
                <w:u w:val="none"/>
                <w:lang w:val="en-US" w:eastAsia="zh-CN" w:bidi="ar"/>
              </w:rPr>
              <w:br w:type="textWrapping"/>
            </w:r>
            <w:r>
              <w:rPr>
                <w:rFonts w:hint="eastAsia" w:ascii="宋体" w:hAnsi="宋体" w:eastAsia="宋体" w:cs="宋体"/>
                <w:b/>
                <w:bCs/>
                <w:i w:val="0"/>
                <w:iCs w:val="0"/>
                <w:color w:val="auto"/>
                <w:kern w:val="0"/>
                <w:sz w:val="32"/>
                <w:szCs w:val="32"/>
                <w:highlight w:val="none"/>
                <w:u w:val="none"/>
                <w:lang w:val="en-US" w:eastAsia="zh-CN" w:bidi="ar"/>
              </w:rPr>
              <w:t>外墙</w:t>
            </w:r>
            <w:r>
              <w:rPr>
                <w:rFonts w:hint="eastAsia" w:ascii="宋体" w:hAnsi="宋体" w:cs="宋体"/>
                <w:b/>
                <w:bCs/>
                <w:i w:val="0"/>
                <w:iCs w:val="0"/>
                <w:color w:val="auto"/>
                <w:kern w:val="0"/>
                <w:sz w:val="32"/>
                <w:szCs w:val="32"/>
                <w:highlight w:val="none"/>
                <w:u w:val="none"/>
                <w:lang w:val="en-US" w:eastAsia="zh-CN" w:bidi="ar"/>
              </w:rPr>
              <w:t>面岩彩漆</w:t>
            </w:r>
            <w:r>
              <w:rPr>
                <w:rFonts w:hint="eastAsia" w:ascii="宋体" w:hAnsi="宋体" w:eastAsia="宋体" w:cs="宋体"/>
                <w:b/>
                <w:bCs/>
                <w:i w:val="0"/>
                <w:iCs w:val="0"/>
                <w:color w:val="auto"/>
                <w:kern w:val="0"/>
                <w:sz w:val="32"/>
                <w:szCs w:val="32"/>
                <w:highlight w:val="none"/>
                <w:u w:val="none"/>
                <w:lang w:val="en-US" w:eastAsia="zh-CN" w:bidi="ar"/>
              </w:rPr>
              <w:t>汇总表</w:t>
            </w:r>
          </w:p>
        </w:tc>
      </w:tr>
      <w:tr>
        <w:tblPrEx>
          <w:tblCellMar>
            <w:top w:w="0" w:type="dxa"/>
            <w:left w:w="108" w:type="dxa"/>
            <w:bottom w:w="0" w:type="dxa"/>
            <w:right w:w="108" w:type="dxa"/>
          </w:tblCellMar>
        </w:tblPrEx>
        <w:trPr>
          <w:trHeight w:val="10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含税综合</w:t>
            </w:r>
            <w:r>
              <w:rPr>
                <w:rFonts w:hint="eastAsia" w:ascii="宋体" w:hAnsi="宋体" w:eastAsia="宋体" w:cs="宋体"/>
                <w:i w:val="0"/>
                <w:iCs w:val="0"/>
                <w:color w:val="auto"/>
                <w:kern w:val="0"/>
                <w:sz w:val="24"/>
                <w:szCs w:val="24"/>
                <w:highlight w:val="none"/>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tblPrEx>
          <w:tblCellMar>
            <w:top w:w="0" w:type="dxa"/>
            <w:left w:w="108" w:type="dxa"/>
            <w:bottom w:w="0" w:type="dxa"/>
            <w:right w:w="108" w:type="dxa"/>
          </w:tblCellMar>
        </w:tblPrEx>
        <w:trPr>
          <w:trHeight w:val="10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外墙面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53132.7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58.4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3102949.68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trHeight w:val="10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雨水管道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740.84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46.96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34789.85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trHeight w:val="110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3137739.53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bl>
    <w:p>
      <w:pPr>
        <w:rPr>
          <w:b/>
          <w:bCs/>
          <w:color w:val="auto"/>
          <w:sz w:val="28"/>
          <w:szCs w:val="28"/>
          <w:highlight w:val="none"/>
        </w:rPr>
      </w:pPr>
      <w:r>
        <w:rPr>
          <w:rFonts w:hint="eastAsia"/>
          <w:color w:val="auto"/>
          <w:sz w:val="28"/>
          <w:szCs w:val="28"/>
          <w:highlight w:val="none"/>
        </w:rPr>
        <w:t>金额单位：人民币元</w:t>
      </w:r>
    </w:p>
    <w:p>
      <w:pPr>
        <w:spacing w:line="400" w:lineRule="exact"/>
        <w:ind w:left="284"/>
        <w:rPr>
          <w:color w:val="auto"/>
          <w:kern w:val="144"/>
          <w:position w:val="6"/>
          <w:sz w:val="24"/>
          <w:highlight w:val="none"/>
        </w:rPr>
      </w:pPr>
      <w:r>
        <w:rPr>
          <w:rFonts w:hint="eastAsia"/>
          <w:color w:val="auto"/>
          <w:kern w:val="144"/>
          <w:position w:val="6"/>
          <w:sz w:val="24"/>
          <w:highlight w:val="none"/>
        </w:rPr>
        <w:t>备注：1.综合单价组成应包括人工费、材料费、机械费、施工措施费、运输费、试验费、安装费、管理费、利润及税金（并包括相关部门验收合格等一切费用）等全部内容。</w:t>
      </w:r>
    </w:p>
    <w:p>
      <w:pPr>
        <w:spacing w:line="400" w:lineRule="exact"/>
        <w:ind w:left="284"/>
        <w:rPr>
          <w:color w:val="auto"/>
          <w:kern w:val="144"/>
          <w:position w:val="6"/>
          <w:sz w:val="24"/>
          <w:highlight w:val="none"/>
        </w:rPr>
      </w:pPr>
      <w:r>
        <w:rPr>
          <w:rFonts w:hint="eastAsia"/>
          <w:color w:val="auto"/>
          <w:kern w:val="144"/>
          <w:position w:val="6"/>
          <w:sz w:val="24"/>
          <w:highlight w:val="none"/>
        </w:rPr>
        <w:t xml:space="preserve">      2.以上工程统计数量仅为暂定工程量，结算时按实际工程量为准。</w:t>
      </w:r>
    </w:p>
    <w:p>
      <w:pPr>
        <w:spacing w:line="400" w:lineRule="exact"/>
        <w:ind w:left="284"/>
        <w:rPr>
          <w:rFonts w:ascii="宋体" w:hAnsi="宋体" w:cs="宋体"/>
          <w:color w:val="auto"/>
          <w:kern w:val="144"/>
          <w:position w:val="6"/>
          <w:sz w:val="24"/>
          <w:szCs w:val="22"/>
          <w:highlight w:val="none"/>
        </w:rPr>
      </w:pPr>
      <w:r>
        <w:rPr>
          <w:rFonts w:hint="eastAsia"/>
          <w:color w:val="auto"/>
          <w:kern w:val="144"/>
          <w:position w:val="6"/>
          <w:sz w:val="28"/>
          <w:highlight w:val="none"/>
        </w:rPr>
        <w:t xml:space="preserve">    </w:t>
      </w:r>
      <w:r>
        <w:rPr>
          <w:rFonts w:hint="eastAsia" w:ascii="宋体" w:hAnsi="宋体" w:cs="宋体"/>
          <w:color w:val="auto"/>
          <w:kern w:val="144"/>
          <w:position w:val="6"/>
          <w:sz w:val="24"/>
          <w:szCs w:val="22"/>
          <w:highlight w:val="none"/>
        </w:rPr>
        <w:t xml:space="preserve"> 3.以上报价按使用吊篮、局部脚手架施工考虑。</w:t>
      </w:r>
    </w:p>
    <w:p>
      <w:pPr>
        <w:spacing w:line="400" w:lineRule="exact"/>
        <w:rPr>
          <w:rFonts w:ascii="宋体" w:hAnsi="宋体" w:cs="宋体"/>
          <w:b/>
          <w:bCs/>
          <w:color w:val="auto"/>
          <w:kern w:val="144"/>
          <w:position w:val="6"/>
          <w:sz w:val="32"/>
          <w:szCs w:val="28"/>
          <w:highlight w:val="none"/>
        </w:rPr>
      </w:pPr>
      <w:r>
        <w:rPr>
          <w:rFonts w:hint="eastAsia" w:ascii="宋体" w:hAnsi="宋体" w:cs="宋体"/>
          <w:b/>
          <w:bCs/>
          <w:color w:val="auto"/>
          <w:kern w:val="144"/>
          <w:position w:val="6"/>
          <w:sz w:val="32"/>
          <w:szCs w:val="28"/>
          <w:highlight w:val="none"/>
        </w:rPr>
        <w:t xml:space="preserve">                  </w:t>
      </w:r>
    </w:p>
    <w:p>
      <w:pPr>
        <w:spacing w:line="400" w:lineRule="exact"/>
        <w:rPr>
          <w:rFonts w:ascii="宋体" w:hAnsi="宋体" w:cs="宋体"/>
          <w:b/>
          <w:bCs/>
          <w:color w:val="auto"/>
          <w:kern w:val="144"/>
          <w:position w:val="6"/>
          <w:sz w:val="32"/>
          <w:szCs w:val="28"/>
          <w:highlight w:val="none"/>
        </w:rPr>
      </w:pPr>
    </w:p>
    <w:tbl>
      <w:tblPr>
        <w:tblStyle w:val="23"/>
        <w:tblW w:w="9769" w:type="dxa"/>
        <w:tblInd w:w="96" w:type="dxa"/>
        <w:shd w:val="clear" w:color="auto" w:fill="auto"/>
        <w:tblLayout w:type="autofit"/>
        <w:tblCellMar>
          <w:top w:w="0" w:type="dxa"/>
          <w:left w:w="108" w:type="dxa"/>
          <w:bottom w:w="0" w:type="dxa"/>
          <w:right w:w="108" w:type="dxa"/>
        </w:tblCellMar>
      </w:tblPr>
      <w:tblGrid>
        <w:gridCol w:w="780"/>
        <w:gridCol w:w="1080"/>
        <w:gridCol w:w="972"/>
        <w:gridCol w:w="972"/>
        <w:gridCol w:w="1404"/>
        <w:gridCol w:w="1272"/>
        <w:gridCol w:w="2316"/>
        <w:gridCol w:w="973"/>
      </w:tblGrid>
      <w:tr>
        <w:tblPrEx>
          <w:shd w:val="clear" w:color="auto" w:fill="auto"/>
          <w:tblCellMar>
            <w:top w:w="0" w:type="dxa"/>
            <w:left w:w="108" w:type="dxa"/>
            <w:bottom w:w="0" w:type="dxa"/>
            <w:right w:w="108" w:type="dxa"/>
          </w:tblCellMar>
        </w:tblPrEx>
        <w:trPr>
          <w:trHeight w:val="820" w:hRule="atLeast"/>
        </w:trPr>
        <w:tc>
          <w:tcPr>
            <w:tcW w:w="5208"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水包砂外墙岩彩漆每平方价格分析表</w:t>
            </w:r>
          </w:p>
        </w:tc>
      </w:tr>
      <w:tr>
        <w:tblPrEx>
          <w:tblCellMar>
            <w:top w:w="0" w:type="dxa"/>
            <w:left w:w="108" w:type="dxa"/>
            <w:bottom w:w="0" w:type="dxa"/>
            <w:right w:w="108" w:type="dxa"/>
          </w:tblCellMar>
        </w:tblPrEx>
        <w:trPr>
          <w:trHeight w:val="4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单价（元）</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含量单平方米用量</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小计     （元）</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品牌</w:t>
            </w:r>
          </w:p>
        </w:tc>
      </w:tr>
      <w:tr>
        <w:tblPrEx>
          <w:tblCellMar>
            <w:top w:w="0" w:type="dxa"/>
            <w:left w:w="108" w:type="dxa"/>
            <w:bottom w:w="0" w:type="dxa"/>
            <w:right w:w="108" w:type="dxa"/>
          </w:tblCellMar>
        </w:tblPrEx>
        <w:trPr>
          <w:trHeight w:val="10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腻子层</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1.33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2.67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35"/>
                <w:color w:val="auto"/>
                <w:highlight w:val="none"/>
                <w:lang w:val="en-US" w:eastAsia="zh-CN" w:bidi="ar"/>
              </w:rPr>
              <w:t>涂刷遍数：</w:t>
            </w:r>
            <w:r>
              <w:rPr>
                <w:rStyle w:val="36"/>
                <w:color w:val="auto"/>
                <w:highlight w:val="none"/>
                <w:lang w:val="en-US" w:eastAsia="zh-CN" w:bidi="ar"/>
              </w:rPr>
              <w:t xml:space="preserve"> 1-2</w:t>
            </w:r>
            <w:r>
              <w:rPr>
                <w:rStyle w:val="35"/>
                <w:color w:val="auto"/>
                <w:highlight w:val="none"/>
                <w:lang w:val="en-US" w:eastAsia="zh-CN" w:bidi="ar"/>
              </w:rPr>
              <w:t>遍；</w:t>
            </w:r>
            <w:r>
              <w:rPr>
                <w:rStyle w:val="35"/>
                <w:color w:val="auto"/>
                <w:highlight w:val="none"/>
                <w:lang w:val="en-US" w:eastAsia="zh-CN" w:bidi="ar"/>
              </w:rPr>
              <w:br w:type="textWrapping"/>
            </w:r>
            <w:r>
              <w:rPr>
                <w:rStyle w:val="35"/>
                <w:color w:val="auto"/>
                <w:highlight w:val="none"/>
                <w:lang w:val="en-US" w:eastAsia="zh-CN" w:bidi="ar"/>
              </w:rPr>
              <w:t xml:space="preserve">涂布率: </w:t>
            </w:r>
            <w:r>
              <w:rPr>
                <w:rStyle w:val="36"/>
                <w:color w:val="auto"/>
                <w:highlight w:val="none"/>
                <w:lang w:val="en-US" w:eastAsia="zh-CN" w:bidi="ar"/>
              </w:rPr>
              <w:t xml:space="preserve"> 0.5 </w:t>
            </w:r>
            <w:r>
              <w:rPr>
                <w:rStyle w:val="35"/>
                <w:color w:val="auto"/>
                <w:highlight w:val="none"/>
                <w:lang w:val="en-US" w:eastAsia="zh-CN" w:bidi="ar"/>
              </w:rPr>
              <w:t>m2/KG</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立邦</w:t>
            </w:r>
          </w:p>
        </w:tc>
      </w:tr>
      <w:tr>
        <w:tblPrEx>
          <w:tblCellMar>
            <w:top w:w="0" w:type="dxa"/>
            <w:left w:w="108" w:type="dxa"/>
            <w:bottom w:w="0" w:type="dxa"/>
            <w:right w:w="108" w:type="dxa"/>
          </w:tblCellMar>
        </w:tblPrEx>
        <w:trPr>
          <w:trHeight w:val="9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外墙封闭抗碱底漆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14.33</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4.30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Style w:val="37"/>
                <w:color w:val="auto"/>
                <w:highlight w:val="none"/>
                <w:lang w:val="en-US" w:eastAsia="zh-CN" w:bidi="ar"/>
              </w:rPr>
              <w:t xml:space="preserve"> 1</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Style w:val="37"/>
                <w:color w:val="auto"/>
                <w:highlight w:val="none"/>
                <w:lang w:val="en-US" w:eastAsia="zh-CN" w:bidi="ar"/>
              </w:rPr>
              <w:t xml:space="preserve"> 3.33 m2/KG</w:t>
            </w:r>
            <w:r>
              <w:rPr>
                <w:rFonts w:hint="eastAsia" w:ascii="宋体" w:hAnsi="宋体" w:eastAsia="宋体" w:cs="宋体"/>
                <w:i w:val="0"/>
                <w:iCs w:val="0"/>
                <w:color w:val="auto"/>
                <w:kern w:val="0"/>
                <w:sz w:val="20"/>
                <w:szCs w:val="20"/>
                <w:highlight w:val="none"/>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立邦</w:t>
            </w:r>
          </w:p>
        </w:tc>
      </w:tr>
      <w:tr>
        <w:tblPrEx>
          <w:tblCellMar>
            <w:top w:w="0" w:type="dxa"/>
            <w:left w:w="108" w:type="dxa"/>
            <w:bottom w:w="0" w:type="dxa"/>
            <w:right w:w="108" w:type="dxa"/>
          </w:tblCellMar>
        </w:tblPrEx>
        <w:trPr>
          <w:trHeight w:val="9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岩彩漆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13.3</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21.28</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Style w:val="37"/>
                <w:color w:val="auto"/>
                <w:highlight w:val="none"/>
                <w:lang w:val="en-US" w:eastAsia="zh-CN" w:bidi="ar"/>
              </w:rPr>
              <w:t xml:space="preserve"> 1 </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Style w:val="37"/>
                <w:color w:val="auto"/>
                <w:highlight w:val="none"/>
                <w:lang w:val="en-US" w:eastAsia="zh-CN" w:bidi="ar"/>
              </w:rPr>
              <w:t xml:space="preserve"> 0.625 m2/KG</w:t>
            </w:r>
            <w:r>
              <w:rPr>
                <w:rFonts w:hint="eastAsia" w:ascii="宋体" w:hAnsi="宋体" w:eastAsia="宋体" w:cs="宋体"/>
                <w:i w:val="0"/>
                <w:iCs w:val="0"/>
                <w:color w:val="auto"/>
                <w:kern w:val="0"/>
                <w:sz w:val="20"/>
                <w:szCs w:val="20"/>
                <w:highlight w:val="none"/>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立邦</w:t>
            </w:r>
          </w:p>
        </w:tc>
      </w:tr>
      <w:tr>
        <w:tblPrEx>
          <w:tblCellMar>
            <w:top w:w="0" w:type="dxa"/>
            <w:left w:w="108" w:type="dxa"/>
            <w:bottom w:w="0" w:type="dxa"/>
            <w:right w:w="108" w:type="dxa"/>
          </w:tblCellMar>
        </w:tblPrEx>
        <w:trPr>
          <w:trHeight w:val="9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罩面漆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0.13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2.99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Style w:val="37"/>
                <w:color w:val="auto"/>
                <w:highlight w:val="none"/>
                <w:lang w:val="en-US" w:eastAsia="zh-CN" w:bidi="ar"/>
              </w:rPr>
              <w:t xml:space="preserve"> 1</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Style w:val="37"/>
                <w:color w:val="auto"/>
                <w:highlight w:val="none"/>
                <w:lang w:val="en-US" w:eastAsia="zh-CN" w:bidi="ar"/>
              </w:rPr>
              <w:t xml:space="preserve"> 7.69 m2/KG</w:t>
            </w:r>
            <w:r>
              <w:rPr>
                <w:rFonts w:hint="eastAsia" w:ascii="宋体" w:hAnsi="宋体" w:eastAsia="宋体" w:cs="宋体"/>
                <w:i w:val="0"/>
                <w:iCs w:val="0"/>
                <w:color w:val="auto"/>
                <w:kern w:val="0"/>
                <w:sz w:val="20"/>
                <w:szCs w:val="20"/>
                <w:highlight w:val="none"/>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立邦</w:t>
            </w:r>
          </w:p>
        </w:tc>
      </w:tr>
      <w:tr>
        <w:tblPrEx>
          <w:tblCellMar>
            <w:top w:w="0" w:type="dxa"/>
            <w:left w:w="108" w:type="dxa"/>
            <w:bottom w:w="0" w:type="dxa"/>
            <w:right w:w="108" w:type="dxa"/>
          </w:tblCellMar>
        </w:tblPrEx>
        <w:trPr>
          <w:trHeight w:val="12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人工及小型工具费</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措施费及保险</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管理费</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1.49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利润</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2.53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税金</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5.24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固定综合单价</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元/㎡</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63.50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优惠价为58.4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bl>
    <w:p>
      <w:pPr>
        <w:spacing w:line="400" w:lineRule="exact"/>
        <w:rPr>
          <w:rFonts w:ascii="宋体" w:hAnsi="宋体" w:cs="宋体"/>
          <w:b/>
          <w:bCs/>
          <w:color w:val="auto"/>
          <w:kern w:val="144"/>
          <w:position w:val="6"/>
          <w:sz w:val="32"/>
          <w:szCs w:val="28"/>
          <w:highlight w:val="none"/>
        </w:rPr>
      </w:pPr>
    </w:p>
    <w:tbl>
      <w:tblPr>
        <w:tblStyle w:val="23"/>
        <w:tblW w:w="9769" w:type="dxa"/>
        <w:tblInd w:w="96" w:type="dxa"/>
        <w:shd w:val="clear" w:color="auto" w:fill="auto"/>
        <w:tblLayout w:type="autofit"/>
        <w:tblCellMar>
          <w:top w:w="0" w:type="dxa"/>
          <w:left w:w="108" w:type="dxa"/>
          <w:bottom w:w="0" w:type="dxa"/>
          <w:right w:w="108" w:type="dxa"/>
        </w:tblCellMar>
      </w:tblPr>
      <w:tblGrid>
        <w:gridCol w:w="780"/>
        <w:gridCol w:w="1080"/>
        <w:gridCol w:w="972"/>
        <w:gridCol w:w="972"/>
        <w:gridCol w:w="1404"/>
        <w:gridCol w:w="1272"/>
        <w:gridCol w:w="2316"/>
        <w:gridCol w:w="973"/>
      </w:tblGrid>
      <w:tr>
        <w:tblPrEx>
          <w:shd w:val="clear" w:color="auto" w:fill="auto"/>
          <w:tblCellMar>
            <w:top w:w="0" w:type="dxa"/>
            <w:left w:w="108" w:type="dxa"/>
            <w:bottom w:w="0" w:type="dxa"/>
            <w:right w:w="108" w:type="dxa"/>
          </w:tblCellMar>
        </w:tblPrEx>
        <w:trPr>
          <w:trHeight w:val="700" w:hRule="atLeast"/>
        </w:trPr>
        <w:tc>
          <w:tcPr>
            <w:tcW w:w="5208" w:type="dxa"/>
            <w:gridSpan w:val="8"/>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auto"/>
                <w:kern w:val="0"/>
                <w:sz w:val="28"/>
                <w:szCs w:val="28"/>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水包砂外墙岩彩漆雨水管道每平方价格分析表</w:t>
            </w:r>
          </w:p>
        </w:tc>
      </w:tr>
      <w:tr>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单价（元）</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单平方米用量</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小计     （元）</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品牌</w:t>
            </w:r>
          </w:p>
        </w:tc>
      </w:tr>
      <w:tr>
        <w:tblPrEx>
          <w:tblCellMar>
            <w:top w:w="0" w:type="dxa"/>
            <w:left w:w="108" w:type="dxa"/>
            <w:bottom w:w="0" w:type="dxa"/>
            <w:right w:w="108" w:type="dxa"/>
          </w:tblCellMar>
        </w:tblPrEx>
        <w:trPr>
          <w:trHeight w:val="9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岩彩漆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13.3</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21.28</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Fonts w:hint="eastAsia" w:ascii="宋体" w:hAnsi="宋体" w:eastAsia="宋体" w:cs="宋体"/>
                <w:i w:val="0"/>
                <w:iCs w:val="0"/>
                <w:color w:val="auto"/>
                <w:kern w:val="0"/>
                <w:sz w:val="20"/>
                <w:szCs w:val="20"/>
                <w:highlight w:val="none"/>
                <w:u w:val="single"/>
                <w:lang w:val="en-US" w:eastAsia="zh-CN" w:bidi="ar"/>
              </w:rPr>
              <w:t xml:space="preserve"> 1 </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Fonts w:hint="eastAsia" w:ascii="宋体" w:hAnsi="宋体" w:eastAsia="宋体" w:cs="宋体"/>
                <w:i w:val="0"/>
                <w:iCs w:val="0"/>
                <w:color w:val="auto"/>
                <w:kern w:val="0"/>
                <w:sz w:val="20"/>
                <w:szCs w:val="20"/>
                <w:highlight w:val="none"/>
                <w:u w:val="single"/>
                <w:lang w:val="en-US" w:eastAsia="zh-CN" w:bidi="ar"/>
              </w:rPr>
              <w:t xml:space="preserve"> 0.625 m2/KG</w:t>
            </w:r>
            <w:r>
              <w:rPr>
                <w:rFonts w:hint="eastAsia" w:ascii="宋体" w:hAnsi="宋体" w:eastAsia="宋体" w:cs="宋体"/>
                <w:i w:val="0"/>
                <w:iCs w:val="0"/>
                <w:color w:val="auto"/>
                <w:kern w:val="0"/>
                <w:sz w:val="20"/>
                <w:szCs w:val="20"/>
                <w:highlight w:val="none"/>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立邦</w:t>
            </w:r>
          </w:p>
        </w:tc>
      </w:tr>
      <w:tr>
        <w:tblPrEx>
          <w:tblCellMar>
            <w:top w:w="0" w:type="dxa"/>
            <w:left w:w="108" w:type="dxa"/>
            <w:bottom w:w="0" w:type="dxa"/>
            <w:right w:w="108" w:type="dxa"/>
          </w:tblCellMar>
        </w:tblPrEx>
        <w:trPr>
          <w:trHeight w:val="9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罩面漆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0.13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2.99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Fonts w:hint="eastAsia" w:ascii="宋体" w:hAnsi="宋体" w:eastAsia="宋体" w:cs="宋体"/>
                <w:i w:val="0"/>
                <w:iCs w:val="0"/>
                <w:color w:val="auto"/>
                <w:kern w:val="0"/>
                <w:sz w:val="20"/>
                <w:szCs w:val="20"/>
                <w:highlight w:val="none"/>
                <w:u w:val="single"/>
                <w:lang w:val="en-US" w:eastAsia="zh-CN" w:bidi="ar"/>
              </w:rPr>
              <w:t xml:space="preserve"> 1</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Fonts w:hint="eastAsia" w:ascii="宋体" w:hAnsi="宋体" w:eastAsia="宋体" w:cs="宋体"/>
                <w:i w:val="0"/>
                <w:iCs w:val="0"/>
                <w:color w:val="auto"/>
                <w:kern w:val="0"/>
                <w:sz w:val="20"/>
                <w:szCs w:val="20"/>
                <w:highlight w:val="none"/>
                <w:u w:val="single"/>
                <w:lang w:val="en-US" w:eastAsia="zh-CN" w:bidi="ar"/>
              </w:rPr>
              <w:t>7.69m2/KG</w:t>
            </w:r>
            <w:r>
              <w:rPr>
                <w:rFonts w:hint="eastAsia" w:ascii="宋体" w:hAnsi="宋体" w:eastAsia="宋体" w:cs="宋体"/>
                <w:i w:val="0"/>
                <w:iCs w:val="0"/>
                <w:color w:val="auto"/>
                <w:kern w:val="0"/>
                <w:sz w:val="20"/>
                <w:szCs w:val="20"/>
                <w:highlight w:val="none"/>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立邦</w:t>
            </w:r>
          </w:p>
        </w:tc>
      </w:tr>
      <w:tr>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人工及小型工具费</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17.07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0.625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措施费及保险</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管理费</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1.21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288"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利润</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2.06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312"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税金</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4.10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固定综合单价</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元/㎡</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49.72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优惠价为46.96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bl>
    <w:p>
      <w:pPr>
        <w:spacing w:line="400" w:lineRule="exact"/>
        <w:rPr>
          <w:color w:val="auto"/>
          <w:sz w:val="32"/>
          <w:szCs w:val="32"/>
          <w:highlight w:val="none"/>
        </w:rPr>
      </w:pPr>
      <w:r>
        <w:rPr>
          <w:rFonts w:hint="eastAsia" w:ascii="宋体" w:hAnsi="宋体" w:cs="宋体"/>
          <w:b/>
          <w:bCs/>
          <w:color w:val="auto"/>
          <w:kern w:val="144"/>
          <w:position w:val="6"/>
          <w:sz w:val="32"/>
          <w:szCs w:val="28"/>
          <w:highlight w:val="none"/>
        </w:rPr>
        <w:t xml:space="preserve"> </w:t>
      </w:r>
    </w:p>
    <w:p>
      <w:pPr>
        <w:jc w:val="center"/>
        <w:rPr>
          <w:b/>
          <w:bCs/>
          <w:color w:val="auto"/>
          <w:sz w:val="32"/>
          <w:szCs w:val="32"/>
          <w:highlight w:val="none"/>
        </w:rPr>
      </w:pPr>
      <w:r>
        <w:rPr>
          <w:rFonts w:hint="eastAsia"/>
          <w:b/>
          <w:bCs/>
          <w:color w:val="auto"/>
          <w:sz w:val="32"/>
          <w:szCs w:val="32"/>
          <w:highlight w:val="none"/>
        </w:rPr>
        <w:t>廉政合作协议</w:t>
      </w:r>
    </w:p>
    <w:p>
      <w:pPr>
        <w:spacing w:line="360" w:lineRule="auto"/>
        <w:ind w:right="359" w:rightChars="171"/>
        <w:rPr>
          <w:rFonts w:ascii="宋体" w:hAnsi="宋体" w:cs="宋体"/>
          <w:color w:val="auto"/>
          <w:sz w:val="24"/>
          <w:szCs w:val="32"/>
          <w:highlight w:val="none"/>
        </w:rPr>
      </w:pPr>
    </w:p>
    <w:p>
      <w:pPr>
        <w:spacing w:line="360" w:lineRule="auto"/>
        <w:rPr>
          <w:rFonts w:ascii="宋体" w:hAnsi="宋体" w:cs="宋体"/>
          <w:color w:val="auto"/>
          <w:highlight w:val="none"/>
          <w:u w:val="single"/>
        </w:rPr>
      </w:pPr>
      <w:r>
        <w:rPr>
          <w:rFonts w:hint="eastAsia" w:ascii="宋体" w:hAnsi="宋体" w:cs="宋体"/>
          <w:color w:val="auto"/>
          <w:highlight w:val="none"/>
        </w:rPr>
        <w:t>甲方：</w:t>
      </w:r>
      <w:r>
        <w:rPr>
          <w:rFonts w:hint="eastAsia" w:ascii="宋体" w:hAnsi="宋体" w:cs="宋体"/>
          <w:color w:val="auto"/>
          <w:highlight w:val="none"/>
          <w:u w:val="single"/>
        </w:rPr>
        <w:t>洛阳莘子园置业有限公司</w:t>
      </w:r>
    </w:p>
    <w:p>
      <w:pPr>
        <w:spacing w:line="360" w:lineRule="auto"/>
        <w:rPr>
          <w:rFonts w:ascii="宋体" w:hAnsi="宋体" w:cs="宋体"/>
          <w:color w:val="auto"/>
          <w:highlight w:val="none"/>
          <w:u w:val="single"/>
        </w:rPr>
      </w:pPr>
      <w:r>
        <w:rPr>
          <w:rFonts w:hint="eastAsia" w:ascii="宋体" w:hAnsi="宋体" w:cs="宋体"/>
          <w:color w:val="auto"/>
          <w:highlight w:val="none"/>
        </w:rPr>
        <w:t>乙方：</w:t>
      </w:r>
      <w:r>
        <w:rPr>
          <w:rFonts w:hint="eastAsia" w:ascii="宋体" w:hAnsi="宋体" w:cs="宋体"/>
          <w:color w:val="auto"/>
          <w:highlight w:val="none"/>
          <w:u w:val="none"/>
        </w:rPr>
        <w:t xml:space="preserve"> </w:t>
      </w:r>
      <w:r>
        <w:rPr>
          <w:rFonts w:hint="eastAsia" w:ascii="宋体" w:hAnsi="宋体" w:eastAsia="宋体" w:cs="宋体"/>
          <w:b w:val="0"/>
          <w:bCs/>
          <w:color w:val="auto"/>
          <w:sz w:val="24"/>
          <w:szCs w:val="24"/>
          <w:highlight w:val="none"/>
          <w:u w:val="single"/>
          <w:lang w:val="en-US" w:eastAsia="zh-CN"/>
        </w:rPr>
        <w:t>上海文宇建设集团有限公司</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为加强工程项目建设期间的廉政管理，确保项目高效优质按期竣工，甲、乙双方经协商签定本协议并做为双方共同遵守的廉政行为准则。</w:t>
      </w:r>
    </w:p>
    <w:p>
      <w:pPr>
        <w:spacing w:line="360" w:lineRule="auto"/>
        <w:ind w:firstLine="422" w:firstLineChars="200"/>
        <w:rPr>
          <w:rFonts w:ascii="宋体" w:hAnsi="宋体" w:cs="宋体"/>
          <w:b/>
          <w:bCs/>
          <w:color w:val="auto"/>
          <w:szCs w:val="24"/>
          <w:highlight w:val="none"/>
        </w:rPr>
      </w:pPr>
      <w:r>
        <w:rPr>
          <w:rFonts w:hint="eastAsia" w:ascii="宋体" w:hAnsi="宋体" w:cs="宋体"/>
          <w:b/>
          <w:bCs/>
          <w:color w:val="auto"/>
          <w:szCs w:val="24"/>
          <w:highlight w:val="none"/>
        </w:rPr>
        <w:t>一．甲方责任</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1．甲方有责任向乙方介绍本单位有关廉政管理的各项制度和规定。</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2．甲方有责任对本单位项目管理人员进行廉政教育。</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3．甲方人员应严格遵守本单位有关廉政管理的规定，不得接受乙方的宴请，不得接受任何形式的实物、现金或礼券。</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4．甲方在项目建设期间发现甲方人员任何形式的索贿受贿行为，均应及时采取措施予以制止，并及时通报乙方单位领导。</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5．甲方人员如违反廉政管理制度及本协议规定，甲方应视情节轻重、影响大小给予处罚。</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6．对于乙方举报甲方人员违反廉政规定的情况，甲方应及时进行调查，根据调查情况进行处理。</w:t>
      </w:r>
    </w:p>
    <w:p>
      <w:pPr>
        <w:spacing w:line="360" w:lineRule="auto"/>
        <w:ind w:firstLine="422" w:firstLineChars="200"/>
        <w:rPr>
          <w:rFonts w:ascii="宋体" w:hAnsi="宋体" w:cs="宋体"/>
          <w:b/>
          <w:bCs/>
          <w:color w:val="auto"/>
          <w:szCs w:val="24"/>
          <w:highlight w:val="none"/>
        </w:rPr>
      </w:pPr>
      <w:r>
        <w:rPr>
          <w:rFonts w:hint="eastAsia" w:ascii="宋体" w:hAnsi="宋体" w:cs="宋体"/>
          <w:b/>
          <w:bCs/>
          <w:color w:val="auto"/>
          <w:szCs w:val="24"/>
          <w:highlight w:val="none"/>
        </w:rPr>
        <w:t>二．乙方责任</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1．乙方应保证乙方有关人员了解甲方有关廉政管理的各项制度及本协议的规定，并遵照执行。</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2．乙方不得宴请甲方人员，不得以任何形式赠送实物、现金或礼券。</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3．乙方在项目建设期间发现乙方人员任何向甲方人员行贿行为，均应及时采取措施予以制止，并及时通报甲方单位领导。</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4．乙方有责任接受甲方对乙方在项目建设期间廉政管理执行情况的监督。</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6．如因乙方或其人员在项目建设期间贿赂甲方人员，被检查机关立案查处的，甲方有权中止合同履行或解除合同，由此给甲方造成的损失，均由乙方负责赔偿。</w:t>
      </w:r>
    </w:p>
    <w:p>
      <w:pPr>
        <w:spacing w:line="360" w:lineRule="auto"/>
        <w:rPr>
          <w:rFonts w:ascii="宋体" w:hAnsi="宋体" w:cs="宋体"/>
          <w:color w:val="auto"/>
          <w:szCs w:val="24"/>
          <w:highlight w:val="none"/>
        </w:rPr>
      </w:pPr>
      <w:r>
        <w:rPr>
          <w:rFonts w:hint="eastAsia" w:ascii="宋体" w:hAnsi="宋体" w:cs="宋体"/>
          <w:color w:val="auto"/>
          <w:szCs w:val="24"/>
          <w:highlight w:val="none"/>
        </w:rPr>
        <w:t xml:space="preserve">   </w:t>
      </w:r>
    </w:p>
    <w:p>
      <w:pPr>
        <w:spacing w:line="360" w:lineRule="auto"/>
        <w:rPr>
          <w:rFonts w:ascii="宋体" w:hAnsi="宋体" w:cs="宋体"/>
          <w:b/>
          <w:bCs/>
          <w:color w:val="auto"/>
          <w:szCs w:val="24"/>
          <w:highlight w:val="none"/>
        </w:rPr>
      </w:pPr>
      <w:r>
        <w:rPr>
          <w:rFonts w:hint="eastAsia" w:ascii="宋体" w:hAnsi="宋体" w:cs="宋体"/>
          <w:color w:val="auto"/>
          <w:szCs w:val="24"/>
          <w:highlight w:val="none"/>
        </w:rPr>
        <w:t xml:space="preserve"> </w:t>
      </w:r>
      <w:r>
        <w:rPr>
          <w:rFonts w:hint="eastAsia" w:ascii="宋体" w:hAnsi="宋体" w:cs="宋体"/>
          <w:b/>
          <w:bCs/>
          <w:color w:val="auto"/>
          <w:szCs w:val="24"/>
          <w:highlight w:val="none"/>
        </w:rPr>
        <w:t>三、</w:t>
      </w:r>
      <w:r>
        <w:rPr>
          <w:rFonts w:hint="eastAsia" w:asciiTheme="majorEastAsia" w:hAnsiTheme="majorEastAsia" w:eastAsiaTheme="majorEastAsia" w:cstheme="majorEastAsia"/>
          <w:color w:val="auto"/>
          <w:kern w:val="0"/>
          <w:szCs w:val="24"/>
          <w:highlight w:val="none"/>
        </w:rPr>
        <w:t>为维护招标人和投标人的合法利益，营造良好的商务环境，我们建立了多种举报渠道。</w:t>
      </w:r>
      <w:r>
        <w:rPr>
          <w:rFonts w:hint="eastAsia" w:ascii="宋体" w:hAnsi="宋体" w:cs="宋体"/>
          <w:b/>
          <w:bCs/>
          <w:color w:val="auto"/>
          <w:szCs w:val="24"/>
          <w:highlight w:val="none"/>
        </w:rPr>
        <w:t>甲方审计监察人员将恪守职业道德，严格履行保密义务！</w:t>
      </w:r>
    </w:p>
    <w:p>
      <w:pPr>
        <w:spacing w:line="360" w:lineRule="auto"/>
        <w:ind w:firstLine="420" w:firstLineChars="200"/>
        <w:rPr>
          <w:rFonts w:hint="eastAsia" w:ascii="宋体" w:hAnsi="宋体" w:cs="宋体"/>
          <w:color w:val="auto"/>
          <w:szCs w:val="24"/>
          <w:highlight w:val="none"/>
        </w:rPr>
      </w:pPr>
      <w:r>
        <w:rPr>
          <w:color w:val="auto"/>
          <w:highlight w:val="none"/>
        </w:rPr>
        <w:drawing>
          <wp:anchor distT="0" distB="0" distL="114300" distR="114300" simplePos="0" relativeHeight="251659264" behindDoc="0" locked="0" layoutInCell="1" allowOverlap="1">
            <wp:simplePos x="0" y="0"/>
            <wp:positionH relativeFrom="column">
              <wp:posOffset>4488815</wp:posOffset>
            </wp:positionH>
            <wp:positionV relativeFrom="paragraph">
              <wp:posOffset>279400</wp:posOffset>
            </wp:positionV>
            <wp:extent cx="1282065" cy="1282065"/>
            <wp:effectExtent l="0" t="0" r="13335" b="13335"/>
            <wp:wrapNone/>
            <wp:docPr id="1" name="图片 2"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2dc313b898daf07a491037a11ba2c8"/>
                    <pic:cNvPicPr>
                      <a:picLocks noChangeAspect="1"/>
                    </pic:cNvPicPr>
                  </pic:nvPicPr>
                  <pic:blipFill>
                    <a:blip r:embed="rId6"/>
                    <a:stretch>
                      <a:fillRect/>
                    </a:stretch>
                  </pic:blipFill>
                  <pic:spPr>
                    <a:xfrm>
                      <a:off x="0" y="0"/>
                      <a:ext cx="1282065" cy="1282065"/>
                    </a:xfrm>
                    <a:prstGeom prst="rect">
                      <a:avLst/>
                    </a:prstGeom>
                    <a:noFill/>
                    <a:ln>
                      <a:noFill/>
                    </a:ln>
                  </pic:spPr>
                </pic:pic>
              </a:graphicData>
            </a:graphic>
          </wp:anchor>
        </w:drawing>
      </w:r>
      <w:r>
        <w:rPr>
          <w:rFonts w:hint="eastAsia" w:ascii="宋体" w:hAnsi="宋体" w:cs="宋体"/>
          <w:color w:val="auto"/>
          <w:szCs w:val="24"/>
          <w:highlight w:val="none"/>
        </w:rPr>
        <w:t>（1）电话：王先生：18638357973</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（2）电话：杨先生：15670305910</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（3）邮箱：hddcfkb@Foxmail.com</w:t>
      </w:r>
    </w:p>
    <w:p>
      <w:pPr>
        <w:spacing w:line="360" w:lineRule="auto"/>
        <w:ind w:left="1012" w:leftChars="257" w:hanging="472" w:hangingChars="225"/>
        <w:rPr>
          <w:rFonts w:asciiTheme="majorEastAsia" w:hAnsiTheme="majorEastAsia" w:eastAsiaTheme="majorEastAsia" w:cstheme="majorEastAsia"/>
          <w:color w:val="auto"/>
          <w:kern w:val="0"/>
          <w:szCs w:val="24"/>
          <w:highlight w:val="none"/>
        </w:rPr>
      </w:pPr>
      <w:r>
        <w:rPr>
          <w:rFonts w:hint="eastAsia" w:ascii="宋体" w:hAnsi="宋体" w:cs="宋体"/>
          <w:color w:val="auto"/>
          <w:szCs w:val="24"/>
          <w:highlight w:val="none"/>
        </w:rPr>
        <w:t>（4）直接和审计监察人员约定场所当面举报。</w:t>
      </w:r>
    </w:p>
    <w:p>
      <w:pPr>
        <w:spacing w:line="360" w:lineRule="auto"/>
        <w:ind w:firstLine="420" w:firstLineChars="200"/>
        <w:rPr>
          <w:rFonts w:asciiTheme="majorEastAsia" w:hAnsiTheme="majorEastAsia" w:eastAsiaTheme="majorEastAsia" w:cstheme="majorEastAsia"/>
          <w:color w:val="auto"/>
          <w:kern w:val="0"/>
          <w:szCs w:val="24"/>
          <w:highlight w:val="none"/>
        </w:rPr>
      </w:pPr>
      <w:r>
        <w:rPr>
          <w:rFonts w:hint="eastAsia" w:asciiTheme="majorEastAsia" w:hAnsiTheme="majorEastAsia" w:eastAsiaTheme="majorEastAsia" w:cstheme="majorEastAsia"/>
          <w:color w:val="auto"/>
          <w:kern w:val="0"/>
          <w:szCs w:val="24"/>
          <w:highlight w:val="none"/>
        </w:rPr>
        <w:t>有下列行为之一可通过上述渠道进行举报：</w:t>
      </w:r>
    </w:p>
    <w:p>
      <w:pPr>
        <w:spacing w:line="360" w:lineRule="auto"/>
        <w:ind w:firstLine="420" w:firstLineChars="200"/>
        <w:rPr>
          <w:rFonts w:ascii="宋体" w:hAnsi="宋体" w:cs="宋体"/>
          <w:color w:val="auto"/>
          <w:szCs w:val="24"/>
          <w:highlight w:val="none"/>
        </w:rPr>
      </w:pPr>
    </w:p>
    <w:p>
      <w:pPr>
        <w:spacing w:line="360" w:lineRule="auto"/>
        <w:ind w:firstLine="422" w:firstLineChars="200"/>
        <w:rPr>
          <w:rFonts w:ascii="宋体" w:hAnsi="宋体" w:cs="宋体"/>
          <w:b/>
          <w:bCs/>
          <w:color w:val="auto"/>
          <w:szCs w:val="24"/>
          <w:highlight w:val="none"/>
        </w:rPr>
      </w:pPr>
      <w:r>
        <w:rPr>
          <w:rFonts w:hint="eastAsia" w:ascii="宋体" w:hAnsi="宋体" w:cs="宋体"/>
          <w:b/>
          <w:bCs/>
          <w:color w:val="auto"/>
          <w:szCs w:val="24"/>
          <w:highlight w:val="none"/>
        </w:rPr>
        <w:t>四、甲乙双方发现对方工作人员有下列行为之一的，可通过第三条约定的渠道进行举报：</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1.推诿扯皮、有责不负、处事消极、渎职失职、弄虚作假等行为。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2.以权谋私、滥用职权、处事不公、隐瞒事故、违章指挥造成公司严重事故隐患的行为。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3.贪污、受贿、盗窃、欺上瞒下等违法乱纪行为。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4.出卖、泄露公司商业机密等危害公司行为。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5.重大经济活动未按公司制度、流程执行的违规违纪行为。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6.利用职权，任人唯亲，拉帮结派，搞小利益团体或对同事正当行使权利进行打击报复的行为。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7.故意涂改公司文件或以公司名义谋私利，损害公司荣誉和利益的行为。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8.私自侵占、挪用公司财物，损坏公司重要设备或资产的行为。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9.破坏团队和谐，故意挑拨员工之间关系，对同事恶意侮辱、陷害、制造事端的行为。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10.妄议集团经营、管理、决策部署、会议决议，对正当行使职权的执法部门、员工进行设置障碍、诋毁、恶意侮辱的行为。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11.其它违反法律或者招标人公司相关制度的行为。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（以下无正文）</w:t>
      </w:r>
    </w:p>
    <w:p>
      <w:pPr>
        <w:spacing w:line="360" w:lineRule="auto"/>
        <w:ind w:firstLine="480" w:firstLineChars="200"/>
        <w:jc w:val="left"/>
        <w:rPr>
          <w:color w:val="auto"/>
          <w:highlight w:val="none"/>
        </w:rPr>
      </w:pPr>
      <w:r>
        <w:rPr>
          <w:rFonts w:hint="eastAsia" w:ascii="宋体" w:hAnsi="宋体" w:cs="宋体"/>
          <w:bCs/>
          <w:color w:val="auto"/>
          <w:sz w:val="24"/>
          <w:highlight w:val="none"/>
        </w:rPr>
        <w:t xml:space="preserve">甲方：洛阳莘子园置业有限公司      </w:t>
      </w:r>
      <w:r>
        <w:rPr>
          <w:rFonts w:ascii="宋体" w:hAnsi="宋体" w:cs="宋体"/>
          <w:color w:val="auto"/>
          <w:highlight w:val="none"/>
        </w:rPr>
        <w:t xml:space="preserve"> </w:t>
      </w:r>
      <w:r>
        <w:rPr>
          <w:rFonts w:hint="eastAsia" w:ascii="宋体" w:hAnsi="宋体" w:cs="宋体"/>
          <w:color w:val="auto"/>
          <w:highlight w:val="none"/>
        </w:rPr>
        <w:t xml:space="preserve"> 乙方：</w:t>
      </w:r>
      <w:r>
        <w:rPr>
          <w:rFonts w:ascii="宋体" w:hAnsi="宋体" w:cs="宋体"/>
          <w:color w:val="auto"/>
          <w:highlight w:val="none"/>
        </w:rPr>
        <w:t xml:space="preserve"> </w:t>
      </w:r>
      <w:r>
        <w:rPr>
          <w:rFonts w:hint="eastAsia" w:ascii="宋体" w:hAnsi="宋体" w:eastAsia="宋体" w:cs="宋体"/>
          <w:b w:val="0"/>
          <w:bCs/>
          <w:color w:val="auto"/>
          <w:sz w:val="24"/>
          <w:szCs w:val="24"/>
          <w:highlight w:val="none"/>
          <w:lang w:val="en-US" w:eastAsia="zh-CN"/>
        </w:rPr>
        <w:t>上海文宇建设集团有限公司</w:t>
      </w:r>
      <w:bookmarkStart w:id="0" w:name="_GoBack"/>
      <w:bookmarkEnd w:id="0"/>
    </w:p>
    <w:sectPr>
      <w:headerReference r:id="rId3" w:type="default"/>
      <w:footerReference r:id="rId4" w:type="default"/>
      <w:pgSz w:w="11906" w:h="16838"/>
      <w:pgMar w:top="1247" w:right="1142" w:bottom="1247" w:left="904" w:header="851" w:footer="992" w:gutter="0"/>
      <w:cols w:space="720" w:num="1"/>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ntury">
    <w:panose1 w:val="02040604050505020304"/>
    <w:charset w:val="00"/>
    <w:family w:val="roman"/>
    <w:pitch w:val="default"/>
    <w:sig w:usb0="00000287" w:usb1="00000000" w:usb2="00000000" w:usb3="00000000" w:csb0="2000009F" w:csb1="DFD7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page" w:x="10845" w:y="-23"/>
      <w:jc w:val="center"/>
      <w:rPr>
        <w:rStyle w:val="25"/>
      </w:rPr>
    </w:pPr>
    <w:r>
      <w:rPr>
        <w:rStyle w:val="25"/>
        <w:rFonts w:hint="eastAsia"/>
      </w:rPr>
      <w:t xml:space="preserve">第 </w:t>
    </w:r>
    <w:r>
      <w:fldChar w:fldCharType="begin"/>
    </w:r>
    <w:r>
      <w:rPr>
        <w:rStyle w:val="25"/>
      </w:rPr>
      <w:instrText xml:space="preserve">PAGE  </w:instrText>
    </w:r>
    <w:r>
      <w:fldChar w:fldCharType="separate"/>
    </w:r>
    <w:r>
      <w:rPr>
        <w:rStyle w:val="25"/>
      </w:rPr>
      <w:t>8</w:t>
    </w:r>
    <w:r>
      <w:fldChar w:fldCharType="end"/>
    </w:r>
    <w:r>
      <w:rPr>
        <w:rStyle w:val="25"/>
        <w:rFonts w:hint="eastAsia"/>
      </w:rPr>
      <w:t xml:space="preserve"> 页 </w:t>
    </w:r>
  </w:p>
  <w:p>
    <w:pPr>
      <w:pStyle w:val="19"/>
      <w:pBdr>
        <w:top w:val="single" w:color="auto" w:sz="4" w:space="1"/>
      </w:pBdr>
      <w:ind w:left="-141" w:leftChars="-67"/>
    </w:pPr>
    <w:r>
      <w:rPr>
        <w:rFonts w:hint="eastAsia"/>
        <w:b/>
        <w:color w:val="5F5F5F"/>
        <w:sz w:val="21"/>
        <w:szCs w:val="21"/>
      </w:rPr>
      <w:t xml:space="preserve">洛阳莘子园置业有限公司   </w:t>
    </w:r>
    <w:r>
      <w:rPr>
        <w:rFonts w:hint="eastAsia"/>
        <w:b/>
        <w:color w:val="5F5F5F"/>
      </w:rPr>
      <w:t>ADD:洛阳市经济开发区开元大道与长夏门街交汇处（开元壹号）项目会所</w:t>
    </w:r>
  </w:p>
  <w:p>
    <w:pPr>
      <w:pStyle w:val="19"/>
      <w:ind w:right="720" w:firstLine="1170" w:firstLineChars="650"/>
      <w:jc w:val="right"/>
    </w:pPr>
    <w:r>
      <w:rPr>
        <w:rFonts w:hint="eastAsia"/>
      </w:rPr>
      <w:t>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ind w:right="-46"/>
      <w:rPr>
        <w:rFonts w:ascii="隶书" w:eastAsia="隶书"/>
        <w:szCs w:val="21"/>
        <w:u w:val="single"/>
      </w:rPr>
    </w:pPr>
    <w:r>
      <w:rPr>
        <w:rFonts w:hint="eastAsia" w:ascii="隶书" w:eastAsia="隶书"/>
        <w:u w:val="single"/>
      </w:rPr>
      <w:t xml:space="preserve"> </w:t>
    </w:r>
    <w:r>
      <w:drawing>
        <wp:inline distT="0" distB="0" distL="0" distR="0">
          <wp:extent cx="1019175" cy="314325"/>
          <wp:effectExtent l="0" t="0" r="1905" b="5715"/>
          <wp:docPr id="5" name="图片 5"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浩德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9175" cy="314325"/>
                  </a:xfrm>
                  <a:prstGeom prst="rect">
                    <a:avLst/>
                  </a:prstGeom>
                  <a:noFill/>
                  <a:ln>
                    <a:noFill/>
                  </a:ln>
                </pic:spPr>
              </pic:pic>
            </a:graphicData>
          </a:graphic>
        </wp:inline>
      </w:drawing>
    </w:r>
    <w:r>
      <w:rPr>
        <w:rFonts w:hint="eastAsia" w:ascii="隶书" w:eastAsia="隶书"/>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2"/>
    <w:multiLevelType w:val="multilevel"/>
    <w:tmpl w:val="00000012"/>
    <w:lvl w:ilvl="0" w:tentative="0">
      <w:start w:val="2"/>
      <w:numFmt w:val="japaneseCounting"/>
      <w:lvlText w:val="第%1条"/>
      <w:lvlJc w:val="left"/>
      <w:pPr>
        <w:tabs>
          <w:tab w:val="left" w:pos="2820"/>
        </w:tabs>
        <w:ind w:left="2820" w:hanging="1200"/>
      </w:pPr>
      <w:rPr>
        <w:rFonts w:hint="eastAsia"/>
      </w:rPr>
    </w:lvl>
    <w:lvl w:ilvl="1" w:tentative="0">
      <w:start w:val="1"/>
      <w:numFmt w:val="decimal"/>
      <w:lvlText w:val="%2、"/>
      <w:lvlJc w:val="left"/>
      <w:pPr>
        <w:tabs>
          <w:tab w:val="left" w:pos="720"/>
        </w:tabs>
        <w:ind w:left="720" w:hanging="360"/>
      </w:pPr>
      <w:rPr>
        <w:rFonts w:hint="eastAsia"/>
      </w:rPr>
    </w:lvl>
    <w:lvl w:ilvl="2" w:tentative="0">
      <w:start w:val="1"/>
      <w:numFmt w:val="decimal"/>
      <w:lvlText w:val="%3."/>
      <w:lvlJc w:val="left"/>
      <w:pPr>
        <w:tabs>
          <w:tab w:val="left" w:pos="1561"/>
        </w:tabs>
        <w:ind w:left="1561" w:hanging="360"/>
      </w:pPr>
      <w:rPr>
        <w:rFonts w:hint="eastAsia"/>
      </w:rPr>
    </w:lvl>
    <w:lvl w:ilvl="3" w:tentative="0">
      <w:start w:val="1"/>
      <w:numFmt w:val="decimal"/>
      <w:lvlText w:val="%4."/>
      <w:lvlJc w:val="left"/>
      <w:pPr>
        <w:tabs>
          <w:tab w:val="left" w:pos="2041"/>
        </w:tabs>
        <w:ind w:left="2041" w:hanging="420"/>
      </w:pPr>
    </w:lvl>
    <w:lvl w:ilvl="4" w:tentative="0">
      <w:start w:val="1"/>
      <w:numFmt w:val="lowerLetter"/>
      <w:lvlText w:val="%5)"/>
      <w:lvlJc w:val="left"/>
      <w:pPr>
        <w:tabs>
          <w:tab w:val="left" w:pos="2461"/>
        </w:tabs>
        <w:ind w:left="2461" w:hanging="420"/>
      </w:pPr>
    </w:lvl>
    <w:lvl w:ilvl="5" w:tentative="0">
      <w:start w:val="1"/>
      <w:numFmt w:val="lowerRoman"/>
      <w:lvlText w:val="%6."/>
      <w:lvlJc w:val="right"/>
      <w:pPr>
        <w:tabs>
          <w:tab w:val="left" w:pos="2881"/>
        </w:tabs>
        <w:ind w:left="2881" w:hanging="420"/>
      </w:pPr>
    </w:lvl>
    <w:lvl w:ilvl="6" w:tentative="0">
      <w:start w:val="1"/>
      <w:numFmt w:val="decimal"/>
      <w:lvlText w:val="%7."/>
      <w:lvlJc w:val="left"/>
      <w:pPr>
        <w:tabs>
          <w:tab w:val="left" w:pos="3301"/>
        </w:tabs>
        <w:ind w:left="3301" w:hanging="420"/>
      </w:pPr>
    </w:lvl>
    <w:lvl w:ilvl="7" w:tentative="0">
      <w:start w:val="1"/>
      <w:numFmt w:val="lowerLetter"/>
      <w:lvlText w:val="%8)"/>
      <w:lvlJc w:val="left"/>
      <w:pPr>
        <w:tabs>
          <w:tab w:val="left" w:pos="3721"/>
        </w:tabs>
        <w:ind w:left="3721" w:hanging="420"/>
      </w:pPr>
    </w:lvl>
    <w:lvl w:ilvl="8" w:tentative="0">
      <w:start w:val="1"/>
      <w:numFmt w:val="lowerRoman"/>
      <w:lvlText w:val="%9."/>
      <w:lvlJc w:val="right"/>
      <w:pPr>
        <w:tabs>
          <w:tab w:val="left" w:pos="4141"/>
        </w:tabs>
        <w:ind w:left="414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0"/>
  <w:drawingGridVerticalSpacing w:val="16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39AF"/>
    <w:rsid w:val="00045A44"/>
    <w:rsid w:val="00045B1B"/>
    <w:rsid w:val="00070342"/>
    <w:rsid w:val="00077EAD"/>
    <w:rsid w:val="0008579E"/>
    <w:rsid w:val="00093935"/>
    <w:rsid w:val="00095456"/>
    <w:rsid w:val="000A2224"/>
    <w:rsid w:val="000A5932"/>
    <w:rsid w:val="000C6159"/>
    <w:rsid w:val="000C6E88"/>
    <w:rsid w:val="000D2361"/>
    <w:rsid w:val="000D253B"/>
    <w:rsid w:val="000E17F2"/>
    <w:rsid w:val="000E1C10"/>
    <w:rsid w:val="0010405D"/>
    <w:rsid w:val="00106F75"/>
    <w:rsid w:val="0011710E"/>
    <w:rsid w:val="00122913"/>
    <w:rsid w:val="00133C36"/>
    <w:rsid w:val="00150340"/>
    <w:rsid w:val="0016120C"/>
    <w:rsid w:val="00166083"/>
    <w:rsid w:val="00172A27"/>
    <w:rsid w:val="00175896"/>
    <w:rsid w:val="001C66C6"/>
    <w:rsid w:val="001D7DE9"/>
    <w:rsid w:val="001E1750"/>
    <w:rsid w:val="001E48D8"/>
    <w:rsid w:val="001E6038"/>
    <w:rsid w:val="001F6563"/>
    <w:rsid w:val="002023BF"/>
    <w:rsid w:val="00231184"/>
    <w:rsid w:val="00233A1B"/>
    <w:rsid w:val="00236A9B"/>
    <w:rsid w:val="00244138"/>
    <w:rsid w:val="002536DA"/>
    <w:rsid w:val="00277B7E"/>
    <w:rsid w:val="002835B4"/>
    <w:rsid w:val="002A5CE0"/>
    <w:rsid w:val="002A607D"/>
    <w:rsid w:val="002C1DF9"/>
    <w:rsid w:val="002D3B79"/>
    <w:rsid w:val="002F20E1"/>
    <w:rsid w:val="00301022"/>
    <w:rsid w:val="003074A6"/>
    <w:rsid w:val="00320741"/>
    <w:rsid w:val="003217AF"/>
    <w:rsid w:val="0032684E"/>
    <w:rsid w:val="00327B43"/>
    <w:rsid w:val="00334021"/>
    <w:rsid w:val="003479E2"/>
    <w:rsid w:val="00350AF8"/>
    <w:rsid w:val="00383916"/>
    <w:rsid w:val="0039515A"/>
    <w:rsid w:val="003A40CD"/>
    <w:rsid w:val="003A5DB6"/>
    <w:rsid w:val="003C6445"/>
    <w:rsid w:val="003C7758"/>
    <w:rsid w:val="003D2201"/>
    <w:rsid w:val="003F7213"/>
    <w:rsid w:val="00401CC1"/>
    <w:rsid w:val="00402452"/>
    <w:rsid w:val="0041224E"/>
    <w:rsid w:val="0042080D"/>
    <w:rsid w:val="00425C4B"/>
    <w:rsid w:val="00432C8B"/>
    <w:rsid w:val="0045595E"/>
    <w:rsid w:val="00462A6C"/>
    <w:rsid w:val="004A1309"/>
    <w:rsid w:val="004A46CF"/>
    <w:rsid w:val="004B7699"/>
    <w:rsid w:val="004D2A45"/>
    <w:rsid w:val="004E6BED"/>
    <w:rsid w:val="004F780D"/>
    <w:rsid w:val="00522ECA"/>
    <w:rsid w:val="00536C92"/>
    <w:rsid w:val="005374A2"/>
    <w:rsid w:val="005379AC"/>
    <w:rsid w:val="005422EC"/>
    <w:rsid w:val="005523DC"/>
    <w:rsid w:val="00563A52"/>
    <w:rsid w:val="00564CEE"/>
    <w:rsid w:val="00575F3B"/>
    <w:rsid w:val="0058634E"/>
    <w:rsid w:val="00597F15"/>
    <w:rsid w:val="005A69AF"/>
    <w:rsid w:val="005D1A2E"/>
    <w:rsid w:val="006075C3"/>
    <w:rsid w:val="00610BBD"/>
    <w:rsid w:val="00613768"/>
    <w:rsid w:val="00623132"/>
    <w:rsid w:val="00630306"/>
    <w:rsid w:val="0063387B"/>
    <w:rsid w:val="00674690"/>
    <w:rsid w:val="006B0A0C"/>
    <w:rsid w:val="006B62D4"/>
    <w:rsid w:val="006C6270"/>
    <w:rsid w:val="006D2731"/>
    <w:rsid w:val="006F11E4"/>
    <w:rsid w:val="006F60F9"/>
    <w:rsid w:val="007021C1"/>
    <w:rsid w:val="00720C8C"/>
    <w:rsid w:val="00723288"/>
    <w:rsid w:val="00724720"/>
    <w:rsid w:val="0077141B"/>
    <w:rsid w:val="0078471E"/>
    <w:rsid w:val="007940A1"/>
    <w:rsid w:val="007A6009"/>
    <w:rsid w:val="007A7D8B"/>
    <w:rsid w:val="007C1F6A"/>
    <w:rsid w:val="007E23C5"/>
    <w:rsid w:val="007E2E2D"/>
    <w:rsid w:val="007F2054"/>
    <w:rsid w:val="007F206E"/>
    <w:rsid w:val="00801A0B"/>
    <w:rsid w:val="008049D1"/>
    <w:rsid w:val="00813AF7"/>
    <w:rsid w:val="008211BA"/>
    <w:rsid w:val="00821F36"/>
    <w:rsid w:val="008274F4"/>
    <w:rsid w:val="00831F1C"/>
    <w:rsid w:val="0085419A"/>
    <w:rsid w:val="00863A2A"/>
    <w:rsid w:val="00866BA2"/>
    <w:rsid w:val="00870029"/>
    <w:rsid w:val="00871F6A"/>
    <w:rsid w:val="008925B1"/>
    <w:rsid w:val="008A25D0"/>
    <w:rsid w:val="008B7F16"/>
    <w:rsid w:val="008C03CB"/>
    <w:rsid w:val="008C0766"/>
    <w:rsid w:val="008C34D3"/>
    <w:rsid w:val="008D5253"/>
    <w:rsid w:val="008E5CFB"/>
    <w:rsid w:val="008F6846"/>
    <w:rsid w:val="00924129"/>
    <w:rsid w:val="0093044D"/>
    <w:rsid w:val="00931162"/>
    <w:rsid w:val="00935293"/>
    <w:rsid w:val="00941B18"/>
    <w:rsid w:val="0094277D"/>
    <w:rsid w:val="00960E78"/>
    <w:rsid w:val="00972B6E"/>
    <w:rsid w:val="00987078"/>
    <w:rsid w:val="0099543E"/>
    <w:rsid w:val="009A035B"/>
    <w:rsid w:val="009B0878"/>
    <w:rsid w:val="009B572E"/>
    <w:rsid w:val="009B7E6D"/>
    <w:rsid w:val="009E1142"/>
    <w:rsid w:val="009E1251"/>
    <w:rsid w:val="009F5EED"/>
    <w:rsid w:val="00A25497"/>
    <w:rsid w:val="00A2592E"/>
    <w:rsid w:val="00A3649D"/>
    <w:rsid w:val="00A52A12"/>
    <w:rsid w:val="00A54130"/>
    <w:rsid w:val="00A56859"/>
    <w:rsid w:val="00A6134B"/>
    <w:rsid w:val="00A66DDA"/>
    <w:rsid w:val="00A82E07"/>
    <w:rsid w:val="00A949E0"/>
    <w:rsid w:val="00AB46B6"/>
    <w:rsid w:val="00AC6497"/>
    <w:rsid w:val="00AD0619"/>
    <w:rsid w:val="00AD2501"/>
    <w:rsid w:val="00AD438F"/>
    <w:rsid w:val="00AE597D"/>
    <w:rsid w:val="00AF229E"/>
    <w:rsid w:val="00AF751F"/>
    <w:rsid w:val="00B00803"/>
    <w:rsid w:val="00B35AA2"/>
    <w:rsid w:val="00B56BFD"/>
    <w:rsid w:val="00B609D3"/>
    <w:rsid w:val="00B8616E"/>
    <w:rsid w:val="00B8639C"/>
    <w:rsid w:val="00B95C15"/>
    <w:rsid w:val="00BA3B1E"/>
    <w:rsid w:val="00BC3ABF"/>
    <w:rsid w:val="00BE1E39"/>
    <w:rsid w:val="00BE2A18"/>
    <w:rsid w:val="00BE3778"/>
    <w:rsid w:val="00C05791"/>
    <w:rsid w:val="00C10B4F"/>
    <w:rsid w:val="00C30615"/>
    <w:rsid w:val="00C34325"/>
    <w:rsid w:val="00C51BAC"/>
    <w:rsid w:val="00C6494B"/>
    <w:rsid w:val="00C87049"/>
    <w:rsid w:val="00CB727C"/>
    <w:rsid w:val="00CC2C5D"/>
    <w:rsid w:val="00CC4FD8"/>
    <w:rsid w:val="00CE2590"/>
    <w:rsid w:val="00D13E08"/>
    <w:rsid w:val="00D177CE"/>
    <w:rsid w:val="00D23818"/>
    <w:rsid w:val="00D524F3"/>
    <w:rsid w:val="00D53546"/>
    <w:rsid w:val="00D7044C"/>
    <w:rsid w:val="00D74841"/>
    <w:rsid w:val="00D978E2"/>
    <w:rsid w:val="00DB10A9"/>
    <w:rsid w:val="00DB1242"/>
    <w:rsid w:val="00DB6DF5"/>
    <w:rsid w:val="00DC68C7"/>
    <w:rsid w:val="00DD283C"/>
    <w:rsid w:val="00E176BE"/>
    <w:rsid w:val="00E26CDB"/>
    <w:rsid w:val="00E27471"/>
    <w:rsid w:val="00E31E8F"/>
    <w:rsid w:val="00E32C3F"/>
    <w:rsid w:val="00E5660F"/>
    <w:rsid w:val="00E62B06"/>
    <w:rsid w:val="00E64541"/>
    <w:rsid w:val="00E6594D"/>
    <w:rsid w:val="00EA1C70"/>
    <w:rsid w:val="00ED0559"/>
    <w:rsid w:val="00ED6DAE"/>
    <w:rsid w:val="00EE1A50"/>
    <w:rsid w:val="00F05500"/>
    <w:rsid w:val="00F40E8E"/>
    <w:rsid w:val="00F419DD"/>
    <w:rsid w:val="00F5524D"/>
    <w:rsid w:val="00F61219"/>
    <w:rsid w:val="00F67281"/>
    <w:rsid w:val="00F73491"/>
    <w:rsid w:val="00F74348"/>
    <w:rsid w:val="00FA4EDE"/>
    <w:rsid w:val="00FD0AC7"/>
    <w:rsid w:val="00FE1241"/>
    <w:rsid w:val="00FE7B03"/>
    <w:rsid w:val="01212E0F"/>
    <w:rsid w:val="012451A0"/>
    <w:rsid w:val="01DE3A93"/>
    <w:rsid w:val="02052398"/>
    <w:rsid w:val="02825862"/>
    <w:rsid w:val="029F7406"/>
    <w:rsid w:val="02D93A5F"/>
    <w:rsid w:val="037F6C01"/>
    <w:rsid w:val="03E40FA4"/>
    <w:rsid w:val="04216D50"/>
    <w:rsid w:val="0478541B"/>
    <w:rsid w:val="05E04D21"/>
    <w:rsid w:val="06357F03"/>
    <w:rsid w:val="06AF5492"/>
    <w:rsid w:val="06B41CBB"/>
    <w:rsid w:val="076237CF"/>
    <w:rsid w:val="076E53CF"/>
    <w:rsid w:val="083B4BF5"/>
    <w:rsid w:val="08C54085"/>
    <w:rsid w:val="08D63888"/>
    <w:rsid w:val="09A656BB"/>
    <w:rsid w:val="09F23F0F"/>
    <w:rsid w:val="0A7E231E"/>
    <w:rsid w:val="0AFB17A1"/>
    <w:rsid w:val="0B1379E2"/>
    <w:rsid w:val="0B457875"/>
    <w:rsid w:val="0B4C7417"/>
    <w:rsid w:val="0B6A006D"/>
    <w:rsid w:val="0C2F1E5A"/>
    <w:rsid w:val="0CA91FDB"/>
    <w:rsid w:val="0DC65F44"/>
    <w:rsid w:val="0DD87679"/>
    <w:rsid w:val="0E951E2A"/>
    <w:rsid w:val="0EEE55E1"/>
    <w:rsid w:val="0F0A0B66"/>
    <w:rsid w:val="0FF57EC5"/>
    <w:rsid w:val="10054589"/>
    <w:rsid w:val="11370993"/>
    <w:rsid w:val="121E3032"/>
    <w:rsid w:val="128F07A7"/>
    <w:rsid w:val="12D66DBC"/>
    <w:rsid w:val="12E1726D"/>
    <w:rsid w:val="130B2C99"/>
    <w:rsid w:val="13AE62BB"/>
    <w:rsid w:val="14016918"/>
    <w:rsid w:val="150050E8"/>
    <w:rsid w:val="152D3D57"/>
    <w:rsid w:val="153F6231"/>
    <w:rsid w:val="154A5B52"/>
    <w:rsid w:val="15D14833"/>
    <w:rsid w:val="16A4643D"/>
    <w:rsid w:val="172A1A6A"/>
    <w:rsid w:val="176257F4"/>
    <w:rsid w:val="17AA69E6"/>
    <w:rsid w:val="181440B9"/>
    <w:rsid w:val="18994421"/>
    <w:rsid w:val="19404997"/>
    <w:rsid w:val="19C91176"/>
    <w:rsid w:val="1ACF03F9"/>
    <w:rsid w:val="1B1B7C40"/>
    <w:rsid w:val="1B7402F8"/>
    <w:rsid w:val="1BAF6D6A"/>
    <w:rsid w:val="1BB30FF9"/>
    <w:rsid w:val="1BB463FC"/>
    <w:rsid w:val="1C980458"/>
    <w:rsid w:val="1CA41306"/>
    <w:rsid w:val="1CAC6C81"/>
    <w:rsid w:val="1D095B7B"/>
    <w:rsid w:val="1D0D7F90"/>
    <w:rsid w:val="1D3B6C0B"/>
    <w:rsid w:val="1DE17999"/>
    <w:rsid w:val="1E4103D1"/>
    <w:rsid w:val="1E6447CF"/>
    <w:rsid w:val="1EA10F38"/>
    <w:rsid w:val="1EE247A4"/>
    <w:rsid w:val="1F1C4FA0"/>
    <w:rsid w:val="1F222507"/>
    <w:rsid w:val="1F440472"/>
    <w:rsid w:val="20702BFC"/>
    <w:rsid w:val="207B219D"/>
    <w:rsid w:val="20A56D7B"/>
    <w:rsid w:val="213162E3"/>
    <w:rsid w:val="21525C8E"/>
    <w:rsid w:val="219F14FF"/>
    <w:rsid w:val="21E5047D"/>
    <w:rsid w:val="223C49C7"/>
    <w:rsid w:val="22591AAA"/>
    <w:rsid w:val="22BE0224"/>
    <w:rsid w:val="23201D8F"/>
    <w:rsid w:val="23600585"/>
    <w:rsid w:val="23A85D13"/>
    <w:rsid w:val="24305DAA"/>
    <w:rsid w:val="24525BDC"/>
    <w:rsid w:val="2464280E"/>
    <w:rsid w:val="24887CEF"/>
    <w:rsid w:val="248D047C"/>
    <w:rsid w:val="24BA4120"/>
    <w:rsid w:val="256B70D7"/>
    <w:rsid w:val="25E13181"/>
    <w:rsid w:val="281F3D40"/>
    <w:rsid w:val="284058D5"/>
    <w:rsid w:val="284A6D55"/>
    <w:rsid w:val="28852238"/>
    <w:rsid w:val="28C635BF"/>
    <w:rsid w:val="2993119E"/>
    <w:rsid w:val="29E308DE"/>
    <w:rsid w:val="2A0E44A0"/>
    <w:rsid w:val="2AD7777D"/>
    <w:rsid w:val="2B420575"/>
    <w:rsid w:val="2C297364"/>
    <w:rsid w:val="2C614ED0"/>
    <w:rsid w:val="2CE86E4D"/>
    <w:rsid w:val="2D273588"/>
    <w:rsid w:val="2E1C52DB"/>
    <w:rsid w:val="2E596DEC"/>
    <w:rsid w:val="2EF32FF1"/>
    <w:rsid w:val="2F83589B"/>
    <w:rsid w:val="308660D8"/>
    <w:rsid w:val="316D2697"/>
    <w:rsid w:val="329C2D59"/>
    <w:rsid w:val="3358594D"/>
    <w:rsid w:val="34531E00"/>
    <w:rsid w:val="34607E1F"/>
    <w:rsid w:val="346718D2"/>
    <w:rsid w:val="349852C1"/>
    <w:rsid w:val="35085B54"/>
    <w:rsid w:val="354E6D06"/>
    <w:rsid w:val="35AD0D28"/>
    <w:rsid w:val="36003B87"/>
    <w:rsid w:val="367339B9"/>
    <w:rsid w:val="37523806"/>
    <w:rsid w:val="37C21903"/>
    <w:rsid w:val="385663B9"/>
    <w:rsid w:val="38B33CFF"/>
    <w:rsid w:val="393264C1"/>
    <w:rsid w:val="39EC3FF8"/>
    <w:rsid w:val="3A4B7295"/>
    <w:rsid w:val="3A5B10B3"/>
    <w:rsid w:val="3A790535"/>
    <w:rsid w:val="3B1D6BFD"/>
    <w:rsid w:val="3B8A07CB"/>
    <w:rsid w:val="3BE579BD"/>
    <w:rsid w:val="3E8A133E"/>
    <w:rsid w:val="3E9C0428"/>
    <w:rsid w:val="3EBC6E3F"/>
    <w:rsid w:val="3ED30018"/>
    <w:rsid w:val="3F075E5E"/>
    <w:rsid w:val="3F192D9C"/>
    <w:rsid w:val="4105072E"/>
    <w:rsid w:val="412147F1"/>
    <w:rsid w:val="4292021A"/>
    <w:rsid w:val="431842F9"/>
    <w:rsid w:val="43AF1BE9"/>
    <w:rsid w:val="43BD4E73"/>
    <w:rsid w:val="44784ECE"/>
    <w:rsid w:val="44F3395B"/>
    <w:rsid w:val="45860E4D"/>
    <w:rsid w:val="46E14885"/>
    <w:rsid w:val="47285135"/>
    <w:rsid w:val="474E5391"/>
    <w:rsid w:val="475B0840"/>
    <w:rsid w:val="47B71148"/>
    <w:rsid w:val="48BE6AEF"/>
    <w:rsid w:val="48DD79DE"/>
    <w:rsid w:val="499E0331"/>
    <w:rsid w:val="49B712BC"/>
    <w:rsid w:val="4ACC72CB"/>
    <w:rsid w:val="4B2B2755"/>
    <w:rsid w:val="4B3C735C"/>
    <w:rsid w:val="4BF67364"/>
    <w:rsid w:val="4C0C6AB9"/>
    <w:rsid w:val="4CAA67A1"/>
    <w:rsid w:val="4CBD75B1"/>
    <w:rsid w:val="4DA11819"/>
    <w:rsid w:val="4E1C6775"/>
    <w:rsid w:val="4EDF7B61"/>
    <w:rsid w:val="4F164C3D"/>
    <w:rsid w:val="4F1D312B"/>
    <w:rsid w:val="4F543775"/>
    <w:rsid w:val="4FB924E0"/>
    <w:rsid w:val="500D49CD"/>
    <w:rsid w:val="501D49F1"/>
    <w:rsid w:val="502742CC"/>
    <w:rsid w:val="50B969B2"/>
    <w:rsid w:val="50D86534"/>
    <w:rsid w:val="5192797B"/>
    <w:rsid w:val="51933561"/>
    <w:rsid w:val="51C5782C"/>
    <w:rsid w:val="525321E3"/>
    <w:rsid w:val="526F7018"/>
    <w:rsid w:val="537D4D4B"/>
    <w:rsid w:val="54165115"/>
    <w:rsid w:val="5528110A"/>
    <w:rsid w:val="552A1C8B"/>
    <w:rsid w:val="55C52D39"/>
    <w:rsid w:val="56665518"/>
    <w:rsid w:val="579A7F9C"/>
    <w:rsid w:val="57F815F2"/>
    <w:rsid w:val="58545B9C"/>
    <w:rsid w:val="589739EB"/>
    <w:rsid w:val="59B67A48"/>
    <w:rsid w:val="59F57483"/>
    <w:rsid w:val="5A441DC9"/>
    <w:rsid w:val="5B435BCA"/>
    <w:rsid w:val="5B7020A8"/>
    <w:rsid w:val="5CFE7EBD"/>
    <w:rsid w:val="5DF56C86"/>
    <w:rsid w:val="610A2494"/>
    <w:rsid w:val="62640BC3"/>
    <w:rsid w:val="62A260C7"/>
    <w:rsid w:val="62EF4508"/>
    <w:rsid w:val="632A2C7C"/>
    <w:rsid w:val="63800162"/>
    <w:rsid w:val="63A63082"/>
    <w:rsid w:val="63DB0F6D"/>
    <w:rsid w:val="64147DED"/>
    <w:rsid w:val="645B3840"/>
    <w:rsid w:val="649610DC"/>
    <w:rsid w:val="64CC785F"/>
    <w:rsid w:val="64FD5D11"/>
    <w:rsid w:val="653629F8"/>
    <w:rsid w:val="653E5FDD"/>
    <w:rsid w:val="657C419F"/>
    <w:rsid w:val="65A07F9B"/>
    <w:rsid w:val="65DE6F73"/>
    <w:rsid w:val="65DF45C8"/>
    <w:rsid w:val="6614704E"/>
    <w:rsid w:val="66815779"/>
    <w:rsid w:val="66DD20F4"/>
    <w:rsid w:val="670273D9"/>
    <w:rsid w:val="683E1248"/>
    <w:rsid w:val="688F7EA4"/>
    <w:rsid w:val="68A570A3"/>
    <w:rsid w:val="68F70DEC"/>
    <w:rsid w:val="6A653527"/>
    <w:rsid w:val="6A716A7E"/>
    <w:rsid w:val="6B3D3590"/>
    <w:rsid w:val="6B82458A"/>
    <w:rsid w:val="6CBB401D"/>
    <w:rsid w:val="6CD72907"/>
    <w:rsid w:val="6D8B0BFC"/>
    <w:rsid w:val="6D901554"/>
    <w:rsid w:val="6D943F58"/>
    <w:rsid w:val="6E6D10E3"/>
    <w:rsid w:val="6EFB035A"/>
    <w:rsid w:val="6F2B5872"/>
    <w:rsid w:val="6F7819FB"/>
    <w:rsid w:val="6F8501B4"/>
    <w:rsid w:val="70A167A8"/>
    <w:rsid w:val="713067CD"/>
    <w:rsid w:val="71925BE1"/>
    <w:rsid w:val="71BA6E94"/>
    <w:rsid w:val="71F55E43"/>
    <w:rsid w:val="72103624"/>
    <w:rsid w:val="723A6419"/>
    <w:rsid w:val="728C1F6E"/>
    <w:rsid w:val="73161760"/>
    <w:rsid w:val="73474904"/>
    <w:rsid w:val="73495CBC"/>
    <w:rsid w:val="738C770C"/>
    <w:rsid w:val="73BF7B7B"/>
    <w:rsid w:val="73DF299C"/>
    <w:rsid w:val="74D26A66"/>
    <w:rsid w:val="75C50C09"/>
    <w:rsid w:val="762D5B3E"/>
    <w:rsid w:val="76920492"/>
    <w:rsid w:val="76FA07D8"/>
    <w:rsid w:val="77FC7B70"/>
    <w:rsid w:val="780B2B27"/>
    <w:rsid w:val="78822B6B"/>
    <w:rsid w:val="7BC634EF"/>
    <w:rsid w:val="7BE2385E"/>
    <w:rsid w:val="7C341283"/>
    <w:rsid w:val="7DA02893"/>
    <w:rsid w:val="7DC109AA"/>
    <w:rsid w:val="7DFC4945"/>
    <w:rsid w:val="7E8D5B43"/>
    <w:rsid w:val="7EBF7CDC"/>
    <w:rsid w:val="7F722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7"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spacing w:line="480" w:lineRule="auto"/>
      <w:jc w:val="center"/>
      <w:outlineLvl w:val="0"/>
    </w:pPr>
    <w:rPr>
      <w:rFonts w:ascii="宋体" w:hAnsi="宋体"/>
      <w:b/>
      <w:bCs/>
      <w:color w:val="FF6600"/>
      <w:sz w:val="52"/>
      <w:szCs w:val="28"/>
    </w:rPr>
  </w:style>
  <w:style w:type="paragraph" w:styleId="5">
    <w:name w:val="heading 2"/>
    <w:basedOn w:val="1"/>
    <w:next w:val="1"/>
    <w:qFormat/>
    <w:uiPriority w:val="0"/>
    <w:pPr>
      <w:keepNext/>
      <w:keepLines/>
      <w:autoSpaceDE w:val="0"/>
      <w:autoSpaceDN w:val="0"/>
      <w:adjustRightInd w:val="0"/>
      <w:spacing w:before="260" w:after="260" w:line="416" w:lineRule="auto"/>
      <w:jc w:val="left"/>
      <w:outlineLvl w:val="1"/>
    </w:pPr>
    <w:rPr>
      <w:rFonts w:ascii="Arial" w:hAnsi="Arial" w:eastAsia="黑体"/>
      <w:b/>
      <w:bCs/>
      <w:kern w:val="0"/>
      <w:sz w:val="32"/>
      <w:szCs w:val="32"/>
    </w:rPr>
  </w:style>
  <w:style w:type="paragraph" w:styleId="6">
    <w:name w:val="heading 3"/>
    <w:basedOn w:val="1"/>
    <w:next w:val="1"/>
    <w:qFormat/>
    <w:uiPriority w:val="0"/>
    <w:pPr>
      <w:keepNext/>
      <w:keepLines/>
      <w:autoSpaceDE w:val="0"/>
      <w:autoSpaceDN w:val="0"/>
      <w:adjustRightInd w:val="0"/>
      <w:spacing w:before="260" w:after="260" w:line="416" w:lineRule="auto"/>
      <w:jc w:val="left"/>
      <w:outlineLvl w:val="2"/>
    </w:pPr>
    <w:rPr>
      <w:rFonts w:ascii="宋体"/>
      <w:b/>
      <w:bCs/>
      <w:kern w:val="0"/>
      <w:sz w:val="32"/>
      <w:szCs w:val="32"/>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4">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styleId="7">
    <w:name w:val="Normal Indent"/>
    <w:basedOn w:val="1"/>
    <w:link w:val="29"/>
    <w:qFormat/>
    <w:uiPriority w:val="0"/>
    <w:pPr>
      <w:ind w:firstLine="420"/>
    </w:pPr>
    <w:rPr>
      <w:sz w:val="28"/>
      <w:szCs w:val="20"/>
    </w:rPr>
  </w:style>
  <w:style w:type="paragraph" w:styleId="8">
    <w:name w:val="Document Map"/>
    <w:basedOn w:val="1"/>
    <w:qFormat/>
    <w:uiPriority w:val="0"/>
    <w:pPr>
      <w:shd w:val="clear" w:color="auto" w:fill="000080"/>
    </w:pPr>
  </w:style>
  <w:style w:type="paragraph" w:styleId="9">
    <w:name w:val="annotation text"/>
    <w:basedOn w:val="1"/>
    <w:link w:val="31"/>
    <w:qFormat/>
    <w:uiPriority w:val="0"/>
    <w:pPr>
      <w:jc w:val="left"/>
    </w:pPr>
  </w:style>
  <w:style w:type="paragraph" w:styleId="10">
    <w:name w:val="Body Text"/>
    <w:basedOn w:val="1"/>
    <w:next w:val="11"/>
    <w:qFormat/>
    <w:uiPriority w:val="0"/>
    <w:pPr>
      <w:spacing w:after="120" w:line="360" w:lineRule="auto"/>
      <w:ind w:firstLine="200" w:firstLineChars="200"/>
    </w:pPr>
    <w:rPr>
      <w:rFonts w:ascii="仿宋_GB2312" w:eastAsia="仿宋_GB2312"/>
      <w:sz w:val="24"/>
    </w:rPr>
  </w:style>
  <w:style w:type="paragraph" w:customStyle="1" w:styleId="11">
    <w:name w:val="Default"/>
    <w:next w:val="12"/>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大标题"/>
    <w:basedOn w:val="1"/>
    <w:next w:val="13"/>
    <w:qFormat/>
    <w:uiPriority w:val="0"/>
    <w:pPr>
      <w:jc w:val="center"/>
    </w:pPr>
    <w:rPr>
      <w:rFonts w:ascii="Arial" w:hAnsi="Arial"/>
      <w:b/>
      <w:sz w:val="28"/>
    </w:rPr>
  </w:style>
  <w:style w:type="paragraph" w:styleId="13">
    <w:name w:val="Body Text First Indent 2"/>
    <w:basedOn w:val="14"/>
    <w:next w:val="10"/>
    <w:qFormat/>
    <w:uiPriority w:val="0"/>
    <w:pPr>
      <w:ind w:firstLine="0" w:firstLineChars="0"/>
    </w:pPr>
  </w:style>
  <w:style w:type="paragraph" w:styleId="14">
    <w:name w:val="Body Text Indent"/>
    <w:basedOn w:val="1"/>
    <w:next w:val="10"/>
    <w:qFormat/>
    <w:uiPriority w:val="0"/>
    <w:pPr>
      <w:spacing w:line="360" w:lineRule="auto"/>
      <w:ind w:right="359" w:rightChars="171" w:firstLine="574" w:firstLineChars="205"/>
    </w:pPr>
    <w:rPr>
      <w:rFonts w:ascii="宋体" w:hAnsi="宋体"/>
      <w:sz w:val="28"/>
      <w:szCs w:val="28"/>
    </w:rPr>
  </w:style>
  <w:style w:type="paragraph" w:styleId="15">
    <w:name w:val="Block Text"/>
    <w:basedOn w:val="1"/>
    <w:qFormat/>
    <w:uiPriority w:val="0"/>
    <w:pPr>
      <w:spacing w:line="360" w:lineRule="auto"/>
      <w:ind w:left="540" w:leftChars="257" w:right="359" w:rightChars="171" w:firstLine="538" w:firstLineChars="224"/>
    </w:pPr>
    <w:rPr>
      <w:rFonts w:ascii="宋体" w:hAnsi="宋体"/>
      <w:sz w:val="24"/>
      <w:szCs w:val="28"/>
    </w:rPr>
  </w:style>
  <w:style w:type="paragraph" w:styleId="16">
    <w:name w:val="Plain Text"/>
    <w:basedOn w:val="1"/>
    <w:qFormat/>
    <w:uiPriority w:val="0"/>
    <w:rPr>
      <w:rFonts w:ascii="宋体" w:hAnsi="Courier New" w:cs="Century"/>
      <w:szCs w:val="21"/>
    </w:rPr>
  </w:style>
  <w:style w:type="paragraph" w:styleId="17">
    <w:name w:val="Date"/>
    <w:basedOn w:val="1"/>
    <w:next w:val="1"/>
    <w:qFormat/>
    <w:uiPriority w:val="0"/>
    <w:pPr>
      <w:ind w:left="100" w:leftChars="2500"/>
    </w:pPr>
  </w:style>
  <w:style w:type="paragraph" w:styleId="18">
    <w:name w:val="Balloon Text"/>
    <w:basedOn w:val="1"/>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Normal (Web)"/>
    <w:basedOn w:val="1"/>
    <w:qFormat/>
    <w:uiPriority w:val="7"/>
    <w:pPr>
      <w:widowControl/>
      <w:spacing w:before="100" w:beforeAutospacing="1" w:after="100" w:afterAutospacing="1"/>
      <w:jc w:val="left"/>
    </w:pPr>
    <w:rPr>
      <w:rFonts w:ascii="宋体" w:hAnsi="宋体"/>
      <w:sz w:val="24"/>
    </w:rPr>
  </w:style>
  <w:style w:type="paragraph" w:styleId="22">
    <w:name w:val="annotation subject"/>
    <w:basedOn w:val="9"/>
    <w:next w:val="9"/>
    <w:link w:val="30"/>
    <w:qFormat/>
    <w:uiPriority w:val="0"/>
    <w:rPr>
      <w:b/>
      <w:bCs/>
    </w:rPr>
  </w:style>
  <w:style w:type="character" w:styleId="25">
    <w:name w:val="page number"/>
    <w:basedOn w:val="24"/>
    <w:qFormat/>
    <w:uiPriority w:val="0"/>
  </w:style>
  <w:style w:type="character" w:styleId="26">
    <w:name w:val="Hyperlink"/>
    <w:basedOn w:val="24"/>
    <w:qFormat/>
    <w:uiPriority w:val="0"/>
    <w:rPr>
      <w:color w:val="0000FF"/>
      <w:u w:val="single"/>
    </w:rPr>
  </w:style>
  <w:style w:type="character" w:styleId="27">
    <w:name w:val="annotation reference"/>
    <w:basedOn w:val="24"/>
    <w:qFormat/>
    <w:uiPriority w:val="0"/>
    <w:rPr>
      <w:sz w:val="21"/>
      <w:szCs w:val="21"/>
    </w:rPr>
  </w:style>
  <w:style w:type="character" w:customStyle="1" w:styleId="28">
    <w:name w:val="font21"/>
    <w:basedOn w:val="24"/>
    <w:qFormat/>
    <w:uiPriority w:val="0"/>
    <w:rPr>
      <w:rFonts w:hint="eastAsia" w:ascii="宋体" w:hAnsi="宋体" w:eastAsia="宋体" w:cs="宋体"/>
      <w:color w:val="000000"/>
      <w:sz w:val="20"/>
      <w:szCs w:val="20"/>
      <w:u w:val="single"/>
    </w:rPr>
  </w:style>
  <w:style w:type="character" w:customStyle="1" w:styleId="29">
    <w:name w:val="正文缩进 字符"/>
    <w:link w:val="7"/>
    <w:qFormat/>
    <w:uiPriority w:val="0"/>
    <w:rPr>
      <w:kern w:val="2"/>
      <w:sz w:val="28"/>
    </w:rPr>
  </w:style>
  <w:style w:type="character" w:customStyle="1" w:styleId="30">
    <w:name w:val="批注主题 字符"/>
    <w:basedOn w:val="31"/>
    <w:link w:val="22"/>
    <w:qFormat/>
    <w:uiPriority w:val="0"/>
    <w:rPr>
      <w:b/>
      <w:bCs/>
      <w:kern w:val="2"/>
      <w:sz w:val="21"/>
      <w:szCs w:val="24"/>
    </w:rPr>
  </w:style>
  <w:style w:type="character" w:customStyle="1" w:styleId="31">
    <w:name w:val="批注文字 字符"/>
    <w:basedOn w:val="24"/>
    <w:link w:val="9"/>
    <w:qFormat/>
    <w:uiPriority w:val="0"/>
    <w:rPr>
      <w:kern w:val="2"/>
      <w:sz w:val="21"/>
      <w:szCs w:val="24"/>
    </w:rPr>
  </w:style>
  <w:style w:type="character" w:customStyle="1" w:styleId="32">
    <w:name w:val="font11"/>
    <w:basedOn w:val="24"/>
    <w:qFormat/>
    <w:uiPriority w:val="0"/>
    <w:rPr>
      <w:rFonts w:hint="eastAsia" w:ascii="宋体" w:hAnsi="宋体" w:eastAsia="宋体" w:cs="宋体"/>
      <w:color w:val="000000"/>
      <w:sz w:val="21"/>
      <w:szCs w:val="21"/>
      <w:u w:val="single"/>
    </w:rPr>
  </w:style>
  <w:style w:type="character" w:customStyle="1" w:styleId="33">
    <w:name w:val="font51"/>
    <w:basedOn w:val="24"/>
    <w:qFormat/>
    <w:uiPriority w:val="0"/>
    <w:rPr>
      <w:rFonts w:hint="eastAsia" w:ascii="宋体" w:hAnsi="宋体" w:eastAsia="宋体" w:cs="宋体"/>
      <w:color w:val="000000"/>
      <w:sz w:val="21"/>
      <w:szCs w:val="21"/>
      <w:u w:val="none"/>
    </w:rPr>
  </w:style>
  <w:style w:type="character" w:customStyle="1" w:styleId="34">
    <w:name w:val="font61"/>
    <w:basedOn w:val="24"/>
    <w:qFormat/>
    <w:uiPriority w:val="0"/>
    <w:rPr>
      <w:rFonts w:hint="eastAsia" w:ascii="宋体" w:hAnsi="宋体" w:eastAsia="宋体" w:cs="宋体"/>
      <w:color w:val="000000"/>
      <w:sz w:val="20"/>
      <w:szCs w:val="20"/>
      <w:u w:val="none"/>
    </w:rPr>
  </w:style>
  <w:style w:type="character" w:customStyle="1" w:styleId="35">
    <w:name w:val="font41"/>
    <w:basedOn w:val="24"/>
    <w:qFormat/>
    <w:uiPriority w:val="0"/>
    <w:rPr>
      <w:rFonts w:hint="eastAsia" w:ascii="宋体" w:hAnsi="宋体" w:eastAsia="宋体" w:cs="宋体"/>
      <w:color w:val="000000"/>
      <w:sz w:val="20"/>
      <w:szCs w:val="20"/>
      <w:u w:val="none"/>
    </w:rPr>
  </w:style>
  <w:style w:type="character" w:customStyle="1" w:styleId="36">
    <w:name w:val="font91"/>
    <w:basedOn w:val="24"/>
    <w:qFormat/>
    <w:uiPriority w:val="0"/>
    <w:rPr>
      <w:rFonts w:hint="eastAsia" w:ascii="宋体" w:hAnsi="宋体" w:eastAsia="宋体" w:cs="宋体"/>
      <w:color w:val="000000"/>
      <w:sz w:val="20"/>
      <w:szCs w:val="20"/>
      <w:u w:val="single"/>
    </w:rPr>
  </w:style>
  <w:style w:type="character" w:customStyle="1" w:styleId="37">
    <w:name w:val="font71"/>
    <w:basedOn w:val="24"/>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44</Pages>
  <Words>3843</Words>
  <Characters>21911</Characters>
  <Lines>182</Lines>
  <Paragraphs>51</Paragraphs>
  <TotalTime>12</TotalTime>
  <ScaleCrop>false</ScaleCrop>
  <LinksUpToDate>false</LinksUpToDate>
  <CharactersWithSpaces>25703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2021-03-23T10:31:00Z</dcterms:created>
  <dc:creator>v5</dc:creator>
  <cp:lastModifiedBy>DD</cp:lastModifiedBy>
  <cp:lastPrinted>2014-09-02T07:42:00Z</cp:lastPrinted>
  <dcterms:modified xsi:type="dcterms:W3CDTF">2021-06-10T12:13:33Z</dcterms:modified>
  <dc:title>顺驰洛阳15#地Show good尚街一期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B5E505F96FA843AA80F3C62A92A48A5C</vt:lpwstr>
  </property>
</Properties>
</file>