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rPr>
          <w:rStyle w:val="13"/>
          <w:rFonts w:ascii="宋体" w:hAnsi="宋体"/>
          <w:b/>
          <w:bCs/>
          <w:color w:val="000000" w:themeColor="text1"/>
          <w:szCs w:val="24"/>
          <w:highlight w:val="none"/>
          <w14:textFill>
            <w14:solidFill>
              <w14:schemeClr w14:val="tx1"/>
            </w14:solidFill>
          </w14:textFill>
        </w:rPr>
      </w:pPr>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color w:val="000000" w:themeColor="text1"/>
          <w:sz w:val="44"/>
          <w:szCs w:val="24"/>
          <w:highlight w:val="none"/>
          <w14:textFill>
            <w14:solidFill>
              <w14:schemeClr w14:val="tx1"/>
            </w14:solidFill>
          </w14:textFill>
        </w:rPr>
      </w:pPr>
      <w:bookmarkStart w:id="0" w:name="_Hlk34234524"/>
      <w:r>
        <w:rPr>
          <w:rFonts w:hint="eastAsia" w:ascii="宋体" w:hAnsi="宋体" w:eastAsia="宋体" w:cs="宋体"/>
          <w:b/>
          <w:bCs/>
          <w:color w:val="000000" w:themeColor="text1"/>
          <w:sz w:val="44"/>
          <w:szCs w:val="24"/>
          <w:highlight w:val="none"/>
          <w:lang w:eastAsia="zh-CN"/>
          <w14:textFill>
            <w14:solidFill>
              <w14:schemeClr w14:val="tx1"/>
            </w14:solidFill>
          </w14:textFill>
        </w:rPr>
        <w:t>开元壹号</w:t>
      </w:r>
      <w:r>
        <w:rPr>
          <w:rFonts w:hint="eastAsia" w:ascii="宋体" w:hAnsi="宋体" w:eastAsia="宋体" w:cs="宋体"/>
          <w:b/>
          <w:bCs/>
          <w:color w:val="000000" w:themeColor="text1"/>
          <w:sz w:val="44"/>
          <w:szCs w:val="24"/>
          <w:highlight w:val="none"/>
          <w:lang w:val="en-US" w:eastAsia="zh-CN"/>
          <w14:textFill>
            <w14:solidFill>
              <w14:schemeClr w14:val="tx1"/>
            </w14:solidFill>
          </w14:textFill>
        </w:rPr>
        <w:t>60#地块公寓楼</w:t>
      </w:r>
      <w:r>
        <w:rPr>
          <w:rFonts w:hint="eastAsia" w:ascii="宋体" w:hAnsi="宋体" w:eastAsia="宋体" w:cs="宋体"/>
          <w:b/>
          <w:bCs/>
          <w:color w:val="000000" w:themeColor="text1"/>
          <w:sz w:val="44"/>
          <w:szCs w:val="24"/>
          <w:highlight w:val="none"/>
          <w14:textFill>
            <w14:solidFill>
              <w14:schemeClr w14:val="tx1"/>
            </w14:solidFill>
          </w14:textFill>
        </w:rPr>
        <w:t>标识标牌制作及</w:t>
      </w:r>
      <w:r>
        <w:rPr>
          <w:rFonts w:hint="eastAsia" w:ascii="宋体" w:hAnsi="宋体" w:eastAsia="宋体" w:cs="宋体"/>
          <w:b/>
          <w:bCs/>
          <w:color w:val="000000" w:themeColor="text1"/>
          <w:sz w:val="44"/>
          <w:szCs w:val="24"/>
          <w:highlight w:val="none"/>
          <w:lang w:eastAsia="zh-CN"/>
          <w14:textFill>
            <w14:solidFill>
              <w14:schemeClr w14:val="tx1"/>
            </w14:solidFill>
          </w14:textFill>
        </w:rPr>
        <w:t>安</w:t>
      </w:r>
      <w:r>
        <w:rPr>
          <w:rFonts w:hint="eastAsia" w:ascii="宋体" w:hAnsi="宋体" w:eastAsia="宋体" w:cs="宋体"/>
          <w:b/>
          <w:bCs/>
          <w:color w:val="000000" w:themeColor="text1"/>
          <w:sz w:val="44"/>
          <w:szCs w:val="24"/>
          <w:highlight w:val="none"/>
          <w14:textFill>
            <w14:solidFill>
              <w14:schemeClr w14:val="tx1"/>
            </w14:solidFill>
          </w14:textFill>
        </w:rPr>
        <w:t>装</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4"/>
          <w:szCs w:val="24"/>
          <w:highlight w:val="none"/>
          <w14:textFill>
            <w14:solidFill>
              <w14:schemeClr w14:val="tx1"/>
            </w14:solidFill>
          </w14:textFill>
        </w:rPr>
        <w:t>工程</w:t>
      </w:r>
      <w:bookmarkEnd w:id="0"/>
      <w:r>
        <w:rPr>
          <w:rFonts w:hint="eastAsia" w:ascii="宋体" w:hAnsi="宋体" w:cs="宋体"/>
          <w:b/>
          <w:bCs/>
          <w:color w:val="000000" w:themeColor="text1"/>
          <w:sz w:val="44"/>
          <w:szCs w:val="24"/>
          <w:highlight w:val="none"/>
          <w:lang w:eastAsia="zh-CN"/>
          <w14:textFill>
            <w14:solidFill>
              <w14:schemeClr w14:val="tx1"/>
            </w14:solidFill>
          </w14:textFill>
        </w:rPr>
        <w:t>施工</w:t>
      </w:r>
      <w:r>
        <w:rPr>
          <w:rFonts w:hint="eastAsia" w:ascii="宋体" w:hAnsi="宋体" w:eastAsia="宋体" w:cs="宋体"/>
          <w:b/>
          <w:bCs/>
          <w:color w:val="000000" w:themeColor="text1"/>
          <w:sz w:val="44"/>
          <w:szCs w:val="44"/>
          <w:highlight w:val="none"/>
          <w14:textFill>
            <w14:solidFill>
              <w14:schemeClr w14:val="tx1"/>
            </w14:solidFill>
          </w14:textFill>
        </w:rPr>
        <w:t>合同</w:t>
      </w: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widowControl/>
        <w:spacing w:line="360" w:lineRule="auto"/>
        <w:ind w:firstLine="441" w:firstLineChars="147"/>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 xml:space="preserve"> 成本代码：3.2.1.1</w:t>
      </w:r>
    </w:p>
    <w:p>
      <w:pPr>
        <w:widowControl/>
        <w:spacing w:line="360" w:lineRule="auto"/>
        <w:ind w:firstLine="441" w:firstLineChars="147"/>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合同编号：KYYH.60B-JA-075</w:t>
      </w:r>
    </w:p>
    <w:p>
      <w:pPr>
        <w:widowControl/>
        <w:spacing w:line="360" w:lineRule="auto"/>
        <w:ind w:firstLine="441" w:firstLineChars="147"/>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14:textFill>
            <w14:solidFill>
              <w14:schemeClr w14:val="tx1"/>
            </w14:solidFill>
          </w14:textFill>
        </w:rPr>
        <w:t>洛阳浩德鑫置地有限公司</w:t>
      </w:r>
    </w:p>
    <w:p>
      <w:pPr>
        <w:widowControl/>
        <w:spacing w:line="360" w:lineRule="auto"/>
        <w:ind w:firstLine="441" w:firstLineChars="147"/>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洛阳国匠实业有限公司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pStyle w:val="14"/>
        <w:ind w:firstLine="1800" w:firstLineChars="600"/>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lang w:eastAsia="zh-CN"/>
          <w14:textFill>
            <w14:solidFill>
              <w14:schemeClr w14:val="tx1"/>
            </w14:solidFill>
          </w14:textFill>
        </w:rPr>
        <w:t>：</w:t>
      </w:r>
      <w:r>
        <w:rPr>
          <w:rFonts w:hint="eastAsia"/>
          <w:b w:val="0"/>
          <w:bCs/>
          <w:color w:val="000000" w:themeColor="text1"/>
          <w:sz w:val="30"/>
          <w:szCs w:val="30"/>
          <w:highlight w:val="none"/>
          <w:u w:val="single"/>
          <w:lang w:val="en-US" w:eastAsia="zh-CN"/>
          <w14:textFill>
            <w14:solidFill>
              <w14:schemeClr w14:val="tx1"/>
            </w14:solidFill>
          </w14:textFill>
        </w:rPr>
        <w:t xml:space="preserve"> 2021年06月  日 </w:t>
      </w:r>
    </w:p>
    <w:p>
      <w:pPr>
        <w:widowControl/>
        <w:spacing w:line="360" w:lineRule="auto"/>
        <w:rPr>
          <w:rFonts w:ascii="宋体" w:hAnsi="宋体" w:cs="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32"/>
          <w:szCs w:val="32"/>
          <w:highlight w:val="none"/>
          <w14:textFill>
            <w14:solidFill>
              <w14:schemeClr w14:val="tx1"/>
            </w14:solidFill>
          </w14:textFill>
        </w:rPr>
        <w:sectPr>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开元壹号60#地块公寓楼标识标牌制作及安装工程施工合同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甲方（全称）：</w:t>
      </w:r>
      <w:r>
        <w:rPr>
          <w:rFonts w:hint="eastAsia" w:ascii="宋体" w:hAnsi="宋体" w:cs="宋体"/>
          <w:b/>
          <w:bCs/>
          <w:color w:val="000000" w:themeColor="text1"/>
          <w:szCs w:val="24"/>
          <w:highlight w:val="none"/>
          <w:u w:val="single"/>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乙方（全称）：</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Cs w:val="24"/>
          <w:highlight w:val="none"/>
          <w:u w:val="single"/>
          <w14:textFill>
            <w14:solidFill>
              <w14:schemeClr w14:val="tx1"/>
            </w14:solidFill>
          </w14:textFill>
        </w:rPr>
        <w:t>洛阳国匠实业有限公司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依照《中华人民共和国民法典》、《中华人民共和国建筑法》及其他有关法律、行政法规，遵循平等、自愿、公平和诚实信用的原则，双方就开元壹号60地块公寓楼</w:t>
      </w:r>
      <w:r>
        <w:rPr>
          <w:rFonts w:hint="eastAsia" w:ascii="宋体" w:hAnsi="宋体" w:cs="宋体"/>
          <w:color w:val="000000" w:themeColor="text1"/>
          <w:szCs w:val="24"/>
          <w:highlight w:val="none"/>
          <w:lang w:eastAsia="zh-CN"/>
          <w14:textFill>
            <w14:solidFill>
              <w14:schemeClr w14:val="tx1"/>
            </w14:solidFill>
          </w14:textFill>
        </w:rPr>
        <w:t>标识标牌</w:t>
      </w:r>
      <w:r>
        <w:rPr>
          <w:rFonts w:hint="eastAsia" w:ascii="宋体" w:hAnsi="宋体" w:cs="宋体"/>
          <w:color w:val="000000" w:themeColor="text1"/>
          <w:szCs w:val="24"/>
          <w:highlight w:val="none"/>
          <w14:textFill>
            <w14:solidFill>
              <w14:schemeClr w14:val="tx1"/>
            </w14:solidFill>
          </w14:textFill>
        </w:rPr>
        <w:t>制作</w:t>
      </w:r>
      <w:r>
        <w:rPr>
          <w:rFonts w:hint="eastAsia" w:ascii="宋体" w:hAnsi="宋体" w:cs="宋体"/>
          <w:color w:val="000000" w:themeColor="text1"/>
          <w:szCs w:val="24"/>
          <w:highlight w:val="none"/>
          <w:lang w:eastAsia="zh-CN"/>
          <w14:textFill>
            <w14:solidFill>
              <w14:schemeClr w14:val="tx1"/>
            </w14:solidFill>
          </w14:textFill>
        </w:rPr>
        <w:t>及</w:t>
      </w:r>
      <w:r>
        <w:rPr>
          <w:rFonts w:hint="eastAsia" w:ascii="宋体" w:hAnsi="宋体" w:cs="宋体"/>
          <w:color w:val="000000" w:themeColor="text1"/>
          <w:szCs w:val="24"/>
          <w:highlight w:val="none"/>
          <w14:textFill>
            <w14:solidFill>
              <w14:schemeClr w14:val="tx1"/>
            </w14:solidFill>
          </w14:textFill>
        </w:rPr>
        <w:t>安装工程施工事项协商一致，订立本合同。</w:t>
      </w:r>
    </w:p>
    <w:p>
      <w:pPr>
        <w:keepNext w:val="0"/>
        <w:keepLines w:val="0"/>
        <w:pageBreakBefore w:val="0"/>
        <w:widowControl w:val="0"/>
        <w:tabs>
          <w:tab w:val="left" w:pos="0"/>
          <w:tab w:val="left" w:pos="6096"/>
        </w:tabs>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工程名称：开元壹号60地块公寓楼</w:t>
      </w:r>
      <w:r>
        <w:rPr>
          <w:rFonts w:hint="eastAsia" w:ascii="宋体" w:hAnsi="宋体" w:cs="宋体"/>
          <w:color w:val="000000" w:themeColor="text1"/>
          <w:szCs w:val="24"/>
          <w:highlight w:val="none"/>
          <w:lang w:eastAsia="zh-CN"/>
          <w14:textFill>
            <w14:solidFill>
              <w14:schemeClr w14:val="tx1"/>
            </w14:solidFill>
          </w14:textFill>
        </w:rPr>
        <w:t>标识标牌</w:t>
      </w:r>
      <w:r>
        <w:rPr>
          <w:rFonts w:hint="eastAsia" w:ascii="宋体" w:hAnsi="宋体" w:cs="宋体"/>
          <w:color w:val="000000" w:themeColor="text1"/>
          <w:szCs w:val="24"/>
          <w:highlight w:val="none"/>
          <w14:textFill>
            <w14:solidFill>
              <w14:schemeClr w14:val="tx1"/>
            </w14:solidFill>
          </w14:textFill>
        </w:rPr>
        <w:t>制作</w:t>
      </w:r>
      <w:r>
        <w:rPr>
          <w:rFonts w:hint="eastAsia" w:ascii="宋体" w:hAnsi="宋体" w:cs="宋体"/>
          <w:color w:val="000000" w:themeColor="text1"/>
          <w:szCs w:val="24"/>
          <w:highlight w:val="none"/>
          <w:lang w:eastAsia="zh-CN"/>
          <w14:textFill>
            <w14:solidFill>
              <w14:schemeClr w14:val="tx1"/>
            </w14:solidFill>
          </w14:textFill>
        </w:rPr>
        <w:t>及</w:t>
      </w:r>
      <w:r>
        <w:rPr>
          <w:rFonts w:hint="eastAsia" w:ascii="宋体" w:hAnsi="宋体" w:cs="宋体"/>
          <w:color w:val="000000" w:themeColor="text1"/>
          <w:szCs w:val="24"/>
          <w:highlight w:val="none"/>
          <w14:textFill>
            <w14:solidFill>
              <w14:schemeClr w14:val="tx1"/>
            </w14:solidFill>
          </w14:textFill>
        </w:rPr>
        <w:t>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工程地点：</w:t>
      </w:r>
      <w:r>
        <w:rPr>
          <w:rFonts w:hint="eastAsia" w:ascii="宋体" w:hAnsi="宋体" w:cs="宋体"/>
          <w:color w:val="000000" w:themeColor="text1"/>
          <w:szCs w:val="24"/>
          <w:highlight w:val="none"/>
          <w:lang w:eastAsia="zh-CN"/>
          <w14:textFill>
            <w14:solidFill>
              <w14:schemeClr w14:val="tx1"/>
            </w14:solidFill>
          </w14:textFill>
        </w:rPr>
        <w:t>洛阳市洛龙区开元大道与新伊大街交叉口西南角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开元壹号60#地块公寓楼内的室内物业公告栏、室内房间指引标识、室内电梯厅层显标识、楼梯间层显标识、楼层安全疏散示意图、室内垃圾桶、警示牌、防火门标识等</w:t>
      </w:r>
      <w:r>
        <w:rPr>
          <w:rFonts w:hint="eastAsia" w:ascii="宋体" w:hAnsi="宋体" w:cs="宋体"/>
          <w:color w:val="000000" w:themeColor="text1"/>
          <w:szCs w:val="24"/>
          <w:highlight w:val="none"/>
          <w:lang w:eastAsia="zh-CN"/>
          <w14:textFill>
            <w14:solidFill>
              <w14:schemeClr w14:val="tx1"/>
            </w14:solidFill>
          </w14:textFill>
        </w:rPr>
        <w:t>合同</w:t>
      </w:r>
      <w:r>
        <w:rPr>
          <w:rFonts w:hint="eastAsia" w:ascii="宋体" w:hAnsi="宋体" w:cs="宋体"/>
          <w:color w:val="000000" w:themeColor="text1"/>
          <w:szCs w:val="24"/>
          <w:highlight w:val="none"/>
          <w14:textFill>
            <w14:solidFill>
              <w14:schemeClr w14:val="tx1"/>
            </w14:solidFill>
          </w14:textFill>
        </w:rPr>
        <w:t>附件</w:t>
      </w:r>
      <w:r>
        <w:rPr>
          <w:rFonts w:hint="eastAsia" w:ascii="宋体" w:hAnsi="宋体" w:cs="宋体"/>
          <w:color w:val="000000" w:themeColor="text1"/>
          <w:szCs w:val="24"/>
          <w:highlight w:val="none"/>
          <w:lang w:eastAsia="zh-CN"/>
          <w14:textFill>
            <w14:solidFill>
              <w14:schemeClr w14:val="tx1"/>
            </w14:solidFill>
          </w14:textFill>
        </w:rPr>
        <w:t>一：标识标牌</w:t>
      </w:r>
      <w:r>
        <w:rPr>
          <w:rFonts w:hint="eastAsia" w:ascii="宋体" w:hAnsi="宋体" w:cs="宋体"/>
          <w:color w:val="000000" w:themeColor="text1"/>
          <w:szCs w:val="24"/>
          <w:highlight w:val="none"/>
          <w14:textFill>
            <w14:solidFill>
              <w14:schemeClr w14:val="tx1"/>
            </w14:solidFill>
          </w14:textFill>
        </w:rPr>
        <w:t>工程量清单内的全部标识标牌的制作及安装工程</w:t>
      </w:r>
      <w:r>
        <w:rPr>
          <w:rFonts w:hint="eastAsia" w:ascii="宋体" w:hAnsi="宋体" w:cs="宋体"/>
          <w:color w:val="000000" w:themeColor="text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固定综合单价，包工包料、包设计方案、包质量、包工期、包安全、包通过验收直至交付使用。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黑体" w:hAnsi="宋体" w:eastAsia="黑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四、</w:t>
      </w:r>
      <w:r>
        <w:rPr>
          <w:rFonts w:hint="eastAsia" w:ascii="黑体" w:hAnsi="宋体" w:eastAsia="黑体"/>
          <w:color w:val="000000" w:themeColor="text1"/>
          <w:szCs w:val="24"/>
          <w:highlight w:val="none"/>
          <w14:textFill>
            <w14:solidFill>
              <w14:schemeClr w14:val="tx1"/>
            </w14:solidFill>
          </w14:textFill>
        </w:rPr>
        <w:t>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工期：制作周期共</w:t>
      </w:r>
      <w:r>
        <w:rPr>
          <w:rFonts w:hint="eastAsia" w:ascii="宋体" w:hAnsi="宋体"/>
          <w:color w:val="000000" w:themeColor="text1"/>
          <w:szCs w:val="24"/>
          <w:highlight w:val="none"/>
          <w:u w:val="none"/>
          <w14:textFill>
            <w14:solidFill>
              <w14:schemeClr w14:val="tx1"/>
            </w14:solidFill>
          </w14:textFill>
        </w:rPr>
        <w:t>1</w:t>
      </w:r>
      <w:r>
        <w:rPr>
          <w:rFonts w:hint="eastAsia" w:ascii="宋体" w:hAnsi="宋体"/>
          <w:color w:val="000000" w:themeColor="text1"/>
          <w:szCs w:val="24"/>
          <w:highlight w:val="none"/>
          <w:u w:val="none"/>
          <w:lang w:val="en-US" w:eastAsia="zh-CN"/>
          <w14:textFill>
            <w14:solidFill>
              <w14:schemeClr w14:val="tx1"/>
            </w14:solidFill>
          </w14:textFill>
        </w:rPr>
        <w:t>5</w:t>
      </w:r>
      <w:r>
        <w:rPr>
          <w:rFonts w:hint="eastAsia" w:ascii="宋体" w:hAnsi="宋体"/>
          <w:color w:val="000000" w:themeColor="text1"/>
          <w:szCs w:val="24"/>
          <w:highlight w:val="none"/>
          <w:u w:val="none"/>
          <w14:textFill>
            <w14:solidFill>
              <w14:schemeClr w14:val="tx1"/>
            </w14:solidFill>
          </w14:textFill>
        </w:rPr>
        <w:t>日历</w:t>
      </w:r>
      <w:r>
        <w:rPr>
          <w:rFonts w:hint="eastAsia" w:ascii="宋体" w:hAnsi="宋体"/>
          <w:color w:val="000000" w:themeColor="text1"/>
          <w:szCs w:val="24"/>
          <w:highlight w:val="none"/>
          <w14:textFill>
            <w14:solidFill>
              <w14:schemeClr w14:val="tx1"/>
            </w14:solidFill>
          </w14:textFill>
        </w:rPr>
        <w:t>天</w:t>
      </w:r>
      <w:r>
        <w:rPr>
          <w:rFonts w:hint="eastAsia" w:ascii="宋体" w:hAnsi="宋体"/>
          <w:color w:val="000000" w:themeColor="text1"/>
          <w:szCs w:val="24"/>
          <w:highlight w:val="none"/>
          <w:lang w:eastAsia="zh-CN"/>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现场安装周期共</w:t>
      </w:r>
      <w:r>
        <w:rPr>
          <w:rFonts w:hint="eastAsia" w:ascii="宋体" w:hAnsi="宋体"/>
          <w:color w:val="000000" w:themeColor="text1"/>
          <w:szCs w:val="24"/>
          <w:highlight w:val="none"/>
          <w:u w:val="none"/>
          <w:lang w:val="en-US" w:eastAsia="zh-CN"/>
          <w14:textFill>
            <w14:solidFill>
              <w14:schemeClr w14:val="tx1"/>
            </w14:solidFill>
          </w14:textFill>
        </w:rPr>
        <w:t>5</w:t>
      </w:r>
      <w:r>
        <w:rPr>
          <w:rFonts w:hint="eastAsia" w:ascii="宋体" w:hAnsi="宋体"/>
          <w:color w:val="000000" w:themeColor="text1"/>
          <w:szCs w:val="24"/>
          <w:highlight w:val="none"/>
          <w:u w:val="none"/>
          <w14:textFill>
            <w14:solidFill>
              <w14:schemeClr w14:val="tx1"/>
            </w14:solidFill>
          </w14:textFill>
        </w:rPr>
        <w:t>日历</w:t>
      </w:r>
      <w:r>
        <w:rPr>
          <w:rFonts w:hint="eastAsia" w:ascii="宋体" w:hAnsi="宋体"/>
          <w:color w:val="000000" w:themeColor="text1"/>
          <w:szCs w:val="24"/>
          <w:highlight w:val="none"/>
          <w14:textFill>
            <w14:solidFill>
              <w14:schemeClr w14:val="tx1"/>
            </w14:solidFill>
          </w14:textFill>
        </w:rPr>
        <w:t>天，具体开工日期以甲方通知为准。</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jc w:val="both"/>
        <w:textAlignment w:val="auto"/>
        <w:rPr>
          <w:rFonts w:ascii="黑体" w:hAnsi="宋体" w:eastAsia="黑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五、</w:t>
      </w:r>
      <w:r>
        <w:rPr>
          <w:rFonts w:hint="eastAsia" w:ascii="黑体" w:hAnsi="宋体" w:eastAsia="黑体"/>
          <w:color w:val="000000" w:themeColor="text1"/>
          <w:szCs w:val="24"/>
          <w:highlight w:val="none"/>
          <w14:textFill>
            <w14:solidFill>
              <w14:schemeClr w14:val="tx1"/>
            </w14:solidFill>
          </w14:textFill>
        </w:rPr>
        <w:t>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1、合同承包方式：采用固定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综合单价以实结算的形式承包。施工方案、合同清单内所有施工内容按</w:t>
      </w:r>
      <w:r>
        <w:rPr>
          <w:rFonts w:hint="eastAsia" w:ascii="宋体" w:hAnsi="宋体"/>
          <w:color w:val="000000" w:themeColor="text1"/>
          <w:szCs w:val="24"/>
          <w:highlight w:val="none"/>
          <w:lang w:eastAsia="zh-CN"/>
          <w14:textFill>
            <w14:solidFill>
              <w14:schemeClr w14:val="tx1"/>
            </w14:solidFill>
          </w14:textFill>
        </w:rPr>
        <w:t>固定全费用</w:t>
      </w:r>
      <w:r>
        <w:rPr>
          <w:rFonts w:hint="eastAsia" w:ascii="宋体" w:hAnsi="宋体"/>
          <w:color w:val="000000" w:themeColor="text1"/>
          <w:szCs w:val="24"/>
          <w:highlight w:val="none"/>
          <w14:textFill>
            <w14:solidFill>
              <w14:schemeClr w14:val="tx1"/>
            </w14:solidFill>
          </w14:textFill>
        </w:rPr>
        <w:t>综合单价包干以实结算形式，固定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综合单价不因任何因素的变化而调整。</w:t>
      </w:r>
      <w:r>
        <w:rPr>
          <w:rFonts w:hint="eastAsia" w:ascii="宋体" w:hAnsi="宋体"/>
          <w:color w:val="000000" w:themeColor="text1"/>
          <w:szCs w:val="24"/>
          <w:highlight w:val="none"/>
          <w:lang w:eastAsia="zh-CN"/>
          <w14:textFill>
            <w14:solidFill>
              <w14:schemeClr w14:val="tx1"/>
            </w14:solidFill>
          </w14:textFill>
        </w:rPr>
        <w:t>详见合同附件一：标识标牌工程量清单。</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ascii="宋体" w:hAnsi="宋体"/>
          <w:color w:val="000000" w:themeColor="text1"/>
          <w:szCs w:val="24"/>
          <w:highlight w:val="none"/>
          <w14:textFill>
            <w14:solidFill>
              <w14:schemeClr w14:val="tx1"/>
            </w14:solidFill>
          </w14:textFill>
        </w:rPr>
        <w:t>（1）本工程合同暂定总价为</w:t>
      </w:r>
      <w:r>
        <w:rPr>
          <w:rFonts w:hint="eastAsia" w:ascii="宋体" w:hAnsi="宋体"/>
          <w:color w:val="000000" w:themeColor="text1"/>
          <w:szCs w:val="24"/>
          <w:highlight w:val="none"/>
          <w:lang w:eastAsia="zh-CN"/>
          <w14:textFill>
            <w14:solidFill>
              <w14:schemeClr w14:val="tx1"/>
            </w14:solidFill>
          </w14:textFill>
        </w:rPr>
        <w:t>小写：</w:t>
      </w:r>
      <w:r>
        <w:rPr>
          <w:rFonts w:hint="eastAsia" w:ascii="宋体" w:hAnsi="宋体"/>
          <w:color w:val="000000" w:themeColor="text1"/>
          <w:szCs w:val="24"/>
          <w:highlight w:val="none"/>
          <w:lang w:val="en-US" w:eastAsia="zh-CN"/>
          <w14:textFill>
            <w14:solidFill>
              <w14:schemeClr w14:val="tx1"/>
            </w14:solidFill>
          </w14:textFill>
        </w:rPr>
        <w:t>¥290000.00元，大写：人民币贰拾玖万圆整，其中不含税价款小写：¥266055.05元，大写：人民币贰拾陆万陆仟零伍拾伍元零伍分，税金小写：¥23944.95元，大写：贰万叁仟玖佰肆拾肆元玖角伍分，税率为9%。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综合单价中已包括但不限于承包范围内所有工程设备和材料的购置、安装、调试、检测、</w:t>
      </w:r>
      <w:r>
        <w:rPr>
          <w:rFonts w:hint="eastAsia" w:ascii="宋体" w:hAnsi="宋体"/>
          <w:color w:val="000000" w:themeColor="text1"/>
          <w:szCs w:val="24"/>
          <w:highlight w:val="none"/>
          <w:lang w:eastAsia="zh-CN"/>
          <w14:textFill>
            <w14:solidFill>
              <w14:schemeClr w14:val="tx1"/>
            </w14:solidFill>
          </w14:textFill>
        </w:rPr>
        <w:t>垃圾清运出场、</w:t>
      </w:r>
      <w:r>
        <w:rPr>
          <w:rFonts w:hint="eastAsia" w:ascii="宋体" w:hAnsi="宋体"/>
          <w:color w:val="000000" w:themeColor="text1"/>
          <w:szCs w:val="24"/>
          <w:highlight w:val="none"/>
          <w14:textFill>
            <w14:solidFill>
              <w14:schemeClr w14:val="tx1"/>
            </w14:solidFill>
          </w14:textFill>
        </w:rPr>
        <w:t xml:space="preserve">办理验收手续及取得合格证所需费用、质保期内的系统维护费和保修期内所需的备品备件等费用。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综合单价中已包括但不限于承包范围内所有工程的成本、利润、税金、措施费、规费（专项费用）、验收、风险费用等与之相关的所有费用。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（1）《建筑工程施工质量验收统一标准》GB50300-2001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（3）《建筑室内装修设计防火规范》GB50222-95</w:t>
      </w:r>
    </w:p>
    <w:p>
      <w:pPr>
        <w:keepNext w:val="0"/>
        <w:keepLines w:val="0"/>
        <w:pageBreakBefore w:val="0"/>
        <w:widowControl w:val="0"/>
        <w:tabs>
          <w:tab w:val="left" w:pos="6521"/>
        </w:tabs>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 与本工程有关的技术规范和验收标准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其它施工及验收规范、质量检验评定标准：</w:t>
      </w:r>
      <w:r>
        <w:rPr>
          <w:rFonts w:hint="eastAsia" w:ascii="宋体" w:hAnsi="宋体"/>
          <w:b/>
          <w:bCs/>
          <w:color w:val="000000" w:themeColor="text1"/>
          <w:szCs w:val="24"/>
          <w:highlight w:val="none"/>
          <w14:textFill>
            <w14:solidFill>
              <w14:schemeClr w14:val="tx1"/>
            </w14:solidFill>
          </w14:textFill>
        </w:rPr>
        <w:t>按国家相应的标准、规范</w:t>
      </w:r>
      <w:r>
        <w:rPr>
          <w:rFonts w:hint="eastAsia" w:ascii="宋体" w:hAnsi="宋体"/>
          <w:b/>
          <w:bCs/>
          <w:color w:val="000000" w:themeColor="text1"/>
          <w:szCs w:val="24"/>
          <w:highlight w:val="none"/>
          <w:lang w:eastAsia="zh-CN"/>
          <w14:textFill>
            <w14:solidFill>
              <w14:schemeClr w14:val="tx1"/>
            </w14:solidFill>
          </w14:textFill>
        </w:rPr>
        <w:t>执行。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以上所列的主要技术标准和规范，如未能达到国际或国内最新标准时，投标方应在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七、</w:t>
      </w:r>
      <w:r>
        <w:rPr>
          <w:rFonts w:hint="eastAsia" w:ascii="黑体" w:hAnsi="宋体" w:eastAsia="黑体"/>
          <w:color w:val="000000" w:themeColor="text1"/>
          <w:szCs w:val="24"/>
          <w:highlight w:val="none"/>
          <w14:textFill>
            <w14:solidFill>
              <w14:schemeClr w14:val="tx1"/>
            </w14:solidFill>
          </w14:textFill>
        </w:rPr>
        <w:t>质量要求及验收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1、工程质量达到合格标准。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2、适用标准、规范：国家、河南省现行标识系统工程相关施工验收规范、标准。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完成为止。除第一次外，后续每下发一次《整改通知书》，乙方应补偿甲方500元，该款项甲方可直接从应付工程款中扣除。</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6、工程竣工后，乙方通过自检、自查，并进行调试，认为具备条件时，向甲方及监理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7、乙方负责在施工过程中与甲方和监理公司进行接洽沟通，并负责施工过程中的政府部门检查与项目资料申报。</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8、施工现场安全生产文明施工：要求投标人严格按照建设工程安全生产管理条例进行施工，执行洛阳市文明建设的有关规定。现场施工实行工完场清制度，垃圾及时清运出场。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八、</w:t>
      </w:r>
      <w:r>
        <w:rPr>
          <w:rFonts w:hint="eastAsia" w:ascii="黑体" w:hAnsi="宋体" w:eastAsia="黑体"/>
          <w:color w:val="000000" w:themeColor="text1"/>
          <w:szCs w:val="24"/>
          <w:highlight w:val="none"/>
          <w14:textFill>
            <w14:solidFill>
              <w14:schemeClr w14:val="tx1"/>
            </w14:solidFill>
          </w14:textFill>
        </w:rPr>
        <w:t>竣工结算：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1、结算依据：甲方审核签认的施工设计方案、甲方认可的变更签证、施工合同、补充协议等。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 xml:space="preserve">、结算价款：实际加工、安装数量依据甲方工程部、招采部、成本部、物业公司、监理公司及乙方共同签字确认的数量为准。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结算价款＝固定综合单价*实际加工安装数量±变更、签证造价－其他应扣费用。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14:textFill>
            <w14:solidFill>
              <w14:schemeClr w14:val="tx1"/>
            </w14:solidFill>
          </w14:textFill>
        </w:rPr>
        <w:t>办理竣工验收、合格证、检测费用等由承包方自行承担。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4、此合同执行中，移交给</w:t>
      </w:r>
      <w:r>
        <w:rPr>
          <w:rFonts w:hint="eastAsia" w:ascii="宋体" w:hAnsi="宋体"/>
          <w:color w:val="000000" w:themeColor="text1"/>
          <w:szCs w:val="24"/>
          <w:highlight w:val="none"/>
          <w14:textFill>
            <w14:solidFill>
              <w14:schemeClr w14:val="tx1"/>
            </w14:solidFill>
          </w14:textFill>
        </w:rPr>
        <w:t>甲方工程部、招采部、成本部、物业公司、监理公司签字确认的数量但却</w:t>
      </w:r>
      <w:r>
        <w:rPr>
          <w:rFonts w:hint="eastAsia" w:hAnsi="宋体"/>
          <w:color w:val="000000" w:themeColor="text1"/>
          <w:szCs w:val="24"/>
          <w:highlight w:val="none"/>
          <w14:textFill>
            <w14:solidFill>
              <w14:schemeClr w14:val="tx1"/>
            </w14:solidFill>
          </w14:textFill>
        </w:rPr>
        <w:t>未</w:t>
      </w:r>
      <w:r>
        <w:rPr>
          <w:rFonts w:hint="eastAsia" w:ascii="宋体" w:hAnsi="宋体"/>
          <w:color w:val="000000" w:themeColor="text1"/>
          <w:szCs w:val="24"/>
          <w:highlight w:val="none"/>
          <w14:textFill>
            <w14:solidFill>
              <w14:schemeClr w14:val="tx1"/>
            </w14:solidFill>
          </w14:textFill>
        </w:rPr>
        <w:t>安装的标识标牌按</w:t>
      </w:r>
      <w:r>
        <w:rPr>
          <w:rFonts w:hint="eastAsia" w:ascii="宋体" w:hAnsi="宋体"/>
          <w:bCs/>
          <w:color w:val="000000" w:themeColor="text1"/>
          <w:szCs w:val="24"/>
          <w:highlight w:val="none"/>
          <w14:textFill>
            <w14:solidFill>
              <w14:schemeClr w14:val="tx1"/>
            </w14:solidFill>
          </w14:textFill>
        </w:rPr>
        <w:t>固定综合单价的90%计入结算。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九</w:t>
      </w:r>
      <w:r>
        <w:rPr>
          <w:rFonts w:hint="eastAsia" w:ascii="宋体" w:hAnsi="宋体"/>
          <w:color w:val="000000" w:themeColor="text1"/>
          <w:szCs w:val="24"/>
          <w:highlight w:val="none"/>
          <w14:textFill>
            <w14:solidFill>
              <w14:schemeClr w14:val="tx1"/>
            </w14:solidFill>
          </w14:textFill>
        </w:rPr>
        <w:t>、</w:t>
      </w:r>
      <w:r>
        <w:rPr>
          <w:rFonts w:hint="eastAsia" w:ascii="黑体" w:hAnsi="宋体" w:eastAsia="黑体"/>
          <w:color w:val="000000" w:themeColor="text1"/>
          <w:szCs w:val="24"/>
          <w:highlight w:val="none"/>
          <w14:textFill>
            <w14:solidFill>
              <w14:schemeClr w14:val="tx1"/>
            </w14:solidFill>
          </w14:textFill>
        </w:rPr>
        <w:t>工程价款支付</w:t>
      </w:r>
      <w:r>
        <w:rPr>
          <w:rFonts w:hint="eastAsia" w:ascii="宋体" w:hAnsi="宋体"/>
          <w:color w:val="000000" w:themeColor="text1"/>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本工程无预付款；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1、公寓楼标识标牌货到工地经验收合格后，付至验收合格货物总价的60%；</w:t>
      </w:r>
    </w:p>
    <w:p>
      <w:pPr>
        <w:keepNext w:val="0"/>
        <w:keepLines w:val="0"/>
        <w:pageBreakBefore w:val="0"/>
        <w:widowControl w:val="0"/>
        <w:tabs>
          <w:tab w:val="left" w:pos="579"/>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2、公寓楼</w:t>
      </w:r>
      <w:r>
        <w:rPr>
          <w:rFonts w:hint="eastAsia" w:ascii="宋体" w:hAnsi="宋体" w:cs="宋体"/>
          <w:bCs/>
          <w:color w:val="000000" w:themeColor="text1"/>
          <w:kern w:val="1"/>
          <w:szCs w:val="24"/>
          <w:highlight w:val="none"/>
          <w14:textFill>
            <w14:solidFill>
              <w14:schemeClr w14:val="tx1"/>
            </w14:solidFill>
          </w14:textFill>
        </w:rPr>
        <w:t>标识标牌</w:t>
      </w:r>
      <w:r>
        <w:rPr>
          <w:rFonts w:hint="eastAsia" w:ascii="宋体" w:hAnsi="宋体" w:cs="宋体"/>
          <w:color w:val="000000" w:themeColor="text1"/>
          <w:kern w:val="1"/>
          <w:szCs w:val="24"/>
          <w:highlight w:val="none"/>
          <w14:textFill>
            <w14:solidFill>
              <w14:schemeClr w14:val="tx1"/>
            </w14:solidFill>
          </w14:textFill>
        </w:rPr>
        <w:t>全部安装完毕经验收合格后，付至已完成工程量总价的80%；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3、</w:t>
      </w:r>
      <w:r>
        <w:rPr>
          <w:rFonts w:hint="eastAsia" w:ascii="宋体" w:hAnsi="宋体"/>
          <w:color w:val="000000" w:themeColor="text1"/>
          <w:szCs w:val="24"/>
          <w:highlight w:val="none"/>
          <w14:textFill>
            <w14:solidFill>
              <w14:schemeClr w14:val="tx1"/>
            </w14:solidFill>
          </w14:textFill>
        </w:rPr>
        <w:t>整个标识系统工程全部完工，经甲方验收合格后，移交甲方，办理结算完成，付至结算金额95%；留结算金额的5%为质保金，质保期一年，待质保期满无质量问题全额无息支付；</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每次付款前乙方应按甲方要求提供合法有效全额增值税专用发票，否则甲方有权拒付相应款项。当甲方向乙方支付至本合同结算总额的95％之前，乙方须向甲方开具结算值100％的合法有效增值税专用发票，否则甲方除扣留质保金外，有权拒绝支付该笔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十、</w:t>
      </w:r>
      <w:r>
        <w:rPr>
          <w:rFonts w:hint="eastAsia" w:ascii="黑体" w:hAnsi="宋体" w:eastAsia="黑体"/>
          <w:color w:val="000000" w:themeColor="text1"/>
          <w:szCs w:val="24"/>
          <w:highlight w:val="none"/>
          <w14:textFill>
            <w14:solidFill>
              <w14:schemeClr w14:val="tx1"/>
            </w14:solidFill>
          </w14:textFill>
        </w:rPr>
        <w:t>双方责任与义务：</w:t>
      </w:r>
      <w:r>
        <w:rPr>
          <w:rFonts w:hint="eastAsia" w:ascii="宋体" w:hAnsi="宋体"/>
          <w:color w:val="000000" w:themeColor="text1"/>
          <w:szCs w:val="24"/>
          <w:highlight w:val="none"/>
          <w14:textFill>
            <w14:solidFill>
              <w14:schemeClr w14:val="tx1"/>
            </w14:solidFill>
          </w14:textFill>
        </w:rPr>
        <w:t xml:space="preserve">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①、负责向乙方提供施工图纸、设计变更等技术资料，以此作为乙方施工的依据。          </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甲方向乙方提供图纸日期和套数：甲方在开工前7天内向乙方提供电子版施工图纸一份。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②、</w:t>
      </w:r>
      <w:r>
        <w:rPr>
          <w:rFonts w:hint="eastAsia" w:ascii="宋体" w:hAnsi="宋体"/>
          <w:color w:val="000000" w:themeColor="text1"/>
          <w:kern w:val="0"/>
          <w:szCs w:val="24"/>
          <w:highlight w:val="none"/>
          <w14:textFill>
            <w14:solidFill>
              <w14:schemeClr w14:val="tx1"/>
            </w14:solidFill>
          </w14:textFill>
        </w:rPr>
        <w:t>负责组织本工程的图纸会审。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③、负责按付款节点向乙方支付工程款。</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④、对乙方呈送的报告和请示及时做出批示。</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⑤、负责协调施工用水用电，为施工提供便利条件；费用乙方自理。</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⑥、协调解决乙方的办公场所、材料堆放场地等施工必备条件，费用乙方负担。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 乙方责任与义务：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①、指定一名项目经理，负责本项目的组织、管理工作（主要技术负责人和项目经理常驻现场），项目经理：</w:t>
      </w:r>
      <w:r>
        <w:rPr>
          <w:rFonts w:hint="eastAsia" w:ascii="宋体" w:hAnsi="宋体"/>
          <w:color w:val="000000" w:themeColor="text1"/>
          <w:szCs w:val="24"/>
          <w:highlight w:val="none"/>
          <w:u w:val="single"/>
          <w:lang w:val="en-US" w:eastAsia="zh-CN"/>
          <w14:textFill>
            <w14:solidFill>
              <w14:schemeClr w14:val="tx1"/>
            </w14:solidFill>
          </w14:textFill>
        </w:rPr>
        <w:t xml:space="preserve"> 李宁军 </w:t>
      </w:r>
      <w:r>
        <w:rPr>
          <w:rFonts w:hint="eastAsia" w:ascii="宋体" w:hAnsi="宋体"/>
          <w:color w:val="000000" w:themeColor="text1"/>
          <w:szCs w:val="24"/>
          <w:highlight w:val="none"/>
          <w:lang w:eastAsia="zh-CN"/>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联系方式：</w:t>
      </w:r>
      <w:r>
        <w:rPr>
          <w:rFonts w:hint="eastAsia" w:ascii="宋体" w:hAnsi="宋体"/>
          <w:color w:val="000000" w:themeColor="text1"/>
          <w:szCs w:val="24"/>
          <w:highlight w:val="none"/>
          <w:u w:val="single"/>
          <w:lang w:val="en-US" w:eastAsia="zh-CN"/>
          <w14:textFill>
            <w14:solidFill>
              <w14:schemeClr w14:val="tx1"/>
            </w14:solidFill>
          </w14:textFill>
        </w:rPr>
        <w:t xml:space="preserve"> 15139811011 </w:t>
      </w:r>
      <w:r>
        <w:rPr>
          <w:rFonts w:hint="eastAsia" w:ascii="宋体" w:hAnsi="宋体"/>
          <w:color w:val="000000" w:themeColor="text1"/>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②、组织施工人员和材料、机械设备进场。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③、严格按照经甲方、监理审核的文件及有关技术规范进行施工、保质、按期完成合同所要求的工作内容。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④、严格作好施工期间的一切劳动安全保护工作，施工过程中因乙方原因造成发生的事故，一切损失和责任均由乙方自行负责。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⑤、接受甲方和监理对工程质量和进度的监督和检查，根据甲方、监理的意见，对不符合质量要求的部位认真进行整改，直至符合施工图纸和国家施工规范要求。</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十一、安全施工</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2、乙方及乙方派驻施工现场的项目经理须向甲方签订责任状，对工程质量、安全做出相应承诺和确定目标值。若上述目标不能达到，自愿向甲方给予经济补偿和承担相应的法律责任。</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4、乙方应加强对职工的教育。施工现场严禁酗酒、打架斗殴、赌博和其它违法违章现象，每发现一次，乙方给予甲方500元/次的经济补偿。</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十二、现场文明施工及管理要求</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1、乙方在施工中要服从甲方及监理人员的统一指挥，做好防尘防噪措施，各项措施和管理达到示范工程标准。</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3、施工过程中如发生扰民或民扰，由乙方与甲方协调解决，费用乙方承担。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十三、设备、材料采购及试验</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设备、材料采购由乙方负责。设备、材料品牌、规格型号必须按（附表1）中主材材质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十四、工程变更</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2、施工过程中，若甲方需要增减项目或变更项目应提前以书面形式通知乙方</w:t>
      </w:r>
      <w:r>
        <w:rPr>
          <w:rFonts w:hint="eastAsia" w:ascii="宋体" w:hAnsi="宋体" w:cs="宋体"/>
          <w:color w:val="000000" w:themeColor="text1"/>
          <w:highlight w:val="none"/>
          <w14:textFill>
            <w14:solidFill>
              <w14:schemeClr w14:val="tx1"/>
            </w14:solidFill>
          </w14:textFill>
        </w:rPr>
        <w:t>，乙方接到通知后，应立即执行增减或变更后的项目，否则一切损失由乙方负担。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变更签证结算办法：依据变更签证图纸计算工程量，增减部分项目与后附工程量清单项目相同或相近的，则采用其相同或相近的单价，如后附工程量清单项目中没有相同或相近的，则由甲方认价后按照认价计入结算；若在施工过程中未由甲方认价的，结算时按照甲方认为可行的单价计入结算，乙方不得有任何异议。</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十五、质保期</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1、质保期为</w:t>
      </w:r>
      <w:r>
        <w:rPr>
          <w:rFonts w:hint="eastAsia" w:ascii="宋体" w:hAnsi="宋体"/>
          <w:bCs/>
          <w:color w:val="000000" w:themeColor="text1"/>
          <w:highlight w:val="none"/>
          <w:u w:val="single"/>
          <w14:textFill>
            <w14:solidFill>
              <w14:schemeClr w14:val="tx1"/>
            </w14:solidFill>
          </w14:textFill>
        </w:rPr>
        <w:t xml:space="preserve"> 一</w:t>
      </w:r>
      <w:r>
        <w:rPr>
          <w:rFonts w:hint="eastAsia" w:ascii="宋体" w:hAnsi="宋体"/>
          <w:color w:val="000000" w:themeColor="text1"/>
          <w:highlight w:val="none"/>
          <w:u w:val="single"/>
          <w14:textFill>
            <w14:solidFill>
              <w14:schemeClr w14:val="tx1"/>
            </w14:solidFill>
          </w14:textFill>
        </w:rPr>
        <w:t>年</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，自工程整体竣工验收合格之日起开始计算。质保期内，乙方应定期对本工程进行回访，定期对已完工程进行检查、维护。</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在质保期内，凡因材料或安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十六、违约责任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2、若乙方未能按本合同约定工期完工，视为乙方违约，每逾期一天，按本合同暂定总价款的 0.1 ‰向甲方支付违约金。甲方有权直接在甲方应付未付款中扣除，违约金不足以弥补甲方损失的，甲方可继续向乙方追偿。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3、乙方提供的产品的品牌、规格、型号等与本合同约定不符的，视为乙方违约，甲方有权拒绝验收。乙方应在五天内无偿更换，因此造成逾期完工的，按逾期完工条款承担违约责任。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4、乙方违约的，甲方有权解除合同，乙方所有人员必须在一个工作日内撤离施工现场。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0"/>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费用等损失由乙方自行承担，同时甲方还有权根据本合同</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追究乙方的违约责任，并</w:t>
      </w:r>
      <w:r>
        <w:rPr>
          <w:rFonts w:hint="eastAsia" w:ascii="宋体" w:hAnsi="宋体" w:eastAsia="宋体" w:cs="宋体"/>
          <w:color w:val="auto"/>
          <w:sz w:val="24"/>
          <w:szCs w:val="24"/>
          <w:highlight w:val="none"/>
        </w:rPr>
        <w:t>向乙方</w:t>
      </w:r>
      <w:r>
        <w:rPr>
          <w:rFonts w:hint="eastAsia" w:ascii="宋体" w:hAnsi="宋体" w:eastAsia="宋体" w:cs="宋体"/>
          <w:color w:val="auto"/>
          <w:sz w:val="24"/>
          <w:szCs w:val="24"/>
          <w:highlight w:val="none"/>
          <w:lang w:val="en-US" w:eastAsia="zh-CN"/>
        </w:rPr>
        <w:t>主张包括但不限于因</w:t>
      </w:r>
      <w:r>
        <w:rPr>
          <w:rFonts w:hint="eastAsia" w:ascii="宋体" w:hAnsi="宋体" w:eastAsia="宋体" w:cs="宋体"/>
          <w:color w:val="auto"/>
          <w:sz w:val="24"/>
          <w:szCs w:val="24"/>
          <w:highlight w:val="none"/>
        </w:rPr>
        <w:t>索赔</w:t>
      </w:r>
      <w:r>
        <w:rPr>
          <w:rFonts w:hint="eastAsia" w:ascii="宋体" w:hAnsi="宋体" w:eastAsia="宋体" w:cs="宋体"/>
          <w:color w:val="auto"/>
          <w:sz w:val="24"/>
          <w:szCs w:val="24"/>
          <w:highlight w:val="none"/>
          <w:lang w:val="en-US" w:eastAsia="zh-CN"/>
        </w:rPr>
        <w:t>产生的诉讼费、保全费、保全担保费、律师费等</w:t>
      </w:r>
      <w:r>
        <w:rPr>
          <w:rFonts w:hint="eastAsia" w:ascii="宋体" w:hAnsi="宋体" w:eastAsia="宋体" w:cs="宋体"/>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auto"/>
          <w:sz w:val="24"/>
          <w:szCs w:val="24"/>
          <w:highlight w:val="none"/>
          <w:lang w:val="en-US" w:eastAsia="zh-CN"/>
        </w:rPr>
        <w:t>在质保期满后</w:t>
      </w:r>
      <w:r>
        <w:rPr>
          <w:rFonts w:hint="eastAsia" w:ascii="宋体" w:hAnsi="宋体" w:eastAsia="宋体" w:cs="宋体"/>
          <w:color w:val="auto"/>
          <w:sz w:val="24"/>
          <w:szCs w:val="24"/>
          <w:highlight w:val="none"/>
        </w:rPr>
        <w:t>给予结算100%，乙方拒不履行保修责任或未按期完成保修事项的，该部分工程量甲方不予结算</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十七、争议及纠纷的解决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本合同在履行过程中如出现纠纷，双方应友好协商解决；协商不成的，双方可以向甲方所在地</w:t>
      </w:r>
      <w:r>
        <w:rPr>
          <w:rFonts w:hint="eastAsia" w:ascii="宋体" w:hAnsi="宋体"/>
          <w:color w:val="000000" w:themeColor="text1"/>
          <w:highlight w:val="none"/>
          <w14:textFill>
            <w14:solidFill>
              <w14:schemeClr w14:val="tx1"/>
            </w14:solidFill>
          </w14:textFill>
        </w:rPr>
        <w:t>人民法院诉讼解决。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十八、合同解约条款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十九、发票开具要求及责任</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2、对发票不合规的约定</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2.1乙方提供的发票为增值税专用发票的，因乙方迟延送达、开具错误等原因导致其提供的增值税专用发票没有通过税务部门认证，造成甲方不能抵扣的，甲方有权拒绝接收。</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 xml:space="preserve">4、合同其它税务约定 </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4.2 如果获得开具的汇总专用发票，则乙方应提供其防伪税控系统开具的《销售货物或者提供应税劳务清单》，并加盖发票专用章。</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bCs/>
          <w:color w:val="000000" w:themeColor="text1"/>
          <w:szCs w:val="28"/>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二十、送达条款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olor w:val="000000" w:themeColor="text1"/>
          <w:szCs w:val="28"/>
          <w:highlight w:val="none"/>
          <w:lang w:eastAsia="zh-CN"/>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送达地址：</w:t>
      </w:r>
      <w:r>
        <w:rPr>
          <w:rFonts w:hint="eastAsia" w:ascii="宋体" w:hAnsi="宋体" w:eastAsia="宋体" w:cs="宋体"/>
          <w:snapToGrid w:val="0"/>
          <w:color w:val="000000" w:themeColor="text1"/>
          <w:sz w:val="24"/>
          <w:szCs w:val="24"/>
          <w:highlight w:val="none"/>
          <w14:textFill>
            <w14:solidFill>
              <w14:schemeClr w14:val="tx1"/>
            </w14:solidFill>
          </w14:textFill>
        </w:rPr>
        <w:t>河南省洛阳市开元大道开元壹号营销中心三楼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联系人及联系方式：</w:t>
      </w:r>
      <w:r>
        <w:rPr>
          <w:rFonts w:hint="eastAsia" w:ascii="宋体" w:hAnsi="宋体" w:eastAsia="宋体" w:cs="宋体"/>
          <w:snapToGrid w:val="0"/>
          <w:color w:val="000000" w:themeColor="text1"/>
          <w:sz w:val="24"/>
          <w:szCs w:val="24"/>
          <w:highlight w:val="none"/>
          <w14:textFill>
            <w14:solidFill>
              <w14:schemeClr w14:val="tx1"/>
            </w14:solidFill>
          </w14:textFill>
        </w:rPr>
        <w:t>招采合约部 0379-60198086</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送达地址：洛阳市洛龙区长兴街与政和路交叉口东北角世府名邸1幢单元1-702室</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olor w:val="000000" w:themeColor="text1"/>
          <w:szCs w:val="28"/>
          <w:highlight w:val="none"/>
          <w:lang w:val="en-US" w:eastAsia="zh-CN"/>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联系人及联系方式：</w:t>
      </w:r>
      <w:r>
        <w:rPr>
          <w:rFonts w:hint="eastAsia" w:ascii="宋体" w:hAnsi="宋体"/>
          <w:color w:val="000000" w:themeColor="text1"/>
          <w:szCs w:val="28"/>
          <w:highlight w:val="none"/>
          <w:lang w:eastAsia="zh-CN"/>
          <w14:textFill>
            <w14:solidFill>
              <w14:schemeClr w14:val="tx1"/>
            </w14:solidFill>
          </w14:textFill>
        </w:rPr>
        <w:t>李宁军，</w:t>
      </w:r>
      <w:r>
        <w:rPr>
          <w:rFonts w:hint="eastAsia" w:ascii="宋体" w:hAnsi="宋体"/>
          <w:color w:val="000000" w:themeColor="text1"/>
          <w:szCs w:val="28"/>
          <w:highlight w:val="none"/>
          <w:lang w:val="en-US" w:eastAsia="zh-CN"/>
          <w14:textFill>
            <w14:solidFill>
              <w14:schemeClr w14:val="tx1"/>
            </w14:solidFill>
          </w14:textFill>
        </w:rPr>
        <w:t>15139811011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二十一、其他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1、若甲方需在本合同约定的标的或工作量以外委托乙方完成一定的工作量，应以正式书面形式将具体工作范围、价款、完成时间、付款方式等主要内容通知乙方。若无正式书面委托，甲方不予结算。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2、本合同如有未尽事宜，经双方友好协商，另签补充协议。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3、本合同一式</w:t>
      </w:r>
      <w:r>
        <w:rPr>
          <w:rFonts w:hint="eastAsia" w:ascii="宋体" w:hAnsi="宋体"/>
          <w:color w:val="000000" w:themeColor="text1"/>
          <w:szCs w:val="24"/>
          <w:highlight w:val="none"/>
          <w:u w:val="single"/>
          <w14:textFill>
            <w14:solidFill>
              <w14:schemeClr w14:val="tx1"/>
            </w14:solidFill>
          </w14:textFill>
        </w:rPr>
        <w:t xml:space="preserve"> 柒 </w:t>
      </w:r>
      <w:r>
        <w:rPr>
          <w:rFonts w:hint="eastAsia" w:ascii="宋体" w:hAnsi="宋体"/>
          <w:color w:val="000000" w:themeColor="text1"/>
          <w:szCs w:val="24"/>
          <w:highlight w:val="none"/>
          <w14:textFill>
            <w14:solidFill>
              <w14:schemeClr w14:val="tx1"/>
            </w14:solidFill>
          </w14:textFill>
        </w:rPr>
        <w:t>份，甲方</w:t>
      </w:r>
      <w:r>
        <w:rPr>
          <w:rFonts w:hint="eastAsia" w:ascii="宋体" w:hAnsi="宋体"/>
          <w:color w:val="000000" w:themeColor="text1"/>
          <w:szCs w:val="24"/>
          <w:highlight w:val="none"/>
          <w:u w:val="single"/>
          <w14:textFill>
            <w14:solidFill>
              <w14:schemeClr w14:val="tx1"/>
            </w14:solidFill>
          </w14:textFill>
        </w:rPr>
        <w:t xml:space="preserve"> 伍 </w:t>
      </w:r>
      <w:r>
        <w:rPr>
          <w:rFonts w:hint="eastAsia" w:ascii="宋体" w:hAnsi="宋体"/>
          <w:color w:val="000000" w:themeColor="text1"/>
          <w:szCs w:val="24"/>
          <w:highlight w:val="none"/>
          <w14:textFill>
            <w14:solidFill>
              <w14:schemeClr w14:val="tx1"/>
            </w14:solidFill>
          </w14:textFill>
        </w:rPr>
        <w:t>份，乙方</w:t>
      </w:r>
      <w:r>
        <w:rPr>
          <w:rFonts w:hint="eastAsia" w:ascii="宋体" w:hAnsi="宋体"/>
          <w:color w:val="000000" w:themeColor="text1"/>
          <w:szCs w:val="24"/>
          <w:highlight w:val="none"/>
          <w:u w:val="single"/>
          <w14:textFill>
            <w14:solidFill>
              <w14:schemeClr w14:val="tx1"/>
            </w14:solidFill>
          </w14:textFill>
        </w:rPr>
        <w:t xml:space="preserve"> 贰 </w:t>
      </w:r>
      <w:r>
        <w:rPr>
          <w:rFonts w:hint="eastAsia" w:ascii="宋体" w:hAnsi="宋体"/>
          <w:color w:val="000000" w:themeColor="text1"/>
          <w:szCs w:val="24"/>
          <w:highlight w:val="none"/>
          <w14:textFill>
            <w14:solidFill>
              <w14:schemeClr w14:val="tx1"/>
            </w14:solidFill>
          </w14:textFill>
        </w:rPr>
        <w:t>份，均具同等法律效力。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4、本合同及其补充协议自双方签字</w:t>
      </w:r>
      <w:r>
        <w:rPr>
          <w:rFonts w:hint="eastAsia" w:ascii="宋体" w:hAnsi="宋体"/>
          <w:color w:val="000000" w:themeColor="text1"/>
          <w:szCs w:val="24"/>
          <w:highlight w:val="none"/>
          <w:lang w:eastAsia="zh-CN"/>
          <w14:textFill>
            <w14:solidFill>
              <w14:schemeClr w14:val="tx1"/>
            </w14:solidFill>
          </w14:textFill>
        </w:rPr>
        <w:t>并</w:t>
      </w:r>
      <w:r>
        <w:rPr>
          <w:rFonts w:hint="eastAsia" w:ascii="宋体" w:hAnsi="宋体"/>
          <w:color w:val="000000" w:themeColor="text1"/>
          <w:szCs w:val="24"/>
          <w:highlight w:val="none"/>
          <w14:textFill>
            <w14:solidFill>
              <w14:schemeClr w14:val="tx1"/>
            </w14:solidFill>
          </w14:textFill>
        </w:rPr>
        <w:t>盖章之日起生效，并在保修期限届满结清余款之日起自行终止。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5、其他约定：无</w:t>
      </w:r>
      <w:r>
        <w:rPr>
          <w:rFonts w:hint="eastAsia" w:ascii="宋体" w:hAnsi="宋体"/>
          <w:color w:val="000000" w:themeColor="text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附件</w:t>
      </w:r>
      <w:r>
        <w:rPr>
          <w:rFonts w:hint="eastAsia" w:ascii="宋体" w:hAnsi="宋体"/>
          <w:color w:val="000000" w:themeColor="text1"/>
          <w:szCs w:val="24"/>
          <w:highlight w:val="none"/>
          <w:lang w:eastAsia="zh-CN"/>
          <w14:textFill>
            <w14:solidFill>
              <w14:schemeClr w14:val="tx1"/>
            </w14:solidFill>
          </w14:textFill>
        </w:rPr>
        <w:t>一</w:t>
      </w:r>
      <w:r>
        <w:rPr>
          <w:rFonts w:hint="eastAsia" w:ascii="宋体" w:hAnsi="宋体"/>
          <w:color w:val="000000" w:themeColor="text1"/>
          <w:szCs w:val="24"/>
          <w:highlight w:val="none"/>
          <w14:textFill>
            <w14:solidFill>
              <w14:schemeClr w14:val="tx1"/>
            </w14:solidFill>
          </w14:textFill>
        </w:rPr>
        <w:t>：标识标牌工程量清单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附件</w:t>
      </w:r>
      <w:r>
        <w:rPr>
          <w:rFonts w:hint="eastAsia" w:ascii="宋体" w:hAnsi="宋体"/>
          <w:color w:val="000000" w:themeColor="text1"/>
          <w:szCs w:val="24"/>
          <w:highlight w:val="none"/>
          <w:lang w:eastAsia="zh-CN"/>
          <w14:textFill>
            <w14:solidFill>
              <w14:schemeClr w14:val="tx1"/>
            </w14:solidFill>
          </w14:textFill>
        </w:rPr>
        <w:t>二</w:t>
      </w:r>
      <w:r>
        <w:rPr>
          <w:rFonts w:hint="eastAsia" w:ascii="宋体" w:hAnsi="宋体"/>
          <w:color w:val="000000" w:themeColor="text1"/>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甲 方：洛阳浩德鑫置地有限公司       乙 方：洛阳国匠实业有限公司</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法人代表：              </w:t>
      </w:r>
      <w:r>
        <w:rPr>
          <w:rFonts w:hint="eastAsia" w:ascii="宋体" w:hAnsi="宋体"/>
          <w:color w:val="000000" w:themeColor="text1"/>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法人代表：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或授权委托人：            </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或授权委托人：</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地址：</w:t>
      </w:r>
      <w:r>
        <w:rPr>
          <w:rFonts w:hint="eastAsia" w:ascii="宋体" w:hAnsi="宋体"/>
          <w:color w:val="000000" w:themeColor="text1"/>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xml:space="preserve">         </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地</w:t>
      </w:r>
      <w:bookmarkStart w:id="1" w:name="_GoBack"/>
      <w:bookmarkEnd w:id="1"/>
      <w:r>
        <w:rPr>
          <w:rFonts w:hint="eastAsia" w:ascii="宋体" w:hAnsi="宋体"/>
          <w:color w:val="000000" w:themeColor="text1"/>
          <w:szCs w:val="24"/>
          <w:highlight w:val="none"/>
          <w14:textFill>
            <w14:solidFill>
              <w14:schemeClr w14:val="tx1"/>
            </w14:solidFill>
          </w14:textFill>
        </w:rPr>
        <w:t>址：</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税号：914103005542480325       </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税号：</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账户：413062200018170292470      </w:t>
      </w:r>
      <w:r>
        <w:rPr>
          <w:rFonts w:hint="eastAsia" w:ascii="宋体" w:hAnsi="宋体"/>
          <w:color w:val="000000" w:themeColor="text1"/>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账户：</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开户行：交行洛阳分行西苑支行       开户行：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p>
    <w:p>
      <w:pPr>
        <w:spacing w:line="360" w:lineRule="auto"/>
        <w:rPr>
          <w:rFonts w:ascii="宋体" w:hAnsi="宋体" w:cs="宋体"/>
          <w:color w:val="000000" w:themeColor="text1"/>
          <w:szCs w:val="24"/>
          <w:highlight w:val="none"/>
          <w14:textFill>
            <w14:solidFill>
              <w14:schemeClr w14:val="tx1"/>
            </w14:solidFill>
          </w14:textFill>
        </w:rPr>
      </w:pPr>
    </w:p>
    <w:p>
      <w:pP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                                </w:t>
      </w: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both"/>
        <w:rPr>
          <w:rFonts w:ascii="宋体" w:hAnsi="宋体"/>
          <w:color w:val="000000" w:themeColor="text1"/>
          <w:szCs w:val="24"/>
          <w:highlight w:val="none"/>
          <w14:textFill>
            <w14:solidFill>
              <w14:schemeClr w14:val="tx1"/>
            </w14:solidFill>
          </w14:textFill>
        </w:rPr>
        <w:sectPr>
          <w:footerReference r:id="rId3" w:type="default"/>
          <w:pgSz w:w="11906" w:h="16838"/>
          <w:pgMar w:top="1304" w:right="1304" w:bottom="1304" w:left="1304" w:header="851" w:footer="850" w:gutter="0"/>
          <w:pgNumType w:fmt="decimal" w:start="1"/>
          <w:cols w:space="425" w:num="1"/>
          <w:docGrid w:type="lines" w:linePitch="312" w:charSpace="0"/>
        </w:sectPr>
      </w:pPr>
    </w:p>
    <w:p>
      <w:pPr>
        <w:spacing w:line="360" w:lineRule="auto"/>
        <w:jc w:val="both"/>
        <w:rPr>
          <w:rFonts w:hint="eastAsia" w:ascii="宋体" w:hAnsi="宋体"/>
          <w:b/>
          <w:bCs/>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附件一：</w:t>
      </w:r>
    </w:p>
    <w:tbl>
      <w:tblPr>
        <w:tblStyle w:val="10"/>
        <w:tblW w:w="15531" w:type="dxa"/>
        <w:jc w:val="center"/>
        <w:shd w:val="clear" w:color="auto" w:fill="auto"/>
        <w:tblLayout w:type="fixed"/>
        <w:tblCellMar>
          <w:top w:w="0" w:type="dxa"/>
          <w:left w:w="108" w:type="dxa"/>
          <w:bottom w:w="0" w:type="dxa"/>
          <w:right w:w="108" w:type="dxa"/>
        </w:tblCellMar>
      </w:tblPr>
      <w:tblGrid>
        <w:gridCol w:w="494"/>
        <w:gridCol w:w="2838"/>
        <w:gridCol w:w="1225"/>
        <w:gridCol w:w="1812"/>
        <w:gridCol w:w="600"/>
        <w:gridCol w:w="519"/>
        <w:gridCol w:w="1637"/>
        <w:gridCol w:w="1250"/>
        <w:gridCol w:w="3888"/>
        <w:gridCol w:w="1268"/>
      </w:tblGrid>
      <w:tr>
        <w:tblPrEx>
          <w:shd w:val="clear" w:color="auto" w:fill="auto"/>
          <w:tblCellMar>
            <w:top w:w="0" w:type="dxa"/>
            <w:left w:w="108" w:type="dxa"/>
            <w:bottom w:w="0" w:type="dxa"/>
            <w:right w:w="108" w:type="dxa"/>
          </w:tblCellMar>
        </w:tblPrEx>
        <w:trPr>
          <w:trHeight w:val="48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图片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参考规格（cm）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186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100330</wp:posOffset>
                  </wp:positionH>
                  <wp:positionV relativeFrom="paragraph">
                    <wp:posOffset>82550</wp:posOffset>
                  </wp:positionV>
                  <wp:extent cx="1470660" cy="1012825"/>
                  <wp:effectExtent l="0" t="0" r="15240" b="1587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5"/>
                          <a:stretch>
                            <a:fillRect/>
                          </a:stretch>
                        </pic:blipFill>
                        <pic:spPr>
                          <a:xfrm>
                            <a:off x="0" y="0"/>
                            <a:ext cx="1470660" cy="101282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室内物业公告栏</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114cm*76cm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960.00</w:t>
            </w:r>
            <w:r>
              <w:rPr>
                <w:rFonts w:hint="eastAsia" w:ascii="宋体" w:hAnsi="宋体" w:eastAsia="宋体" w:cs="宋体"/>
                <w:i w:val="0"/>
                <w:iCs w:val="0"/>
                <w:color w:val="000000"/>
                <w:kern w:val="0"/>
                <w:sz w:val="22"/>
                <w:szCs w:val="22"/>
                <w:u w:val="none"/>
                <w:lang w:val="en-US" w:eastAsia="zh-CN" w:bidi="ar"/>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3840.00</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6"/>
                <w:lang w:val="en-US" w:eastAsia="zh-CN"/>
              </w:rPr>
              <w:t>1、底面1.2mm厚古铜拉丝不锈钢折弯焊接</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2、局部造型1.2mm厚不锈钢折弯焊接喷木纹漆</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3、附5mm亚克力雕刻喷白色漆</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4、3mm厚亚克力盒子</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5、图文丝印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179705</wp:posOffset>
                  </wp:positionV>
                  <wp:extent cx="1724025" cy="505460"/>
                  <wp:effectExtent l="0" t="0" r="9525" b="8890"/>
                  <wp:wrapNone/>
                  <wp:docPr id="17" name="图片_2"/>
                  <wp:cNvGraphicFramePr/>
                  <a:graphic xmlns:a="http://schemas.openxmlformats.org/drawingml/2006/main">
                    <a:graphicData uri="http://schemas.openxmlformats.org/drawingml/2006/picture">
                      <pic:pic xmlns:pic="http://schemas.openxmlformats.org/drawingml/2006/picture">
                        <pic:nvPicPr>
                          <pic:cNvPr id="17" name="图片_2"/>
                          <pic:cNvPicPr/>
                        </pic:nvPicPr>
                        <pic:blipFill>
                          <a:blip r:embed="rId6"/>
                          <a:stretch>
                            <a:fillRect/>
                          </a:stretch>
                        </pic:blipFill>
                        <pic:spPr>
                          <a:xfrm>
                            <a:off x="0" y="0"/>
                            <a:ext cx="1724025" cy="50546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室内房间指引标识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1200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73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546100</wp:posOffset>
                  </wp:positionH>
                  <wp:positionV relativeFrom="paragraph">
                    <wp:posOffset>26035</wp:posOffset>
                  </wp:positionV>
                  <wp:extent cx="515620" cy="1057910"/>
                  <wp:effectExtent l="0" t="0" r="17780" b="8890"/>
                  <wp:wrapNone/>
                  <wp:docPr id="16" name="图片_3"/>
                  <wp:cNvGraphicFramePr/>
                  <a:graphic xmlns:a="http://schemas.openxmlformats.org/drawingml/2006/main">
                    <a:graphicData uri="http://schemas.openxmlformats.org/drawingml/2006/picture">
                      <pic:pic xmlns:pic="http://schemas.openxmlformats.org/drawingml/2006/picture">
                        <pic:nvPicPr>
                          <pic:cNvPr id="16" name="图片_3"/>
                          <pic:cNvPicPr/>
                        </pic:nvPicPr>
                        <pic:blipFill>
                          <a:blip r:embed="rId7"/>
                          <a:stretch>
                            <a:fillRect/>
                          </a:stretch>
                        </pic:blipFill>
                        <pic:spPr>
                          <a:xfrm>
                            <a:off x="0" y="0"/>
                            <a:ext cx="515620" cy="105791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室内电梯厅层显标识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20cm*44cm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3950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图文丝印：电梯标识</w:t>
            </w:r>
          </w:p>
        </w:tc>
      </w:tr>
      <w:tr>
        <w:tblPrEx>
          <w:tblCellMar>
            <w:top w:w="0" w:type="dxa"/>
            <w:left w:w="108" w:type="dxa"/>
            <w:bottom w:w="0" w:type="dxa"/>
            <w:right w:w="108" w:type="dxa"/>
          </w:tblCellMar>
        </w:tblPrEx>
        <w:trPr>
          <w:trHeight w:val="160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542925</wp:posOffset>
                  </wp:positionH>
                  <wp:positionV relativeFrom="paragraph">
                    <wp:posOffset>25400</wp:posOffset>
                  </wp:positionV>
                  <wp:extent cx="497840" cy="966470"/>
                  <wp:effectExtent l="0" t="0" r="16510" b="5080"/>
                  <wp:wrapNone/>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8"/>
                          <a:stretch>
                            <a:fillRect/>
                          </a:stretch>
                        </pic:blipFill>
                        <pic:spPr>
                          <a:xfrm>
                            <a:off x="0" y="0"/>
                            <a:ext cx="497840" cy="96647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楼梯间层显标识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20cm*44cm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5450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图文丝印：楼梯标识</w:t>
            </w:r>
          </w:p>
        </w:tc>
      </w:tr>
      <w:tr>
        <w:tblPrEx>
          <w:tblCellMar>
            <w:top w:w="0" w:type="dxa"/>
            <w:left w:w="108" w:type="dxa"/>
            <w:bottom w:w="0" w:type="dxa"/>
            <w:right w:w="108" w:type="dxa"/>
          </w:tblCellMar>
        </w:tblPrEx>
        <w:trPr>
          <w:trHeight w:val="1523"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203200</wp:posOffset>
                  </wp:positionH>
                  <wp:positionV relativeFrom="paragraph">
                    <wp:posOffset>25400</wp:posOffset>
                  </wp:positionV>
                  <wp:extent cx="1292225" cy="901700"/>
                  <wp:effectExtent l="0" t="0" r="3175" b="1270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9"/>
                          <a:stretch>
                            <a:fillRect/>
                          </a:stretch>
                        </pic:blipFill>
                        <pic:spPr>
                          <a:xfrm>
                            <a:off x="0" y="0"/>
                            <a:ext cx="1292225" cy="90170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楼层安全疏散</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114cm*76cm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915</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54900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图文丝印：安全疏散示意图</w:t>
            </w:r>
          </w:p>
        </w:tc>
      </w:tr>
      <w:tr>
        <w:tblPrEx>
          <w:tblCellMar>
            <w:top w:w="0" w:type="dxa"/>
            <w:left w:w="108" w:type="dxa"/>
            <w:bottom w:w="0" w:type="dxa"/>
            <w:right w:w="108" w:type="dxa"/>
          </w:tblCellMar>
        </w:tblPrEx>
        <w:trPr>
          <w:trHeight w:val="1226"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157480</wp:posOffset>
                  </wp:positionH>
                  <wp:positionV relativeFrom="paragraph">
                    <wp:posOffset>25400</wp:posOffset>
                  </wp:positionV>
                  <wp:extent cx="1363345" cy="720090"/>
                  <wp:effectExtent l="0" t="0" r="8255" b="3810"/>
                  <wp:wrapNone/>
                  <wp:docPr id="8" name="图片_6"/>
                  <wp:cNvGraphicFramePr/>
                  <a:graphic xmlns:a="http://schemas.openxmlformats.org/drawingml/2006/main">
                    <a:graphicData uri="http://schemas.openxmlformats.org/drawingml/2006/picture">
                      <pic:pic xmlns:pic="http://schemas.openxmlformats.org/drawingml/2006/picture">
                        <pic:nvPicPr>
                          <pic:cNvPr id="8" name="图片_6"/>
                          <pic:cNvPicPr/>
                        </pic:nvPicPr>
                        <pic:blipFill>
                          <a:blip r:embed="rId10"/>
                          <a:stretch>
                            <a:fillRect/>
                          </a:stretch>
                        </pic:blipFill>
                        <pic:spPr>
                          <a:xfrm>
                            <a:off x="0" y="0"/>
                            <a:ext cx="1363345" cy="72009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设备间门牌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30cm*14cm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1184</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图文丝印：相应设备间名称</w:t>
            </w:r>
          </w:p>
        </w:tc>
      </w:tr>
      <w:tr>
        <w:tblPrEx>
          <w:tblCellMar>
            <w:top w:w="0" w:type="dxa"/>
            <w:left w:w="108" w:type="dxa"/>
            <w:bottom w:w="0" w:type="dxa"/>
            <w:right w:w="108" w:type="dxa"/>
          </w:tblCellMar>
        </w:tblPrEx>
        <w:trPr>
          <w:trHeight w:val="165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403225</wp:posOffset>
                  </wp:positionH>
                  <wp:positionV relativeFrom="paragraph">
                    <wp:posOffset>20955</wp:posOffset>
                  </wp:positionV>
                  <wp:extent cx="774065" cy="995680"/>
                  <wp:effectExtent l="0" t="0" r="6985" b="13970"/>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11"/>
                          <a:stretch>
                            <a:fillRect/>
                          </a:stretch>
                        </pic:blipFill>
                        <pic:spPr>
                          <a:xfrm>
                            <a:off x="0" y="0"/>
                            <a:ext cx="774065" cy="99568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室内垃圾桶</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85cm*28cm*28cm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3000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2、镀锌板焊制内筒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78"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224155</wp:posOffset>
                  </wp:positionH>
                  <wp:positionV relativeFrom="paragraph">
                    <wp:posOffset>25400</wp:posOffset>
                  </wp:positionV>
                  <wp:extent cx="1219835" cy="692150"/>
                  <wp:effectExtent l="0" t="0" r="18415" b="12700"/>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12"/>
                          <a:stretch>
                            <a:fillRect/>
                          </a:stretch>
                        </pic:blipFill>
                        <pic:spPr>
                          <a:xfrm>
                            <a:off x="0" y="0"/>
                            <a:ext cx="1219835" cy="69215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30cm*14cm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2848</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图文丝印：相应消防标识</w:t>
            </w:r>
          </w:p>
        </w:tc>
      </w:tr>
      <w:tr>
        <w:tblPrEx>
          <w:tblCellMar>
            <w:top w:w="0" w:type="dxa"/>
            <w:left w:w="108" w:type="dxa"/>
            <w:bottom w:w="0" w:type="dxa"/>
            <w:right w:w="108" w:type="dxa"/>
          </w:tblCellMar>
        </w:tblPrEx>
        <w:trPr>
          <w:trHeight w:val="134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351155</wp:posOffset>
                  </wp:positionH>
                  <wp:positionV relativeFrom="paragraph">
                    <wp:posOffset>30480</wp:posOffset>
                  </wp:positionV>
                  <wp:extent cx="946150" cy="810895"/>
                  <wp:effectExtent l="0" t="0" r="6350" b="8255"/>
                  <wp:wrapNone/>
                  <wp:docPr id="11" name="图片_12"/>
                  <wp:cNvGraphicFramePr/>
                  <a:graphic xmlns:a="http://schemas.openxmlformats.org/drawingml/2006/main">
                    <a:graphicData uri="http://schemas.openxmlformats.org/drawingml/2006/picture">
                      <pic:pic xmlns:pic="http://schemas.openxmlformats.org/drawingml/2006/picture">
                        <pic:nvPicPr>
                          <pic:cNvPr id="11" name="图片_12"/>
                          <pic:cNvPicPr/>
                        </pic:nvPicPr>
                        <pic:blipFill>
                          <a:blip r:embed="rId13"/>
                          <a:stretch>
                            <a:fillRect/>
                          </a:stretch>
                        </pic:blipFill>
                        <pic:spPr>
                          <a:xfrm>
                            <a:off x="0" y="0"/>
                            <a:ext cx="946150" cy="81089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临时作业标识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88</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5760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2、框架1.2mm厚不锈钢折弯焊接喷木纹漆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28"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193675</wp:posOffset>
                  </wp:positionH>
                  <wp:positionV relativeFrom="paragraph">
                    <wp:posOffset>22225</wp:posOffset>
                  </wp:positionV>
                  <wp:extent cx="1292225" cy="728980"/>
                  <wp:effectExtent l="0" t="0" r="3175" b="13970"/>
                  <wp:wrapNone/>
                  <wp:docPr id="12" name="图片_13"/>
                  <wp:cNvGraphicFramePr/>
                  <a:graphic xmlns:a="http://schemas.openxmlformats.org/drawingml/2006/main">
                    <a:graphicData uri="http://schemas.openxmlformats.org/drawingml/2006/picture">
                      <pic:pic xmlns:pic="http://schemas.openxmlformats.org/drawingml/2006/picture">
                        <pic:nvPicPr>
                          <pic:cNvPr id="12" name="图片_13"/>
                          <pic:cNvPicPr/>
                        </pic:nvPicPr>
                        <pic:blipFill>
                          <a:blip r:embed="rId14"/>
                          <a:stretch>
                            <a:fillRect/>
                          </a:stretch>
                        </pic:blipFill>
                        <pic:spPr>
                          <a:xfrm>
                            <a:off x="0" y="0"/>
                            <a:ext cx="1292225" cy="72898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840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1、3mm亚克力反面丝印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32"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374650</wp:posOffset>
                  </wp:positionH>
                  <wp:positionV relativeFrom="paragraph">
                    <wp:posOffset>22225</wp:posOffset>
                  </wp:positionV>
                  <wp:extent cx="922655" cy="739775"/>
                  <wp:effectExtent l="0" t="0" r="10795" b="3175"/>
                  <wp:wrapNone/>
                  <wp:docPr id="13" name="图片_14"/>
                  <wp:cNvGraphicFramePr/>
                  <a:graphic xmlns:a="http://schemas.openxmlformats.org/drawingml/2006/main">
                    <a:graphicData uri="http://schemas.openxmlformats.org/drawingml/2006/picture">
                      <pic:pic xmlns:pic="http://schemas.openxmlformats.org/drawingml/2006/picture">
                        <pic:nvPicPr>
                          <pic:cNvPr id="13" name="图片_14"/>
                          <pic:cNvPicPr/>
                        </pic:nvPicPr>
                        <pic:blipFill>
                          <a:blip r:embed="rId15"/>
                          <a:stretch>
                            <a:fillRect/>
                          </a:stretch>
                        </pic:blipFill>
                        <pic:spPr>
                          <a:xfrm>
                            <a:off x="0" y="0"/>
                            <a:ext cx="922655" cy="73977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30cm*23cm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67</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6180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45"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528320</wp:posOffset>
                  </wp:positionH>
                  <wp:positionV relativeFrom="paragraph">
                    <wp:posOffset>11430</wp:posOffset>
                  </wp:positionV>
                  <wp:extent cx="644525" cy="817245"/>
                  <wp:effectExtent l="0" t="0" r="3175" b="1905"/>
                  <wp:wrapNone/>
                  <wp:docPr id="14" name="图片_15"/>
                  <wp:cNvGraphicFramePr/>
                  <a:graphic xmlns:a="http://schemas.openxmlformats.org/drawingml/2006/main">
                    <a:graphicData uri="http://schemas.openxmlformats.org/drawingml/2006/picture">
                      <pic:pic xmlns:pic="http://schemas.openxmlformats.org/drawingml/2006/picture">
                        <pic:nvPicPr>
                          <pic:cNvPr id="14" name="图片_15"/>
                          <pic:cNvPicPr/>
                        </pic:nvPicPr>
                        <pic:blipFill>
                          <a:blip r:embed="rId16"/>
                          <a:stretch>
                            <a:fillRect/>
                          </a:stretch>
                        </pic:blipFill>
                        <pic:spPr>
                          <a:xfrm>
                            <a:off x="0" y="0"/>
                            <a:ext cx="644525" cy="81724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乘梯须知</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30cm*45cm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91.5</w:t>
            </w:r>
            <w:r>
              <w:rPr>
                <w:rFonts w:hint="eastAsia" w:ascii="宋体" w:hAnsi="宋体" w:eastAsia="宋体" w:cs="宋体"/>
                <w:i w:val="0"/>
                <w:iCs w:val="0"/>
                <w:color w:val="000000"/>
                <w:kern w:val="0"/>
                <w:sz w:val="22"/>
                <w:szCs w:val="22"/>
                <w:u w:val="none"/>
                <w:lang w:val="en-US" w:eastAsia="zh-CN" w:bidi="ar"/>
              </w:rPr>
              <w:t xml:space="preserve">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2379</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图文丝印：乘客须知</w:t>
            </w:r>
          </w:p>
        </w:tc>
      </w:tr>
      <w:tr>
        <w:tblPrEx>
          <w:tblCellMar>
            <w:top w:w="0" w:type="dxa"/>
            <w:left w:w="108" w:type="dxa"/>
            <w:bottom w:w="0" w:type="dxa"/>
            <w:right w:w="108" w:type="dxa"/>
          </w:tblCellMar>
        </w:tblPrEx>
        <w:trPr>
          <w:trHeight w:val="128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25400</wp:posOffset>
                  </wp:positionV>
                  <wp:extent cx="743585" cy="774700"/>
                  <wp:effectExtent l="0" t="0" r="18415" b="6350"/>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17"/>
                          <a:stretch>
                            <a:fillRect/>
                          </a:stretch>
                        </pic:blipFill>
                        <pic:spPr>
                          <a:xfrm>
                            <a:off x="0" y="0"/>
                            <a:ext cx="743585" cy="77470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电梯轿厢尺寸</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1248</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473075</wp:posOffset>
                  </wp:positionH>
                  <wp:positionV relativeFrom="paragraph">
                    <wp:posOffset>12700</wp:posOffset>
                  </wp:positionV>
                  <wp:extent cx="779780" cy="898525"/>
                  <wp:effectExtent l="0" t="0" r="1270" b="15875"/>
                  <wp:wrapNone/>
                  <wp:docPr id="2" name="图片_17"/>
                  <wp:cNvGraphicFramePr/>
                  <a:graphic xmlns:a="http://schemas.openxmlformats.org/drawingml/2006/main">
                    <a:graphicData uri="http://schemas.openxmlformats.org/drawingml/2006/picture">
                      <pic:pic xmlns:pic="http://schemas.openxmlformats.org/drawingml/2006/picture">
                        <pic:nvPicPr>
                          <pic:cNvPr id="2" name="图片_17"/>
                          <pic:cNvPicPr/>
                        </pic:nvPicPr>
                        <pic:blipFill>
                          <a:blip r:embed="rId18"/>
                          <a:stretch>
                            <a:fillRect/>
                          </a:stretch>
                        </pic:blipFill>
                        <pic:spPr>
                          <a:xfrm>
                            <a:off x="0" y="0"/>
                            <a:ext cx="779780" cy="89852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23cm*26cm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56</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336</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图文丝印：常见警示标识</w:t>
            </w:r>
          </w:p>
        </w:tc>
      </w:tr>
      <w:tr>
        <w:tblPrEx>
          <w:tblCellMar>
            <w:top w:w="0" w:type="dxa"/>
            <w:left w:w="108" w:type="dxa"/>
            <w:bottom w:w="0" w:type="dxa"/>
            <w:right w:w="108" w:type="dxa"/>
          </w:tblCellMar>
        </w:tblPrEx>
        <w:trPr>
          <w:trHeight w:val="106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244475</wp:posOffset>
                  </wp:positionH>
                  <wp:positionV relativeFrom="paragraph">
                    <wp:posOffset>63500</wp:posOffset>
                  </wp:positionV>
                  <wp:extent cx="1188085" cy="528955"/>
                  <wp:effectExtent l="0" t="0" r="12065" b="4445"/>
                  <wp:wrapNone/>
                  <wp:docPr id="3" name="图片_18"/>
                  <wp:cNvGraphicFramePr/>
                  <a:graphic xmlns:a="http://schemas.openxmlformats.org/drawingml/2006/main">
                    <a:graphicData uri="http://schemas.openxmlformats.org/drawingml/2006/picture">
                      <pic:pic xmlns:pic="http://schemas.openxmlformats.org/drawingml/2006/picture">
                        <pic:nvPicPr>
                          <pic:cNvPr id="3" name="图片_18"/>
                          <pic:cNvPicPr/>
                        </pic:nvPicPr>
                        <pic:blipFill>
                          <a:blip r:embed="rId19"/>
                          <a:stretch>
                            <a:fillRect/>
                          </a:stretch>
                        </pic:blipFill>
                        <pic:spPr>
                          <a:xfrm>
                            <a:off x="0" y="0"/>
                            <a:ext cx="1188085" cy="52895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天台警示牌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8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431800</wp:posOffset>
                  </wp:positionH>
                  <wp:positionV relativeFrom="paragraph">
                    <wp:posOffset>73025</wp:posOffset>
                  </wp:positionV>
                  <wp:extent cx="816610" cy="864235"/>
                  <wp:effectExtent l="0" t="0" r="2540" b="12065"/>
                  <wp:wrapNone/>
                  <wp:docPr id="4" name="图片_19"/>
                  <wp:cNvGraphicFramePr/>
                  <a:graphic xmlns:a="http://schemas.openxmlformats.org/drawingml/2006/main">
                    <a:graphicData uri="http://schemas.openxmlformats.org/drawingml/2006/picture">
                      <pic:pic xmlns:pic="http://schemas.openxmlformats.org/drawingml/2006/picture">
                        <pic:nvPicPr>
                          <pic:cNvPr id="4" name="图片_19"/>
                          <pic:cNvPicPr/>
                        </pic:nvPicPr>
                        <pic:blipFill>
                          <a:blip r:embed="rId20"/>
                          <a:stretch>
                            <a:fillRect/>
                          </a:stretch>
                        </pic:blipFill>
                        <pic:spPr>
                          <a:xfrm>
                            <a:off x="0" y="0"/>
                            <a:ext cx="816610" cy="86423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楼栋牌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185</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740</w:t>
            </w:r>
            <w:r>
              <w:rPr>
                <w:rFonts w:hint="eastAsia" w:ascii="宋体" w:hAnsi="宋体" w:eastAsia="宋体" w:cs="宋体"/>
                <w:i w:val="0"/>
                <w:iCs w:val="0"/>
                <w:color w:val="000000"/>
                <w:kern w:val="0"/>
                <w:sz w:val="22"/>
                <w:szCs w:val="22"/>
                <w:u w:val="none"/>
                <w:lang w:val="en-US" w:eastAsia="zh-CN" w:bidi="ar"/>
              </w:rPr>
              <w:t xml:space="preserve">.00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3、附10mm亚克力雕刻喷白色漆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603250</wp:posOffset>
                  </wp:positionH>
                  <wp:positionV relativeFrom="paragraph">
                    <wp:posOffset>57150</wp:posOffset>
                  </wp:positionV>
                  <wp:extent cx="478155" cy="721360"/>
                  <wp:effectExtent l="0" t="0" r="17145" b="2540"/>
                  <wp:wrapNone/>
                  <wp:docPr id="5" name="图片_20"/>
                  <wp:cNvGraphicFramePr/>
                  <a:graphic xmlns:a="http://schemas.openxmlformats.org/drawingml/2006/main">
                    <a:graphicData uri="http://schemas.openxmlformats.org/drawingml/2006/picture">
                      <pic:pic xmlns:pic="http://schemas.openxmlformats.org/drawingml/2006/picture">
                        <pic:nvPicPr>
                          <pic:cNvPr id="5" name="图片_20"/>
                          <pic:cNvPicPr/>
                        </pic:nvPicPr>
                        <pic:blipFill>
                          <a:blip r:embed="rId21"/>
                          <a:stretch>
                            <a:fillRect/>
                          </a:stretch>
                        </pic:blipFill>
                        <pic:spPr>
                          <a:xfrm>
                            <a:off x="0" y="0"/>
                            <a:ext cx="478155" cy="72136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设备间操作管理规定</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43cm*67cm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90</w:t>
            </w:r>
            <w:r>
              <w:rPr>
                <w:rFonts w:hint="eastAsia" w:ascii="宋体" w:hAnsi="宋体" w:eastAsia="宋体" w:cs="宋体"/>
                <w:i w:val="0"/>
                <w:iCs w:val="0"/>
                <w:color w:val="000000"/>
                <w:kern w:val="0"/>
                <w:sz w:val="22"/>
                <w:szCs w:val="22"/>
                <w:u w:val="none"/>
                <w:lang w:val="en-US" w:eastAsia="zh-CN" w:bidi="ar"/>
              </w:rPr>
              <w:t xml:space="preserve">.00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90</w:t>
            </w:r>
            <w:r>
              <w:rPr>
                <w:rFonts w:hint="eastAsia" w:ascii="宋体" w:hAnsi="宋体" w:eastAsia="宋体" w:cs="宋体"/>
                <w:i w:val="0"/>
                <w:iCs w:val="0"/>
                <w:color w:val="000000"/>
                <w:kern w:val="0"/>
                <w:sz w:val="22"/>
                <w:szCs w:val="22"/>
                <w:u w:val="none"/>
                <w:lang w:val="en-US" w:eastAsia="zh-CN" w:bidi="ar"/>
              </w:rPr>
              <w:t xml:space="preserve">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9"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不含税小计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 xml:space="preserve">266055.00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CellMar>
            <w:top w:w="0" w:type="dxa"/>
            <w:left w:w="108" w:type="dxa"/>
            <w:bottom w:w="0" w:type="dxa"/>
            <w:right w:w="108" w:type="dxa"/>
          </w:tblCellMar>
        </w:tblPrEx>
        <w:trPr>
          <w:trHeight w:val="500"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税票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9%</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CellMar>
            <w:top w:w="0" w:type="dxa"/>
            <w:left w:w="108" w:type="dxa"/>
            <w:bottom w:w="0" w:type="dxa"/>
            <w:right w:w="108" w:type="dxa"/>
          </w:tblCellMar>
        </w:tblPrEx>
        <w:trPr>
          <w:trHeight w:val="500"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290000</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bl>
    <w:p>
      <w:pPr>
        <w:pStyle w:val="2"/>
        <w:rPr>
          <w:rFonts w:hint="eastAsia"/>
          <w:b w:val="0"/>
          <w:bCs w:val="0"/>
          <w:lang w:eastAsia="zh-CN"/>
        </w:rPr>
        <w:sectPr>
          <w:pgSz w:w="16838" w:h="11906" w:orient="landscape"/>
          <w:pgMar w:top="1304" w:right="1304" w:bottom="1304" w:left="1304" w:header="851" w:footer="850" w:gutter="0"/>
          <w:pgNumType w:fmt="decimal"/>
          <w:cols w:space="0" w:num="1"/>
          <w:rtlGutter w:val="0"/>
          <w:docGrid w:type="lines" w:linePitch="332" w:charSpace="0"/>
        </w:sectPr>
      </w:pPr>
    </w:p>
    <w:p>
      <w:pPr>
        <w:spacing w:line="360" w:lineRule="auto"/>
        <w:jc w:val="both"/>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附件二：</w:t>
      </w:r>
    </w:p>
    <w:p>
      <w:pPr>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廉政合作协议</w:t>
      </w:r>
    </w:p>
    <w:p>
      <w:pPr>
        <w:spacing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lang w:eastAsia="zh-CN"/>
          <w14:textFill>
            <w14:solidFill>
              <w14:schemeClr w14:val="tx1"/>
            </w14:solidFill>
          </w14:textFill>
        </w:rPr>
        <w:t>洛阳浩德鑫置地有限公司</w:t>
      </w:r>
    </w:p>
    <w:p>
      <w:pPr>
        <w:spacing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4"/>
          <w:highlight w:val="none"/>
          <w:u w:val="single"/>
          <w:lang w:eastAsia="zh-CN"/>
          <w14:textFill>
            <w14:solidFill>
              <w14:schemeClr w14:val="tx1"/>
            </w14:solidFill>
          </w14:textFill>
        </w:rPr>
        <w:t>洛阳国匠实业有限公司</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4500880</wp:posOffset>
            </wp:positionH>
            <wp:positionV relativeFrom="paragraph">
              <wp:posOffset>580390</wp:posOffset>
            </wp:positionV>
            <wp:extent cx="1201420" cy="1201420"/>
            <wp:effectExtent l="0" t="0" r="17780" b="17780"/>
            <wp:wrapNone/>
            <wp:docPr id="1" name="图片 3"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说明: 32dc313b898daf07a491037a11ba2c8"/>
                    <pic:cNvPicPr>
                      <a:picLocks noChangeAspect="1"/>
                    </pic:cNvPicPr>
                  </pic:nvPicPr>
                  <pic:blipFill>
                    <a:blip r:embed="rId22"/>
                    <a:stretch>
                      <a:fillRect/>
                    </a:stretch>
                  </pic:blipFill>
                  <pic:spPr>
                    <a:xfrm>
                      <a:off x="0" y="0"/>
                      <a:ext cx="1201420" cy="1201420"/>
                    </a:xfrm>
                    <a:prstGeom prst="rect">
                      <a:avLst/>
                    </a:prstGeom>
                    <a:noFill/>
                    <a:ln>
                      <a:noFill/>
                    </a:ln>
                  </pic:spPr>
                </pic:pic>
              </a:graphicData>
            </a:graphic>
          </wp:anchor>
        </w:drawing>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b/>
          <w:bCs/>
          <w:color w:val="000000" w:themeColor="text1"/>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11.其它违反法律或者甲方公司相关制度的行为。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lang w:eastAsia="zh-CN"/>
          <w14:textFill>
            <w14:solidFill>
              <w14:schemeClr w14:val="tx1"/>
            </w14:solidFill>
          </w14:textFill>
        </w:rPr>
        <w:t>洛阳浩德鑫置地有限公司</w:t>
      </w:r>
      <w:r>
        <w:rPr>
          <w:rFonts w:hint="eastAsia" w:ascii="宋体" w:hAnsi="宋体" w:cs="宋体"/>
          <w:color w:val="000000" w:themeColor="text1"/>
          <w:szCs w:val="24"/>
          <w:highlight w:val="non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lang w:eastAsia="zh-CN"/>
          <w14:textFill>
            <w14:solidFill>
              <w14:schemeClr w14:val="tx1"/>
            </w14:solidFill>
          </w14:textFill>
        </w:rPr>
        <w:t>洛阳国匠实业有限公司</w:t>
      </w:r>
    </w:p>
    <w:p>
      <w:r>
        <w:rPr>
          <w:rFonts w:hint="eastAsia" w:ascii="宋体" w:hAnsi="宋体" w:cs="宋体"/>
          <w:color w:val="000000" w:themeColor="text1"/>
          <w:szCs w:val="24"/>
          <w:highlight w:val="none"/>
          <w14:textFill>
            <w14:solidFill>
              <w14:schemeClr w14:val="tx1"/>
            </w14:solidFill>
          </w14:textFill>
        </w:rPr>
        <w:t>签署日期：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签署日期：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p>
    <w:sectPr>
      <w:pgSz w:w="11906" w:h="16838"/>
      <w:pgMar w:top="1304" w:right="1304" w:bottom="1304" w:left="1304" w:header="851"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80AFD"/>
    <w:rsid w:val="09961F7D"/>
    <w:rsid w:val="11380AFD"/>
    <w:rsid w:val="13B55A9A"/>
    <w:rsid w:val="49AA23AC"/>
    <w:rsid w:val="4E385ACF"/>
    <w:rsid w:val="5CC76F4A"/>
    <w:rsid w:val="6110279C"/>
    <w:rsid w:val="627A124A"/>
    <w:rsid w:val="64394EBE"/>
    <w:rsid w:val="68440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99"/>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paragraph" w:customStyle="1" w:styleId="14">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2021-06-04T11:53:00Z</dcterms:created>
  <dc:creator>Administrator</dc:creator>
  <cp:lastModifiedBy>Administrator</cp:lastModifiedBy>
  <dcterms:modified xsi:type="dcterms:W3CDTF">2021-06-19T11:43:04Z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F1C48132E67549D891F5FF2BB259A93B</vt:lpwstr>
  </property>
</Properties>
</file>