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56" w:beforeLines="50" w:after="156" w:afterLines="50" w:line="360" w:lineRule="auto"/>
        <w:ind w:right="120" w:rightChars="50"/>
        <w:jc w:val="both"/>
        <w:outlineLvl w:val="0"/>
        <w:rPr>
          <w:rFonts w:ascii="宋体" w:hAnsi="宋体"/>
          <w:b/>
          <w:color w:val="000000" w:themeColor="text1"/>
          <w:sz w:val="32"/>
          <w:szCs w:val="32"/>
          <w:highlight w:val="none"/>
          <w14:textFill>
            <w14:solidFill>
              <w14:schemeClr w14:val="tx1"/>
            </w14:solidFill>
          </w14:textFill>
        </w:rPr>
      </w:pPr>
      <w:bookmarkStart w:id="1" w:name="_GoBack"/>
      <w:bookmarkEnd w:id="1"/>
    </w:p>
    <w:p>
      <w:pPr>
        <w:spacing w:before="156" w:beforeLines="50" w:after="156" w:afterLines="50" w:line="360" w:lineRule="auto"/>
        <w:ind w:right="120" w:rightChars="50"/>
        <w:rPr>
          <w:rStyle w:val="13"/>
          <w:rFonts w:ascii="宋体" w:hAnsi="宋体"/>
          <w:b/>
          <w:bCs/>
          <w:color w:val="000000" w:themeColor="text1"/>
          <w:szCs w:val="24"/>
          <w:highlight w:val="none"/>
          <w14:textFill>
            <w14:solidFill>
              <w14:schemeClr w14:val="tx1"/>
            </w14:solidFill>
          </w14:textFill>
        </w:rPr>
      </w:pPr>
    </w:p>
    <w:p>
      <w:pPr>
        <w:spacing w:before="156" w:beforeLines="50" w:after="156" w:afterLines="50" w:line="360" w:lineRule="auto"/>
        <w:ind w:right="120" w:rightChars="50"/>
        <w:jc w:val="center"/>
        <w:rPr>
          <w:rFonts w:hint="eastAsia"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开元壹号62</w:t>
      </w:r>
      <w:r>
        <w:rPr>
          <w:rFonts w:hint="eastAsia" w:ascii="宋体" w:hAnsi="宋体" w:cs="宋体"/>
          <w:b/>
          <w:bCs/>
          <w:color w:val="000000" w:themeColor="text1"/>
          <w:sz w:val="40"/>
          <w:szCs w:val="40"/>
          <w:highlight w:val="none"/>
          <w:lang w:val="en-US" w:eastAsia="zh-CN"/>
          <w14:textFill>
            <w14:solidFill>
              <w14:schemeClr w14:val="tx1"/>
            </w14:solidFill>
          </w14:textFill>
        </w:rPr>
        <w:t>#</w:t>
      </w:r>
      <w:r>
        <w:rPr>
          <w:rFonts w:hint="eastAsia" w:ascii="宋体" w:hAnsi="宋体" w:cs="宋体"/>
          <w:b/>
          <w:bCs/>
          <w:color w:val="000000" w:themeColor="text1"/>
          <w:sz w:val="40"/>
          <w:szCs w:val="40"/>
          <w:highlight w:val="none"/>
          <w14:textFill>
            <w14:solidFill>
              <w14:schemeClr w14:val="tx1"/>
            </w14:solidFill>
          </w14:textFill>
        </w:rPr>
        <w:t>地块一期断桥铝合金门窗制作及安装</w:t>
      </w:r>
    </w:p>
    <w:p>
      <w:pPr>
        <w:spacing w:before="156" w:beforeLines="50" w:after="156" w:afterLines="50" w:line="360" w:lineRule="auto"/>
        <w:ind w:right="120" w:rightChars="50"/>
        <w:jc w:val="center"/>
        <w:rPr>
          <w:rFonts w:ascii="宋体" w:hAnsi="宋体"/>
          <w:b/>
          <w:bCs/>
          <w:color w:val="000000" w:themeColor="text1"/>
          <w:szCs w:val="24"/>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工程合同</w:t>
      </w:r>
    </w:p>
    <w:p>
      <w:pPr>
        <w:spacing w:before="156" w:beforeLines="50" w:after="156" w:afterLines="50" w:line="360" w:lineRule="auto"/>
        <w:ind w:right="120" w:rightChars="50"/>
        <w:rPr>
          <w:rFonts w:ascii="宋体" w:hAnsi="宋体" w:cs="宋体"/>
          <w:b/>
          <w:bCs/>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w:t>
      </w:r>
      <w:r>
        <w:rPr>
          <w:rFonts w:hint="eastAsia" w:ascii="宋体" w:hAnsi="宋体" w:cs="宋体"/>
          <w:color w:val="000000" w:themeColor="text1"/>
          <w:sz w:val="30"/>
          <w:szCs w:val="30"/>
          <w:highlight w:val="none"/>
          <w:lang w:val="en-US" w:eastAsia="zh-CN"/>
          <w14:textFill>
            <w14:solidFill>
              <w14:schemeClr w14:val="tx1"/>
            </w14:solidFill>
          </w14:textFill>
        </w:rPr>
        <w:t>3.2.1.3</w:t>
      </w: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w:t>
      </w:r>
      <w:r>
        <w:rPr>
          <w:rFonts w:hint="eastAsia" w:ascii="宋体" w:hAnsi="宋体" w:cs="宋体"/>
          <w:color w:val="000000" w:themeColor="text1"/>
          <w:sz w:val="30"/>
          <w:szCs w:val="30"/>
          <w:highlight w:val="none"/>
          <w:lang w:val="en-US" w:eastAsia="zh-CN"/>
          <w14:textFill>
            <w14:solidFill>
              <w14:schemeClr w14:val="tx1"/>
            </w14:solidFill>
          </w14:textFill>
        </w:rPr>
        <w:t>KYYH.62-JA-084</w:t>
      </w:r>
    </w:p>
    <w:p>
      <w:pPr>
        <w:widowControl/>
        <w:spacing w:line="360" w:lineRule="auto"/>
        <w:ind w:firstLine="441" w:firstLineChars="147"/>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widowControl/>
        <w:spacing w:line="360" w:lineRule="auto"/>
        <w:ind w:firstLine="441" w:firstLineChars="147"/>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河南明安建设集团有限公司</w:t>
      </w:r>
    </w:p>
    <w:p>
      <w:pPr>
        <w:pStyle w:val="14"/>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2021年06月  日  </w:t>
      </w:r>
    </w:p>
    <w:p>
      <w:pPr>
        <w:widowControl/>
        <w:spacing w:line="360" w:lineRule="auto"/>
        <w:rPr>
          <w:rFonts w:ascii="宋体" w:hAnsi="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cs="宋体"/>
          <w:b/>
          <w:bCs/>
          <w:color w:val="000000" w:themeColor="text1"/>
          <w:sz w:val="32"/>
          <w:szCs w:val="32"/>
          <w:highlight w:val="none"/>
          <w14:textFill>
            <w14:solidFill>
              <w14:schemeClr w14:val="tx1"/>
            </w14:solidFill>
          </w14:textFill>
        </w:rPr>
        <w:sectPr>
          <w:pgSz w:w="11906" w:h="16838"/>
          <w:pgMar w:top="1304" w:right="1304" w:bottom="1304" w:left="1304" w:header="851" w:footer="850" w:gutter="0"/>
          <w:cols w:space="425" w:num="1"/>
          <w:docGrid w:type="lines" w:linePitch="312" w:charSpace="0"/>
        </w:sectPr>
      </w:pPr>
    </w:p>
    <w:p>
      <w:pPr>
        <w:widowControl/>
        <w:spacing w:line="360" w:lineRule="auto"/>
        <w:jc w:val="center"/>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开元壹号62#地块一期断桥铝合金门窗制作及安装工程合同</w:t>
      </w:r>
    </w:p>
    <w:p>
      <w:pPr>
        <w:widowControl/>
        <w:spacing w:line="360" w:lineRule="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甲方（全称）：</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widowControl/>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乙方（全称）：</w:t>
      </w:r>
      <w:r>
        <w:rPr>
          <w:rFonts w:hint="eastAsia" w:ascii="宋体" w:hAnsi="宋体" w:cs="宋体"/>
          <w:b/>
          <w:bCs/>
          <w:color w:val="000000" w:themeColor="text1"/>
          <w:szCs w:val="24"/>
          <w:highlight w:val="none"/>
          <w:u w:val="single"/>
          <w14:textFill>
            <w14:solidFill>
              <w14:schemeClr w14:val="tx1"/>
            </w14:solidFill>
          </w14:textFill>
        </w:rPr>
        <w:t>河南明安建设集团有限公司</w:t>
      </w:r>
      <w:r>
        <w:rPr>
          <w:rFonts w:hint="eastAsia" w:ascii="宋体" w:hAnsi="宋体" w:cs="宋体"/>
          <w:b/>
          <w:bCs/>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依照《中华人民共和国</w:t>
      </w:r>
      <w:r>
        <w:rPr>
          <w:rFonts w:hint="eastAsia" w:ascii="宋体" w:hAnsi="宋体" w:eastAsia="宋体" w:cs="宋体"/>
          <w:color w:val="000000" w:themeColor="text1"/>
          <w:sz w:val="24"/>
          <w:szCs w:val="24"/>
          <w:highlight w:val="none"/>
          <w:lang w:eastAsia="zh-CN"/>
          <w14:textFill>
            <w14:solidFill>
              <w14:schemeClr w14:val="tx1"/>
            </w14:solidFill>
          </w14:textFill>
        </w:rPr>
        <w:t>民法典</w:t>
      </w:r>
      <w:r>
        <w:rPr>
          <w:rFonts w:hint="eastAsia" w:ascii="宋体" w:hAnsi="宋体" w:eastAsia="宋体" w:cs="宋体"/>
          <w:color w:val="000000" w:themeColor="text1"/>
          <w:sz w:val="24"/>
          <w:szCs w:val="24"/>
          <w:highlight w:val="none"/>
          <w14:textFill>
            <w14:solidFill>
              <w14:schemeClr w14:val="tx1"/>
            </w14:solidFill>
          </w14:textFill>
        </w:rPr>
        <w:t>》、《中华人民共和国建筑法》及其他有关法律、行政法规，遵循平等、自愿、公平和诚实信用的原则，双方就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开元壹号62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地块一期断桥铝合金门窗制作及安装工程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1、工程名称：开元壹号62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地块一期断桥铝合金门窗制作及安装工程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2、工程地点：洛阳市钱江路与蔡伦路交叉口东北角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1、开元壹号62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地块一期断桥铝合金门窗制作及安装工程，图纸中所包含的门窗的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费用乙方自理）、通过验收、交工前框内外、玻璃内外保洁一遍，因质量问题引起的维修和更换；检测（抗风压、水密、气密性、保温、</w:t>
      </w:r>
      <w:r>
        <w:rPr>
          <w:rFonts w:hint="eastAsia" w:ascii="宋体" w:hAnsi="宋体" w:eastAsia="宋体" w:cs="宋体"/>
          <w:bCs/>
          <w:color w:val="000000" w:themeColor="text1"/>
          <w:sz w:val="24"/>
          <w:szCs w:val="24"/>
          <w:highlight w:val="none"/>
          <w14:textFill>
            <w14:solidFill>
              <w14:schemeClr w14:val="tx1"/>
            </w14:solidFill>
          </w14:textFill>
        </w:rPr>
        <w:t>隔音</w:t>
      </w:r>
      <w:r>
        <w:rPr>
          <w:rFonts w:hint="eastAsia" w:ascii="宋体" w:hAnsi="宋体" w:eastAsia="宋体" w:cs="宋体"/>
          <w:color w:val="000000" w:themeColor="text1"/>
          <w:sz w:val="24"/>
          <w:szCs w:val="24"/>
          <w:highlight w:val="none"/>
          <w14:textFill>
            <w14:solidFill>
              <w14:schemeClr w14:val="tx1"/>
            </w14:solidFill>
          </w14:textFill>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5个工作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3、乙方须现场复核洞口尺寸及土建方提供的三线准确性</w:t>
      </w:r>
      <w:r>
        <w:rPr>
          <w:rStyle w:val="11"/>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门窗渗漏责任由乙方负责。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工程采用净口安装，如避雷接地等电位金属片已覆盖，总包负责找出等电位金属片，乙方负责连接。安装前需要现场准确核对洞口尺寸，并由甲方工程部或监理、乙方、总包三方对粉刷后的洞口净尺寸签字确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1、本合同约定采用</w:t>
      </w:r>
      <w:r>
        <w:rPr>
          <w:rFonts w:hint="eastAsia" w:ascii="宋体" w:hAnsi="宋体" w:cs="宋体"/>
          <w:color w:val="000000" w:themeColor="text1"/>
          <w:sz w:val="24"/>
          <w:szCs w:val="24"/>
          <w:highlight w:val="none"/>
          <w:lang w:eastAsia="zh-CN"/>
          <w14:textFill>
            <w14:solidFill>
              <w14:schemeClr w14:val="tx1"/>
            </w14:solidFill>
          </w14:textFill>
        </w:rPr>
        <w:t>全费用综合单价</w:t>
      </w:r>
      <w:r>
        <w:rPr>
          <w:rFonts w:hint="eastAsia" w:ascii="宋体" w:hAnsi="宋体" w:eastAsia="宋体" w:cs="宋体"/>
          <w:color w:val="000000" w:themeColor="text1"/>
          <w:sz w:val="24"/>
          <w:szCs w:val="24"/>
          <w:highlight w:val="none"/>
          <w14:textFill>
            <w14:solidFill>
              <w14:schemeClr w14:val="tx1"/>
            </w14:solidFill>
          </w14:textFill>
        </w:rPr>
        <w:t>的承包方式，</w:t>
      </w:r>
      <w:r>
        <w:rPr>
          <w:rFonts w:hint="eastAsia" w:ascii="宋体" w:hAnsi="宋体" w:cs="宋体"/>
          <w:color w:val="000000" w:themeColor="text1"/>
          <w:sz w:val="24"/>
          <w:szCs w:val="24"/>
          <w:highlight w:val="none"/>
          <w:lang w:eastAsia="zh-CN"/>
          <w14:textFill>
            <w14:solidFill>
              <w14:schemeClr w14:val="tx1"/>
            </w14:solidFill>
          </w14:textFill>
        </w:rPr>
        <w:t>全费用综合单价</w:t>
      </w:r>
      <w:r>
        <w:rPr>
          <w:rFonts w:hint="eastAsia" w:ascii="宋体" w:hAnsi="宋体" w:eastAsia="宋体" w:cs="宋体"/>
          <w:color w:val="000000" w:themeColor="text1"/>
          <w:sz w:val="24"/>
          <w:szCs w:val="24"/>
          <w:highlight w:val="none"/>
          <w:lang w:bidi="ar"/>
          <w14:textFill>
            <w14:solidFill>
              <w14:schemeClr w14:val="tx1"/>
            </w14:solidFill>
          </w14:textFill>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w:t>
      </w:r>
      <w:r>
        <w:rPr>
          <w:rFonts w:hint="eastAsia" w:ascii="宋体" w:hAnsi="宋体" w:cs="宋体"/>
          <w:color w:val="000000" w:themeColor="text1"/>
          <w:sz w:val="24"/>
          <w:szCs w:val="24"/>
          <w:highlight w:val="none"/>
          <w:lang w:eastAsia="zh-CN" w:bidi="ar"/>
          <w14:textFill>
            <w14:solidFill>
              <w14:schemeClr w14:val="tx1"/>
            </w14:solidFill>
          </w14:textFill>
        </w:rPr>
        <w:t>为完成本工程所需的</w:t>
      </w:r>
      <w:r>
        <w:rPr>
          <w:rFonts w:hint="eastAsia" w:ascii="宋体" w:hAnsi="宋体" w:eastAsia="宋体" w:cs="宋体"/>
          <w:color w:val="000000" w:themeColor="text1"/>
          <w:sz w:val="24"/>
          <w:szCs w:val="24"/>
          <w:highlight w:val="none"/>
          <w:lang w:bidi="ar"/>
          <w14:textFill>
            <w14:solidFill>
              <w14:schemeClr w14:val="tx1"/>
            </w14:solidFill>
          </w14:textFill>
        </w:rPr>
        <w:t>全部费用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甲方仅承担针对总承包方的配合费。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2、采取本合同约定的标准，包工包料、包质量、包验收、包制作安装、包工期、包风险、包售后服务等承包方式，按照甲方确认的设计施工图、材料，承包合同约定范围内门窗工程的制作及安装。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56#楼、57#楼窗框进场安装</w:t>
      </w:r>
      <w:r>
        <w:rPr>
          <w:rFonts w:hint="eastAsia" w:ascii="宋体" w:hAnsi="宋体" w:cs="宋体"/>
          <w:sz w:val="24"/>
          <w:szCs w:val="24"/>
          <w:highlight w:val="none"/>
          <w:lang w:val="en-US" w:eastAsia="zh-CN"/>
        </w:rPr>
        <w:t>日期</w:t>
      </w:r>
      <w:r>
        <w:rPr>
          <w:rFonts w:hint="eastAsia" w:ascii="宋体" w:hAnsi="宋体" w:eastAsia="宋体" w:cs="宋体"/>
          <w:sz w:val="24"/>
          <w:szCs w:val="24"/>
          <w:highlight w:val="none"/>
          <w:lang w:val="en-US" w:eastAsia="zh-CN"/>
        </w:rPr>
        <w:t>为2021年07月2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固定玻璃安装完毕日期为2021年10月01日，窗扇安装完毕日期为11月02日，窗纱安装完毕日期为11月30日。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51#楼、52#楼、53#楼窗框进场安装</w:t>
      </w:r>
      <w:r>
        <w:rPr>
          <w:rFonts w:hint="eastAsia" w:ascii="宋体" w:hAnsi="宋体" w:cs="宋体"/>
          <w:sz w:val="24"/>
          <w:szCs w:val="24"/>
          <w:highlight w:val="none"/>
          <w:lang w:val="en-US" w:eastAsia="zh-CN"/>
        </w:rPr>
        <w:t>日期</w:t>
      </w:r>
      <w:r>
        <w:rPr>
          <w:rFonts w:hint="eastAsia" w:ascii="宋体" w:hAnsi="宋体" w:eastAsia="宋体" w:cs="宋体"/>
          <w:sz w:val="24"/>
          <w:szCs w:val="24"/>
          <w:highlight w:val="none"/>
          <w:lang w:val="en-US" w:eastAsia="zh-CN"/>
        </w:rPr>
        <w:t>为2021年08月10日，</w:t>
      </w:r>
      <w:r>
        <w:rPr>
          <w:rFonts w:hint="eastAsia" w:ascii="宋体" w:hAnsi="宋体" w:cs="宋体"/>
          <w:sz w:val="24"/>
          <w:szCs w:val="24"/>
          <w:highlight w:val="none"/>
          <w:lang w:val="en-US" w:eastAsia="zh-CN"/>
        </w:rPr>
        <w:t>固定玻璃安装完毕日期为2021年10月30日，窗扇安装完毕日期为11月25日，窗纱安装完毕日期为12月30日</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3、工程施工进度计划详见合同附件二：门窗工程施工进度计划表。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施工过程中如遇甲方责任或不可抗力等因素所延误的工期，经甲、乙双方签字认可调整，以此确定完工日期。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1、合同方式：采用</w:t>
      </w:r>
      <w:r>
        <w:rPr>
          <w:rFonts w:hint="eastAsia" w:ascii="宋体" w:hAnsi="宋体" w:cs="宋体"/>
          <w:color w:val="000000" w:themeColor="text1"/>
          <w:sz w:val="24"/>
          <w:szCs w:val="24"/>
          <w:highlight w:val="none"/>
          <w:lang w:eastAsia="zh-CN"/>
          <w14:textFill>
            <w14:solidFill>
              <w14:schemeClr w14:val="tx1"/>
            </w14:solidFill>
          </w14:textFill>
        </w:rPr>
        <w:t>全费用</w:t>
      </w:r>
      <w:r>
        <w:rPr>
          <w:rFonts w:hint="eastAsia" w:ascii="宋体" w:hAnsi="宋体" w:eastAsia="宋体" w:cs="宋体"/>
          <w:color w:val="000000" w:themeColor="text1"/>
          <w:sz w:val="24"/>
          <w:szCs w:val="24"/>
          <w:highlight w:val="none"/>
          <w14:textFill>
            <w14:solidFill>
              <w14:schemeClr w14:val="tx1"/>
            </w14:solidFill>
          </w14:textFill>
        </w:rPr>
        <w:t>综合单价承包据实结算的方式。</w:t>
      </w:r>
      <w:r>
        <w:rPr>
          <w:rFonts w:hint="eastAsia" w:ascii="宋体" w:hAnsi="宋体" w:cs="宋体"/>
          <w:color w:val="000000" w:themeColor="text1"/>
          <w:sz w:val="24"/>
          <w:szCs w:val="24"/>
          <w:highlight w:val="none"/>
          <w:lang w:eastAsia="zh-CN"/>
          <w14:textFill>
            <w14:solidFill>
              <w14:schemeClr w14:val="tx1"/>
            </w14:solidFill>
          </w14:textFill>
        </w:rPr>
        <w:t>全费用</w:t>
      </w:r>
      <w:r>
        <w:rPr>
          <w:rFonts w:hint="eastAsia" w:ascii="宋体" w:hAnsi="宋体" w:eastAsia="宋体" w:cs="宋体"/>
          <w:color w:val="000000" w:themeColor="text1"/>
          <w:sz w:val="24"/>
          <w:szCs w:val="24"/>
          <w:highlight w:val="none"/>
          <w14:textFill>
            <w14:solidFill>
              <w14:schemeClr w14:val="tx1"/>
            </w14:solidFill>
          </w14:textFill>
        </w:rPr>
        <w:t>综合单价为完成承包范围内所有铝合金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w:t>
      </w:r>
      <w:r>
        <w:rPr>
          <w:rFonts w:hint="eastAsia" w:ascii="宋体" w:hAnsi="宋体" w:cs="宋体"/>
          <w:color w:val="000000" w:themeColor="text1"/>
          <w:sz w:val="24"/>
          <w:szCs w:val="24"/>
          <w:highlight w:val="none"/>
          <w:lang w:eastAsia="zh-CN"/>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费用。</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2、合同价格：</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2.1本工程采用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全费用</w:t>
      </w:r>
      <w:r>
        <w:rPr>
          <w:rFonts w:hint="eastAsia" w:ascii="宋体" w:hAnsi="宋体" w:eastAsia="宋体" w:cs="宋体"/>
          <w:b w:val="0"/>
          <w:bCs w:val="0"/>
          <w:color w:val="000000" w:themeColor="text1"/>
          <w:sz w:val="24"/>
          <w:szCs w:val="24"/>
          <w:highlight w:val="none"/>
          <w14:textFill>
            <w14:solidFill>
              <w14:schemeClr w14:val="tx1"/>
            </w14:solidFill>
          </w14:textFill>
        </w:rPr>
        <w:t>综合单价</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形式（详见合同附件一：工程量清单及报价）</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w:t>
      </w:r>
      <w:r>
        <w:rPr>
          <w:rFonts w:hint="eastAsia" w:ascii="宋体" w:hAnsi="宋体" w:eastAsia="宋体" w:cs="宋体"/>
          <w:b w:val="0"/>
          <w:bCs w:val="0"/>
          <w:color w:val="000000" w:themeColor="text1"/>
          <w:sz w:val="24"/>
          <w:szCs w:val="24"/>
          <w:highlight w:val="none"/>
          <w14:textFill>
            <w14:solidFill>
              <w14:schemeClr w14:val="tx1"/>
            </w14:solidFill>
          </w14:textFill>
        </w:rPr>
        <w:t>暂定总价为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小写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¥18329201.42元，大写：人民币壹仟捌佰叁拾贰万玖仟贰佰零壹元肆角贰分，其中不含税价款为小写¥16815781.12元，大写：人民币壹仟陆佰捌拾壹万伍仟柒佰捌拾壹元壹角贰分，税金为小写¥1513420.30元，大写：人民币壹佰伍拾壹万叁仟肆佰贰拾元叁角</w:t>
      </w:r>
      <w:r>
        <w:rPr>
          <w:rFonts w:hint="eastAsia" w:ascii="宋体" w:hAnsi="宋体" w:eastAsia="宋体" w:cs="宋体"/>
          <w:b w:val="0"/>
          <w:bCs w:val="0"/>
          <w:color w:val="000000" w:themeColor="text1"/>
          <w:sz w:val="24"/>
          <w:szCs w:val="24"/>
          <w:highlight w:val="none"/>
          <w14:textFill>
            <w14:solidFill>
              <w14:schemeClr w14:val="tx1"/>
            </w14:solidFill>
          </w14:textFill>
        </w:rPr>
        <w:t>，其含增值税专用发票税率为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w:t>
      </w:r>
      <w:r>
        <w:rPr>
          <w:rFonts w:hint="eastAsia" w:ascii="宋体" w:hAnsi="宋体" w:eastAsia="宋体" w:cs="宋体"/>
          <w:sz w:val="24"/>
          <w:szCs w:val="24"/>
          <w:highlight w:val="none"/>
        </w:rPr>
        <w:t>断桥铝</w:t>
      </w:r>
      <w:r>
        <w:rPr>
          <w:rFonts w:hint="eastAsia" w:ascii="宋体" w:hAnsi="宋体" w:eastAsia="宋体" w:cs="宋体"/>
          <w:sz w:val="24"/>
          <w:szCs w:val="24"/>
          <w:highlight w:val="none"/>
          <w:lang w:eastAsia="zh-CN"/>
        </w:rPr>
        <w:t>合金门窗全费用综合单价受铝锭价涨跌影响执行如下调整：全费用综合单价中仅对铝</w:t>
      </w:r>
      <w:r>
        <w:rPr>
          <w:rFonts w:hint="eastAsia" w:ascii="宋体" w:hAnsi="宋体" w:eastAsia="宋体" w:cs="宋体"/>
          <w:sz w:val="24"/>
          <w:szCs w:val="24"/>
          <w:highlight w:val="none"/>
        </w:rPr>
        <w:t>型材材料调差：</w:t>
      </w:r>
      <w:r>
        <w:rPr>
          <w:rFonts w:hint="eastAsia" w:ascii="宋体" w:hAnsi="宋体" w:eastAsia="宋体" w:cs="宋体"/>
          <w:sz w:val="24"/>
          <w:szCs w:val="24"/>
          <w:highlight w:val="none"/>
          <w:lang w:eastAsia="zh-CN"/>
        </w:rPr>
        <w:t>按照铝锭原材料价</w:t>
      </w:r>
      <w:r>
        <w:rPr>
          <w:rFonts w:hint="eastAsia" w:ascii="宋体" w:hAnsi="宋体" w:eastAsia="宋体" w:cs="宋体"/>
          <w:sz w:val="24"/>
          <w:szCs w:val="24"/>
          <w:highlight w:val="none"/>
          <w:u w:val="single"/>
          <w:lang w:val="en-US" w:eastAsia="zh-CN"/>
        </w:rPr>
        <w:t>18350.00元/吨</w:t>
      </w:r>
      <w:r>
        <w:rPr>
          <w:rFonts w:hint="eastAsia" w:ascii="宋体" w:hAnsi="宋体" w:eastAsia="宋体" w:cs="宋体"/>
          <w:sz w:val="24"/>
          <w:szCs w:val="24"/>
          <w:highlight w:val="none"/>
        </w:rPr>
        <w:t>为基准价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甲方发出的书面</w:t>
      </w:r>
      <w:r>
        <w:rPr>
          <w:rFonts w:hint="eastAsia" w:ascii="宋体" w:hAnsi="宋体" w:eastAsia="宋体" w:cs="宋体"/>
          <w:sz w:val="24"/>
          <w:szCs w:val="24"/>
          <w:highlight w:val="none"/>
        </w:rPr>
        <w:t>实际供货通知之日“南海灵通”铝锭期货价格与上述基准价</w:t>
      </w:r>
      <w:r>
        <w:rPr>
          <w:rFonts w:hint="eastAsia" w:ascii="宋体" w:hAnsi="宋体" w:eastAsia="宋体" w:cs="宋体"/>
          <w:sz w:val="24"/>
          <w:szCs w:val="24"/>
          <w:highlight w:val="none"/>
          <w:lang w:eastAsia="zh-CN"/>
        </w:rPr>
        <w:t>对比，涨跌幅</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（含3%）的，</w:t>
      </w:r>
      <w:r>
        <w:rPr>
          <w:rFonts w:hint="eastAsia" w:ascii="宋体" w:hAnsi="宋体" w:eastAsia="宋体" w:cs="宋体"/>
          <w:sz w:val="24"/>
          <w:szCs w:val="24"/>
          <w:highlight w:val="none"/>
          <w:lang w:eastAsia="zh-CN"/>
        </w:rPr>
        <w:t>全费用</w:t>
      </w:r>
      <w:r>
        <w:rPr>
          <w:rFonts w:hint="eastAsia" w:ascii="宋体" w:hAnsi="宋体" w:eastAsia="宋体" w:cs="宋体"/>
          <w:sz w:val="24"/>
          <w:szCs w:val="24"/>
          <w:highlight w:val="none"/>
        </w:rPr>
        <w:t>综合单价中铝型材价格不作调整，</w:t>
      </w:r>
      <w:r>
        <w:rPr>
          <w:rFonts w:hint="eastAsia" w:ascii="宋体" w:hAnsi="宋体" w:eastAsia="宋体" w:cs="宋体"/>
          <w:sz w:val="24"/>
          <w:szCs w:val="24"/>
          <w:highlight w:val="none"/>
          <w:lang w:eastAsia="zh-CN"/>
        </w:rPr>
        <w:t>涨跌幅</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的，根据超出</w:t>
      </w:r>
      <w:r>
        <w:rPr>
          <w:rFonts w:hint="eastAsia" w:ascii="宋体" w:hAnsi="宋体" w:eastAsia="宋体" w:cs="宋体"/>
          <w:sz w:val="24"/>
          <w:szCs w:val="24"/>
          <w:highlight w:val="none"/>
          <w:lang w:eastAsia="zh-CN"/>
        </w:rPr>
        <w:t>基准价的</w:t>
      </w:r>
      <w:r>
        <w:rPr>
          <w:rFonts w:hint="eastAsia" w:ascii="宋体" w:hAnsi="宋体" w:eastAsia="宋体" w:cs="宋体"/>
          <w:sz w:val="24"/>
          <w:szCs w:val="24"/>
          <w:highlight w:val="none"/>
        </w:rPr>
        <w:t>价格调整</w:t>
      </w:r>
      <w:r>
        <w:rPr>
          <w:rFonts w:hint="eastAsia" w:ascii="宋体" w:hAnsi="宋体" w:eastAsia="宋体" w:cs="宋体"/>
          <w:sz w:val="24"/>
          <w:szCs w:val="24"/>
          <w:highlight w:val="none"/>
          <w:lang w:eastAsia="zh-CN"/>
        </w:rPr>
        <w:t>全费用</w:t>
      </w:r>
      <w:r>
        <w:rPr>
          <w:rFonts w:hint="eastAsia" w:ascii="宋体" w:hAnsi="宋体" w:eastAsia="宋体" w:cs="宋体"/>
          <w:sz w:val="24"/>
          <w:szCs w:val="24"/>
          <w:highlight w:val="none"/>
        </w:rPr>
        <w:t>综合单价中铝型材价格。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六、技术质量要求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1、执行施工及验收规范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应符合现行国家、行业及地方等相关技术标准及规范</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2、主要材料品牌要求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2.1型材选用：选用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品牌为“兴发”。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2.2玻璃原片：选用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品牌为“洛玻”。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2.3五金配件：采用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品牌为“坚朗”。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2.4密封胶：采用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品牌为“杭州之江”。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2.5发泡胶：采用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品牌为“广州安泰”。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2.6密封胶条：选用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品牌为“浙江新安东”。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3、玻璃技术要求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3.1工程所采用的各种玻璃（钢化玻璃、中空玻璃）其外观质量及相关性能必须符合国家及当地现行标准。钢化玻璃必须在任意一角可视位置标注3C标志。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3.2安全玻璃：玻璃是否采用安全玻璃应按照部位、设计图纸、材料结构计算和规范要求确定，钢化玻璃为双面钢化。如有防火要求，必须达到国家、地方规范要求的耐火极限</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3.3中空玻璃符合国家标准“GB/T11944—2012”的规定;单层玻璃符合国家标准“JGJ113-2009”的规定</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3.4玻璃厚度及其他特殊要求详见甲方审核批准的设计图纸要求，颜色、品种、性能指标以甲方审核封样样品为准。不同部位的玻璃使用必须符合设计图纸、建筑玻璃应用技术规范（JGJ113-2009）、建筑安全玻璃管理规定（发改运行［2003］2116号）及相关规范地方规定之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4、型材技术要求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4.2铝型材表面处理采用静电粉末喷涂，最薄处不小于40μm，具体颜色及表面效果详见甲方已确认的材料样板。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4.3铝合金型材壁厚应符合国家规范及图纸和招标单位要求，其中门型材截面主要受力部位最小实测壁厚不小于2.0mm，窗型材截面主要受力部位最小实测壁厚不小于1.4mm，玻璃压条等配套铝材壁厚不小于1.0mm。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4.4型材系列:</w:t>
      </w:r>
      <w:r>
        <w:rPr>
          <w:rFonts w:hint="eastAsia" w:ascii="宋体" w:hAnsi="宋体" w:eastAsia="宋体" w:cs="宋体"/>
          <w:bCs/>
          <w:color w:val="000000" w:themeColor="text1"/>
          <w:sz w:val="24"/>
          <w:szCs w:val="24"/>
          <w:highlight w:val="none"/>
          <w14:textFill>
            <w14:solidFill>
              <w14:schemeClr w14:val="tx1"/>
            </w14:solidFill>
          </w14:textFill>
        </w:rPr>
        <w:t>隔热断桥门窗采用60系列</w:t>
      </w:r>
      <w:r>
        <w:rPr>
          <w:rFonts w:hint="eastAsia" w:ascii="宋体" w:hAnsi="宋体" w:cs="宋体"/>
          <w:bCs/>
          <w:color w:val="000000" w:themeColor="text1"/>
          <w:sz w:val="24"/>
          <w:szCs w:val="24"/>
          <w:highlight w:val="none"/>
          <w:lang w:eastAsia="zh-CN"/>
          <w14:textFill>
            <w14:solidFill>
              <w14:schemeClr w14:val="tx1"/>
            </w14:solidFill>
          </w14:textFill>
        </w:rPr>
        <w:t>及</w:t>
      </w:r>
      <w:r>
        <w:rPr>
          <w:rFonts w:hint="eastAsia" w:ascii="宋体" w:hAnsi="宋体" w:eastAsia="宋体" w:cs="宋体"/>
          <w:bCs/>
          <w:color w:val="000000" w:themeColor="text1"/>
          <w:sz w:val="24"/>
          <w:szCs w:val="24"/>
          <w:highlight w:val="none"/>
          <w14:textFill>
            <w14:solidFill>
              <w14:schemeClr w14:val="tx1"/>
            </w14:solidFill>
          </w14:textFill>
        </w:rPr>
        <w:t>55系列</w:t>
      </w:r>
      <w:r>
        <w:rPr>
          <w:rFonts w:hint="eastAsia" w:ascii="宋体" w:hAnsi="宋体" w:eastAsia="宋体" w:cs="宋体"/>
          <w:bCs/>
          <w:color w:val="000000" w:themeColor="text1"/>
          <w:sz w:val="24"/>
          <w:szCs w:val="24"/>
          <w:highlight w:val="none"/>
          <w14:textFill>
            <w14:solidFill>
              <w14:schemeClr w14:val="tx1"/>
            </w14:solidFill>
          </w14:textFill>
        </w:rPr>
        <w:t>；乙方依据国家及地方相应的规范要求在招标书中规定的型材厂家中选择型材，进行投标技术文件的深化设计工作。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4.5隔热条：</w:t>
      </w:r>
      <w:r>
        <w:rPr>
          <w:rFonts w:hint="eastAsia" w:ascii="宋体" w:hAnsi="宋体" w:cs="宋体"/>
          <w:bCs/>
          <w:color w:val="000000" w:themeColor="text1"/>
          <w:sz w:val="24"/>
          <w:szCs w:val="24"/>
          <w:highlight w:val="none"/>
          <w:lang w:val="en-US" w:eastAsia="zh-CN"/>
          <w14:textFill>
            <w14:solidFill>
              <w14:schemeClr w14:val="tx1"/>
            </w14:solidFill>
          </w14:textFill>
        </w:rPr>
        <w:t>60系列断桥铝</w:t>
      </w:r>
      <w:r>
        <w:rPr>
          <w:rFonts w:hint="eastAsia" w:ascii="宋体" w:hAnsi="宋体" w:eastAsia="宋体" w:cs="宋体"/>
          <w:bCs/>
          <w:color w:val="000000" w:themeColor="text1"/>
          <w:sz w:val="24"/>
          <w:szCs w:val="24"/>
          <w:highlight w:val="none"/>
          <w14:textFill>
            <w14:solidFill>
              <w14:schemeClr w14:val="tx1"/>
            </w14:solidFill>
          </w14:textFill>
        </w:rPr>
        <w:t>隔热条采用</w:t>
      </w:r>
      <w:r>
        <w:rPr>
          <w:rFonts w:hint="eastAsia" w:ascii="宋体" w:hAnsi="宋体" w:cs="宋体"/>
          <w:bCs/>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bCs/>
          <w:color w:val="000000" w:themeColor="text1"/>
          <w:sz w:val="24"/>
          <w:szCs w:val="24"/>
          <w:highlight w:val="none"/>
          <w14:textFill>
            <w14:solidFill>
              <w14:schemeClr w14:val="tx1"/>
            </w14:solidFill>
          </w14:textFill>
        </w:rPr>
        <w:t>mm聚酰胺66（国产PA66）隔热条</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55系列断桥铝</w:t>
      </w:r>
      <w:r>
        <w:rPr>
          <w:rFonts w:hint="eastAsia" w:ascii="宋体" w:hAnsi="宋体" w:eastAsia="宋体" w:cs="宋体"/>
          <w:bCs/>
          <w:color w:val="000000" w:themeColor="text1"/>
          <w:sz w:val="24"/>
          <w:szCs w:val="24"/>
          <w:highlight w:val="none"/>
          <w14:textFill>
            <w14:solidFill>
              <w14:schemeClr w14:val="tx1"/>
            </w14:solidFill>
          </w14:textFill>
        </w:rPr>
        <w:t>隔热条采用14.8mm聚酰胺66（国产PA66）隔热条</w:t>
      </w:r>
      <w:r>
        <w:rPr>
          <w:rFonts w:hint="eastAsia" w:ascii="宋体" w:hAnsi="宋体" w:eastAsia="宋体" w:cs="宋体"/>
          <w:bCs/>
          <w:color w:val="000000" w:themeColor="text1"/>
          <w:sz w:val="24"/>
          <w:szCs w:val="24"/>
          <w:highlight w:val="none"/>
          <w14:textFill>
            <w14:solidFill>
              <w14:schemeClr w14:val="tx1"/>
            </w14:solidFill>
          </w14:textFill>
        </w:rPr>
        <w:t>，其品质必须符合GB/T23615—2009《铝合金建筑型材用辅助材料》和EN1424—2004《隔热金属型材性能要求和测试试验》规定，统一由型材厂家穿入型材后发货。甲方不接受由门窗厂组装隔热条的型材。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5、五金配件技术要求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5.1所有配件必须满足行业标准及相关规范。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5.4固定螺栓、螺钉：必须为不锈钢制品。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5.5密封胶条：采用三元乙丙密封胶条，含胶量不低于30％，质量应符合国家现行标准要求。转角胶条必须切断时要求使用转角料（转角接头）；转角处胶条没有必要切断的，不允许切断，且只允许有一个接口留在窗上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5.7地弹簧：选用优质配套产品，地弹簧应符合承重要求。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5.8发泡剂：铝框与墙体间填充聚氨酯发泡剂，发泡剂的膨胀量应为50-60倍。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5.11固定点：门窗框与墙体连接必须牢固，固定点应距窗角、中竖框150~200mm，固定点间距应小于500mm，且不得打在砖缝内。在砌体上安装门窗严禁用钉和射钉固定。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5.12钢附框安装部位：飘窗及卫生间上悬窗与外保温碰口处，与外墙大面保温板交接处，影响开启的窗型需增加钢副框。钢副框选用60*50*1.5mm/60*30*1.5mm镀锌钢管国产优质产品。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6、门窗性能及其它要求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本工程所用型材系列要求</w:t>
      </w:r>
    </w:p>
    <w:tbl>
      <w:tblPr>
        <w:tblStyle w:val="9"/>
        <w:tblW w:w="86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700"/>
        <w:gridCol w:w="201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9" w:type="dxa"/>
            <w:vAlign w:val="center"/>
          </w:tcPr>
          <w:p>
            <w:pPr>
              <w:spacing w:line="360" w:lineRule="auto"/>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eastAsia="zh-CN"/>
                <w14:textFill>
                  <w14:solidFill>
                    <w14:schemeClr w14:val="tx1"/>
                  </w14:solidFill>
                </w14:textFill>
              </w:rPr>
              <w:t>序</w:t>
            </w:r>
            <w:r>
              <w:rPr>
                <w:rFonts w:hint="eastAsia" w:ascii="宋体" w:hAnsi="宋体" w:cs="宋体"/>
                <w:bCs/>
                <w:color w:val="000000" w:themeColor="text1"/>
                <w:highlight w:val="none"/>
                <w14:textFill>
                  <w14:solidFill>
                    <w14:schemeClr w14:val="tx1"/>
                  </w14:solidFill>
                </w14:textFill>
              </w:rPr>
              <w:t>号</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断桥铝合金型材系列</w:t>
            </w:r>
          </w:p>
        </w:tc>
        <w:tc>
          <w:tcPr>
            <w:tcW w:w="2012"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扣条方式</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ascii="宋体" w:hAnsi="宋体" w:cs="宋体"/>
                <w:bCs/>
                <w:color w:val="000000" w:themeColor="text1"/>
                <w:highlight w:val="none"/>
                <w14:textFill>
                  <w14:solidFill>
                    <w14:schemeClr w14:val="tx1"/>
                  </w14:solidFill>
                </w14:textFill>
              </w:rPr>
              <w:t>55</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2</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60</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100</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本工程所用玻璃要求</w:t>
      </w:r>
    </w:p>
    <w:tbl>
      <w:tblPr>
        <w:tblStyle w:val="9"/>
        <w:tblW w:w="0" w:type="auto"/>
        <w:tblInd w:w="392" w:type="dxa"/>
        <w:tblLayout w:type="fixed"/>
        <w:tblCellMar>
          <w:top w:w="0" w:type="dxa"/>
          <w:left w:w="108" w:type="dxa"/>
          <w:bottom w:w="0" w:type="dxa"/>
          <w:right w:w="108" w:type="dxa"/>
        </w:tblCellMar>
      </w:tblPr>
      <w:tblGrid>
        <w:gridCol w:w="1509"/>
        <w:gridCol w:w="7203"/>
      </w:tblGrid>
      <w:tr>
        <w:tblPrEx>
          <w:tblCellMar>
            <w:top w:w="0" w:type="dxa"/>
            <w:left w:w="108" w:type="dxa"/>
            <w:bottom w:w="0" w:type="dxa"/>
            <w:right w:w="108" w:type="dxa"/>
          </w:tblCellMar>
        </w:tblPrEx>
        <w:trPr>
          <w:trHeight w:val="494"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eastAsia="zh-CN"/>
                <w14:textFill>
                  <w14:solidFill>
                    <w14:schemeClr w14:val="tx1"/>
                  </w14:solidFill>
                </w14:textFill>
              </w:rPr>
              <w:t>序</w:t>
            </w:r>
            <w:r>
              <w:rPr>
                <w:rFonts w:hint="eastAsia" w:ascii="宋体" w:hAnsi="宋体" w:cs="宋体"/>
                <w:bCs/>
                <w:color w:val="000000" w:themeColor="text1"/>
                <w:highlight w:val="none"/>
                <w14:textFill>
                  <w14:solidFill>
                    <w14:schemeClr w14:val="tx1"/>
                  </w14:solidFill>
                </w14:textFill>
              </w:rPr>
              <w:t>号</w:t>
            </w:r>
          </w:p>
        </w:tc>
        <w:tc>
          <w:tcPr>
            <w:tcW w:w="7203" w:type="dxa"/>
            <w:tcBorders>
              <w:top w:val="single" w:color="auto" w:sz="4" w:space="0"/>
              <w:left w:val="nil"/>
              <w:bottom w:val="single" w:color="auto" w:sz="4" w:space="0"/>
              <w:right w:val="single" w:color="000000" w:sz="4" w:space="0"/>
            </w:tcBorders>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玻璃规格</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2"/>
                <w:highlight w:val="none"/>
                <w:lang w:val="en-US" w:eastAsia="zh-CN" w:bidi="ar-SA"/>
                <w14:textFill>
                  <w14:solidFill>
                    <w14:schemeClr w14:val="tx1"/>
                  </w14:solidFill>
                </w14:textFill>
              </w:rPr>
              <w:t>1</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60系列断热铝合金多腔密封三玻节能内平开窗5+12A+5+12A+5</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，传热系数≤</w:t>
            </w:r>
            <w:r>
              <w:rPr>
                <w:rFonts w:ascii="宋体" w:hAnsi="宋体" w:cs="宋体"/>
                <w:bCs/>
                <w:color w:val="000000" w:themeColor="text1"/>
                <w:highlight w:val="none"/>
                <w14:textFill>
                  <w14:solidFill>
                    <w14:schemeClr w14:val="tx1"/>
                  </w14:solidFill>
                </w14:textFill>
              </w:rPr>
              <w:t>2.20W/m(</w:t>
            </w:r>
            <w:r>
              <w:rPr>
                <w:rFonts w:hint="eastAsia" w:ascii="宋体" w:hAnsi="宋体" w:cs="宋体"/>
                <w:bCs/>
                <w:color w:val="000000" w:themeColor="text1"/>
                <w:highlight w:val="none"/>
                <w14:textFill>
                  <w14:solidFill>
                    <w14:schemeClr w14:val="tx1"/>
                  </w14:solidFill>
                </w14:textFill>
              </w:rPr>
              <w:t>㎡.</w:t>
            </w:r>
            <w:r>
              <w:rPr>
                <w:rFonts w:ascii="宋体" w:hAnsi="宋体" w:cs="宋体"/>
                <w:bCs/>
                <w:color w:val="000000" w:themeColor="text1"/>
                <w:highlight w:val="none"/>
                <w14:textFill>
                  <w14:solidFill>
                    <w14:schemeClr w14:val="tx1"/>
                  </w14:solidFill>
                </w14:textFill>
              </w:rPr>
              <w:t>K)</w:t>
            </w:r>
            <w:r>
              <w:rPr>
                <w:rFonts w:hint="eastAsia" w:ascii="宋体" w:hAnsi="宋体" w:cs="宋体"/>
                <w:bCs/>
                <w:color w:val="000000" w:themeColor="text1"/>
                <w:highlight w:val="none"/>
                <w14:textFill>
                  <w14:solidFill>
                    <w14:schemeClr w14:val="tx1"/>
                  </w14:solidFill>
                </w14:textFill>
              </w:rPr>
              <w:t>。当外窗为安全玻璃时玻璃面积＞2㎡，需采用6</w:t>
            </w:r>
            <w:r>
              <w:rPr>
                <w:rFonts w:ascii="宋体" w:hAnsi="宋体" w:cs="宋体"/>
                <w:bCs/>
                <w:color w:val="000000" w:themeColor="text1"/>
                <w:highlight w:val="none"/>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厚钢化玻璃。</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2</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55系列断桥铝铝合金门联窗6+12A+6</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Low-e中空玻璃</w:t>
            </w:r>
          </w:p>
        </w:tc>
      </w:tr>
      <w:tr>
        <w:tblPrEx>
          <w:tblCellMar>
            <w:top w:w="0" w:type="dxa"/>
            <w:left w:w="108" w:type="dxa"/>
            <w:bottom w:w="0" w:type="dxa"/>
            <w:right w:w="108" w:type="dxa"/>
          </w:tblCellMar>
        </w:tblPrEx>
        <w:trPr>
          <w:trHeight w:val="487"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100</w:t>
            </w:r>
            <w:r>
              <w:rPr>
                <w:rFonts w:hint="eastAsia" w:ascii="宋体" w:hAnsi="宋体" w:cs="宋体"/>
                <w:bCs/>
                <w:color w:val="000000" w:themeColor="text1"/>
                <w:highlight w:val="none"/>
                <w14:textFill>
                  <w14:solidFill>
                    <w14:schemeClr w14:val="tx1"/>
                  </w14:solidFill>
                </w14:textFill>
              </w:rPr>
              <w:t>系列断桥铝铝合金</w:t>
            </w:r>
            <w:r>
              <w:rPr>
                <w:rFonts w:hint="eastAsia" w:ascii="宋体" w:hAnsi="宋体" w:cs="宋体"/>
                <w:bCs/>
                <w:color w:val="000000" w:themeColor="text1"/>
                <w:highlight w:val="none"/>
                <w:lang w:eastAsia="zh-CN"/>
                <w14:textFill>
                  <w14:solidFill>
                    <w14:schemeClr w14:val="tx1"/>
                  </w14:solidFill>
                </w14:textFill>
              </w:rPr>
              <w:t>地弹门</w:t>
            </w:r>
            <w:r>
              <w:rPr>
                <w:rFonts w:hint="eastAsia" w:ascii="宋体" w:hAnsi="宋体" w:cs="宋体"/>
                <w:bCs/>
                <w:color w:val="000000" w:themeColor="text1"/>
                <w:highlight w:val="none"/>
                <w14:textFill>
                  <w14:solidFill>
                    <w14:schemeClr w14:val="tx1"/>
                  </w14:solidFill>
                </w14:textFill>
              </w:rPr>
              <w:t>6+12A+6</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Low-e中空玻璃</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材料进场及施工要求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A、热浸镀锌拉片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B、型材：各不同型号300mm长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C、玻璃：各不同型号600mmx600mm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D、五金配件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E、毛条：300mm长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F、发泡胶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G、密封胶：300mm长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H、密封胶条：300mm长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I、铝材色卡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G、防雷连接件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K、把手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L、锁具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M、不锈钢螺钉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上述材料除须同时提交相关厂家资料及检测报告，所有封样材料必须进行三方会签方可使用。承包方应确保所有进场施工材料之厂家、规格、型号为甲方及监理所审批认可。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7.3门窗施工前应按当地的有关规定抽验，进行抗风压、气密、水密、保温、隔音等性能的检测试验，合格后方可大面积施工。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7.4乙方施工进度及顺序应满足总包的要求和管理，采用净口安装，从上到下分层施工。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7.5图纸深化及洞口量尺要求：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w:t>
      </w:r>
      <w:r>
        <w:rPr>
          <w:rFonts w:hint="eastAsia" w:ascii="宋体" w:hAnsi="宋体" w:cs="宋体"/>
          <w:bCs/>
          <w:color w:val="000000" w:themeColor="text1"/>
          <w:sz w:val="24"/>
          <w:szCs w:val="24"/>
          <w:highlight w:val="none"/>
          <w:lang w:eastAsia="zh-CN"/>
          <w14:textFill>
            <w14:solidFill>
              <w14:schemeClr w14:val="tx1"/>
            </w14:solidFill>
          </w14:textFill>
        </w:rPr>
        <w:t>设计部门</w:t>
      </w:r>
      <w:r>
        <w:rPr>
          <w:rFonts w:hint="eastAsia" w:ascii="宋体" w:hAnsi="宋体" w:eastAsia="宋体" w:cs="宋体"/>
          <w:bCs/>
          <w:color w:val="000000" w:themeColor="text1"/>
          <w:sz w:val="24"/>
          <w:szCs w:val="24"/>
          <w:highlight w:val="none"/>
          <w14:textFill>
            <w14:solidFill>
              <w14:schemeClr w14:val="tx1"/>
            </w14:solidFill>
          </w14:textFill>
        </w:rPr>
        <w:t>签字确认后方可按有关图纸进行加工工作，否则所有返工将由乙方负责。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7.6乙方安装门窗前，需核对图纸查验门窗开启是否与结构梁或各种管道有打架、碰撞的情况，如遇到该情况，需及时向监理及甲方汇报，否则，因为该项失误造成的经济损失，甲方概不负责，均由乙方自理。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7.7防水性能要求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7.7.1铝合金外门窗铝型材接缝处均应打上防水胶做防水处理，并应保持美观；所有型材对接和螺钉、拉铆钉固定处要求打玻璃胶。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7.7.2铝合金外门窗框料的适当处设置排水孔；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7.7.3方通上端头须封堵，避免方通内积水；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7.8现场安装所有门窗塞缝完毕后应通知监理工程师检查验收作好隐蔽记录。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7.9乙方须先做样品门窗提交甲方审核后方可在工厂批量加工，甲方将不定期到工厂检查加工的质量和进度。所有门、窗框与墙体连接处室外需打防水耐候胶密封（必须填充聚氨酯发泡剂），室内需打嵌缝胶密封。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7.10推拉门和推拉窗要求装防盗块（防风掉落块）、防撞块、铝滑轨，在光、勾企（扇竖料）处上下密封有漏洞处加装密封件密封。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7.11现场安装（包括周边塞缝和防水）必须先做实体样板间，经过总包、甲方及监理工程师的验收后才可大面积施工。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7.12乙方铝材表面要作好成品保护直至工程竣工验收后移交完毕。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7.13工程完工后，除按规范、标准要求验收外，外门窗还必须进行淋水试验验收（乙方提前报淋水方案报甲方、监理审核）。在移交给业主前，全部门窗进行清洁（仅一次）、调整、达到正常使用功能并符合相应的国家及地方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7.14送审要求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在正式大规模施工前，乙方必须通过甲方及监理对下列项目之审批方可进行大面积施工：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A、性能测试合格报告(此项施工单可与施工同步进行但须负责因日后报告不合格所发生之所有责任)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B、施工组织设计（施工单位总工签字盖章的质量控制体系、质量控制措施、成品保护措施、工期保证措施必须具备）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C、材料送审、实体模型、现场样板层工艺样板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D、深化施工图、结构计算书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E、玻璃生产厂家报告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F、铝材生产厂家报告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G、胶条生产厂家报告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H、硅酮胶生产厂家报告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7.15 施工组织设计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7.16乙方须按合同要求提供整套实物原大样板包括窗框及窗扇及其它配件以便观察各构件及配件之安装情况予甲方及监理审批。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7.17工程完工后，除按规范、标准要求验收外，外门窗还必须进行淋水试验验收。试水位置主要包括窗周边，施工单位须提供淋水试验的相关人员、材料及工具并提交所须淋水方案予以审批，内容包括：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A、淋水流程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B、人手、水泵、供水及喷水量要求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C、压力要求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D、每樘窗试水时间要求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E、渗漏分析及整改方案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F、安全及文明施工保证措施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7.18所有未能通过验收之施工必须进行整改工作，整改工作必须有全过程记录包括过程照片记录。整改工作完成后乙方须提交有关资料予甲方及监理要求复检，复检验收合格后方可进行下一度工序。施工单便须妥善保存所有施工记录包括自检及整改记录。甲方及监理将定时抽查。乙方必须针对甲方或监理发出有关整改之函件及时作出回复，否则将按罚款条款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7.20乙方必须通过以下验收程序方可进行下一道工序。请注意当有关规范、法规、标准或合同内出现差异及矛盾时，应以现行的规范为准。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7.21洞口检查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A、在进行任何加工工作之前，铝门窗施工单位应对现有土建结构洞口进行尺寸复核并提交相关报告予甲方及监理审核。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C、检查洞口基层是否滿足安装要求。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D、制作各户窗表，方便现场检查及核对各窗形尺寸。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E、窗框与洞口之间隙不得少于15mm不得超过30mm。过大之洞口必须使用同标号细石混凝土填塞后方可进行窗框安装工作。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F、所有普查及整改工作必须有全过程记录。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铝门窗框安装及锚固件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B、检查平整度、垂直度及对角度。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C、窗框安装必须牢固，膨胀螺栓不能牢固于抹灰及砖缝上。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D、固定拉片射钉位置应在钢筋混凝土位置或预制混凝土块，否则必须采用膨胀螺钉固定。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E、固定拉片必须为热镀锌，并检查是否有生锈现象。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F、锚固件之间的间距不应大于500mm，锚固件距墙角不得大于200mm。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G、外框成品保护必须采用三面包裝方式，如保护膜脱落必须重新补贴。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H、防雷连接必须满足有关要求。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I、乙方须核对窗及门扇之开启方向并确定窗门扇及框之安装位置。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填塞及收口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A、乙须确保填塞材料为审批品牌及型号。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B、发泡胶填塞以及收口施工完毕后必须通过隐蔽验收方可进行下一道工序。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trike/>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C、发泡胶填塞收口必须密实。发泡胶填塞应控制在1~1.5cm之间，不得大于1.5cm。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铝门窗最终实物检查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A、乙方须提交最终自检报告予甲方及监理审核。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B、检查铝材表面污染、划痕、碰伤、色差、并缝空隙。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C、检查五金件齐全、是否审批品牌、安装牢固包括螺钉是否松动或脱落、开启灵活。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D、检查密封胶条是位松脱、顺直且不得间断。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E、检查结构胶和密封胶胶形呈45度、顺直、平整及不得间断，密封胶颜色需经甲方及监理同意方可采用。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F、窗扇开启方向正确且开启畅顺，检查门窗关闭时，框与扇无明显缝隙以及关闭紧密。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G、检查玻璃材料表面污染、划痕、碰伤、所须3C标志及色差。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乙方须安排足够人手包括验收、调试及整改人手以配合甲方及监理之最终验收。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8、产品包装和保护要求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8.1在产品明显部位应注明产品标志：制造厂名或商标、产品名称、产品型号规格、安装部位、制造日期、编号等。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8.3门窗安装时外框四周采用三面包装方式，即：除与墙体接触的部位外均采用纸质或胶带包装，与墙体接触的部位不进行包装，门窗外框与墙体间隙注胶（发泡剂）完毕后直到装玻璃前方能去除包装物。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8.5在完成正式验收之前，乙方承担成品保护的责任。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8.6铝门窗进入施工现埸后应立即安放于室内竖直摆放，材料不能接触地面，底部用枕木垫起高于地面100mm以上，严禁与酸、碱性材料一起存放，室内应整洁、干燥及通风。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8.7乙方应注意门窗施工单位自身及其它施工单位于进行焊接作业时，应采取有效措施，防止电焊火花损坏周围的铝门窗型材、玻璃、附件等材料。</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8.8</w:t>
      </w:r>
      <w:r>
        <w:rPr>
          <w:rFonts w:hint="eastAsia" w:ascii="宋体" w:hAnsi="宋体" w:cs="宋体"/>
          <w:bCs/>
          <w:color w:val="000000" w:themeColor="text1"/>
          <w:sz w:val="24"/>
          <w:szCs w:val="24"/>
          <w:highlight w:val="none"/>
          <w:lang w:val="en-US" w:eastAsia="zh-CN"/>
          <w14:textFill>
            <w14:solidFill>
              <w14:schemeClr w14:val="tx1"/>
            </w14:solidFill>
          </w14:textFill>
        </w:rPr>
        <w:t>乙方材料进场后，甲方会随机对材料进行四次破坏性试验抽查，所产生的费用由乙方自行承担。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消防验收通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2、验收中如发现不合格需返工或修补的部分，乙方应及时进行整改，在规定期限内完成。经验收合格后再进行移交。由此发生的费用由乙方承担；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4、双方应及时办理工程检查验收手续，分项工程完成后乙方应及时向监理单位报验，由监理单位组织甲方、乙方共同验收，并办理验收手续；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5、工程全部完工后，乙方提交铝合金工程竣工验收申请后14日历天内，甲方组织进行竣工验收，并开具竣工验收意见。如因甲方原因不能组织竣工验收，视为铝合金工程竣工验收合格。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6、工程验收合格后，乙方负责按工程竣工资料归档要求，提交满足洛阳市建筑工程质量监督站对技术资料的要求的交竣工资料肆套，把有关资料送交甲方。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八、结算办法：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1、结算时依据图纸和现场实际情况，结算总价＝</w:t>
      </w:r>
      <w:r>
        <w:rPr>
          <w:rFonts w:hint="eastAsia" w:ascii="宋体" w:hAnsi="宋体" w:eastAsia="宋体" w:cs="宋体"/>
          <w:bCs/>
          <w:color w:val="000000" w:themeColor="text1"/>
          <w:sz w:val="24"/>
          <w:szCs w:val="24"/>
          <w:highlight w:val="none"/>
          <w:u w:val="single"/>
          <w14:textFill>
            <w14:solidFill>
              <w14:schemeClr w14:val="tx1"/>
            </w14:solidFill>
          </w14:textFill>
        </w:rPr>
        <w:t>固定综合单价×</w:t>
      </w:r>
      <w:r>
        <w:rPr>
          <w:rFonts w:hint="eastAsia" w:ascii="宋体" w:hAnsi="宋体" w:eastAsia="宋体" w:cs="宋体"/>
          <w:color w:val="000000" w:themeColor="text1"/>
          <w:sz w:val="24"/>
          <w:szCs w:val="24"/>
          <w:highlight w:val="none"/>
          <w:u w:val="single"/>
          <w14:textFill>
            <w14:solidFill>
              <w14:schemeClr w14:val="tx1"/>
            </w14:solidFill>
          </w14:textFill>
        </w:rPr>
        <w:t>施工图的门窗洞净口面积</w:t>
      </w:r>
      <w:r>
        <w:rPr>
          <w:rFonts w:hint="eastAsia" w:ascii="宋体" w:hAnsi="宋体" w:eastAsia="宋体" w:cs="宋体"/>
          <w:bCs/>
          <w:color w:val="000000" w:themeColor="text1"/>
          <w:sz w:val="24"/>
          <w:szCs w:val="24"/>
          <w:highlight w:val="none"/>
          <w:u w:val="single"/>
          <w14:textFill>
            <w14:solidFill>
              <w14:schemeClr w14:val="tx1"/>
            </w14:solidFill>
          </w14:textFill>
        </w:rPr>
        <w:t>±变更签证造价-其他应扣费用</w:t>
      </w:r>
      <w:r>
        <w:rPr>
          <w:rFonts w:hint="eastAsia" w:ascii="宋体" w:hAnsi="宋体" w:eastAsia="宋体" w:cs="宋体"/>
          <w:bCs/>
          <w:color w:val="000000" w:themeColor="text1"/>
          <w:sz w:val="24"/>
          <w:szCs w:val="24"/>
          <w:highlight w:val="none"/>
          <w14:textFill>
            <w14:solidFill>
              <w14:schemeClr w14:val="tx1"/>
            </w14:solidFill>
          </w14:textFill>
        </w:rPr>
        <w:t xml:space="preserve">，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2、甲方应在接到完成竣工结算资料起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28个 </w:t>
      </w:r>
      <w:r>
        <w:rPr>
          <w:rFonts w:hint="eastAsia" w:ascii="宋体" w:hAnsi="宋体" w:eastAsia="宋体" w:cs="宋体"/>
          <w:bCs/>
          <w:color w:val="000000" w:themeColor="text1"/>
          <w:sz w:val="24"/>
          <w:szCs w:val="24"/>
          <w:highlight w:val="none"/>
          <w14:textFill>
            <w14:solidFill>
              <w14:schemeClr w14:val="tx1"/>
            </w14:solidFill>
          </w14:textFill>
        </w:rPr>
        <w:t xml:space="preserve">工作日内进行核对（审查）并提出书面审查意见。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乙方报送结算书应诚实准确，若最终审减额超过结算金额的5%，则需要乙方向甲方支付超出部分费用的3%作为扣款，在结算报告中一次扣除。</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九、工程价款支付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本合同不安排预付款；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分批施工，分批付款。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2.1、每栋楼门及窗框安装完成并经甲方、监理验收合格后，支付至已完工程对应门窗总造价的40%；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2.2、每栋楼门及窗扇、玻璃安装完成并经甲方、监理验收合格后，支付至已完工程对应门窗总造价的80%；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2.3、每栋楼门窗工程含纱窗全部完工并经甲方、监理验收合格后，支付已完工程量的80%。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2.4、工程全部完工后30日内乙方应向甲方提交竣工资料、验收、结算等所有文件并经甲方确认,甲乙双方办理正式竣工验收和结算手续后付至合同结算款的95%。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2.5、余款5%作为保修金，若乙方无违约行为，甲方在保修期(2年)满10个工作日内会同甲方指定的物业管理公司组织复检并办理保修终结手续后向乙方无息支付。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在领取每一次工程款前须提供相应等额有效的增值税专用发票，该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十、双方责任与义务：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1、甲方的责任与义务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1.2甲方委派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13683791319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1.7甲方指定的分格或要求应在乙方生产前7日内以书面形式通知乙方，乙方开始生产后甲方如要求变更尺寸和分格，损失由甲方承担。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1.8甲方对进场材料及施工成品、半成品达不到标准要求，有权责令乙方调换。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2.2乙方委派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常国浩</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，联系电话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13213612821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2.3乙方在合同签定后5天内，向甲方提供门窗深化设计图，经甲方审核同意后，由乙方盖章后，一式伍份提交甲方。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2.5乙方应按甲方提供的图纸进行产品设计，确保工程质量；并保证使用本工程的产品符合国家现行标准；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2.6乙方不得将该工程转包或分包，否则甲方不支付乙方所发生的任何费用；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2.7按照施工安全规范的要求，采取相应的安全施工防护措施，在现场施工中对安全负全责，发生安全事故与甲方及总包单位无关，一切责任由乙方承担；做到文明施工，工完料清、场清</w:t>
      </w:r>
      <w:r>
        <w:rPr>
          <w:rFonts w:hint="eastAsia" w:ascii="宋体" w:hAnsi="宋体" w:cs="宋体"/>
          <w:color w:val="000000" w:themeColor="text1"/>
          <w:sz w:val="24"/>
          <w:szCs w:val="24"/>
          <w:highlight w:val="none"/>
          <w:lang w:eastAsia="zh-CN"/>
          <w14:textFill>
            <w14:solidFill>
              <w14:schemeClr w14:val="tx1"/>
            </w14:solidFill>
          </w14:textFill>
        </w:rPr>
        <w:t>，施工中产生的垃圾集中堆放后统一清运出场，费用自理</w:t>
      </w:r>
      <w:r>
        <w:rPr>
          <w:rFonts w:hint="eastAsia" w:ascii="宋体" w:hAnsi="宋体" w:eastAsia="宋体" w:cs="宋体"/>
          <w:color w:val="000000" w:themeColor="text1"/>
          <w:sz w:val="24"/>
          <w:szCs w:val="24"/>
          <w:highlight w:val="none"/>
          <w14:textFill>
            <w14:solidFill>
              <w14:schemeClr w14:val="tx1"/>
            </w14:solidFill>
          </w14:textFill>
        </w:rPr>
        <w:t>；乙方做好半成品保护工作；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2.10依据规范要求，负责组织工程验收及铝合金门窗检测，检测费由乙方自理；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2.12断热铝合金门窗必须通过五性监测且达到国家标准。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2.13门窗分割需做风压计算，如强度未能满足要求需整改所产生的费用由乙方承担。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2.14甲方提供水源电源接驳点，水电费由乙方自行承担。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十一、安全施工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1、乙方要确保安全施工，派专人负责具体的安全工作，每</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对现场工人进行安全教育并留影音资料上传至管理群，严防安全隐患，杜绝伤亡事故和火灾的发生。如发生事故，全部责任由乙方承担，与甲方无关，乙方同时保护现场并及时上报有关部门。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6、乙方需遵守甲方、监理及总包单位的相关安全规程制度和《62#地块现场管理办法》，否则相关各方有权视情形予以经济处罚</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1、乙方在施工中要服从甲方及监理人员的统一指挥，做好防尘防噪措施，各项措施和管理达到示范工程标准。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1、设备、材料采购由乙方负责。设备、材料品牌、规格型号必须按甲方品牌要求进行采购。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十四、工程变更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2、施工过程中，若甲方需要增减项目或变更项目应提前以书面形式通知乙方。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十五、不可抗力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1、不可抗力指因战争、动乱、瘟疫、空中飞行物坠落或其他非双方责任造成的爆炸、火灾以及9级以上的台风、7级及7级以上的地震等。（以当地行业主管部门的公告为准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3、因灾害所需清理修复工作的费用由双方承担：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①、人员伤亡由所属单位负责，并承担相应费用；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②、造成乙方工程设备、机械的损失等损失由乙方承担；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十六、质保期</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本工程的质保期为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两 </w:t>
      </w:r>
      <w:r>
        <w:rPr>
          <w:rFonts w:hint="eastAsia" w:ascii="宋体" w:hAnsi="宋体" w:eastAsia="宋体" w:cs="宋体"/>
          <w:color w:val="000000" w:themeColor="text1"/>
          <w:sz w:val="24"/>
          <w:szCs w:val="24"/>
          <w:highlight w:val="none"/>
          <w14:textFill>
            <w14:solidFill>
              <w14:schemeClr w14:val="tx1"/>
            </w14:solidFill>
          </w14:textFill>
        </w:rPr>
        <w:t>年，自通过甲方验收之日起计。保修期内若有施工质量问题，乙方必须在接到通知后的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十七、</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2、若</w:t>
      </w:r>
      <w:r>
        <w:rPr>
          <w:rFonts w:hint="eastAsia" w:ascii="宋体" w:hAnsi="宋体" w:eastAsia="宋体" w:cs="宋体"/>
          <w:color w:val="000000" w:themeColor="text1"/>
          <w:spacing w:val="-2"/>
          <w:sz w:val="24"/>
          <w:szCs w:val="24"/>
          <w:highlight w:val="none"/>
          <w14:textFill>
            <w14:solidFill>
              <w14:schemeClr w14:val="tx1"/>
            </w14:solidFill>
          </w14:textFill>
        </w:rPr>
        <w:t>乙方未能按本合同约定工期完工，视为乙方违约，每逾期一天，按本合同暂定总价款的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壹倍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十八、送达条款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送达地址：洛阳市洛龙区开元大道1号开元壹号营销中心三楼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联系人及联系方式：</w:t>
      </w:r>
      <w:r>
        <w:rPr>
          <w:rFonts w:hint="eastAsia" w:ascii="宋体" w:hAnsi="宋体" w:eastAsia="宋体" w:cs="宋体"/>
          <w:bCs/>
          <w:color w:val="000000" w:themeColor="text1"/>
          <w:sz w:val="24"/>
          <w:szCs w:val="24"/>
          <w:highlight w:val="none"/>
          <w14:textFill>
            <w14:solidFill>
              <w14:schemeClr w14:val="tx1"/>
            </w14:solidFill>
          </w14:textFill>
        </w:rPr>
        <w:t>0379-69916601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送达地址：洛阳市西工区九都路58号7号楼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联系人及联系方式：</w:t>
      </w:r>
      <w:r>
        <w:rPr>
          <w:rFonts w:hint="eastAsia" w:ascii="宋体" w:hAnsi="宋体" w:eastAsia="宋体" w:cs="宋体"/>
          <w:color w:val="000000" w:themeColor="text1"/>
          <w:sz w:val="24"/>
          <w:szCs w:val="24"/>
          <w:highlight w:val="none"/>
          <w:lang w:eastAsia="zh-CN"/>
          <w14:textFill>
            <w14:solidFill>
              <w14:schemeClr w14:val="tx1"/>
            </w14:solidFill>
          </w14:textFill>
        </w:rPr>
        <w:t>常国浩，</w:t>
      </w:r>
      <w:r>
        <w:rPr>
          <w:rFonts w:hint="eastAsia" w:ascii="宋体" w:hAnsi="宋体" w:eastAsia="宋体" w:cs="宋体"/>
          <w:color w:val="000000" w:themeColor="text1"/>
          <w:sz w:val="24"/>
          <w:szCs w:val="24"/>
          <w:highlight w:val="none"/>
          <w:lang w:val="en-US" w:eastAsia="zh-CN"/>
          <w14:textFill>
            <w14:solidFill>
              <w14:schemeClr w14:val="tx1"/>
            </w14:solidFill>
          </w14:textFill>
        </w:rPr>
        <w:t>13213612821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十九、</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2、对发票不合规的约定</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4、合同其它税务约定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如果获得开具的汇总专用发票，则乙方应提供其防伪税控系统开具的《销售货物或者提供应税劳务清单》，并加盖发票专用章。</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eastAsia="宋体" w:cs="宋体"/>
          <w:b/>
          <w:color w:val="000000" w:themeColor="text1"/>
          <w:sz w:val="24"/>
          <w:szCs w:val="24"/>
          <w:highlight w:val="none"/>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凡因执行本合同所发生的或与本合同有关的一切争议，合同各方应通过友好协商解决；如果协商不能解决，任何一方均可向甲方所在地人民法院提起诉讼。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有下列情形之一的，合同权利义务</w:t>
      </w:r>
      <w:r>
        <w:rPr>
          <w:rFonts w:hint="eastAsia" w:ascii="宋体" w:hAnsi="宋体" w:eastAsia="宋体" w:cs="宋体"/>
          <w:color w:val="000000" w:themeColor="text1"/>
          <w:spacing w:val="8"/>
          <w:sz w:val="24"/>
          <w:szCs w:val="24"/>
          <w:highlight w:val="none"/>
          <w14:textFill>
            <w14:solidFill>
              <w14:schemeClr w14:val="tx1"/>
            </w14:solidFill>
          </w14:textFill>
        </w:rPr>
        <w:t>终止：</w:t>
      </w:r>
    </w:p>
    <w:p>
      <w:pPr>
        <w:keepNext w:val="0"/>
        <w:keepLines w:val="0"/>
        <w:pageBreakBefore w:val="0"/>
        <w:widowControl w:val="0"/>
        <w:tabs>
          <w:tab w:val="left" w:pos="1110"/>
        </w:tabs>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1、本合同因已按约定履行完毕而自然终止；</w:t>
      </w:r>
    </w:p>
    <w:p>
      <w:pPr>
        <w:keepNext w:val="0"/>
        <w:keepLines w:val="0"/>
        <w:pageBreakBefore w:val="0"/>
        <w:widowControl w:val="0"/>
        <w:tabs>
          <w:tab w:val="left" w:pos="1110"/>
        </w:tabs>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2、本合同经各方协商一致而终止；</w:t>
      </w:r>
    </w:p>
    <w:p>
      <w:pPr>
        <w:keepNext w:val="0"/>
        <w:keepLines w:val="0"/>
        <w:pageBreakBefore w:val="0"/>
        <w:widowControl w:val="0"/>
        <w:tabs>
          <w:tab w:val="left" w:pos="1110"/>
        </w:tabs>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3、本合同因一方违约或因一方有不正当竞争行为或因一方擅自转让本合同项下权利义务而终止；</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pacing w:val="8"/>
          <w:sz w:val="24"/>
          <w:szCs w:val="24"/>
          <w:highlight w:val="none"/>
          <w14:textFill>
            <w14:solidFill>
              <w14:schemeClr w14:val="tx1"/>
            </w14:solidFill>
          </w14:textFill>
        </w:rPr>
      </w:pPr>
      <w:r>
        <w:rPr>
          <w:rFonts w:hint="eastAsia" w:ascii="宋体" w:hAnsi="宋体" w:eastAsia="宋体" w:cs="宋体"/>
          <w:b/>
          <w:color w:val="000000" w:themeColor="text1"/>
          <w:spacing w:val="8"/>
          <w:sz w:val="24"/>
          <w:szCs w:val="24"/>
          <w:highlight w:val="none"/>
          <w14:textFill>
            <w14:solidFill>
              <w14:schemeClr w14:val="tx1"/>
            </w14:solidFill>
          </w14:textFill>
        </w:rPr>
        <w:t>二十二、履约保证金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乙方自合同签订后3日内，一次性提交合同暂定总额2%的合同履约保证金，甲方在本工程完成验收合格、乙方按时交付甲方、无任何违约情形后30天内无息退还乙方。在乙方未按合同约定履行义务的情况下，甲方有权在履约保证金中扣除乙方应支付的违约金和对甲方造成的损失。履约保证金不足部分，由乙方按甲方要求时间补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2、甲方无需对此履约保证金向乙方开具发票。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二十三、其他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柒 </w:t>
      </w:r>
      <w:r>
        <w:rPr>
          <w:rFonts w:hint="eastAsia" w:ascii="宋体" w:hAnsi="宋体" w:eastAsia="宋体" w:cs="宋体"/>
          <w:color w:val="000000" w:themeColor="text1"/>
          <w:sz w:val="24"/>
          <w:szCs w:val="24"/>
          <w:highlight w:val="none"/>
          <w14:textFill>
            <w14:solidFill>
              <w14:schemeClr w14:val="tx1"/>
            </w14:solidFill>
          </w14:textFill>
        </w:rPr>
        <w:t>份，甲方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伍 </w:t>
      </w:r>
      <w:r>
        <w:rPr>
          <w:rFonts w:hint="eastAsia" w:ascii="宋体" w:hAnsi="宋体" w:eastAsia="宋体" w:cs="宋体"/>
          <w:color w:val="000000" w:themeColor="text1"/>
          <w:sz w:val="24"/>
          <w:szCs w:val="24"/>
          <w:highlight w:val="none"/>
          <w14:textFill>
            <w14:solidFill>
              <w14:schemeClr w14:val="tx1"/>
            </w14:solidFill>
          </w14:textFill>
        </w:rPr>
        <w:t>份，乙方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贰 </w:t>
      </w:r>
      <w:r>
        <w:rPr>
          <w:rFonts w:hint="eastAsia" w:ascii="宋体" w:hAnsi="宋体" w:eastAsia="宋体" w:cs="宋体"/>
          <w:color w:val="000000" w:themeColor="text1"/>
          <w:sz w:val="24"/>
          <w:szCs w:val="24"/>
          <w:highlight w:val="none"/>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4、本合同及其补充协议自双方签字或盖章之日起生效，并在保修期限届满结清余款之日起自行终止。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cs="宋体"/>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二十四</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附件一：工程量清单及报价</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附件二：门窗工程施工进度计划表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方：洛阳浩德鑫置地有限公司   乙     方：河南明安建设集团有限公司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bCs/>
          <w:color w:val="000000" w:themeColor="text1"/>
          <w:sz w:val="24"/>
          <w:szCs w:val="24"/>
          <w:highlight w:val="none"/>
          <w14:textFill>
            <w14:solidFill>
              <w14:schemeClr w14:val="tx1"/>
            </w14:solidFill>
          </w14:textFill>
        </w:rPr>
        <w:t xml:space="preserve">工商银行洛阳龙门支行        </w:t>
      </w:r>
      <w:r>
        <w:rPr>
          <w:rFonts w:hint="eastAsia" w:ascii="宋体" w:hAnsi="宋体" w:eastAsia="宋体" w:cs="宋体"/>
          <w:color w:val="000000" w:themeColor="text1"/>
          <w:sz w:val="24"/>
          <w:szCs w:val="24"/>
          <w:highlight w:val="none"/>
          <w14:textFill>
            <w14:solidFill>
              <w14:schemeClr w14:val="tx1"/>
            </w14:solidFill>
          </w14:textFill>
        </w:rPr>
        <w:t xml:space="preserve"> 开户行：</w:t>
      </w:r>
      <w:r>
        <w:rPr>
          <w:rFonts w:hint="eastAsia" w:ascii="宋体" w:hAnsi="宋体" w:cs="宋体"/>
          <w:color w:val="000000" w:themeColor="text1"/>
          <w:sz w:val="24"/>
          <w:szCs w:val="24"/>
          <w:highlight w:val="none"/>
          <w:lang w:eastAsia="zh-CN"/>
          <w14:textFill>
            <w14:solidFill>
              <w14:schemeClr w14:val="tx1"/>
            </w14:solidFill>
          </w14:textFill>
        </w:rPr>
        <w:t>中行洛阳分行西工支行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bookmarkStart w:id="0" w:name="_Hlk29048930"/>
      <w:r>
        <w:rPr>
          <w:rFonts w:hint="eastAsia" w:ascii="宋体" w:hAnsi="宋体" w:eastAsia="宋体" w:cs="宋体"/>
          <w:bCs/>
          <w:color w:val="000000" w:themeColor="text1"/>
          <w:sz w:val="24"/>
          <w:szCs w:val="24"/>
          <w:highlight w:val="none"/>
          <w14:textFill>
            <w14:solidFill>
              <w14:schemeClr w14:val="tx1"/>
            </w14:solidFill>
          </w14:textFill>
        </w:rPr>
        <w:t>1705</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3229</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1920</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0010</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201</w:t>
      </w:r>
      <w:bookmarkEnd w:id="0"/>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账  号：</w:t>
      </w:r>
      <w:r>
        <w:rPr>
          <w:rFonts w:hint="eastAsia" w:ascii="宋体" w:hAnsi="宋体" w:cs="宋体"/>
          <w:color w:val="000000" w:themeColor="text1"/>
          <w:sz w:val="24"/>
          <w:szCs w:val="24"/>
          <w:highlight w:val="none"/>
          <w:lang w:val="en-US" w:eastAsia="zh-CN"/>
          <w14:textFill>
            <w14:solidFill>
              <w14:schemeClr w14:val="tx1"/>
            </w14:solidFill>
          </w14:textFill>
        </w:rPr>
        <w:t>2585 0346 6223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  号：914103005542480325           税  号：</w:t>
      </w:r>
      <w:r>
        <w:rPr>
          <w:rFonts w:hint="eastAsia" w:ascii="宋体" w:hAnsi="宋体" w:cs="宋体"/>
          <w:color w:val="000000" w:themeColor="text1"/>
          <w:sz w:val="24"/>
          <w:szCs w:val="24"/>
          <w:highlight w:val="none"/>
          <w:lang w:val="en-US" w:eastAsia="zh-CN"/>
          <w14:textFill>
            <w14:solidFill>
              <w14:schemeClr w14:val="tx1"/>
            </w14:solidFill>
          </w14:textFill>
        </w:rPr>
        <w:t>9141030017112864XX</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2021年06月  日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2021年06月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附件一：</w:t>
      </w:r>
    </w:p>
    <w:tbl>
      <w:tblPr>
        <w:tblStyle w:val="9"/>
        <w:tblW w:w="9362" w:type="dxa"/>
        <w:tblInd w:w="1" w:type="dxa"/>
        <w:shd w:val="clear" w:color="auto" w:fill="auto"/>
        <w:tblLayout w:type="autofit"/>
        <w:tblCellMar>
          <w:top w:w="0" w:type="dxa"/>
          <w:left w:w="108" w:type="dxa"/>
          <w:bottom w:w="0" w:type="dxa"/>
          <w:right w:w="108" w:type="dxa"/>
        </w:tblCellMar>
      </w:tblPr>
      <w:tblGrid>
        <w:gridCol w:w="752"/>
        <w:gridCol w:w="3180"/>
        <w:gridCol w:w="2475"/>
        <w:gridCol w:w="2955"/>
      </w:tblGrid>
      <w:tr>
        <w:tblPrEx>
          <w:shd w:val="clear" w:color="auto" w:fill="auto"/>
          <w:tblCellMar>
            <w:top w:w="0" w:type="dxa"/>
            <w:left w:w="108" w:type="dxa"/>
            <w:bottom w:w="0" w:type="dxa"/>
            <w:right w:w="108" w:type="dxa"/>
          </w:tblCellMar>
        </w:tblPrEx>
        <w:trPr>
          <w:trHeight w:val="1140" w:hRule="atLeast"/>
        </w:trPr>
        <w:tc>
          <w:tcPr>
            <w:tcW w:w="9362" w:type="dxa"/>
            <w:gridSpan w:val="4"/>
            <w:tcBorders>
              <w:top w:val="nil"/>
              <w:left w:val="nil"/>
              <w:bottom w:val="nil"/>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32"/>
                <w:szCs w:val="32"/>
                <w:highlight w:val="none"/>
                <w:u w:val="none"/>
                <w14:textFill>
                  <w14:solidFill>
                    <w14:schemeClr w14:val="tx1"/>
                  </w14:solidFill>
                </w14:textFill>
              </w:rPr>
            </w:pPr>
            <w:r>
              <w:rPr>
                <w:rStyle w:val="15"/>
                <w:color w:val="000000" w:themeColor="text1"/>
                <w:highlight w:val="none"/>
                <w:lang w:val="en-US" w:eastAsia="zh-CN" w:bidi="ar"/>
                <w14:textFill>
                  <w14:solidFill>
                    <w14:schemeClr w14:val="tx1"/>
                  </w14:solidFill>
                </w14:textFill>
              </w:rPr>
              <w:t>开元壹号62#地块51-57#楼、幼儿园断桥铝合金门窗</w:t>
            </w:r>
            <w:r>
              <w:rPr>
                <w:rStyle w:val="15"/>
                <w:color w:val="000000" w:themeColor="text1"/>
                <w:highlight w:val="none"/>
                <w:lang w:val="en-US" w:eastAsia="zh-CN" w:bidi="ar"/>
                <w14:textFill>
                  <w14:solidFill>
                    <w14:schemeClr w14:val="tx1"/>
                  </w14:solidFill>
                </w14:textFill>
              </w:rPr>
              <w:br w:type="textWrapping"/>
            </w:r>
            <w:r>
              <w:rPr>
                <w:rStyle w:val="15"/>
                <w:color w:val="000000" w:themeColor="text1"/>
                <w:highlight w:val="none"/>
                <w:lang w:val="en-US" w:eastAsia="zh-CN" w:bidi="ar"/>
                <w14:textFill>
                  <w14:solidFill>
                    <w14:schemeClr w14:val="tx1"/>
                  </w14:solidFill>
                </w14:textFill>
              </w:rPr>
              <w:t>工程造价汇总表</w:t>
            </w:r>
          </w:p>
        </w:tc>
      </w:tr>
      <w:tr>
        <w:tblPrEx>
          <w:tblCellMar>
            <w:top w:w="0" w:type="dxa"/>
            <w:left w:w="108" w:type="dxa"/>
            <w:bottom w:w="0" w:type="dxa"/>
            <w:right w:w="108" w:type="dxa"/>
          </w:tblCellMar>
        </w:tblPrEx>
        <w:trPr>
          <w:trHeight w:val="17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合价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4131949.47</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详见附件51#楼造价汇总表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3082723.3</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详见附件52#楼造价汇总表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2984328.39</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详见附件53#楼造价汇总表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4200619.41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详见附件56#楼造价汇总表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3848363.5</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详见附件57#楼造价汇总表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幼儿园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81217.35</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详见附件幼儿园造价汇总表 </w:t>
            </w:r>
          </w:p>
        </w:tc>
      </w:tr>
      <w:tr>
        <w:tblPrEx>
          <w:tblCellMar>
            <w:top w:w="0" w:type="dxa"/>
            <w:left w:w="108" w:type="dxa"/>
            <w:bottom w:w="0" w:type="dxa"/>
            <w:right w:w="108" w:type="dxa"/>
          </w:tblCellMar>
        </w:tblPrEx>
        <w:trPr>
          <w:trHeight w:val="493" w:hRule="atLeast"/>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18329201.42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05" w:hRule="atLeast"/>
        </w:trPr>
        <w:tc>
          <w:tcPr>
            <w:tcW w:w="9362" w:type="dxa"/>
            <w:gridSpan w:val="4"/>
            <w:tcBorders>
              <w:top w:val="single" w:color="000000"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32"/>
                <w:szCs w:val="32"/>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钢副框</w:t>
            </w:r>
            <w:r>
              <w:rPr>
                <w:rFonts w:hint="eastAsia" w:ascii="宋体" w:hAnsi="宋体" w:cs="宋体"/>
                <w:b/>
                <w:bCs/>
                <w:i w:val="0"/>
                <w:iCs w:val="0"/>
                <w:color w:val="000000" w:themeColor="text1"/>
                <w:kern w:val="0"/>
                <w:sz w:val="32"/>
                <w:szCs w:val="32"/>
                <w:highlight w:val="none"/>
                <w:u w:val="none"/>
                <w:lang w:val="en-US" w:eastAsia="zh-CN" w:bidi="ar"/>
                <w14:textFill>
                  <w14:solidFill>
                    <w14:schemeClr w14:val="tx1"/>
                  </w14:solidFill>
                </w14:textFill>
              </w:rPr>
              <w:t>制作安装固定全费用综合单价</w:t>
            </w:r>
          </w:p>
        </w:tc>
      </w:tr>
      <w:tr>
        <w:tblPrEx>
          <w:tblCellMar>
            <w:top w:w="0" w:type="dxa"/>
            <w:left w:w="108" w:type="dxa"/>
            <w:bottom w:w="0" w:type="dxa"/>
            <w:right w:w="108" w:type="dxa"/>
          </w:tblCellMar>
        </w:tblPrEx>
        <w:trPr>
          <w:trHeight w:val="680" w:hRule="atLeast"/>
        </w:trPr>
        <w:tc>
          <w:tcPr>
            <w:tcW w:w="75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钢副框60*50*1.5mm镀锌钢管（元/m）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元/m</w:t>
            </w:r>
          </w:p>
        </w:tc>
        <w:tc>
          <w:tcPr>
            <w:tcW w:w="2955" w:type="dxa"/>
            <w:vMerge w:val="restart"/>
            <w:tcBorders>
              <w:top w:val="single" w:color="000000" w:sz="4" w:space="0"/>
              <w:left w:val="single" w:color="000000" w:sz="4" w:space="0"/>
              <w:right w:val="single" w:color="auto" w:sz="4" w:space="0"/>
            </w:tcBorders>
            <w:shd w:val="clear" w:color="auto" w:fill="auto"/>
            <w:vAlign w:val="center"/>
          </w:tcPr>
          <w:p>
            <w:pP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t>窗户内侧颜色与窗户型材颜色保持一致，根据实际使用数量据实结算。</w:t>
            </w:r>
          </w:p>
        </w:tc>
      </w:tr>
      <w:tr>
        <w:tblPrEx>
          <w:tblCellMar>
            <w:top w:w="0" w:type="dxa"/>
            <w:left w:w="108" w:type="dxa"/>
            <w:bottom w:w="0" w:type="dxa"/>
            <w:right w:w="108" w:type="dxa"/>
          </w:tblCellMar>
        </w:tblPrEx>
        <w:trPr>
          <w:trHeight w:val="6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钢副框60*30*1.5mm镀锌钢管（元/m）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元/m</w:t>
            </w:r>
          </w:p>
        </w:tc>
        <w:tc>
          <w:tcPr>
            <w:tcW w:w="2955" w:type="dxa"/>
            <w:vMerge w:val="continue"/>
            <w:tcBorders>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pPr>
        <w:pStyle w:val="2"/>
        <w:rPr>
          <w:color w:val="000000" w:themeColor="text1"/>
          <w:highlight w:val="none"/>
          <w14:textFill>
            <w14:solidFill>
              <w14:schemeClr w14:val="tx1"/>
            </w14:solidFill>
          </w14:textFill>
        </w:rPr>
      </w:pPr>
    </w:p>
    <w:tbl>
      <w:tblPr>
        <w:tblStyle w:val="9"/>
        <w:tblW w:w="9389" w:type="dxa"/>
        <w:jc w:val="center"/>
        <w:shd w:val="clear" w:color="auto" w:fill="auto"/>
        <w:tblLayout w:type="fixed"/>
        <w:tblCellMar>
          <w:top w:w="0" w:type="dxa"/>
          <w:left w:w="108" w:type="dxa"/>
          <w:bottom w:w="0" w:type="dxa"/>
          <w:right w:w="108" w:type="dxa"/>
        </w:tblCellMar>
      </w:tblPr>
      <w:tblGrid>
        <w:gridCol w:w="713"/>
        <w:gridCol w:w="1866"/>
        <w:gridCol w:w="1016"/>
        <w:gridCol w:w="1120"/>
        <w:gridCol w:w="1200"/>
        <w:gridCol w:w="1224"/>
        <w:gridCol w:w="2250"/>
      </w:tblGrid>
      <w:tr>
        <w:tblPrEx>
          <w:shd w:val="clear" w:color="auto" w:fill="auto"/>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开元壹号62#地块51#楼门窗造价汇总表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610.49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147537.12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2965.56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561.97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1666555.75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1383.03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554.68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767139.08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397.79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567.74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225841.29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147.80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765.92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113202.98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762.04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5314.22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3056201.30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764.46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158510.78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9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749.10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449.02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339545.78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2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55系列断桥铝合金外上悬窗，玻璃6low-e+12A+6mm中空玻璃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515.40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62373.71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121.02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62373.71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1219.18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40793.76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991.24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99084.35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139.25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842.79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117358.51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957.89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146135.70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192.35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802.01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154266.62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617.58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557638.94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55系列断桥铝合金门联窗，玻璃6low-e+12A+6mm中空玻璃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514.97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71292.45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MLC2736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523.79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4991.72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597.00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27581.40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MLC2736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593.84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1959.67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197.47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105825.24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493.84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1600.04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47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426.08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8764.47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10364.51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6723.12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4131949.47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开元壹号62#地块52#楼门窗造价汇总表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265.83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162286.56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1482.78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833277.88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704.75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379148.45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228001.21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328.22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186343.62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431.76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240464.41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765.92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5476.33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178.37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762.04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605.23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1960.95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3813.15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2172884.48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145.41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934.38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135868.20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外平开（含纱窗）</w:t>
            </w:r>
          </w:p>
        </w:tc>
      </w:tr>
      <w:tr>
        <w:tblPrEx>
          <w:tblCellMar>
            <w:top w:w="0" w:type="dxa"/>
            <w:left w:w="108" w:type="dxa"/>
            <w:bottom w:w="0" w:type="dxa"/>
            <w:right w:w="108" w:type="dxa"/>
          </w:tblCellMar>
        </w:tblPrEx>
        <w:trPr>
          <w:trHeight w:val="7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97.19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74297.87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内平开，耐火完整性不低于1.0H（含纱窗）</w:t>
            </w:r>
          </w:p>
        </w:tc>
      </w:tr>
      <w:tr>
        <w:tblPrEx>
          <w:tblCellMar>
            <w:top w:w="0" w:type="dxa"/>
            <w:left w:w="108" w:type="dxa"/>
            <w:bottom w:w="0" w:type="dxa"/>
            <w:right w:w="108" w:type="dxa"/>
          </w:tblCellMar>
        </w:tblPrEx>
        <w:trPr>
          <w:trHeight w:val="8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241.67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内平开，耐火完整性不低于1.0H（含纱窗）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484.27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391201.07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99084.35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200.43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842.79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168920.40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783.91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62501.14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161981.96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5612.98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590.15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498100.83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38.41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420.53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16152.56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44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426.08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4384.36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20536.92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4936.27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3082723.30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开元壹号62#地块53#楼门窗造价汇总表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781.1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37820.86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890.66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2778.86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670.21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131059.57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804.39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7738.23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149997.39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209.80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726.32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152381.94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737.21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414289.90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979.64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527036.52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779.26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432239.94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868.52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493093.54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4076.84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2348436.75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750.52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14312.42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142.38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515.4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73382.65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33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568.3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2148.17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165.23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89843.24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7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659.82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9600.38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14.55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9600.38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C2114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4008.35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4008.35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6655.72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1107.74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87502.37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125.15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95265.83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C0717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945.8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53021.55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上悬外开窗，无转向框（含纱窗）</w:t>
            </w:r>
          </w:p>
        </w:tc>
      </w:tr>
      <w:tr>
        <w:tblPrEx>
          <w:tblCellMar>
            <w:top w:w="0" w:type="dxa"/>
            <w:left w:w="108" w:type="dxa"/>
            <w:bottom w:w="0" w:type="dxa"/>
            <w:right w:w="108" w:type="dxa"/>
          </w:tblCellMar>
        </w:tblPrEx>
        <w:trPr>
          <w:trHeight w:val="3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121117.38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7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75.09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912.55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68523.38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4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77129.30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379.88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319791.61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8930.80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固定窗（含纱窗）</w:t>
            </w:r>
          </w:p>
        </w:tc>
      </w:tr>
      <w:tr>
        <w:tblPrEx>
          <w:tblCellMar>
            <w:top w:w="0" w:type="dxa"/>
            <w:left w:w="108" w:type="dxa"/>
            <w:bottom w:w="0" w:type="dxa"/>
            <w:right w:w="108" w:type="dxa"/>
          </w:tblCellMar>
        </w:tblPrEx>
        <w:trPr>
          <w:trHeight w:val="44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417.63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3357.75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29.56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12288.55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4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100*44扁管断桥铝合金地弹门，玻璃6low-e+12A+6mm中空玻璃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64469.09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72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M1536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638.29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1244.67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37431.90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M1536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590.31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1948.02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193.14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105093.68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4990.02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2984328.39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开元壹号62#地块幼儿园门窗造价汇总表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55系列断桥铝合金内平开窗，玻璃6low-e+12A+6mm中空玻璃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591.53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6560.07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591.27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4085.68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497.21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1720.35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482.5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3821.40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558.93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8847.86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645.64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3357.33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582.76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4889.36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543.84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26501.32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5842.75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119.71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65626.12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3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55系列断桥铝合金中空节能门，玻璃6low-e+12A+6mm中空玻璃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LM0930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670.25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1729.25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LM1230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2607.71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19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LM1830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624.03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3282.40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7619.36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2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MLC2630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473.7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4647.00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MLC2630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608.95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3324.87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15.27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7971.87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146.29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81217.35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开元壹号62#地块56#楼门窗造价汇总表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36.83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1196.96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44084.04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1308.98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1230.44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393.33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312264.69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143.03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912.55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130522.03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C0914-c</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934.38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8913.99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724.36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123213.64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860.49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4577.81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105.79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84844.64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4920.55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253.75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154911.84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8415.65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C1514-c</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132.92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711.69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94597.83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726.32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149295.08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TC5517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735.17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513.29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377355.41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TC4217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1378.85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559.57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771563.09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ZC6117-a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750.22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502.75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377173.11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ZC6117-b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1578.44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505.84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798438.09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ZC6217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763.22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499.07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380900.21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605.23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3921.89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6689.62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3831144.03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7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158510.78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耐火窗（含纱窗）</w:t>
            </w:r>
          </w:p>
        </w:tc>
      </w:tr>
      <w:tr>
        <w:tblPrEx>
          <w:tblCellMar>
            <w:top w:w="0" w:type="dxa"/>
            <w:left w:w="108" w:type="dxa"/>
            <w:bottom w:w="0" w:type="dxa"/>
            <w:right w:w="108" w:type="dxa"/>
          </w:tblCellMar>
        </w:tblPrEx>
        <w:trPr>
          <w:trHeight w:val="37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257.78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193103.00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465.13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351613.78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2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7197.79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4200619.41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开元壹号62#地块57#楼门窗造价汇总表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1219.18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19153.32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95981.77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163.51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842.79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137804.59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957.89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70788.07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765.92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116848.76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198.76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159407.51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243.68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148764.20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9822.91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345.31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191536.55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616.58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350057.13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108697.98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569.06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116958.90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345.31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513.29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177244.17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416638.94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398860.41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443.98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222376.26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516.15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207094.86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443.98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222376.26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725.16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964.46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409.47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962.25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LT-13-a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933.75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LT-13-b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666.25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1918.80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762.04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426.08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6574.41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420.53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8074.18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5660.73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3325765.51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31495.75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耐火窗（含纱窗）</w:t>
            </w:r>
          </w:p>
        </w:tc>
      </w:tr>
      <w:tr>
        <w:tblPrEx>
          <w:tblCellMar>
            <w:top w:w="0" w:type="dxa"/>
            <w:left w:w="108" w:type="dxa"/>
            <w:bottom w:w="0" w:type="dxa"/>
            <w:right w:w="108" w:type="dxa"/>
          </w:tblCellMar>
        </w:tblPrEx>
        <w:trPr>
          <w:trHeight w:val="5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82.39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872.34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71872.09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5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365.26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284402.84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55系列断桥铝合金门联窗，玻璃6low-e+12A+6mm中空玻璃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515.4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33021.68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927.98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8426.06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758.51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8411.88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611.64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12783.28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1030.82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907.12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812.9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1097.42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708.33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1289.16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492.99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35095.96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180.38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101032.56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0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55系列断桥铝合金固定窗，玻璃6low-e+12A+6mm中空玻璃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451.18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2323.58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2323.58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877.81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1817.07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外平开窗（含纱窗）</w:t>
            </w:r>
          </w:p>
        </w:tc>
      </w:tr>
      <w:tr>
        <w:tblPrEx>
          <w:tblCellMar>
            <w:top w:w="0" w:type="dxa"/>
            <w:left w:w="108" w:type="dxa"/>
            <w:bottom w:w="0" w:type="dxa"/>
            <w:right w:w="108" w:type="dxa"/>
          </w:tblCellMar>
        </w:tblPrEx>
        <w:trPr>
          <w:trHeight w:val="4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758.51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2101.07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544.56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4492.62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8410.76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100*44扁管断桥铝合金地弹门，玻璃6low-e+12A+6mm中空玻璃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64469.09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63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37431.90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187.89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101900.99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647.78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6665.66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10.29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6665.66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6465.83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3848363.50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val="0"/>
          <w:bCs w:val="0"/>
          <w:color w:val="000000" w:themeColor="text1"/>
          <w:szCs w:val="24"/>
          <w:highlight w:val="none"/>
          <w14:textFill>
            <w14:solidFill>
              <w14:schemeClr w14:val="tx1"/>
            </w14:solidFill>
          </w14:textFill>
        </w:rPr>
      </w:pPr>
    </w:p>
    <w:p>
      <w:pPr>
        <w:pStyle w:val="2"/>
        <w:rPr>
          <w:rFonts w:ascii="宋体" w:hAnsi="宋体"/>
          <w:b w:val="0"/>
          <w:bCs w:val="0"/>
          <w:color w:val="000000" w:themeColor="text1"/>
          <w:szCs w:val="24"/>
          <w:highlight w:val="none"/>
          <w14:textFill>
            <w14:solidFill>
              <w14:schemeClr w14:val="tx1"/>
            </w14:solidFill>
          </w14:textFill>
        </w:rPr>
      </w:pPr>
    </w:p>
    <w:p>
      <w:pPr>
        <w:pStyle w:val="3"/>
        <w:rPr>
          <w:rFonts w:ascii="宋体" w:hAnsi="宋体"/>
          <w:b w:val="0"/>
          <w:bCs w:val="0"/>
          <w:color w:val="000000" w:themeColor="text1"/>
          <w:szCs w:val="24"/>
          <w:highlight w:val="none"/>
          <w14:textFill>
            <w14:solidFill>
              <w14:schemeClr w14:val="tx1"/>
            </w14:solidFill>
          </w14:textFill>
        </w:rPr>
      </w:pPr>
    </w:p>
    <w:p>
      <w:pPr>
        <w:pStyle w:val="4"/>
        <w:rPr>
          <w:rFonts w:ascii="宋体" w:hAnsi="宋体"/>
          <w:b w:val="0"/>
          <w:bCs w:val="0"/>
          <w:color w:val="000000" w:themeColor="text1"/>
          <w:szCs w:val="24"/>
          <w:highlight w:val="none"/>
          <w14:textFill>
            <w14:solidFill>
              <w14:schemeClr w14:val="tx1"/>
            </w14:solidFill>
          </w14:textFill>
        </w:rPr>
      </w:pPr>
    </w:p>
    <w:p>
      <w:pPr>
        <w:pStyle w:val="5"/>
        <w:rPr>
          <w:rFonts w:ascii="宋体" w:hAnsi="宋体"/>
          <w:b w:val="0"/>
          <w:bCs w:val="0"/>
          <w:color w:val="000000" w:themeColor="text1"/>
          <w:szCs w:val="24"/>
          <w:highlight w:val="none"/>
          <w14:textFill>
            <w14:solidFill>
              <w14:schemeClr w14:val="tx1"/>
            </w14:solidFill>
          </w14:textFill>
        </w:rPr>
      </w:pPr>
    </w:p>
    <w:p>
      <w:pPr>
        <w:pStyle w:val="2"/>
        <w:rPr>
          <w:highlight w:val="none"/>
        </w:rPr>
      </w:pPr>
    </w:p>
    <w:tbl>
      <w:tblPr>
        <w:tblStyle w:val="9"/>
        <w:tblW w:w="10670" w:type="dxa"/>
        <w:jc w:val="center"/>
        <w:shd w:val="clear" w:color="auto" w:fill="auto"/>
        <w:tblLayout w:type="fixed"/>
        <w:tblCellMar>
          <w:top w:w="0" w:type="dxa"/>
          <w:left w:w="108" w:type="dxa"/>
          <w:bottom w:w="0" w:type="dxa"/>
          <w:right w:w="108" w:type="dxa"/>
        </w:tblCellMar>
      </w:tblPr>
      <w:tblGrid>
        <w:gridCol w:w="3432"/>
        <w:gridCol w:w="712"/>
        <w:gridCol w:w="2372"/>
        <w:gridCol w:w="991"/>
        <w:gridCol w:w="775"/>
        <w:gridCol w:w="1200"/>
        <w:gridCol w:w="1188"/>
      </w:tblGrid>
      <w:tr>
        <w:tblPrEx>
          <w:shd w:val="clear" w:color="auto" w:fill="auto"/>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149.97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177.68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508.88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554.68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403.51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565.56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699.12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762.04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156.13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378.70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537.99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168.66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394.50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556.94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244.97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30.38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250.91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581.46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716.61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781.10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672.84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817.12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890.66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30.38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614.87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43.61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535.77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726.32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724.36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TC5517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TC4217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170.86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513.37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177.68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522.07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569.06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513.29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665.28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725.16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ZC6117-b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351.88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42.19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505.84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ZC6117-a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135.46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502.75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ZC6217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133.48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457.86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141.18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516.15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478.36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603.20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857.23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C0914-c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857.23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329.85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737.97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804.39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213.08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20.43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701.34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764.46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182.74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554.77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687.25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FC0914-a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854.01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854.01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FC1014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231.77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872.34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C0414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946.83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1219.18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361.08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756.72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909.39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293.79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773.20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842.79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728.91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957.89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735.79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802.01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583.80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719.18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783.91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248.71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696.40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C0717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340.41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718.83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867.71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271.80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592.14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728.35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793.90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370.75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691.09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837.20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912.55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C0514-a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928.30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1098.13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1196.96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C0514-b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480.92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1021.73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109.17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1308.98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789.44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248.93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511.04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639.14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696.66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C1514-c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261.46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523.57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652.93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711.69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C2114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232.43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519.61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648.57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165.14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453.06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C2422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285.36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390.90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426.08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280.74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385.81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420.53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C2423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276.12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101.59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278.32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271.51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409.47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276.12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222.10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40.18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659.82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215.28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28.42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344.69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41.47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456.16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497.21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136.34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442.66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482.50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512.78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558.93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C1815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37.73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592.33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645.64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383.58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498.94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440.09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479.70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197.91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226.94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28.42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416.04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582.76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358.44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805.33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877.81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C2826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168.22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359.85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269.82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688.55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C1526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403.98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521.38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397.58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703.96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927.98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190.65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0.8585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115.90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440.13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611.64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C0424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463.11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789.74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1030.82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335.35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607.98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745.78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812.90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649.84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708.33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C2826-1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151.07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306.30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MLC2836（框）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191.85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514.97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MLC2836（扇）综合单价分析表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547.71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597.00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MLC2736（框）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523.79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MLC2736（扇）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M1536（框）综合单价分析表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585.59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M1536（扇）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541.57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MLC2630 （框）综合单价分析表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157.43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315.08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MLC2630 （扇）综合单价分析表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558.67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608.95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LM0930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270.26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46.02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489.01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614.91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LM1230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319.95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556.77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689.45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751.50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LM1830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235.73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572.50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624.03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268.94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485.67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pPr>
        <w:pStyle w:val="2"/>
        <w:rPr>
          <w:color w:val="000000" w:themeColor="text1"/>
          <w:highlight w:val="none"/>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pStyle w:val="2"/>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sectPr>
          <w:footerReference r:id="rId3" w:type="default"/>
          <w:pgSz w:w="11906" w:h="16838"/>
          <w:pgMar w:top="1304" w:right="1304" w:bottom="1304" w:left="1304" w:header="851" w:footer="850" w:gutter="0"/>
          <w:pgNumType w:fmt="decimal" w:start="1"/>
          <w:cols w:space="425" w:num="1"/>
          <w:docGrid w:type="lines" w:linePitch="312" w:charSpace="0"/>
        </w:sect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附件二：</w:t>
      </w:r>
    </w:p>
    <w:p>
      <w:pPr>
        <w:pStyle w:val="2"/>
        <w:rPr>
          <w:highlight w:val="none"/>
        </w:rPr>
      </w:pPr>
      <w:r>
        <w:rPr>
          <w:highlight w:val="none"/>
        </w:rPr>
        <w:drawing>
          <wp:inline distT="0" distB="0" distL="114300" distR="114300">
            <wp:extent cx="9034145" cy="4461510"/>
            <wp:effectExtent l="0" t="0" r="1460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034145" cy="4461510"/>
                    </a:xfrm>
                    <a:prstGeom prst="rect">
                      <a:avLst/>
                    </a:prstGeom>
                    <a:noFill/>
                    <a:ln>
                      <a:noFill/>
                    </a:ln>
                  </pic:spPr>
                </pic:pic>
              </a:graphicData>
            </a:graphic>
          </wp:inline>
        </w:drawing>
      </w:r>
    </w:p>
    <w:p>
      <w:pPr>
        <w:pStyle w:val="3"/>
        <w:rPr>
          <w:highlight w:val="none"/>
        </w:rPr>
      </w:pPr>
    </w:p>
    <w:p>
      <w:pPr>
        <w:pStyle w:val="4"/>
        <w:jc w:val="both"/>
        <w:rPr>
          <w:rFonts w:hint="eastAsia"/>
          <w:highlight w:val="none"/>
          <w:lang w:eastAsia="zh-CN"/>
        </w:rPr>
      </w:pPr>
      <w:r>
        <w:rPr>
          <w:rFonts w:hint="eastAsia"/>
          <w:highlight w:val="none"/>
          <w:lang w:eastAsia="zh-CN"/>
        </w:rPr>
        <w:drawing>
          <wp:inline distT="0" distB="0" distL="114300" distR="114300">
            <wp:extent cx="9030970" cy="4396740"/>
            <wp:effectExtent l="0" t="0" r="17780" b="3810"/>
            <wp:docPr id="2" name="图片 2" descr="1624274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4274062(1)"/>
                    <pic:cNvPicPr>
                      <a:picLocks noChangeAspect="1"/>
                    </pic:cNvPicPr>
                  </pic:nvPicPr>
                  <pic:blipFill>
                    <a:blip r:embed="rId6"/>
                    <a:stretch>
                      <a:fillRect/>
                    </a:stretch>
                  </pic:blipFill>
                  <pic:spPr>
                    <a:xfrm>
                      <a:off x="0" y="0"/>
                      <a:ext cx="9030970" cy="4396740"/>
                    </a:xfrm>
                    <a:prstGeom prst="rect">
                      <a:avLst/>
                    </a:prstGeom>
                  </pic:spPr>
                </pic:pic>
              </a:graphicData>
            </a:graphic>
          </wp:inline>
        </w:drawing>
      </w: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sectPr>
          <w:pgSz w:w="16838" w:h="11906" w:orient="landscape"/>
          <w:pgMar w:top="1304" w:right="1304" w:bottom="1304" w:left="1304" w:header="851" w:footer="992" w:gutter="0"/>
          <w:pgNumType w:fmt="decimal"/>
          <w:cols w:space="0" w:num="1"/>
          <w:rtlGutter w:val="0"/>
          <w:docGrid w:type="lines" w:linePitch="332" w:charSpace="0"/>
        </w:sectPr>
      </w:pPr>
    </w:p>
    <w:p>
      <w:pPr>
        <w:pStyle w:val="3"/>
        <w:rPr>
          <w:rFonts w:hint="eastAsia"/>
          <w:highlight w:val="none"/>
          <w:lang w:eastAsia="zh-CN"/>
        </w:rPr>
      </w:pPr>
      <w:r>
        <w:rPr>
          <w:rFonts w:hint="eastAsia" w:ascii="宋体" w:hAnsi="宋体"/>
          <w:b/>
          <w:bCs/>
          <w:color w:val="000000" w:themeColor="text1"/>
          <w:szCs w:val="24"/>
          <w:highlight w:val="none"/>
          <w:lang w:eastAsia="zh-CN"/>
          <w14:textFill>
            <w14:solidFill>
              <w14:schemeClr w14:val="tx1"/>
            </w14:solidFill>
          </w14:textFill>
        </w:rPr>
        <w:t>附件</w:t>
      </w:r>
      <w:r>
        <w:rPr>
          <w:rFonts w:hint="eastAsia" w:hAnsi="宋体"/>
          <w:b/>
          <w:bCs/>
          <w:color w:val="000000" w:themeColor="text1"/>
          <w:szCs w:val="24"/>
          <w:highlight w:val="none"/>
          <w:lang w:eastAsia="zh-CN"/>
          <w14:textFill>
            <w14:solidFill>
              <w14:schemeClr w14:val="tx1"/>
            </w14:solidFill>
          </w14:textFill>
        </w:rPr>
        <w:t>三</w:t>
      </w:r>
      <w:r>
        <w:rPr>
          <w:rFonts w:hint="eastAsia" w:ascii="宋体" w:hAnsi="宋体"/>
          <w:b/>
          <w:bCs/>
          <w:color w:val="000000" w:themeColor="text1"/>
          <w:szCs w:val="24"/>
          <w:highlight w:val="none"/>
          <w:lang w:eastAsia="zh-CN"/>
          <w14:textFill>
            <w14:solidFill>
              <w14:schemeClr w14:val="tx1"/>
            </w14:solidFill>
          </w14:textFill>
        </w:rPr>
        <w:t>：</w:t>
      </w:r>
    </w:p>
    <w:p>
      <w:pPr>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廉政合作协议</w:t>
      </w: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r>
        <w:rPr>
          <w:rFonts w:hint="eastAsia" w:ascii="宋体" w:hAnsi="宋体" w:cs="宋体"/>
          <w:color w:val="000000" w:themeColor="text1"/>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14:textFill>
            <w14:solidFill>
              <w14:schemeClr w14:val="tx1"/>
            </w14:solidFill>
          </w14:textFill>
        </w:rPr>
        <w:t>河南明安建设集团有限公司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495425" cy="1495425"/>
                    </a:xfrm>
                    <a:prstGeom prst="rect">
                      <a:avLst/>
                    </a:prstGeom>
                    <a:noFill/>
                    <a:ln>
                      <a:noFill/>
                    </a:ln>
                  </pic:spPr>
                </pic:pic>
              </a:graphicData>
            </a:graphic>
          </wp:anchor>
        </w:drawing>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lang w:eastAsia="zh-CN"/>
          <w14:textFill>
            <w14:solidFill>
              <w14:schemeClr w14:val="tx1"/>
            </w14:solidFill>
          </w14:textFill>
        </w:rPr>
        <w:t>洛阳浩德鑫置地有限公司</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乙方：河南明安建设集团有限公司</w:t>
      </w:r>
    </w:p>
    <w:p>
      <w:pP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2021年06月  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2021年06月  日</w:t>
      </w:r>
    </w:p>
    <w:sectPr>
      <w:pgSz w:w="11906" w:h="16838"/>
      <w:pgMar w:top="1304" w:right="1304" w:bottom="1304" w:left="130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70</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35ABA"/>
    <w:rsid w:val="054C48F8"/>
    <w:rsid w:val="05835ABA"/>
    <w:rsid w:val="09F51E32"/>
    <w:rsid w:val="10AE6F5C"/>
    <w:rsid w:val="20207DC2"/>
    <w:rsid w:val="26704095"/>
    <w:rsid w:val="31DC09ED"/>
    <w:rsid w:val="330451CE"/>
    <w:rsid w:val="346B69C9"/>
    <w:rsid w:val="3EC343E8"/>
    <w:rsid w:val="58082FF8"/>
    <w:rsid w:val="633B087F"/>
    <w:rsid w:val="670E1799"/>
    <w:rsid w:val="7D0C3F41"/>
    <w:rsid w:val="7D73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annotation reference"/>
    <w:qFormat/>
    <w:uiPriority w:val="99"/>
    <w:rPr>
      <w:rFonts w:cs="Times New Roman"/>
      <w:sz w:val="21"/>
      <w:szCs w:val="21"/>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0"/>
    <w:qFormat/>
    <w:uiPriority w:val="0"/>
  </w:style>
  <w:style w:type="paragraph" w:customStyle="1" w:styleId="14">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5">
    <w:name w:val="font11"/>
    <w:basedOn w:val="10"/>
    <w:qFormat/>
    <w:uiPriority w:val="0"/>
    <w:rPr>
      <w:rFonts w:hint="eastAsia" w:ascii="宋体" w:hAnsi="宋体" w:eastAsia="宋体" w:cs="宋体"/>
      <w:color w:val="000000"/>
      <w:sz w:val="32"/>
      <w:szCs w:val="32"/>
      <w:u w:val="none"/>
    </w:rPr>
  </w:style>
  <w:style w:type="character" w:customStyle="1" w:styleId="16">
    <w:name w:val="font2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2021-06-20T07:23:00Z</dcterms:created>
  <dc:creator>Administrator</dc:creator>
  <cp:lastModifiedBy>Administrator</cp:lastModifiedBy>
  <dcterms:modified xsi:type="dcterms:W3CDTF">2021-06-21T12:40:32Z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BF8623ADC4E84A0F9B1B227C69BCBCB1</vt:lpwstr>
  </property>
</Properties>
</file>