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 w:asciiTheme="majorAscii" w:hAnsiTheme="majorAscii" w:cstheme="minorEastAsia"/>
          <w:b/>
          <w:bCs/>
          <w:sz w:val="32"/>
          <w:szCs w:val="40"/>
          <w:lang w:val="en-US" w:eastAsia="zh-CN"/>
        </w:rPr>
      </w:pPr>
      <w:r>
        <w:rPr>
          <w:rFonts w:hint="default" w:asciiTheme="majorAscii" w:hAnsiTheme="majorAscii" w:cstheme="minorEastAsia"/>
          <w:b/>
          <w:bCs/>
          <w:sz w:val="32"/>
          <w:szCs w:val="40"/>
          <w:lang w:val="en-US" w:eastAsia="zh-CN"/>
        </w:rPr>
        <w:t>开元壹号商务楼施工图纸设计合同</w:t>
      </w:r>
    </w:p>
    <w:p>
      <w:pPr>
        <w:numPr>
          <w:ilvl w:val="0"/>
          <w:numId w:val="0"/>
        </w:numPr>
        <w:jc w:val="center"/>
        <w:rPr>
          <w:rFonts w:hint="default" w:asciiTheme="majorAscii" w:hAnsiTheme="majorAscii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default" w:asciiTheme="majorAscii" w:hAnsiTheme="majorAscii" w:eastAsiaTheme="minorEastAsia" w:cstheme="minorEastAsia"/>
          <w:b/>
          <w:bCs/>
          <w:sz w:val="32"/>
          <w:szCs w:val="40"/>
          <w:lang w:val="en-US" w:eastAsia="zh-CN"/>
        </w:rPr>
        <w:t>指标</w:t>
      </w:r>
      <w:r>
        <w:rPr>
          <w:rFonts w:hint="eastAsia" w:asciiTheme="majorAscii" w:hAnsiTheme="majorAscii" w:cstheme="minorEastAsia"/>
          <w:b/>
          <w:bCs/>
          <w:sz w:val="32"/>
          <w:szCs w:val="40"/>
          <w:lang w:val="en-US" w:eastAsia="zh-CN"/>
        </w:rPr>
        <w:t>超出合同约定</w:t>
      </w:r>
      <w:r>
        <w:rPr>
          <w:rFonts w:hint="default" w:asciiTheme="majorAscii" w:hAnsiTheme="majorAscii" w:eastAsiaTheme="minorEastAsia" w:cstheme="minorEastAsia"/>
          <w:b/>
          <w:bCs/>
          <w:sz w:val="32"/>
          <w:szCs w:val="40"/>
          <w:lang w:val="en-US" w:eastAsia="zh-CN"/>
        </w:rPr>
        <w:t>情况说明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我司与洛阳智中建筑设计院有限公司（以下简称“智中设计院”）于2017年6月签订《开元壹号商务楼施工设计合同》（合同编号：KYYH.01-QQ-187），智中设计院于2019年3月18日完成一层以上的结构优化纸质版。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2021年4月20日智中设计院将开元壹号商务楼施工图纸设计合同结算报与我司，我司成本部根据施工图纸进行结算时提出钢筋、混凝土指标超出合同约定且相差较大，双方就结算金额无法达成统一。现对指标超出合同约定的情况进行分析说明。</w:t>
      </w: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合同签订指标情况说明：</w:t>
      </w:r>
    </w:p>
    <w:p>
      <w:r>
        <w:rPr>
          <w:rFonts w:hint="eastAsia"/>
          <w:b/>
          <w:bCs/>
          <w:lang w:val="en-US" w:eastAsia="zh-CN"/>
        </w:rPr>
        <w:t>一、开元壹号商务楼设计项目合同于2017年6月签订，合同签订时方案总图如下：</w:t>
      </w:r>
      <w:r>
        <w:drawing>
          <wp:inline distT="0" distB="0" distL="114300" distR="114300">
            <wp:extent cx="5271135" cy="2493010"/>
            <wp:effectExtent l="0" t="0" r="571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914015"/>
            <wp:effectExtent l="0" t="0" r="9525" b="6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相关效果图如下：</w:t>
      </w:r>
    </w:p>
    <w:p>
      <w:pPr>
        <w:jc w:val="center"/>
      </w:pPr>
      <w:r>
        <w:drawing>
          <wp:inline distT="0" distB="0" distL="114300" distR="114300">
            <wp:extent cx="3077845" cy="2707005"/>
            <wp:effectExtent l="0" t="0" r="8255" b="171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81655" cy="2671445"/>
            <wp:effectExtent l="0" t="0" r="444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17850" cy="2685415"/>
            <wp:effectExtent l="0" t="0" r="635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left"/>
      </w:pPr>
      <w:r>
        <w:rPr>
          <w:rFonts w:hint="eastAsia"/>
          <w:lang w:val="en-US" w:eastAsia="zh-CN"/>
        </w:rPr>
        <w:t>A座标准层平面图</w:t>
      </w:r>
      <w:r>
        <w:drawing>
          <wp:inline distT="0" distB="0" distL="114300" distR="114300">
            <wp:extent cx="5266690" cy="3798570"/>
            <wp:effectExtent l="0" t="0" r="10160" b="1143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B座标准层平面图</w:t>
      </w:r>
    </w:p>
    <w:p>
      <w:pPr>
        <w:jc w:val="left"/>
      </w:pPr>
      <w:r>
        <w:drawing>
          <wp:inline distT="0" distB="0" distL="114300" distR="114300">
            <wp:extent cx="5270500" cy="3912870"/>
            <wp:effectExtent l="0" t="0" r="6350" b="1143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二、2018年05月最终通过规划局的报批方案，总平面图如下：</w:t>
      </w:r>
    </w:p>
    <w:p>
      <w:pPr>
        <w:jc w:val="left"/>
      </w:pPr>
      <w:r>
        <w:drawing>
          <wp:inline distT="0" distB="0" distL="114300" distR="114300">
            <wp:extent cx="5269230" cy="3136265"/>
            <wp:effectExtent l="0" t="0" r="762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报批版的效果图如下：</w:t>
      </w:r>
    </w:p>
    <w:p>
      <w:pPr>
        <w:jc w:val="left"/>
      </w:pPr>
      <w:r>
        <w:drawing>
          <wp:inline distT="0" distB="0" distL="114300" distR="114300">
            <wp:extent cx="5266690" cy="4754245"/>
            <wp:effectExtent l="0" t="0" r="10160" b="825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8595" cy="4622800"/>
            <wp:effectExtent l="0" t="0" r="8255" b="635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3658235"/>
            <wp:effectExtent l="0" t="0" r="13335" b="1841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公寓楼基本情况：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公寓楼裙楼1~4F为裙楼商业层高5.4m，5~9F为裙楼公寓，层高3.3m，东西向长度为121.5米，且不设变形缝，远超设计规范规定的伸缩缝最大间距50m，为超长结构。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公寓楼4F、5F之间设置设备夹层1.8m高，根据建筑面积计算规则，仅计算一半建筑面积。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公寓楼塔楼分东塔楼、西塔楼两栋。其中：东塔楼檐高70m，共计7层（10f~16f）,10f~12f层高3.3m，13F~16F层高5.4m。西塔楼檐高100m，共计19层（10f~28f），层高3.2m。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东塔楼12f~14f在楼栋西南角圆弧部位设计层层退台,15f建筑物整体内收；西塔楼24f~27f在楼栋东北角圆弧部位设计层层退台，28f建筑物整体内收。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公寓楼裙楼屋顶、塔楼屋顶均考虑600mm厚覆土。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车库为两层车库，-1层层高5.2m,-2层层高5.1m。车库面积不大，但基本采用人防车库设计，设置机械车位、设备用房和消防水池。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公寓楼地下车库特殊性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车库面积为14126.35m2，其中主楼下车库面积为8044.12m2，占车库总面积的60%。车库80%为人防车库。此种设计造成结构设计中钢筋、混凝土含量远高于普通车库指标。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车库按机械车位考虑，-1层层高5.2m、-2层层高5.1m，层高较高，与普通车库层高相比高出1.4~1.5m左右。塔楼、裙楼下车库底板采用整体式筏板基础1.9m厚。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~4f商业面积2.37万平方，超过1.7万平方，底部四层及地下室抗震设防类别应划为重点设防类别（乙类），应按高于本地区抗震设防烈度一度的要求加强其抗震措施，地下部分抗震等级由二级随商业提高到一级，设计标准较高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塔楼为异形造型设计，主楼下车库区域部分柱、梁走向需跟随塔楼形状，柱网复杂，需加大尺寸及配筋。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地下车库指标汇总：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地下车库混凝土指标为1.55m3/m2（含1.015损耗），钢筋指标为220.41kg/m2（含1.03损耗）。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限额指标为：砼：1.5m3/m2，钢筋：131.28kg/m2。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公寓楼地上工程特殊性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规范规定框剪结构适宜不设变形缝的最大长度为50米，1f~9f东西向长度为121.5m，且无法设置变形缝，属于超长结构。工程设计时除了对建筑材料特殊要求、混凝土配合比设计、混凝土养护要求外，楼板及梁均需增设抵抗温度应力钢筋，楼板采用双层双向钢筋网片，梁上增加通长钢筋数量并增加腰筋数量，并按受拉进行锚固搭接，以解决混凝土干缩和温度应力影响，减少温度裂缝的出现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东塔楼13F~16F为层高5.4m的loft公寓，层高超高，结构计算时需考虑后期夹层荷载、按两层重量考虑进行设计。在走廊部位设有设备夹层（层高2.6m可计入建筑面积），此部分建筑面积为702m2，未计算设计费，且钢筋、砼指标未考虑此部分面积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1~4f商业面积超过1.7万平方，设计按抗震一级考虑，各项指标随之提高。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如：1）框架柱柱端弯矩和柱剪力的放大系数由1.2提高至1.4，柱纵筋和箍筋均比抗震二级时加大；</w:t>
      </w:r>
    </w:p>
    <w:p>
      <w:pPr>
        <w:numPr>
          <w:ilvl w:val="0"/>
          <w:numId w:val="0"/>
        </w:numPr>
        <w:spacing w:line="36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2）框架柱轴压比由抗震等级二级时0.85调整到0.75，框架柱截面需加大。</w:t>
      </w:r>
    </w:p>
    <w:p>
      <w:pPr>
        <w:numPr>
          <w:ilvl w:val="0"/>
          <w:numId w:val="0"/>
        </w:numPr>
        <w:spacing w:line="36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3）约束边缘构件（底部加强区与剪力墙暗柱及相连框架柱）最小配筋率由1%提高至1.2%，配筋也要加大。</w:t>
      </w:r>
    </w:p>
    <w:p>
      <w:pPr>
        <w:numPr>
          <w:ilvl w:val="0"/>
          <w:numId w:val="0"/>
        </w:numPr>
        <w:spacing w:line="36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4）梁柱纵筋锚固长度和搭接长度也相应变大。</w:t>
      </w:r>
    </w:p>
    <w:p>
      <w:pPr>
        <w:numPr>
          <w:ilvl w:val="0"/>
          <w:numId w:val="0"/>
        </w:numPr>
        <w:spacing w:line="36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5)框架梁和框架柱最小箍筋直径从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drawing>
          <wp:inline distT="0" distB="0" distL="114300" distR="114300">
            <wp:extent cx="104775" cy="144145"/>
            <wp:effectExtent l="0" t="0" r="9525" b="825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8变为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drawing>
          <wp:inline distT="0" distB="0" distL="114300" distR="114300">
            <wp:extent cx="104775" cy="144145"/>
            <wp:effectExtent l="0" t="0" r="9525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10。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塔楼屋面及商业屋面均考虑0.6米覆土重量（12KN/m2），将近于一层楼面荷载，对屋面梁板柱配筋影响较大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工程立面收进次数较多，根据外立面设计需要，许多收进部位仅能采用梁上托柱设计。如五层公寓收进部分的周边柱，不可落入商业内部，需要采用此设计，东、西塔屋顶层层退台位置、东塔楼loft周边柱均坐落于下部梁上。此种特殊情况造成承托梁荷载极大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两个塔楼均为圆弧形，周边柱无法形成刚度大的多跨连续框架结构，中庭处采光井开洞对主体结构刚度削弱很大，这些均需加大结构刚度（梁柱截面和配筋）以满足规范规定的位移计算要求。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地上结构指标汇总：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地上结构混凝土指标为0.33m3/m2（含1.015损耗），钢筋指标为54kg/m2（含1.03损耗）。限额指标为：砼：0.4m3/m2，钢筋：50kg/m2。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地上、地下综合指标：混凝土指标为0.52m3/m2（含1.015损耗），钢筋指标为79.97kg/m2（含1.03损耗）。综合限额指标为：砼：0.45m3/m2，钢筋：55kg/m2。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总结：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开元壹号商务楼</w:t>
      </w:r>
      <w:r>
        <w:rPr>
          <w:rFonts w:hint="eastAsia"/>
          <w:b/>
          <w:bCs/>
          <w:lang w:val="en-US" w:eastAsia="zh-CN"/>
        </w:rPr>
        <w:t>情况特殊、造型复杂，市面上无相似楼栋可对比，具有唯一性。根据上述情况，我方认为设计图纸钢筋、混凝土指标正常。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lang w:val="en-US" w:eastAsia="zh-CN"/>
        </w:rPr>
        <w:t>智中设计院与我方多次沟通，认为此项目楼栋指标正常，且此项目将要马上面临竣工验收工作，因设计费问题，我方与智中设计院迟迟无法达成统一，智中设计院提出结算不完成情况下将不配合我方竣工资料盖章，我方竣工验收工作风险极大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我方建议结算按照合同约定单价计算，钢筋、混凝土</w:t>
      </w:r>
      <w:r>
        <w:rPr>
          <w:rFonts w:hint="eastAsia"/>
          <w:b/>
          <w:bCs/>
          <w:lang w:val="en-US" w:eastAsia="zh-CN"/>
        </w:rPr>
        <w:t>指标不再作为合同结算的硬性指标进行扣款，快速推动结算进程，以</w:t>
      </w:r>
      <w:r>
        <w:rPr>
          <w:rFonts w:hint="default"/>
          <w:b/>
          <w:bCs/>
          <w:lang w:val="en-US" w:eastAsia="zh-CN"/>
        </w:rPr>
        <w:t>开元壹号商务楼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的竣工验收工作有序进行。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3A403F"/>
    <w:multiLevelType w:val="singleLevel"/>
    <w:tmpl w:val="973A403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B6F1B53"/>
    <w:multiLevelType w:val="singleLevel"/>
    <w:tmpl w:val="9B6F1B5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B750DF6"/>
    <w:multiLevelType w:val="singleLevel"/>
    <w:tmpl w:val="1B750D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29336A0"/>
    <w:multiLevelType w:val="singleLevel"/>
    <w:tmpl w:val="329336A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142F27"/>
    <w:rsid w:val="02DC2326"/>
    <w:rsid w:val="0ED45C93"/>
    <w:rsid w:val="13EC3CFE"/>
    <w:rsid w:val="162E2E09"/>
    <w:rsid w:val="16474F0F"/>
    <w:rsid w:val="18847CBE"/>
    <w:rsid w:val="1D2A7DFD"/>
    <w:rsid w:val="2229399F"/>
    <w:rsid w:val="28F00B50"/>
    <w:rsid w:val="2A226ADF"/>
    <w:rsid w:val="2EA12FE2"/>
    <w:rsid w:val="3599100D"/>
    <w:rsid w:val="37BE2E74"/>
    <w:rsid w:val="3BF13750"/>
    <w:rsid w:val="40285D4A"/>
    <w:rsid w:val="413B3C65"/>
    <w:rsid w:val="49652BD4"/>
    <w:rsid w:val="49F90387"/>
    <w:rsid w:val="4B705B41"/>
    <w:rsid w:val="4E133081"/>
    <w:rsid w:val="4E5C0FC2"/>
    <w:rsid w:val="527A7FE4"/>
    <w:rsid w:val="566B07C3"/>
    <w:rsid w:val="5893010C"/>
    <w:rsid w:val="593604FB"/>
    <w:rsid w:val="5EB6786D"/>
    <w:rsid w:val="62D46134"/>
    <w:rsid w:val="6DC02C84"/>
    <w:rsid w:val="6E105893"/>
    <w:rsid w:val="730A6404"/>
    <w:rsid w:val="747C7BF0"/>
    <w:rsid w:val="752610FB"/>
    <w:rsid w:val="76CE0F9C"/>
    <w:rsid w:val="7C14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2021-06-07T07:08:00Z</dcterms:created>
  <dc:creator>小楼听雨T^T</dc:creator>
  <cp:lastModifiedBy>小楼听雨T^T</cp:lastModifiedBy>
  <cp:lastPrinted>2021-06-09T06:09:00Z</cp:lastPrinted>
  <dcterms:modified xsi:type="dcterms:W3CDTF">2021-06-22T09:58:06Z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20407385FFE149DCA667D72B0860F548</vt:lpwstr>
  </property>
</Properties>
</file>