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624" w:beforeLines="200" w:line="340" w:lineRule="exact"/>
        <w:rPr>
          <w:color w:val="000000"/>
          <w:sz w:val="44"/>
          <w:szCs w:val="30"/>
        </w:rPr>
      </w:pPr>
      <w:r>
        <w:rPr>
          <w:rFonts w:hint="eastAsia"/>
          <w:color w:val="000000"/>
          <w:sz w:val="44"/>
          <w:szCs w:val="30"/>
        </w:rPr>
        <w:t xml:space="preserve">  </w:t>
      </w:r>
    </w:p>
    <w:p>
      <w:pPr>
        <w:pStyle w:val="2"/>
        <w:rPr>
          <w:rFonts w:hint="eastAsia"/>
          <w:b/>
          <w:color w:val="000000"/>
          <w:sz w:val="36"/>
          <w:szCs w:val="36"/>
          <w:lang w:eastAsia="zh-CN"/>
        </w:rPr>
      </w:pPr>
    </w:p>
    <w:p>
      <w:pPr>
        <w:pStyle w:val="2"/>
        <w:ind w:firstLine="2530" w:firstLineChars="700"/>
        <w:rPr>
          <w:rFonts w:hint="eastAsia"/>
          <w:b/>
          <w:color w:val="000000"/>
          <w:sz w:val="36"/>
          <w:szCs w:val="36"/>
          <w:lang w:eastAsia="zh-CN"/>
        </w:rPr>
      </w:pPr>
      <w:r>
        <w:rPr>
          <w:rFonts w:hint="eastAsia"/>
          <w:b/>
          <w:color w:val="000000"/>
          <w:sz w:val="36"/>
          <w:szCs w:val="36"/>
          <w:lang w:eastAsia="zh-CN"/>
        </w:rPr>
        <w:t>开元壹号62地块一期</w:t>
      </w:r>
    </w:p>
    <w:p>
      <w:pPr>
        <w:pStyle w:val="2"/>
        <w:rPr>
          <w:rFonts w:ascii="Calibri" w:hAnsi="Calibri"/>
          <w:b/>
          <w:color w:val="000000"/>
          <w:kern w:val="2"/>
          <w:sz w:val="36"/>
          <w:szCs w:val="36"/>
        </w:rPr>
      </w:pPr>
      <w:r>
        <w:rPr>
          <w:rFonts w:hint="eastAsia"/>
          <w:b/>
          <w:color w:val="000000"/>
          <w:sz w:val="36"/>
          <w:szCs w:val="36"/>
        </w:rPr>
        <w:t>门头石材、电梯门套、入户大堂精装修工</w:t>
      </w:r>
      <w:r>
        <w:rPr>
          <w:rFonts w:hint="eastAsia" w:ascii="Calibri" w:hAnsi="Calibri"/>
          <w:b/>
          <w:color w:val="000000"/>
          <w:kern w:val="2"/>
          <w:sz w:val="36"/>
          <w:szCs w:val="36"/>
        </w:rPr>
        <w:t>程合同</w:t>
      </w:r>
    </w:p>
    <w:p>
      <w:pPr>
        <w:autoSpaceDN w:val="0"/>
        <w:ind w:firstLine="840" w:firstLineChars="400"/>
        <w:rPr>
          <w:rFonts w:ascii="宋体" w:hAnsi="宋体"/>
          <w:szCs w:val="24"/>
        </w:rPr>
      </w:pPr>
      <w:r>
        <w:rPr>
          <w:rFonts w:hint="eastAsia" w:ascii="宋体" w:hAnsi="宋体"/>
          <w:szCs w:val="24"/>
        </w:rPr>
        <w:t xml:space="preserve">               </w:t>
      </w:r>
    </w:p>
    <w:p>
      <w:pPr>
        <w:autoSpaceDN w:val="0"/>
        <w:ind w:firstLine="2205" w:firstLineChars="1050"/>
        <w:rPr>
          <w:rFonts w:ascii="宋体" w:hAnsi="宋体"/>
          <w:szCs w:val="24"/>
        </w:rPr>
      </w:pPr>
      <w:r>
        <w:rPr>
          <w:rFonts w:hint="eastAsia" w:ascii="宋体" w:hAnsi="宋体"/>
          <w:szCs w:val="24"/>
        </w:rPr>
        <w:t xml:space="preserve">     </w:t>
      </w:r>
    </w:p>
    <w:p>
      <w:pPr>
        <w:autoSpaceDN w:val="0"/>
        <w:ind w:firstLine="630" w:firstLineChars="300"/>
        <w:rPr>
          <w:rFonts w:ascii="宋体" w:hAnsi="宋体"/>
          <w:szCs w:val="24"/>
        </w:rPr>
      </w:pPr>
    </w:p>
    <w:p>
      <w:pPr>
        <w:autoSpaceDN w:val="0"/>
        <w:ind w:firstLine="630" w:firstLineChars="300"/>
        <w:rPr>
          <w:rFonts w:ascii="宋体" w:hAnsi="宋体"/>
          <w:szCs w:val="24"/>
        </w:rPr>
      </w:pPr>
    </w:p>
    <w:p>
      <w:pPr>
        <w:autoSpaceDN w:val="0"/>
        <w:ind w:firstLine="630" w:firstLineChars="300"/>
        <w:rPr>
          <w:rFonts w:ascii="宋体" w:hAnsi="宋体"/>
          <w:szCs w:val="24"/>
        </w:rPr>
      </w:pPr>
    </w:p>
    <w:p>
      <w:pPr>
        <w:autoSpaceDN w:val="0"/>
        <w:rPr>
          <w:rFonts w:ascii="宋体" w:hAnsi="宋体"/>
          <w:b/>
          <w:bCs/>
          <w:szCs w:val="24"/>
        </w:rPr>
      </w:pPr>
    </w:p>
    <w:p>
      <w:pPr>
        <w:autoSpaceDN w:val="0"/>
        <w:rPr>
          <w:rFonts w:ascii="宋体" w:hAnsi="宋体"/>
          <w:b/>
          <w:bCs/>
          <w:szCs w:val="24"/>
        </w:rPr>
      </w:pPr>
    </w:p>
    <w:p>
      <w:pPr>
        <w:pStyle w:val="18"/>
        <w:rPr>
          <w:rFonts w:ascii="宋体" w:hAnsi="宋体"/>
          <w:b/>
          <w:bCs/>
          <w:szCs w:val="24"/>
        </w:rPr>
      </w:pPr>
    </w:p>
    <w:p>
      <w:pPr>
        <w:pStyle w:val="19"/>
        <w:rPr>
          <w:rFonts w:ascii="宋体" w:hAnsi="宋体"/>
          <w:b/>
          <w:bCs/>
          <w:szCs w:val="24"/>
        </w:rPr>
      </w:pPr>
    </w:p>
    <w:p>
      <w:pPr>
        <w:pStyle w:val="20"/>
        <w:rPr>
          <w:rFonts w:ascii="宋体" w:hAnsi="宋体"/>
          <w:b/>
          <w:bCs/>
          <w:szCs w:val="24"/>
        </w:rPr>
      </w:pPr>
    </w:p>
    <w:p>
      <w:pPr>
        <w:pStyle w:val="21"/>
        <w:rPr>
          <w:rFonts w:ascii="宋体" w:hAnsi="宋体"/>
          <w:b/>
          <w:bCs/>
          <w:szCs w:val="24"/>
        </w:rPr>
      </w:pPr>
    </w:p>
    <w:p>
      <w:pPr>
        <w:pStyle w:val="18"/>
      </w:pPr>
    </w:p>
    <w:p>
      <w:pPr>
        <w:autoSpaceDN w:val="0"/>
        <w:rPr>
          <w:rFonts w:ascii="宋体" w:hAnsi="宋体"/>
          <w:b/>
          <w:bCs/>
          <w:szCs w:val="24"/>
        </w:rPr>
      </w:pPr>
    </w:p>
    <w:p>
      <w:pPr>
        <w:autoSpaceDN w:val="0"/>
        <w:ind w:firstLine="840" w:firstLineChars="280"/>
        <w:rPr>
          <w:rFonts w:ascii="宋体" w:hAnsi="宋体"/>
          <w:sz w:val="30"/>
          <w:szCs w:val="30"/>
        </w:rPr>
      </w:pPr>
      <w:r>
        <w:rPr>
          <w:rFonts w:hint="eastAsia" w:ascii="宋体" w:hAnsi="宋体"/>
          <w:sz w:val="30"/>
          <w:szCs w:val="30"/>
        </w:rPr>
        <w:t xml:space="preserve">   成本代码：3.3.1</w:t>
      </w:r>
    </w:p>
    <w:p>
      <w:pPr>
        <w:autoSpaceDN w:val="0"/>
        <w:ind w:firstLine="840" w:firstLineChars="280"/>
        <w:rPr>
          <w:rFonts w:ascii="宋体" w:hAnsi="宋体"/>
          <w:sz w:val="30"/>
          <w:szCs w:val="30"/>
        </w:rPr>
      </w:pPr>
      <w:r>
        <w:rPr>
          <w:rFonts w:hint="eastAsia" w:ascii="宋体" w:hAnsi="宋体"/>
          <w:sz w:val="30"/>
          <w:szCs w:val="30"/>
        </w:rPr>
        <w:t xml:space="preserve">   合同编号：KYYH.62-JA-090</w:t>
      </w:r>
    </w:p>
    <w:p>
      <w:pPr>
        <w:autoSpaceDN w:val="0"/>
        <w:ind w:firstLine="840" w:firstLineChars="280"/>
        <w:rPr>
          <w:rFonts w:ascii="宋体" w:hAnsi="宋体"/>
          <w:sz w:val="30"/>
          <w:szCs w:val="30"/>
        </w:rPr>
      </w:pPr>
    </w:p>
    <w:p>
      <w:pPr>
        <w:pStyle w:val="2"/>
      </w:pPr>
    </w:p>
    <w:p>
      <w:pPr>
        <w:autoSpaceDN w:val="0"/>
        <w:rPr>
          <w:rFonts w:ascii="宋体" w:hAnsi="宋体"/>
          <w:sz w:val="30"/>
          <w:szCs w:val="30"/>
        </w:rPr>
      </w:pPr>
    </w:p>
    <w:p>
      <w:pPr>
        <w:autoSpaceDN w:val="0"/>
        <w:ind w:firstLine="840" w:firstLineChars="280"/>
        <w:rPr>
          <w:rFonts w:ascii="宋体" w:hAnsi="宋体"/>
          <w:sz w:val="30"/>
          <w:szCs w:val="30"/>
        </w:rPr>
      </w:pPr>
      <w:r>
        <w:rPr>
          <w:rFonts w:hint="eastAsia" w:ascii="宋体" w:hAnsi="宋体"/>
          <w:sz w:val="30"/>
          <w:szCs w:val="30"/>
        </w:rPr>
        <w:t xml:space="preserve">   发 包 人：</w:t>
      </w:r>
      <w:r>
        <w:rPr>
          <w:rFonts w:hint="eastAsia" w:ascii="宋体" w:hAnsi="宋体"/>
          <w:sz w:val="30"/>
          <w:szCs w:val="30"/>
          <w:lang w:eastAsia="zh-CN"/>
        </w:rPr>
        <w:t>洛阳浩德鑫置地有限公司</w:t>
      </w:r>
      <w:r>
        <w:rPr>
          <w:rFonts w:hint="eastAsia" w:ascii="宋体" w:hAnsi="宋体"/>
          <w:sz w:val="30"/>
          <w:szCs w:val="30"/>
        </w:rPr>
        <w:t xml:space="preserve">    </w:t>
      </w:r>
    </w:p>
    <w:p>
      <w:pPr>
        <w:autoSpaceDN w:val="0"/>
        <w:ind w:firstLine="840" w:firstLineChars="280"/>
        <w:rPr>
          <w:rFonts w:ascii="宋体" w:hAnsi="宋体"/>
          <w:sz w:val="30"/>
          <w:szCs w:val="30"/>
        </w:rPr>
      </w:pPr>
      <w:r>
        <w:rPr>
          <w:rFonts w:hint="eastAsia" w:ascii="宋体" w:hAnsi="宋体"/>
          <w:sz w:val="30"/>
          <w:szCs w:val="30"/>
        </w:rPr>
        <w:t xml:space="preserve">   承 包 人：</w:t>
      </w:r>
      <w:r>
        <w:rPr>
          <w:rFonts w:hint="eastAsia" w:ascii="宋体" w:hAnsi="宋体"/>
          <w:sz w:val="30"/>
          <w:szCs w:val="30"/>
          <w:lang w:eastAsia="zh-CN"/>
        </w:rPr>
        <w:t>河南鼎甲装饰工程有限公司</w:t>
      </w:r>
      <w:r>
        <w:rPr>
          <w:rFonts w:hint="eastAsia" w:ascii="宋体" w:hAnsi="宋体"/>
          <w:sz w:val="30"/>
          <w:szCs w:val="30"/>
        </w:rPr>
        <w:t xml:space="preserve"> </w:t>
      </w:r>
    </w:p>
    <w:p>
      <w:pPr>
        <w:autoSpaceDN w:val="0"/>
        <w:ind w:firstLine="840" w:firstLineChars="280"/>
        <w:rPr>
          <w:rFonts w:hint="default" w:ascii="宋体" w:hAnsi="宋体" w:eastAsia="宋体"/>
          <w:sz w:val="30"/>
          <w:szCs w:val="30"/>
          <w:lang w:val="en-US" w:eastAsia="zh-CN"/>
        </w:rPr>
      </w:pPr>
      <w:r>
        <w:rPr>
          <w:rFonts w:hint="eastAsia" w:ascii="宋体" w:hAnsi="宋体"/>
          <w:sz w:val="30"/>
          <w:szCs w:val="30"/>
        </w:rPr>
        <w:t xml:space="preserve">   签订日期：</w:t>
      </w:r>
      <w:r>
        <w:rPr>
          <w:rFonts w:hint="eastAsia" w:ascii="宋体" w:hAnsi="宋体"/>
          <w:sz w:val="30"/>
          <w:szCs w:val="30"/>
          <w:lang w:val="en-US" w:eastAsia="zh-CN"/>
        </w:rPr>
        <w:t>2021</w:t>
      </w:r>
      <w:r>
        <w:rPr>
          <w:rFonts w:hint="eastAsia" w:ascii="宋体" w:hAnsi="宋体"/>
          <w:sz w:val="30"/>
          <w:szCs w:val="30"/>
        </w:rPr>
        <w:t>年</w:t>
      </w:r>
      <w:r>
        <w:rPr>
          <w:rFonts w:hint="eastAsia" w:ascii="宋体" w:hAnsi="宋体"/>
          <w:sz w:val="30"/>
          <w:szCs w:val="30"/>
          <w:lang w:val="en-US" w:eastAsia="zh-CN"/>
        </w:rPr>
        <w:t>7</w:t>
      </w:r>
      <w:r>
        <w:rPr>
          <w:rFonts w:hint="eastAsia" w:ascii="宋体" w:hAnsi="宋体"/>
          <w:sz w:val="30"/>
          <w:szCs w:val="30"/>
        </w:rPr>
        <w:t>月</w:t>
      </w:r>
      <w:r>
        <w:rPr>
          <w:rFonts w:hint="eastAsia" w:ascii="宋体" w:hAnsi="宋体"/>
          <w:sz w:val="30"/>
          <w:szCs w:val="30"/>
          <w:lang w:val="en-US" w:eastAsia="zh-CN"/>
        </w:rPr>
        <w:t>15日</w:t>
      </w:r>
    </w:p>
    <w:p>
      <w:pPr>
        <w:autoSpaceDN w:val="0"/>
        <w:ind w:firstLine="600" w:firstLineChars="200"/>
        <w:rPr>
          <w:rFonts w:ascii="宋体" w:hAnsi="宋体"/>
          <w:sz w:val="30"/>
          <w:szCs w:val="30"/>
        </w:rPr>
      </w:pPr>
    </w:p>
    <w:p>
      <w:pPr>
        <w:widowControl/>
        <w:spacing w:line="360" w:lineRule="auto"/>
        <w:rPr>
          <w:b/>
          <w:color w:val="000000"/>
          <w:sz w:val="36"/>
          <w:szCs w:val="36"/>
        </w:rPr>
      </w:pPr>
      <w:r>
        <w:rPr>
          <w:rFonts w:ascii="宋体" w:hAnsi="宋体"/>
          <w:szCs w:val="24"/>
        </w:rPr>
        <w:br w:type="page"/>
      </w:r>
      <w:r>
        <w:rPr>
          <w:rFonts w:hint="eastAsia" w:ascii="宋体" w:hAnsi="宋体"/>
          <w:szCs w:val="24"/>
        </w:rPr>
        <w:t xml:space="preserve"> </w:t>
      </w:r>
      <w:r>
        <w:rPr>
          <w:rFonts w:hint="eastAsia"/>
          <w:b/>
          <w:color w:val="000000"/>
          <w:sz w:val="36"/>
          <w:szCs w:val="36"/>
        </w:rPr>
        <w:t xml:space="preserve"> </w:t>
      </w:r>
      <w:r>
        <w:rPr>
          <w:rFonts w:hint="eastAsia"/>
          <w:b/>
          <w:color w:val="000000"/>
          <w:sz w:val="36"/>
          <w:szCs w:val="36"/>
          <w:lang w:eastAsia="zh-CN"/>
        </w:rPr>
        <w:t>开元壹号62地块一期</w:t>
      </w:r>
      <w:r>
        <w:rPr>
          <w:rFonts w:hint="eastAsia"/>
          <w:b/>
          <w:color w:val="000000"/>
          <w:sz w:val="36"/>
          <w:szCs w:val="36"/>
        </w:rPr>
        <w:t>门头石材、电梯门套、入户大堂</w:t>
      </w:r>
    </w:p>
    <w:p>
      <w:pPr>
        <w:pStyle w:val="64"/>
        <w:autoSpaceDN w:val="0"/>
        <w:jc w:val="center"/>
        <w:rPr>
          <w:b/>
          <w:color w:val="000000"/>
          <w:sz w:val="36"/>
          <w:szCs w:val="36"/>
        </w:rPr>
      </w:pPr>
      <w:r>
        <w:rPr>
          <w:rFonts w:hint="eastAsia"/>
          <w:b/>
          <w:color w:val="000000"/>
          <w:sz w:val="36"/>
          <w:szCs w:val="36"/>
        </w:rPr>
        <w:t>精装修工程合同</w:t>
      </w:r>
    </w:p>
    <w:p>
      <w:pPr>
        <w:widowControl/>
        <w:autoSpaceDN/>
        <w:spacing w:line="360" w:lineRule="auto"/>
        <w:ind w:firstLine="480" w:firstLineChars="200"/>
        <w:rPr>
          <w:rFonts w:hint="eastAsia" w:ascii="宋体" w:hAnsi="宋体" w:eastAsia="宋体"/>
          <w:sz w:val="24"/>
          <w:szCs w:val="24"/>
          <w:lang w:eastAsia="zh-CN"/>
        </w:rPr>
      </w:pPr>
      <w:r>
        <w:rPr>
          <w:rFonts w:hint="eastAsia" w:ascii="宋体" w:hAnsi="宋体"/>
          <w:sz w:val="24"/>
          <w:szCs w:val="24"/>
        </w:rPr>
        <w:t>发包人（甲方）：</w:t>
      </w:r>
      <w:r>
        <w:rPr>
          <w:rFonts w:hint="eastAsia" w:ascii="宋体" w:hAnsi="宋体"/>
          <w:sz w:val="24"/>
          <w:szCs w:val="24"/>
          <w:lang w:eastAsia="zh-CN"/>
        </w:rPr>
        <w:t>洛阳浩德鑫置地有限公司</w:t>
      </w:r>
    </w:p>
    <w:p>
      <w:pPr>
        <w:widowControl/>
        <w:autoSpaceDN/>
        <w:spacing w:line="360" w:lineRule="auto"/>
        <w:ind w:firstLine="480" w:firstLineChars="200"/>
        <w:rPr>
          <w:rFonts w:ascii="宋体" w:hAnsi="宋体"/>
          <w:sz w:val="24"/>
          <w:szCs w:val="24"/>
        </w:rPr>
      </w:pPr>
      <w:r>
        <w:rPr>
          <w:rFonts w:hint="eastAsia" w:ascii="宋体" w:hAnsi="宋体"/>
          <w:sz w:val="24"/>
          <w:szCs w:val="24"/>
        </w:rPr>
        <w:t xml:space="preserve">承包人（乙方）： </w:t>
      </w:r>
      <w:r>
        <w:rPr>
          <w:rFonts w:hint="eastAsia" w:ascii="宋体" w:hAnsi="宋体"/>
          <w:sz w:val="24"/>
          <w:szCs w:val="24"/>
          <w:lang w:eastAsia="zh-CN"/>
        </w:rPr>
        <w:t>河南鼎甲装饰工程有限公司</w:t>
      </w:r>
      <w:r>
        <w:rPr>
          <w:rFonts w:hint="eastAsia" w:ascii="宋体" w:hAnsi="宋体"/>
          <w:sz w:val="24"/>
          <w:szCs w:val="24"/>
        </w:rPr>
        <w:t xml:space="preserve">                    </w:t>
      </w:r>
    </w:p>
    <w:p>
      <w:pPr>
        <w:widowControl/>
        <w:autoSpaceDN/>
        <w:adjustRightInd/>
        <w:snapToGrid/>
        <w:spacing w:line="360" w:lineRule="auto"/>
        <w:ind w:firstLine="480" w:firstLineChars="200"/>
        <w:rPr>
          <w:rFonts w:hint="eastAsia" w:ascii="宋体" w:hAnsi="宋体"/>
          <w:kern w:val="2"/>
          <w:sz w:val="24"/>
          <w:szCs w:val="24"/>
        </w:rPr>
      </w:pPr>
      <w:r>
        <w:rPr>
          <w:rFonts w:hint="eastAsia" w:ascii="宋体" w:hAnsi="宋体"/>
          <w:b w:val="0"/>
          <w:bCs w:val="0"/>
          <w:kern w:val="2"/>
          <w:sz w:val="24"/>
          <w:szCs w:val="24"/>
        </w:rPr>
        <w:t xml:space="preserve">    </w:t>
      </w:r>
      <w:r>
        <w:rPr>
          <w:rFonts w:hint="eastAsia" w:ascii="宋体" w:hAnsi="宋体"/>
          <w:kern w:val="2"/>
          <w:sz w:val="24"/>
          <w:szCs w:val="24"/>
        </w:rPr>
        <w:t>依照《中华人民共和国</w:t>
      </w:r>
      <w:r>
        <w:rPr>
          <w:rFonts w:hint="eastAsia" w:ascii="宋体" w:hAnsi="宋体"/>
          <w:kern w:val="2"/>
          <w:sz w:val="24"/>
          <w:szCs w:val="24"/>
          <w:lang w:eastAsia="zh-CN"/>
        </w:rPr>
        <w:t>民法典</w:t>
      </w:r>
      <w:r>
        <w:rPr>
          <w:rFonts w:hint="eastAsia" w:ascii="宋体" w:hAnsi="宋体"/>
          <w:kern w:val="2"/>
          <w:sz w:val="24"/>
          <w:szCs w:val="24"/>
        </w:rPr>
        <w:t>》、《中华人民共和国建筑法》、</w:t>
      </w:r>
      <w:r>
        <w:rPr>
          <w:rFonts w:hint="eastAsia" w:ascii="宋体" w:hAnsi="宋体"/>
          <w:sz w:val="24"/>
          <w:szCs w:val="24"/>
        </w:rPr>
        <w:t>《建设工程质量管理条例》</w:t>
      </w:r>
      <w:r>
        <w:rPr>
          <w:rFonts w:hint="eastAsia" w:ascii="宋体" w:hAnsi="宋体"/>
          <w:kern w:val="2"/>
          <w:sz w:val="24"/>
          <w:szCs w:val="24"/>
        </w:rPr>
        <w:t>及其他有关法律、行政法规，遵循平等、自愿、公平和诚实信用的原则，双方经协商一致订立本合同。</w:t>
      </w:r>
    </w:p>
    <w:p>
      <w:pPr>
        <w:pStyle w:val="3"/>
        <w:numPr>
          <w:ilvl w:val="0"/>
          <w:numId w:val="0"/>
        </w:numPr>
        <w:rPr>
          <w:rFonts w:ascii="宋体" w:hAnsi="宋体"/>
          <w:b/>
          <w:sz w:val="24"/>
          <w:szCs w:val="24"/>
        </w:rPr>
      </w:pPr>
      <w:r>
        <w:rPr>
          <w:rFonts w:hint="eastAsia" w:ascii="宋体" w:hAnsi="宋体"/>
          <w:b/>
          <w:sz w:val="24"/>
          <w:szCs w:val="24"/>
        </w:rPr>
        <w:t>第一条：工程概况</w:t>
      </w:r>
    </w:p>
    <w:p>
      <w:pPr>
        <w:widowControl/>
        <w:spacing w:line="360" w:lineRule="auto"/>
        <w:ind w:firstLine="480" w:firstLineChars="200"/>
        <w:rPr>
          <w:rFonts w:hint="eastAsia" w:ascii="宋体" w:hAnsi="宋体"/>
          <w:sz w:val="24"/>
          <w:szCs w:val="24"/>
        </w:rPr>
      </w:pPr>
      <w:r>
        <w:rPr>
          <w:rFonts w:hint="eastAsia" w:ascii="宋体" w:hAnsi="宋体"/>
          <w:sz w:val="24"/>
          <w:szCs w:val="24"/>
        </w:rPr>
        <w:t>1、工程名称：</w:t>
      </w:r>
      <w:r>
        <w:rPr>
          <w:rFonts w:hint="eastAsia" w:ascii="宋体" w:hAnsi="宋体"/>
          <w:b w:val="0"/>
          <w:color w:val="auto"/>
          <w:sz w:val="24"/>
          <w:szCs w:val="24"/>
        </w:rPr>
        <w:t xml:space="preserve"> </w:t>
      </w:r>
      <w:r>
        <w:rPr>
          <w:rFonts w:hint="eastAsia" w:ascii="宋体" w:hAnsi="宋体"/>
          <w:sz w:val="24"/>
          <w:szCs w:val="24"/>
          <w:lang w:eastAsia="zh-CN"/>
        </w:rPr>
        <w:t>开元壹号62地块一期</w:t>
      </w:r>
      <w:r>
        <w:rPr>
          <w:rFonts w:hint="eastAsia" w:ascii="宋体" w:hAnsi="宋体"/>
          <w:sz w:val="24"/>
          <w:szCs w:val="24"/>
        </w:rPr>
        <w:t>门头石材、电梯门套、入户大堂精装修工程</w:t>
      </w:r>
    </w:p>
    <w:p>
      <w:pPr>
        <w:autoSpaceDN/>
        <w:spacing w:line="360" w:lineRule="auto"/>
        <w:ind w:firstLine="480" w:firstLineChars="200"/>
        <w:jc w:val="left"/>
        <w:rPr>
          <w:rFonts w:ascii="宋体" w:hAnsi="宋体"/>
          <w:color w:val="000000"/>
          <w:spacing w:val="12"/>
        </w:rPr>
      </w:pPr>
      <w:r>
        <w:rPr>
          <w:rFonts w:hint="eastAsia" w:ascii="宋体" w:hAnsi="宋体"/>
          <w:sz w:val="24"/>
          <w:szCs w:val="24"/>
        </w:rPr>
        <w:t>2、工程地点：</w:t>
      </w:r>
      <w:r>
        <w:rPr>
          <w:rFonts w:hint="eastAsia" w:ascii="宋体" w:hAnsi="宋体" w:cs="宋体"/>
          <w:bCs/>
          <w:szCs w:val="21"/>
        </w:rPr>
        <w:t>河南省洛阳市洛龙区</w:t>
      </w:r>
      <w:r>
        <w:rPr>
          <w:rFonts w:ascii="宋体" w:hAnsi="宋体"/>
          <w:color w:val="000000"/>
          <w:spacing w:val="12"/>
        </w:rPr>
        <w:t>开元大道1号和</w:t>
      </w:r>
      <w:r>
        <w:rPr>
          <w:rFonts w:hint="eastAsia" w:ascii="宋体" w:hAnsi="宋体"/>
          <w:color w:val="000000"/>
          <w:spacing w:val="12"/>
        </w:rPr>
        <w:t>新伊大街</w:t>
      </w:r>
      <w:r>
        <w:rPr>
          <w:rFonts w:ascii="宋体" w:hAnsi="宋体"/>
          <w:color w:val="000000"/>
          <w:spacing w:val="12"/>
        </w:rPr>
        <w:t>交汇处</w:t>
      </w:r>
    </w:p>
    <w:p>
      <w:pPr>
        <w:autoSpaceDN/>
        <w:spacing w:line="360" w:lineRule="auto"/>
        <w:ind w:firstLine="480" w:firstLineChars="200"/>
        <w:jc w:val="left"/>
        <w:rPr>
          <w:rFonts w:hint="eastAsia" w:ascii="宋体" w:hAnsi="宋体"/>
          <w:sz w:val="24"/>
          <w:szCs w:val="24"/>
        </w:rPr>
      </w:pPr>
      <w:r>
        <w:rPr>
          <w:rFonts w:hint="eastAsia" w:ascii="宋体" w:hAnsi="宋体"/>
          <w:sz w:val="24"/>
          <w:szCs w:val="24"/>
        </w:rPr>
        <w:t xml:space="preserve">3、工程内容：乙方按甲方确认下发的施工图纸完成 </w:t>
      </w:r>
      <w:r>
        <w:rPr>
          <w:rFonts w:hint="eastAsia" w:ascii="宋体" w:hAnsi="宋体"/>
          <w:sz w:val="24"/>
          <w:szCs w:val="24"/>
          <w:lang w:eastAsia="zh-CN"/>
        </w:rPr>
        <w:t>开元壹号62地块一期</w:t>
      </w:r>
      <w:r>
        <w:rPr>
          <w:rFonts w:hint="eastAsia" w:ascii="宋体" w:hAnsi="宋体"/>
          <w:sz w:val="24"/>
          <w:szCs w:val="24"/>
        </w:rPr>
        <w:t>门头石材、电梯门套、入户大堂精装修工程施工</w:t>
      </w:r>
    </w:p>
    <w:p>
      <w:pPr>
        <w:pStyle w:val="3"/>
        <w:numPr>
          <w:ilvl w:val="0"/>
          <w:numId w:val="0"/>
        </w:numPr>
        <w:rPr>
          <w:rFonts w:hint="eastAsia" w:ascii="宋体" w:hAnsi="宋体"/>
          <w:b/>
          <w:sz w:val="24"/>
          <w:szCs w:val="24"/>
        </w:rPr>
      </w:pPr>
      <w:r>
        <w:rPr>
          <w:rFonts w:hint="eastAsia" w:ascii="宋体" w:hAnsi="宋体"/>
          <w:b/>
          <w:sz w:val="24"/>
          <w:szCs w:val="24"/>
        </w:rPr>
        <w:t>第二条：承包范围：</w:t>
      </w:r>
    </w:p>
    <w:p>
      <w:pPr>
        <w:widowControl/>
        <w:spacing w:before="4" w:line="360" w:lineRule="auto"/>
        <w:ind w:firstLine="600"/>
      </w:pPr>
      <w:r>
        <w:rPr>
          <w:rFonts w:hint="eastAsia" w:ascii="宋体" w:hAnsi="宋体"/>
          <w:sz w:val="24"/>
          <w:lang w:eastAsia="zh-CN"/>
        </w:rPr>
        <w:t>承包</w:t>
      </w:r>
      <w:r>
        <w:rPr>
          <w:rFonts w:hint="eastAsia" w:ascii="宋体" w:hAnsi="宋体"/>
          <w:sz w:val="24"/>
        </w:rPr>
        <w:t>范围：</w:t>
      </w:r>
      <w:r>
        <w:rPr>
          <w:rFonts w:hint="eastAsia" w:ascii="宋体" w:hAnsi="宋体" w:cs="宋体"/>
          <w:spacing w:val="12"/>
          <w:sz w:val="24"/>
          <w:szCs w:val="24"/>
          <w:lang w:eastAsia="zh-CN"/>
        </w:rPr>
        <w:t>开元壹号62地块一期</w:t>
      </w:r>
      <w:r>
        <w:rPr>
          <w:rFonts w:hint="eastAsia" w:ascii="宋体" w:hAnsi="宋体" w:cs="宋体"/>
          <w:spacing w:val="12"/>
          <w:sz w:val="24"/>
          <w:szCs w:val="24"/>
        </w:rPr>
        <w:t>门头</w:t>
      </w:r>
      <w:r>
        <w:rPr>
          <w:rFonts w:hint="eastAsia" w:ascii="宋体" w:hAnsi="宋体" w:cs="宋体"/>
          <w:spacing w:val="12"/>
          <w:sz w:val="24"/>
          <w:szCs w:val="24"/>
          <w:lang w:val="en-US" w:eastAsia="zh-CN"/>
        </w:rPr>
        <w:t>9</w:t>
      </w:r>
      <w:r>
        <w:rPr>
          <w:rFonts w:hint="eastAsia" w:ascii="宋体" w:hAnsi="宋体" w:cs="宋体"/>
          <w:spacing w:val="12"/>
          <w:sz w:val="24"/>
          <w:szCs w:val="24"/>
        </w:rPr>
        <w:t>个，</w:t>
      </w:r>
      <w:r>
        <w:rPr>
          <w:rFonts w:hint="eastAsia" w:ascii="宋体" w:hAnsi="宋体" w:cs="宋体"/>
          <w:spacing w:val="12"/>
          <w:sz w:val="24"/>
          <w:szCs w:val="24"/>
          <w:lang w:eastAsia="zh-CN"/>
        </w:rPr>
        <w:t>石材面积约</w:t>
      </w:r>
      <w:r>
        <w:rPr>
          <w:rFonts w:hint="eastAsia" w:ascii="宋体" w:hAnsi="宋体" w:cs="宋体"/>
          <w:spacing w:val="12"/>
          <w:sz w:val="24"/>
          <w:szCs w:val="24"/>
        </w:rPr>
        <w:t>共计</w:t>
      </w:r>
      <w:r>
        <w:rPr>
          <w:rFonts w:hint="eastAsia" w:ascii="宋体" w:hAnsi="宋体" w:cs="宋体"/>
          <w:spacing w:val="12"/>
          <w:sz w:val="24"/>
          <w:szCs w:val="24"/>
          <w:lang w:val="en-US" w:eastAsia="zh-CN"/>
        </w:rPr>
        <w:t>900</w:t>
      </w:r>
      <w:r>
        <w:rPr>
          <w:rFonts w:hint="eastAsia" w:ascii="宋体" w:hAnsi="宋体" w:cs="宋体"/>
          <w:spacing w:val="12"/>
          <w:sz w:val="24"/>
          <w:szCs w:val="24"/>
        </w:rPr>
        <w:t>m2</w:t>
      </w:r>
      <w:r>
        <w:rPr>
          <w:rFonts w:hint="eastAsia" w:ascii="宋体" w:hAnsi="宋体" w:cs="宋体"/>
          <w:color w:val="FF0000"/>
          <w:spacing w:val="12"/>
          <w:sz w:val="24"/>
          <w:szCs w:val="24"/>
          <w:lang w:eastAsia="zh-CN"/>
        </w:rPr>
        <w:t>；</w:t>
      </w:r>
      <w:r>
        <w:rPr>
          <w:rFonts w:hint="eastAsia" w:ascii="宋体" w:hAnsi="宋体" w:cs="宋体"/>
          <w:spacing w:val="12"/>
          <w:sz w:val="24"/>
          <w:szCs w:val="24"/>
        </w:rPr>
        <w:t>入户大堂</w:t>
      </w:r>
      <w:r>
        <w:rPr>
          <w:rFonts w:hint="eastAsia" w:ascii="宋体" w:hAnsi="宋体" w:cs="宋体"/>
          <w:spacing w:val="12"/>
          <w:sz w:val="24"/>
          <w:szCs w:val="24"/>
          <w:lang w:val="en-US" w:eastAsia="zh-CN"/>
        </w:rPr>
        <w:t>9</w:t>
      </w:r>
      <w:r>
        <w:rPr>
          <w:rFonts w:hint="eastAsia" w:ascii="宋体" w:hAnsi="宋体" w:cs="宋体"/>
          <w:spacing w:val="12"/>
          <w:sz w:val="24"/>
          <w:szCs w:val="24"/>
        </w:rPr>
        <w:t>个，共计约</w:t>
      </w:r>
      <w:r>
        <w:rPr>
          <w:rFonts w:hint="eastAsia" w:ascii="宋体" w:hAnsi="宋体" w:cs="宋体"/>
          <w:spacing w:val="12"/>
          <w:sz w:val="24"/>
          <w:szCs w:val="24"/>
          <w:lang w:val="en-US" w:eastAsia="zh-CN"/>
        </w:rPr>
        <w:t>600</w:t>
      </w:r>
      <w:r>
        <w:rPr>
          <w:rFonts w:hint="eastAsia" w:ascii="宋体" w:hAnsi="宋体" w:cs="宋体"/>
          <w:spacing w:val="12"/>
          <w:sz w:val="24"/>
          <w:szCs w:val="24"/>
        </w:rPr>
        <w:t>㎡</w:t>
      </w:r>
      <w:r>
        <w:rPr>
          <w:rFonts w:hint="eastAsia" w:ascii="宋体" w:hAnsi="宋体" w:cs="宋体"/>
          <w:spacing w:val="12"/>
          <w:sz w:val="24"/>
          <w:szCs w:val="24"/>
          <w:lang w:eastAsia="zh-CN"/>
        </w:rPr>
        <w:t>；</w:t>
      </w:r>
      <w:r>
        <w:rPr>
          <w:rFonts w:hint="eastAsia" w:ascii="宋体" w:hAnsi="宋体" w:cs="宋体"/>
          <w:spacing w:val="12"/>
          <w:sz w:val="24"/>
          <w:szCs w:val="24"/>
        </w:rPr>
        <w:t>电梯门套</w:t>
      </w:r>
      <w:r>
        <w:rPr>
          <w:rFonts w:hint="eastAsia" w:ascii="宋体" w:hAnsi="宋体" w:cs="宋体"/>
          <w:spacing w:val="12"/>
          <w:sz w:val="24"/>
          <w:szCs w:val="24"/>
          <w:lang w:val="en-US" w:eastAsia="zh-CN"/>
        </w:rPr>
        <w:t>622</w:t>
      </w:r>
      <w:r>
        <w:rPr>
          <w:rFonts w:hint="eastAsia" w:ascii="宋体" w:hAnsi="宋体" w:cs="宋体"/>
          <w:spacing w:val="12"/>
          <w:sz w:val="24"/>
          <w:szCs w:val="24"/>
        </w:rPr>
        <w:t>个。（仅供参考</w:t>
      </w:r>
      <w:r>
        <w:rPr>
          <w:rFonts w:hint="eastAsia" w:ascii="宋体" w:hAnsi="宋体" w:cs="宋体"/>
          <w:spacing w:val="12"/>
          <w:sz w:val="24"/>
          <w:szCs w:val="24"/>
          <w:lang w:eastAsia="zh-CN"/>
        </w:rPr>
        <w:t>，</w:t>
      </w:r>
      <w:r>
        <w:rPr>
          <w:rFonts w:hint="eastAsia" w:ascii="宋体" w:hAnsi="宋体" w:cs="宋体"/>
          <w:spacing w:val="12"/>
          <w:sz w:val="24"/>
          <w:szCs w:val="24"/>
        </w:rPr>
        <w:t>以实际面积为准）精装</w:t>
      </w:r>
      <w:r>
        <w:rPr>
          <w:rFonts w:hint="eastAsia" w:ascii="宋体" w:hAnsi="宋体"/>
          <w:sz w:val="24"/>
          <w:szCs w:val="24"/>
        </w:rPr>
        <w:t>图纸所示</w:t>
      </w:r>
      <w:r>
        <w:rPr>
          <w:rFonts w:hint="eastAsia" w:ascii="宋体" w:hAnsi="宋体"/>
          <w:sz w:val="24"/>
        </w:rPr>
        <w:t>范围内的工作内容，除明确注明不在此次承包范围内的工程外，均在此次承包范围内，且不限于图纸中未深化到位的交接点的处理等所有需二次深化的施工内容亦在此次承包范围内。包括但不限于：</w:t>
      </w:r>
      <w:r>
        <w:rPr>
          <w:rFonts w:hint="eastAsia" w:ascii="宋体" w:hAnsi="宋体" w:cs="宋体"/>
          <w:spacing w:val="12"/>
          <w:sz w:val="24"/>
          <w:szCs w:val="24"/>
          <w:lang w:eastAsia="zh-CN"/>
        </w:rPr>
        <w:t>开元壹号62地块一期</w:t>
      </w:r>
      <w:r>
        <w:rPr>
          <w:rFonts w:hint="eastAsia" w:ascii="宋体" w:hAnsi="宋体" w:cs="宋体"/>
          <w:spacing w:val="12"/>
          <w:sz w:val="24"/>
          <w:szCs w:val="24"/>
          <w:lang w:val="en-US" w:eastAsia="zh-CN"/>
        </w:rPr>
        <w:t>51、52、53、56、57#楼</w:t>
      </w:r>
      <w:r>
        <w:rPr>
          <w:rFonts w:hint="eastAsia" w:ascii="宋体" w:hAnsi="宋体" w:cs="宋体"/>
          <w:spacing w:val="12"/>
          <w:sz w:val="24"/>
          <w:szCs w:val="24"/>
        </w:rPr>
        <w:t>门头石材</w:t>
      </w:r>
      <w:r>
        <w:rPr>
          <w:rFonts w:hint="eastAsia"/>
          <w:b w:val="0"/>
          <w:bCs/>
          <w:sz w:val="24"/>
          <w:szCs w:val="24"/>
        </w:rPr>
        <w:t>、</w:t>
      </w:r>
      <w:r>
        <w:rPr>
          <w:rFonts w:hint="eastAsia" w:ascii="宋体" w:hAnsi="宋体" w:cs="宋体"/>
          <w:spacing w:val="12"/>
          <w:sz w:val="24"/>
          <w:szCs w:val="24"/>
        </w:rPr>
        <w:t>电梯门套</w:t>
      </w:r>
      <w:r>
        <w:rPr>
          <w:rFonts w:hint="eastAsia"/>
          <w:b w:val="0"/>
          <w:bCs/>
          <w:sz w:val="24"/>
          <w:szCs w:val="24"/>
        </w:rPr>
        <w:t>、</w:t>
      </w:r>
      <w:r>
        <w:rPr>
          <w:rFonts w:hint="eastAsia" w:ascii="宋体" w:hAnsi="宋体" w:cs="宋体"/>
          <w:spacing w:val="12"/>
          <w:sz w:val="24"/>
          <w:szCs w:val="24"/>
        </w:rPr>
        <w:t>入户大堂</w:t>
      </w:r>
      <w:r>
        <w:rPr>
          <w:rFonts w:hint="eastAsia" w:ascii="宋体" w:hAnsi="宋体" w:cs="宋体"/>
          <w:spacing w:val="12"/>
          <w:sz w:val="24"/>
          <w:szCs w:val="24"/>
          <w:lang w:eastAsia="zh-CN"/>
        </w:rPr>
        <w:t>精装修</w:t>
      </w:r>
      <w:r>
        <w:rPr>
          <w:rFonts w:hint="eastAsia" w:ascii="宋体" w:hAnsi="宋体"/>
          <w:sz w:val="24"/>
        </w:rPr>
        <w:t>施工图纸内的所有工程内容（详见图纸）。</w:t>
      </w:r>
    </w:p>
    <w:p>
      <w:pPr>
        <w:spacing w:line="360" w:lineRule="auto"/>
        <w:ind w:firstLine="480" w:firstLineChars="200"/>
        <w:rPr>
          <w:rFonts w:ascii="宋体" w:hAnsi="宋体"/>
          <w:sz w:val="24"/>
          <w:szCs w:val="24"/>
          <w:highlight w:val="none"/>
        </w:rPr>
      </w:pPr>
      <w:r>
        <w:rPr>
          <w:rFonts w:hint="eastAsia" w:ascii="宋体" w:hAnsi="宋体"/>
          <w:sz w:val="24"/>
          <w:szCs w:val="24"/>
          <w:highlight w:val="none"/>
        </w:rPr>
        <w:t>承包</w:t>
      </w:r>
      <w:r>
        <w:rPr>
          <w:rFonts w:hint="eastAsia" w:ascii="宋体" w:hAnsi="宋体"/>
          <w:sz w:val="24"/>
          <w:szCs w:val="24"/>
          <w:highlight w:val="none"/>
          <w:lang w:eastAsia="zh-CN"/>
        </w:rPr>
        <w:t>内容</w:t>
      </w:r>
      <w:r>
        <w:rPr>
          <w:rFonts w:hint="eastAsia" w:ascii="宋体" w:hAnsi="宋体"/>
          <w:sz w:val="24"/>
          <w:szCs w:val="24"/>
          <w:highlight w:val="none"/>
        </w:rPr>
        <w:t>：</w:t>
      </w:r>
      <w:r>
        <w:rPr>
          <w:rFonts w:hint="eastAsia" w:ascii="宋体" w:hAnsi="宋体"/>
          <w:sz w:val="24"/>
          <w:szCs w:val="24"/>
          <w:highlight w:val="none"/>
          <w:lang w:eastAsia="zh-CN"/>
        </w:rPr>
        <w:t>开元壹号62地块一期</w:t>
      </w:r>
      <w:r>
        <w:rPr>
          <w:rFonts w:hint="eastAsia" w:ascii="宋体" w:hAnsi="宋体"/>
          <w:sz w:val="24"/>
          <w:szCs w:val="24"/>
          <w:highlight w:val="none"/>
        </w:rPr>
        <w:t>门头石材、电梯门套、入户大堂精装修工程图纸范围内全部的工作内容，除明确注明不在此次承包范围内的工程外，图纸内所有工程均在此次承包范围内，且不限于图纸中未深化到位的交接点的处理等所有需二次深化的施工内容。</w:t>
      </w:r>
    </w:p>
    <w:p>
      <w:pPr>
        <w:spacing w:line="360" w:lineRule="auto"/>
        <w:ind w:firstLine="480" w:firstLineChars="200"/>
        <w:rPr>
          <w:rFonts w:hint="eastAsia" w:ascii="宋体" w:hAnsi="宋体"/>
          <w:sz w:val="24"/>
          <w:szCs w:val="24"/>
          <w:highlight w:val="none"/>
          <w:lang w:eastAsia="zh-CN"/>
        </w:rPr>
      </w:pPr>
      <w:r>
        <w:rPr>
          <w:rFonts w:hint="eastAsia" w:ascii="宋体" w:hAnsi="宋体"/>
          <w:sz w:val="24"/>
          <w:szCs w:val="24"/>
          <w:highlight w:val="none"/>
          <w:lang w:eastAsia="zh-CN"/>
        </w:rPr>
        <w:t>注明：</w:t>
      </w:r>
    </w:p>
    <w:p>
      <w:pPr>
        <w:spacing w:line="360" w:lineRule="auto"/>
        <w:ind w:firstLine="480" w:firstLineChars="200"/>
        <w:rPr>
          <w:rFonts w:ascii="宋体" w:hAnsi="宋体"/>
          <w:sz w:val="24"/>
          <w:szCs w:val="24"/>
          <w:highlight w:val="none"/>
        </w:rPr>
      </w:pPr>
      <w:r>
        <w:rPr>
          <w:rFonts w:hint="eastAsia" w:ascii="宋体" w:hAnsi="宋体"/>
          <w:sz w:val="24"/>
          <w:szCs w:val="24"/>
          <w:highlight w:val="none"/>
        </w:rPr>
        <w:t xml:space="preserve">1、 </w:t>
      </w:r>
      <w:r>
        <w:rPr>
          <w:rFonts w:hint="eastAsia" w:ascii="宋体" w:hAnsi="宋体"/>
          <w:sz w:val="24"/>
          <w:szCs w:val="24"/>
          <w:highlight w:val="none"/>
          <w:lang w:eastAsia="zh-CN"/>
        </w:rPr>
        <w:t>施工</w:t>
      </w:r>
      <w:r>
        <w:rPr>
          <w:rFonts w:hint="eastAsia" w:ascii="宋体" w:hAnsi="宋体"/>
          <w:sz w:val="24"/>
          <w:szCs w:val="24"/>
          <w:highlight w:val="none"/>
        </w:rPr>
        <w:t>范围中包含的</w:t>
      </w:r>
      <w:r>
        <w:rPr>
          <w:rFonts w:hint="eastAsia" w:ascii="宋体" w:hAnsi="宋体"/>
          <w:sz w:val="24"/>
          <w:szCs w:val="24"/>
          <w:highlight w:val="none"/>
          <w:lang w:val="en-US" w:eastAsia="zh-CN"/>
        </w:rPr>
        <w:t>51、52、53、56、57#楼</w:t>
      </w:r>
      <w:r>
        <w:rPr>
          <w:rFonts w:hint="eastAsia" w:ascii="宋体" w:hAnsi="宋体"/>
          <w:sz w:val="24"/>
          <w:szCs w:val="24"/>
          <w:highlight w:val="none"/>
          <w:lang w:eastAsia="zh-CN"/>
        </w:rPr>
        <w:t>门头石材、电梯门套、</w:t>
      </w:r>
      <w:r>
        <w:rPr>
          <w:rFonts w:hint="eastAsia" w:ascii="宋体" w:hAnsi="宋体"/>
          <w:sz w:val="24"/>
          <w:szCs w:val="24"/>
          <w:highlight w:val="none"/>
          <w:lang w:val="en-US" w:eastAsia="zh-CN"/>
        </w:rPr>
        <w:t>入户大堂精装修</w:t>
      </w:r>
      <w:r>
        <w:rPr>
          <w:rFonts w:hint="eastAsia" w:ascii="宋体" w:hAnsi="宋体"/>
          <w:sz w:val="24"/>
          <w:szCs w:val="24"/>
          <w:highlight w:val="none"/>
        </w:rPr>
        <w:t>装修工程墙面、地面、顶面等装饰装修工程。</w:t>
      </w:r>
    </w:p>
    <w:p>
      <w:pPr>
        <w:spacing w:line="360" w:lineRule="auto"/>
        <w:ind w:firstLine="480" w:firstLineChars="200"/>
        <w:rPr>
          <w:rFonts w:ascii="宋体" w:hAnsi="宋体"/>
          <w:sz w:val="24"/>
          <w:szCs w:val="24"/>
          <w:highlight w:val="none"/>
        </w:rPr>
      </w:pPr>
      <w:r>
        <w:rPr>
          <w:rFonts w:hint="eastAsia" w:ascii="宋体" w:hAnsi="宋体"/>
          <w:sz w:val="24"/>
          <w:szCs w:val="24"/>
          <w:highlight w:val="none"/>
        </w:rPr>
        <w:t>2、强弱电：图纸范围内</w:t>
      </w:r>
      <w:r>
        <w:rPr>
          <w:rFonts w:hint="eastAsia" w:ascii="宋体" w:hAnsi="宋体"/>
          <w:sz w:val="24"/>
          <w:szCs w:val="24"/>
          <w:highlight w:val="none"/>
          <w:lang w:eastAsia="zh-CN"/>
        </w:rPr>
        <w:t>管线的敷设（</w:t>
      </w:r>
      <w:r>
        <w:rPr>
          <w:rFonts w:hint="eastAsia" w:ascii="宋体" w:hAnsi="宋体"/>
          <w:sz w:val="24"/>
          <w:szCs w:val="24"/>
          <w:highlight w:val="none"/>
        </w:rPr>
        <w:t>总包单位</w:t>
      </w:r>
      <w:r>
        <w:rPr>
          <w:rFonts w:hint="eastAsia" w:ascii="宋体" w:hAnsi="宋体"/>
          <w:sz w:val="24"/>
          <w:szCs w:val="24"/>
          <w:highlight w:val="none"/>
          <w:lang w:eastAsia="zh-CN"/>
        </w:rPr>
        <w:t>仅</w:t>
      </w:r>
      <w:r>
        <w:rPr>
          <w:rFonts w:hint="eastAsia" w:ascii="宋体" w:hAnsi="宋体"/>
          <w:sz w:val="24"/>
          <w:szCs w:val="24"/>
          <w:highlight w:val="none"/>
        </w:rPr>
        <w:t>负责原建筑图纸公区混凝土结构范围的强弱电预埋</w:t>
      </w:r>
      <w:r>
        <w:rPr>
          <w:rFonts w:hint="eastAsia" w:ascii="宋体" w:hAnsi="宋体"/>
          <w:sz w:val="24"/>
          <w:szCs w:val="24"/>
          <w:highlight w:val="none"/>
          <w:lang w:eastAsia="zh-CN"/>
        </w:rPr>
        <w:t>）、灯具、开关插座等</w:t>
      </w:r>
      <w:r>
        <w:rPr>
          <w:rFonts w:hint="eastAsia" w:ascii="宋体" w:hAnsi="宋体"/>
          <w:sz w:val="24"/>
          <w:szCs w:val="24"/>
        </w:rPr>
        <w:t>电气设备</w:t>
      </w:r>
      <w:r>
        <w:rPr>
          <w:rFonts w:hint="eastAsia" w:ascii="宋体" w:hAnsi="宋体"/>
          <w:sz w:val="24"/>
          <w:szCs w:val="24"/>
          <w:highlight w:val="none"/>
          <w:lang w:eastAsia="zh-CN"/>
        </w:rPr>
        <w:t>的安装</w:t>
      </w:r>
      <w:r>
        <w:rPr>
          <w:rFonts w:hint="eastAsia" w:ascii="宋体" w:hAnsi="宋体"/>
          <w:sz w:val="24"/>
          <w:szCs w:val="24"/>
          <w:highlight w:val="none"/>
        </w:rPr>
        <w:t>。</w:t>
      </w:r>
    </w:p>
    <w:p>
      <w:pPr>
        <w:spacing w:line="360" w:lineRule="auto"/>
        <w:ind w:firstLine="480" w:firstLineChars="200"/>
        <w:rPr>
          <w:rFonts w:ascii="宋体" w:hAnsi="宋体"/>
          <w:sz w:val="24"/>
          <w:szCs w:val="24"/>
          <w:highlight w:val="none"/>
        </w:rPr>
      </w:pPr>
      <w:r>
        <w:rPr>
          <w:rFonts w:hint="eastAsia" w:ascii="宋体" w:hAnsi="宋体"/>
          <w:sz w:val="24"/>
          <w:szCs w:val="24"/>
          <w:highlight w:val="none"/>
          <w:lang w:val="en-US" w:eastAsia="zh-CN"/>
        </w:rPr>
        <w:t>3、</w:t>
      </w:r>
      <w:r>
        <w:rPr>
          <w:rFonts w:hint="eastAsia" w:ascii="宋体" w:hAnsi="宋体"/>
          <w:sz w:val="24"/>
          <w:szCs w:val="24"/>
          <w:highlight w:val="none"/>
          <w:lang w:eastAsia="zh-CN"/>
        </w:rPr>
        <w:t>承包</w:t>
      </w:r>
      <w:r>
        <w:rPr>
          <w:rFonts w:hint="eastAsia" w:ascii="宋体" w:hAnsi="宋体"/>
          <w:sz w:val="24"/>
          <w:szCs w:val="24"/>
          <w:highlight w:val="none"/>
        </w:rPr>
        <w:t>范围包含但不限于以上的内容，</w:t>
      </w:r>
      <w:r>
        <w:rPr>
          <w:rFonts w:hint="eastAsia" w:ascii="宋体" w:hAnsi="宋体"/>
          <w:sz w:val="24"/>
          <w:szCs w:val="24"/>
          <w:highlight w:val="none"/>
          <w:lang w:eastAsia="zh-CN"/>
        </w:rPr>
        <w:t>甲方</w:t>
      </w:r>
      <w:r>
        <w:rPr>
          <w:rFonts w:hint="eastAsia" w:ascii="宋体" w:hAnsi="宋体"/>
          <w:sz w:val="24"/>
          <w:szCs w:val="24"/>
          <w:highlight w:val="none"/>
        </w:rPr>
        <w:t>将以上内容以外的专业施工部分工程交由投标人管理，投标人不计取管理及配合费。</w:t>
      </w:r>
    </w:p>
    <w:p>
      <w:pPr>
        <w:pStyle w:val="3"/>
        <w:numPr>
          <w:ilvl w:val="0"/>
          <w:numId w:val="0"/>
        </w:numPr>
        <w:rPr>
          <w:rFonts w:ascii="宋体" w:hAnsi="宋体"/>
          <w:sz w:val="24"/>
          <w:szCs w:val="24"/>
        </w:rPr>
      </w:pPr>
      <w:r>
        <w:rPr>
          <w:rFonts w:hint="eastAsia" w:ascii="宋体" w:hAnsi="宋体"/>
          <w:sz w:val="24"/>
          <w:szCs w:val="24"/>
        </w:rPr>
        <w:t>第三条：承包方式</w:t>
      </w:r>
    </w:p>
    <w:p>
      <w:pPr>
        <w:widowControl/>
        <w:spacing w:before="4" w:line="360" w:lineRule="auto"/>
        <w:ind w:firstLine="480" w:firstLineChars="200"/>
        <w:rPr>
          <w:rFonts w:ascii="宋体" w:hAnsi="宋体" w:cs="宋体"/>
          <w:sz w:val="24"/>
          <w:szCs w:val="24"/>
        </w:rPr>
      </w:pPr>
      <w:r>
        <w:rPr>
          <w:rFonts w:hint="eastAsia" w:ascii="宋体" w:hAnsi="宋体" w:cs="宋体"/>
          <w:sz w:val="24"/>
          <w:szCs w:val="24"/>
        </w:rPr>
        <w:t>承包方式：固定总价包干。</w:t>
      </w:r>
    </w:p>
    <w:p>
      <w:pPr>
        <w:widowControl/>
        <w:spacing w:before="4" w:line="360" w:lineRule="auto"/>
        <w:ind w:firstLine="480" w:firstLineChars="200"/>
        <w:rPr>
          <w:rFonts w:ascii="宋体" w:hAnsi="宋体" w:cs="宋体"/>
          <w:sz w:val="24"/>
          <w:szCs w:val="24"/>
        </w:rPr>
      </w:pPr>
      <w:r>
        <w:rPr>
          <w:rFonts w:hint="eastAsia" w:ascii="宋体" w:hAnsi="宋体" w:cs="宋体"/>
          <w:sz w:val="24"/>
          <w:szCs w:val="24"/>
        </w:rPr>
        <w:t>乙方以包工、包料、包工期、包质量、包深化设计、包安全、包文明施工、包市场风险、包验收、包税金、包交工资料、包竣工验收等承包范围以内的所有费用。</w:t>
      </w:r>
    </w:p>
    <w:p>
      <w:pPr>
        <w:pStyle w:val="3"/>
        <w:numPr>
          <w:ilvl w:val="0"/>
          <w:numId w:val="0"/>
        </w:numPr>
        <w:rPr>
          <w:rFonts w:ascii="宋体" w:hAnsi="宋体"/>
          <w:sz w:val="24"/>
          <w:szCs w:val="24"/>
        </w:rPr>
      </w:pPr>
      <w:r>
        <w:rPr>
          <w:rFonts w:hint="eastAsia" w:ascii="宋体" w:hAnsi="宋体"/>
          <w:sz w:val="24"/>
          <w:szCs w:val="24"/>
        </w:rPr>
        <w:t>第四条：合同价格及计价办法</w:t>
      </w:r>
    </w:p>
    <w:p>
      <w:pPr>
        <w:tabs>
          <w:tab w:val="left" w:pos="0"/>
          <w:tab w:val="left" w:pos="1080"/>
        </w:tabs>
        <w:autoSpaceDN w:val="0"/>
        <w:adjustRightInd w:val="0"/>
        <w:snapToGrid w:val="0"/>
        <w:spacing w:line="360" w:lineRule="auto"/>
        <w:ind w:firstLine="237" w:firstLineChars="99"/>
        <w:rPr>
          <w:rFonts w:ascii="宋体" w:hAnsi="宋体"/>
          <w:color w:val="auto"/>
          <w:sz w:val="24"/>
          <w:szCs w:val="24"/>
          <w:highlight w:val="none"/>
        </w:rPr>
      </w:pPr>
      <w:r>
        <w:rPr>
          <w:rFonts w:hint="eastAsia" w:ascii="宋体" w:hAnsi="宋体"/>
          <w:color w:val="auto"/>
          <w:sz w:val="24"/>
          <w:szCs w:val="24"/>
          <w:highlight w:val="none"/>
        </w:rPr>
        <w:t>1、合同固定总价（含甲方指定品牌材料）：人民币（大写</w:t>
      </w:r>
      <w:r>
        <w:rPr>
          <w:rFonts w:hint="eastAsia" w:ascii="宋体" w:hAnsi="宋体"/>
          <w:color w:val="auto"/>
          <w:sz w:val="24"/>
          <w:szCs w:val="24"/>
          <w:highlight w:val="none"/>
          <w:u w:val="single"/>
        </w:rPr>
        <w:t>）</w:t>
      </w:r>
      <w:r>
        <w:rPr>
          <w:rFonts w:hint="eastAsia" w:ascii="宋体" w:hAnsi="宋体"/>
          <w:color w:val="auto"/>
          <w:sz w:val="24"/>
          <w:szCs w:val="24"/>
          <w:highlight w:val="none"/>
          <w:u w:val="single"/>
          <w:lang w:eastAsia="zh-CN"/>
        </w:rPr>
        <w:t>贰佰伍拾柒万元整</w:t>
      </w:r>
      <w:r>
        <w:rPr>
          <w:rFonts w:hint="eastAsia" w:ascii="宋体" w:hAnsi="宋体"/>
          <w:color w:val="auto"/>
          <w:sz w:val="24"/>
          <w:szCs w:val="24"/>
          <w:highlight w:val="none"/>
        </w:rPr>
        <w:t>，</w:t>
      </w:r>
      <w:r>
        <w:rPr>
          <w:rFonts w:hint="eastAsia" w:ascii="宋体" w:hAnsi="宋体"/>
          <w:color w:val="auto"/>
          <w:sz w:val="24"/>
          <w:szCs w:val="24"/>
          <w:highlight w:val="none"/>
          <w:lang w:eastAsia="zh-CN"/>
        </w:rPr>
        <w:t>小写</w:t>
      </w:r>
      <w:r>
        <w:rPr>
          <w:rFonts w:hint="eastAsia" w:ascii="宋体" w:hAnsi="宋体"/>
          <w:color w:val="auto"/>
          <w:sz w:val="24"/>
          <w:szCs w:val="24"/>
          <w:highlight w:val="none"/>
        </w:rPr>
        <w:t>￥</w:t>
      </w:r>
      <w:r>
        <w:rPr>
          <w:rFonts w:hint="eastAsia" w:ascii="宋体" w:hAnsi="宋体" w:cs="宋体"/>
          <w:color w:val="auto"/>
          <w:sz w:val="24"/>
          <w:szCs w:val="24"/>
          <w:highlight w:val="none"/>
          <w:u w:val="single"/>
          <w:lang w:val="en-US" w:eastAsia="zh-CN"/>
        </w:rPr>
        <w:t>2570000.00</w:t>
      </w:r>
      <w:r>
        <w:rPr>
          <w:rFonts w:hint="eastAsia" w:ascii="宋体" w:hAnsi="宋体"/>
          <w:color w:val="auto"/>
          <w:sz w:val="24"/>
          <w:szCs w:val="24"/>
          <w:highlight w:val="none"/>
        </w:rPr>
        <w:t>元，其中，不含税金额</w:t>
      </w:r>
      <w:r>
        <w:rPr>
          <w:rFonts w:hint="eastAsia" w:ascii="宋体" w:hAnsi="宋体"/>
          <w:color w:val="auto"/>
          <w:sz w:val="24"/>
          <w:szCs w:val="24"/>
          <w:highlight w:val="none"/>
          <w:lang w:eastAsia="zh-CN"/>
        </w:rPr>
        <w:t>大写：贰佰叁拾伍万柒仟柒佰玖拾捌元壹角柒分</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lang w:eastAsia="zh-CN"/>
        </w:rPr>
        <w:t>，小写</w:t>
      </w:r>
      <w:r>
        <w:rPr>
          <w:rFonts w:hint="eastAsia" w:ascii="宋体" w:hAnsi="宋体"/>
          <w:color w:val="auto"/>
          <w:sz w:val="24"/>
          <w:szCs w:val="24"/>
          <w:highlight w:val="none"/>
        </w:rPr>
        <w:t>￥</w:t>
      </w:r>
      <w:r>
        <w:rPr>
          <w:rFonts w:hint="eastAsia" w:ascii="宋体" w:hAnsi="宋体"/>
          <w:color w:val="auto"/>
          <w:sz w:val="24"/>
          <w:szCs w:val="24"/>
          <w:highlight w:val="none"/>
          <w:u w:val="single"/>
          <w:lang w:val="en-US" w:eastAsia="zh-CN"/>
        </w:rPr>
        <w:t>2357798.17</w:t>
      </w:r>
      <w:r>
        <w:rPr>
          <w:rFonts w:hint="eastAsia" w:ascii="宋体" w:hAnsi="宋体"/>
          <w:color w:val="auto"/>
          <w:sz w:val="24"/>
          <w:szCs w:val="24"/>
          <w:highlight w:val="none"/>
        </w:rPr>
        <w:t>元，增值税率为</w:t>
      </w:r>
      <w:r>
        <w:rPr>
          <w:rFonts w:hint="eastAsia" w:ascii="宋体" w:hAnsi="宋体"/>
          <w:color w:val="auto"/>
          <w:sz w:val="24"/>
          <w:szCs w:val="24"/>
          <w:highlight w:val="none"/>
          <w:u w:val="single"/>
          <w:lang w:val="en-US" w:eastAsia="zh-CN"/>
        </w:rPr>
        <w:t>9</w:t>
      </w:r>
      <w:r>
        <w:rPr>
          <w:rFonts w:hint="eastAsia" w:ascii="宋体" w:hAnsi="宋体"/>
          <w:color w:val="auto"/>
          <w:sz w:val="24"/>
          <w:szCs w:val="24"/>
          <w:highlight w:val="none"/>
        </w:rPr>
        <w:t xml:space="preserve"> %，税款</w:t>
      </w:r>
      <w:r>
        <w:rPr>
          <w:rFonts w:hint="eastAsia" w:ascii="宋体" w:hAnsi="宋体"/>
          <w:color w:val="auto"/>
          <w:sz w:val="24"/>
          <w:szCs w:val="24"/>
          <w:highlight w:val="none"/>
          <w:lang w:eastAsia="zh-CN"/>
        </w:rPr>
        <w:t>大写：贰拾壹万贰仟贰佰零壹元捌角叁分</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lang w:eastAsia="zh-CN"/>
        </w:rPr>
        <w:t>，小写</w:t>
      </w: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212201.83</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rPr>
        <w:t>元。该固定合同总价图纸内内容一次性包干，除合同约定可调整之外的所有内容均不再随任何因素的调整而调整，不管乙方投标报价时清单中是否有漏项、缺项，均视为乙方已综合考虑在其他项目的报价内，甲乙双方已认可，结算时双方不做任何调整。</w:t>
      </w:r>
    </w:p>
    <w:p>
      <w:pPr>
        <w:tabs>
          <w:tab w:val="left" w:pos="0"/>
          <w:tab w:val="left" w:pos="1080"/>
        </w:tabs>
        <w:autoSpaceDN w:val="0"/>
        <w:adjustRightInd w:val="0"/>
        <w:snapToGrid w:val="0"/>
        <w:spacing w:line="360" w:lineRule="auto"/>
        <w:ind w:firstLine="237" w:firstLineChars="99"/>
        <w:rPr>
          <w:rFonts w:ascii="宋体" w:hAnsi="宋体"/>
          <w:sz w:val="24"/>
          <w:szCs w:val="24"/>
        </w:rPr>
      </w:pPr>
      <w:r>
        <w:rPr>
          <w:rFonts w:hint="eastAsia" w:ascii="宋体" w:hAnsi="宋体"/>
          <w:sz w:val="24"/>
          <w:szCs w:val="24"/>
        </w:rPr>
        <w:t>2、计价办法：</w:t>
      </w:r>
    </w:p>
    <w:p>
      <w:pPr>
        <w:tabs>
          <w:tab w:val="left" w:pos="0"/>
        </w:tabs>
        <w:autoSpaceDN w:val="0"/>
        <w:spacing w:line="360" w:lineRule="auto"/>
        <w:ind w:firstLine="360"/>
        <w:rPr>
          <w:rFonts w:ascii="宋体" w:hAnsi="宋体"/>
          <w:sz w:val="24"/>
          <w:szCs w:val="24"/>
        </w:rPr>
      </w:pPr>
      <w:r>
        <w:rPr>
          <w:rFonts w:hint="eastAsia" w:ascii="宋体" w:hAnsi="宋体"/>
          <w:sz w:val="24"/>
          <w:szCs w:val="24"/>
        </w:rPr>
        <w:t>2.1 计价方式： 采用固定总价包干。</w:t>
      </w:r>
    </w:p>
    <w:p>
      <w:pPr>
        <w:tabs>
          <w:tab w:val="left" w:pos="0"/>
        </w:tabs>
        <w:autoSpaceDN w:val="0"/>
        <w:spacing w:line="360" w:lineRule="auto"/>
        <w:ind w:firstLine="360"/>
        <w:rPr>
          <w:rFonts w:ascii="宋体" w:hAnsi="宋体"/>
          <w:sz w:val="24"/>
          <w:szCs w:val="24"/>
        </w:rPr>
      </w:pPr>
      <w:r>
        <w:rPr>
          <w:rFonts w:hint="eastAsia" w:ascii="宋体" w:hAnsi="宋体"/>
          <w:sz w:val="24"/>
          <w:szCs w:val="24"/>
        </w:rPr>
        <w:t>2</w:t>
      </w:r>
      <w:r>
        <w:rPr>
          <w:rFonts w:ascii="宋体" w:hAnsi="宋体"/>
          <w:sz w:val="24"/>
          <w:szCs w:val="24"/>
        </w:rPr>
        <w:t xml:space="preserve">.2 </w:t>
      </w:r>
      <w:r>
        <w:rPr>
          <w:rFonts w:hint="eastAsia" w:ascii="宋体" w:hAnsi="宋体"/>
          <w:sz w:val="24"/>
          <w:szCs w:val="24"/>
        </w:rPr>
        <w:t>合同固定总价包含的内容：人、材、机费用、图纸深化设计费、工程及材料所须的各种检测费及试验费（不含甲供材料）、各种材料损耗费、材料的现场加工费、负责其它专业</w:t>
      </w:r>
      <w:r>
        <w:rPr>
          <w:rFonts w:hint="eastAsia" w:ascii="宋体" w:hAnsi="宋体"/>
          <w:sz w:val="24"/>
          <w:szCs w:val="24"/>
          <w:lang w:eastAsia="zh-CN"/>
        </w:rPr>
        <w:t>乙方</w:t>
      </w:r>
      <w:r>
        <w:rPr>
          <w:rFonts w:hint="eastAsia" w:ascii="宋体" w:hAnsi="宋体"/>
          <w:sz w:val="24"/>
          <w:szCs w:val="24"/>
        </w:rPr>
        <w:t>施工的收边收口、技术处理费、合同工期内的赶工费、工期内疫情增加费用、扬尘治理增加费用、施工水电费、技术措施费、文明施工费、冬雨季或异常气候施工措施费、利润、税费、垃圾清运到指定点堆放</w:t>
      </w:r>
      <w:r>
        <w:rPr>
          <w:rFonts w:hint="eastAsia" w:ascii="宋体" w:hAnsi="宋体"/>
          <w:sz w:val="24"/>
          <w:szCs w:val="24"/>
          <w:lang w:eastAsia="zh-CN"/>
        </w:rPr>
        <w:t>、</w:t>
      </w:r>
      <w:r>
        <w:rPr>
          <w:rFonts w:hint="eastAsia" w:ascii="宋体" w:hAnsi="宋体"/>
          <w:sz w:val="24"/>
          <w:szCs w:val="24"/>
          <w:highlight w:val="none"/>
          <w:lang w:eastAsia="zh-CN"/>
        </w:rPr>
        <w:t>出场</w:t>
      </w:r>
      <w:r>
        <w:rPr>
          <w:rFonts w:hint="eastAsia" w:ascii="宋体" w:hAnsi="宋体"/>
          <w:sz w:val="24"/>
          <w:szCs w:val="24"/>
        </w:rPr>
        <w:t>费用及其他一切费用，结算时不再做任何调整。</w:t>
      </w:r>
    </w:p>
    <w:p>
      <w:pPr>
        <w:tabs>
          <w:tab w:val="left" w:pos="0"/>
          <w:tab w:val="left" w:pos="1080"/>
        </w:tabs>
        <w:autoSpaceDN w:val="0"/>
        <w:snapToGrid w:val="0"/>
        <w:spacing w:line="360" w:lineRule="auto"/>
        <w:ind w:firstLine="360" w:firstLineChars="150"/>
        <w:rPr>
          <w:rFonts w:ascii="宋体" w:hAnsi="宋体"/>
          <w:sz w:val="24"/>
          <w:szCs w:val="24"/>
        </w:rPr>
      </w:pPr>
      <w:r>
        <w:rPr>
          <w:rFonts w:hint="eastAsia" w:ascii="宋体" w:hAnsi="宋体"/>
          <w:sz w:val="24"/>
          <w:szCs w:val="24"/>
        </w:rPr>
        <w:t>2</w:t>
      </w:r>
      <w:r>
        <w:rPr>
          <w:rFonts w:ascii="宋体" w:hAnsi="宋体"/>
          <w:sz w:val="24"/>
          <w:szCs w:val="24"/>
        </w:rPr>
        <w:t xml:space="preserve">.3 </w:t>
      </w:r>
      <w:r>
        <w:rPr>
          <w:rFonts w:hint="eastAsia" w:ascii="宋体" w:hAnsi="宋体"/>
          <w:sz w:val="24"/>
          <w:szCs w:val="24"/>
        </w:rPr>
        <w:t>甲方提供水源电源接驳点，水电费由乙方自行承担。</w:t>
      </w:r>
    </w:p>
    <w:p>
      <w:pPr>
        <w:pStyle w:val="3"/>
        <w:numPr>
          <w:ilvl w:val="0"/>
          <w:numId w:val="0"/>
        </w:numPr>
        <w:rPr>
          <w:rFonts w:ascii="宋体" w:hAnsi="宋体"/>
          <w:sz w:val="24"/>
          <w:szCs w:val="24"/>
        </w:rPr>
      </w:pPr>
      <w:r>
        <w:rPr>
          <w:rFonts w:hint="eastAsia" w:ascii="宋体" w:hAnsi="宋体"/>
          <w:sz w:val="24"/>
          <w:szCs w:val="24"/>
        </w:rPr>
        <w:t>第五条：付款时间、条件与付款方式</w:t>
      </w:r>
    </w:p>
    <w:p>
      <w:pPr>
        <w:ind w:left="468" w:hanging="480" w:hangingChars="200"/>
        <w:rPr>
          <w:rFonts w:hint="eastAsia" w:ascii="宋体" w:hAnsi="宋体" w:eastAsia="宋体" w:cs="宋体"/>
          <w:spacing w:val="12"/>
          <w:sz w:val="24"/>
          <w:szCs w:val="24"/>
          <w:lang w:eastAsia="zh-CN"/>
        </w:rPr>
      </w:pPr>
      <w:r>
        <w:rPr>
          <w:rFonts w:ascii="宋体" w:hAnsi="宋体"/>
          <w:sz w:val="24"/>
          <w:szCs w:val="24"/>
        </w:rPr>
        <w:t xml:space="preserve"> </w:t>
      </w:r>
      <w:r>
        <w:rPr>
          <w:rFonts w:hint="eastAsia" w:ascii="宋体" w:hAnsi="宋体"/>
          <w:sz w:val="24"/>
          <w:szCs w:val="24"/>
        </w:rPr>
        <w:t>本工程付款：</w:t>
      </w:r>
      <w:r>
        <w:rPr>
          <w:rFonts w:hint="eastAsia" w:ascii="宋体" w:hAnsi="宋体"/>
          <w:sz w:val="24"/>
          <w:szCs w:val="24"/>
          <w:lang w:eastAsia="zh-CN"/>
        </w:rPr>
        <w:t>分批次施工、分批次付款</w:t>
      </w:r>
    </w:p>
    <w:p>
      <w:pPr>
        <w:rPr>
          <w:rFonts w:ascii="宋体" w:hAnsi="宋体"/>
          <w:sz w:val="24"/>
          <w:szCs w:val="24"/>
        </w:rPr>
      </w:pPr>
    </w:p>
    <w:p>
      <w:pPr>
        <w:numPr>
          <w:ilvl w:val="-1"/>
          <w:numId w:val="0"/>
        </w:numPr>
        <w:autoSpaceDE w:val="0"/>
        <w:autoSpaceDN w:val="0"/>
        <w:adjustRightInd w:val="0"/>
        <w:snapToGrid w:val="0"/>
        <w:spacing w:line="480" w:lineRule="auto"/>
        <w:ind w:left="0" w:leftChars="0"/>
        <w:jc w:val="left"/>
        <w:rPr>
          <w:rFonts w:hint="eastAsia" w:ascii="宋体" w:hAnsi="宋体"/>
          <w:color w:val="auto"/>
          <w:sz w:val="24"/>
          <w:szCs w:val="24"/>
        </w:rPr>
      </w:pPr>
      <w:r>
        <w:rPr>
          <w:rFonts w:hint="eastAsia" w:ascii="宋体" w:hAnsi="宋体"/>
          <w:color w:val="auto"/>
          <w:sz w:val="24"/>
          <w:szCs w:val="24"/>
          <w:lang w:val="en-US" w:eastAsia="zh-CN"/>
        </w:rPr>
        <w:t>1、</w:t>
      </w:r>
      <w:r>
        <w:rPr>
          <w:rFonts w:hint="eastAsia" w:ascii="宋体" w:hAnsi="宋体"/>
          <w:color w:val="auto"/>
          <w:sz w:val="24"/>
          <w:szCs w:val="24"/>
        </w:rPr>
        <w:t>乙方完成</w:t>
      </w:r>
      <w:r>
        <w:rPr>
          <w:rFonts w:hint="eastAsia" w:ascii="宋体" w:hAnsi="宋体"/>
          <w:color w:val="auto"/>
          <w:sz w:val="24"/>
          <w:szCs w:val="24"/>
          <w:lang w:eastAsia="zh-CN"/>
        </w:rPr>
        <w:t>每批次</w:t>
      </w:r>
      <w:r>
        <w:rPr>
          <w:rFonts w:hint="eastAsia" w:ascii="宋体" w:cs="宋体"/>
          <w:color w:val="auto"/>
          <w:sz w:val="24"/>
          <w:szCs w:val="24"/>
        </w:rPr>
        <w:t>大堂</w:t>
      </w:r>
      <w:r>
        <w:rPr>
          <w:rFonts w:hint="eastAsia" w:ascii="宋体" w:hAnsi="宋体"/>
          <w:sz w:val="24"/>
          <w:szCs w:val="24"/>
        </w:rPr>
        <w:t>墙砖、</w:t>
      </w:r>
      <w:r>
        <w:rPr>
          <w:rFonts w:hint="eastAsia" w:ascii="宋体" w:hAnsi="宋体"/>
          <w:sz w:val="24"/>
          <w:szCs w:val="24"/>
          <w:lang w:eastAsia="zh-CN"/>
        </w:rPr>
        <w:t>地砖、</w:t>
      </w:r>
      <w:r>
        <w:rPr>
          <w:rFonts w:hint="eastAsia" w:ascii="宋体" w:hAnsi="宋体"/>
          <w:sz w:val="24"/>
          <w:szCs w:val="24"/>
        </w:rPr>
        <w:t>吊顶施工</w:t>
      </w:r>
      <w:r>
        <w:rPr>
          <w:rFonts w:hint="eastAsia" w:ascii="宋体" w:hAnsi="宋体"/>
          <w:color w:val="auto"/>
          <w:sz w:val="24"/>
          <w:szCs w:val="24"/>
        </w:rPr>
        <w:t>，经甲方、监理验收合格后，甲方支付乙方已完工程造价的50％；</w:t>
      </w:r>
    </w:p>
    <w:p>
      <w:pPr>
        <w:numPr>
          <w:ilvl w:val="0"/>
          <w:numId w:val="0"/>
        </w:numPr>
        <w:autoSpaceDE w:val="0"/>
        <w:autoSpaceDN w:val="0"/>
        <w:adjustRightInd w:val="0"/>
        <w:snapToGrid w:val="0"/>
        <w:spacing w:line="480" w:lineRule="auto"/>
        <w:ind w:leftChars="28"/>
        <w:jc w:val="left"/>
        <w:rPr>
          <w:color w:val="auto"/>
          <w:sz w:val="24"/>
          <w:szCs w:val="24"/>
        </w:rPr>
      </w:pPr>
      <w:r>
        <w:rPr>
          <w:rFonts w:hint="eastAsia" w:ascii="宋体" w:hAnsi="宋体"/>
          <w:color w:val="auto"/>
          <w:sz w:val="24"/>
          <w:szCs w:val="24"/>
          <w:lang w:val="en-US" w:eastAsia="zh-CN"/>
        </w:rPr>
        <w:t>2、</w:t>
      </w:r>
      <w:r>
        <w:rPr>
          <w:rFonts w:hint="eastAsia" w:ascii="宋体" w:hAnsi="宋体"/>
          <w:color w:val="auto"/>
          <w:sz w:val="24"/>
          <w:szCs w:val="24"/>
        </w:rPr>
        <w:t>乙方完</w:t>
      </w:r>
      <w:r>
        <w:rPr>
          <w:rFonts w:hint="eastAsia" w:ascii="宋体" w:hAnsi="宋体"/>
          <w:color w:val="auto"/>
          <w:sz w:val="24"/>
          <w:szCs w:val="24"/>
          <w:lang w:eastAsia="zh-CN"/>
        </w:rPr>
        <w:t>成每批次</w:t>
      </w:r>
      <w:r>
        <w:rPr>
          <w:rFonts w:hint="eastAsia" w:ascii="宋体" w:cs="宋体"/>
          <w:color w:val="auto"/>
          <w:sz w:val="24"/>
          <w:szCs w:val="24"/>
        </w:rPr>
        <w:t>大堂装修</w:t>
      </w:r>
      <w:r>
        <w:rPr>
          <w:rFonts w:hint="eastAsia" w:ascii="宋体" w:hAnsi="宋体"/>
          <w:color w:val="auto"/>
          <w:sz w:val="24"/>
          <w:szCs w:val="24"/>
        </w:rPr>
        <w:t>承包范围内所有工程并经甲方及监理验收合格后，甲方支付至已完工程造价的80％；</w:t>
      </w:r>
    </w:p>
    <w:p>
      <w:pPr>
        <w:numPr>
          <w:ilvl w:val="0"/>
          <w:numId w:val="0"/>
        </w:numPr>
        <w:autoSpaceDE w:val="0"/>
        <w:autoSpaceDN w:val="0"/>
        <w:adjustRightInd w:val="0"/>
        <w:snapToGrid w:val="0"/>
        <w:spacing w:line="480" w:lineRule="auto"/>
        <w:ind w:leftChars="0"/>
        <w:jc w:val="left"/>
        <w:rPr>
          <w:rFonts w:hint="eastAsia" w:ascii="宋体" w:hAnsi="宋体"/>
          <w:color w:val="auto"/>
          <w:sz w:val="24"/>
          <w:szCs w:val="24"/>
        </w:rPr>
      </w:pPr>
      <w:r>
        <w:rPr>
          <w:rFonts w:hint="eastAsia" w:ascii="宋体" w:hAnsi="宋体"/>
          <w:color w:val="auto"/>
          <w:sz w:val="24"/>
          <w:szCs w:val="24"/>
          <w:lang w:val="en-US" w:eastAsia="zh-CN"/>
        </w:rPr>
        <w:t>3、</w:t>
      </w:r>
      <w:r>
        <w:rPr>
          <w:rFonts w:hint="eastAsia" w:ascii="宋体" w:hAnsi="宋体"/>
          <w:color w:val="auto"/>
          <w:sz w:val="24"/>
          <w:szCs w:val="24"/>
        </w:rPr>
        <w:t>乙方完成</w:t>
      </w:r>
      <w:r>
        <w:rPr>
          <w:rFonts w:hint="eastAsia" w:ascii="宋体" w:hAnsi="宋体"/>
          <w:color w:val="auto"/>
          <w:sz w:val="24"/>
          <w:szCs w:val="24"/>
          <w:lang w:eastAsia="zh-CN"/>
        </w:rPr>
        <w:t>每批次门头施工</w:t>
      </w:r>
      <w:r>
        <w:rPr>
          <w:rFonts w:hint="eastAsia" w:ascii="宋体" w:hAnsi="宋体"/>
          <w:color w:val="auto"/>
          <w:sz w:val="24"/>
          <w:szCs w:val="24"/>
        </w:rPr>
        <w:t>，经甲方、监理验收合格后，甲方支付乙方已完工程造价的</w:t>
      </w:r>
      <w:r>
        <w:rPr>
          <w:rFonts w:hint="eastAsia" w:ascii="宋体" w:hAnsi="宋体"/>
          <w:color w:val="auto"/>
          <w:sz w:val="24"/>
          <w:szCs w:val="24"/>
          <w:lang w:val="en-US" w:eastAsia="zh-CN"/>
        </w:rPr>
        <w:t>8</w:t>
      </w:r>
      <w:r>
        <w:rPr>
          <w:rFonts w:hint="eastAsia" w:ascii="宋体" w:hAnsi="宋体"/>
          <w:color w:val="auto"/>
          <w:sz w:val="24"/>
          <w:szCs w:val="24"/>
        </w:rPr>
        <w:t>0％；</w:t>
      </w:r>
    </w:p>
    <w:p>
      <w:pPr>
        <w:numPr>
          <w:ilvl w:val="0"/>
          <w:numId w:val="0"/>
        </w:numPr>
        <w:autoSpaceDE w:val="0"/>
        <w:autoSpaceDN w:val="0"/>
        <w:snapToGrid w:val="0"/>
        <w:spacing w:line="480" w:lineRule="auto"/>
        <w:ind w:leftChars="28"/>
        <w:rPr>
          <w:rFonts w:hint="eastAsia" w:eastAsia="宋体"/>
          <w:sz w:val="24"/>
          <w:szCs w:val="24"/>
          <w:lang w:eastAsia="zh-CN"/>
        </w:rPr>
      </w:pPr>
      <w:r>
        <w:rPr>
          <w:rFonts w:hint="eastAsia" w:ascii="宋体" w:hAnsi="宋体"/>
          <w:color w:val="auto"/>
          <w:sz w:val="24"/>
          <w:szCs w:val="24"/>
          <w:lang w:val="en-US" w:eastAsia="zh-CN"/>
        </w:rPr>
        <w:t>4、</w:t>
      </w:r>
      <w:r>
        <w:rPr>
          <w:rFonts w:hint="eastAsia" w:ascii="宋体" w:hAnsi="宋体"/>
          <w:color w:val="auto"/>
          <w:sz w:val="24"/>
          <w:szCs w:val="24"/>
        </w:rPr>
        <w:t>乙方完成</w:t>
      </w:r>
      <w:r>
        <w:rPr>
          <w:rFonts w:hint="eastAsia" w:ascii="宋体" w:hAnsi="宋体"/>
          <w:color w:val="auto"/>
          <w:sz w:val="24"/>
          <w:szCs w:val="24"/>
          <w:lang w:eastAsia="zh-CN"/>
        </w:rPr>
        <w:t>每批次电梯门套施工</w:t>
      </w:r>
      <w:r>
        <w:rPr>
          <w:rFonts w:hint="eastAsia" w:ascii="宋体" w:hAnsi="宋体"/>
          <w:color w:val="auto"/>
          <w:sz w:val="24"/>
          <w:szCs w:val="24"/>
        </w:rPr>
        <w:t>，经甲方、监理验收合格后，甲方支付乙方已完工程造价的</w:t>
      </w:r>
      <w:r>
        <w:rPr>
          <w:rFonts w:hint="eastAsia" w:ascii="宋体" w:hAnsi="宋体"/>
          <w:color w:val="auto"/>
          <w:sz w:val="24"/>
          <w:szCs w:val="24"/>
          <w:lang w:val="en-US" w:eastAsia="zh-CN"/>
        </w:rPr>
        <w:t>8</w:t>
      </w:r>
      <w:r>
        <w:rPr>
          <w:rFonts w:hint="eastAsia" w:ascii="宋体" w:hAnsi="宋体"/>
          <w:color w:val="auto"/>
          <w:sz w:val="24"/>
          <w:szCs w:val="24"/>
        </w:rPr>
        <w:t>0％；</w:t>
      </w:r>
    </w:p>
    <w:p>
      <w:pPr>
        <w:autoSpaceDE w:val="0"/>
        <w:autoSpaceDN w:val="0"/>
        <w:adjustRightInd w:val="0"/>
        <w:snapToGrid w:val="0"/>
        <w:spacing w:line="480" w:lineRule="auto"/>
        <w:jc w:val="left"/>
        <w:rPr>
          <w:rFonts w:ascii="宋体" w:hAnsi="宋体"/>
          <w:color w:val="auto"/>
          <w:sz w:val="24"/>
          <w:szCs w:val="24"/>
        </w:rPr>
      </w:pPr>
      <w:r>
        <w:rPr>
          <w:rFonts w:hint="eastAsia" w:ascii="宋体" w:cs="宋体"/>
          <w:color w:val="auto"/>
          <w:sz w:val="24"/>
          <w:szCs w:val="24"/>
          <w:lang w:val="en-US" w:eastAsia="zh-CN"/>
        </w:rPr>
        <w:t>5</w:t>
      </w:r>
      <w:r>
        <w:rPr>
          <w:rFonts w:hint="eastAsia" w:ascii="宋体" w:cs="宋体"/>
          <w:color w:val="auto"/>
          <w:sz w:val="24"/>
          <w:szCs w:val="24"/>
          <w:lang w:eastAsia="zh-CN"/>
        </w:rPr>
        <w:t>、</w:t>
      </w:r>
      <w:r>
        <w:rPr>
          <w:rFonts w:hint="eastAsia" w:ascii="宋体" w:hAnsi="宋体"/>
          <w:color w:val="auto"/>
          <w:sz w:val="24"/>
          <w:szCs w:val="24"/>
        </w:rPr>
        <w:t>工程竣工验收并配合甲方办理结算后</w:t>
      </w:r>
      <w:r>
        <w:rPr>
          <w:rFonts w:ascii="宋体" w:hAnsi="宋体"/>
          <w:color w:val="auto"/>
          <w:sz w:val="24"/>
          <w:szCs w:val="24"/>
        </w:rPr>
        <w:t>30</w:t>
      </w:r>
      <w:r>
        <w:rPr>
          <w:rFonts w:hint="eastAsia" w:ascii="宋体" w:hAnsi="宋体"/>
          <w:color w:val="auto"/>
          <w:sz w:val="24"/>
          <w:szCs w:val="24"/>
        </w:rPr>
        <w:t>天内，甲方向乙方支付至实际结算价款的</w:t>
      </w:r>
      <w:r>
        <w:rPr>
          <w:rFonts w:ascii="宋体" w:hAnsi="宋体"/>
          <w:color w:val="auto"/>
          <w:sz w:val="24"/>
          <w:szCs w:val="24"/>
        </w:rPr>
        <w:t>95%</w:t>
      </w:r>
      <w:r>
        <w:rPr>
          <w:rFonts w:hint="eastAsia" w:ascii="宋体" w:hAnsi="宋体"/>
          <w:color w:val="auto"/>
          <w:sz w:val="24"/>
          <w:szCs w:val="24"/>
        </w:rPr>
        <w:t>。工程结算价款的</w:t>
      </w:r>
      <w:r>
        <w:rPr>
          <w:rFonts w:ascii="宋体" w:hAnsi="宋体"/>
          <w:color w:val="auto"/>
          <w:sz w:val="24"/>
          <w:szCs w:val="24"/>
        </w:rPr>
        <w:t>5%</w:t>
      </w:r>
      <w:r>
        <w:rPr>
          <w:rFonts w:hint="eastAsia" w:ascii="宋体" w:hAnsi="宋体"/>
          <w:color w:val="auto"/>
          <w:sz w:val="24"/>
          <w:szCs w:val="24"/>
        </w:rPr>
        <w:t>作为质保金，待两年的质保期满后无质量问题则无息付清。</w:t>
      </w:r>
    </w:p>
    <w:p>
      <w:pPr>
        <w:autoSpaceDE w:val="0"/>
        <w:autoSpaceDN w:val="0"/>
        <w:adjustRightInd w:val="0"/>
        <w:snapToGrid w:val="0"/>
        <w:spacing w:line="480" w:lineRule="auto"/>
        <w:jc w:val="left"/>
        <w:rPr>
          <w:rFonts w:ascii="宋体" w:hAnsi="宋体"/>
          <w:color w:val="auto"/>
          <w:sz w:val="24"/>
          <w:szCs w:val="24"/>
        </w:rPr>
      </w:pPr>
      <w:r>
        <w:rPr>
          <w:rFonts w:hint="eastAsia" w:ascii="宋体" w:hAnsi="宋体"/>
          <w:color w:val="auto"/>
          <w:sz w:val="24"/>
          <w:szCs w:val="24"/>
          <w:lang w:val="en-US" w:eastAsia="zh-CN"/>
        </w:rPr>
        <w:t>6</w:t>
      </w:r>
      <w:r>
        <w:rPr>
          <w:rFonts w:hint="eastAsia" w:ascii="宋体" w:hAnsi="宋体"/>
          <w:color w:val="auto"/>
          <w:sz w:val="24"/>
          <w:szCs w:val="24"/>
          <w:lang w:eastAsia="zh-CN"/>
        </w:rPr>
        <w:t>、</w:t>
      </w:r>
      <w:r>
        <w:rPr>
          <w:rFonts w:hint="eastAsia" w:ascii="宋体" w:hAnsi="宋体"/>
          <w:color w:val="auto"/>
          <w:sz w:val="24"/>
          <w:szCs w:val="24"/>
        </w:rPr>
        <w:t xml:space="preserve"> 乙方在领取每一次工程款前须提供相应等额有效的增值税专用发票，当甲方向乙方累计支付款项至本合同结算值的95％时，乙方须向甲方开具结算值100％的合法有效的发票，否则甲方除扣留质保金外，有权拒绝支付最后一笔工程款。</w:t>
      </w:r>
    </w:p>
    <w:p>
      <w:pPr>
        <w:tabs>
          <w:tab w:val="left" w:pos="0"/>
        </w:tabs>
        <w:autoSpaceDN w:val="0"/>
        <w:spacing w:line="360" w:lineRule="auto"/>
        <w:ind w:firstLine="360"/>
        <w:rPr>
          <w:rFonts w:ascii="宋体" w:hAnsi="宋体"/>
          <w:sz w:val="24"/>
          <w:szCs w:val="24"/>
        </w:rPr>
      </w:pPr>
      <w:r>
        <w:rPr>
          <w:rFonts w:hint="eastAsia" w:ascii="宋体" w:hAnsi="宋体"/>
          <w:sz w:val="24"/>
          <w:szCs w:val="24"/>
          <w:lang w:val="en-US" w:eastAsia="zh-CN"/>
        </w:rPr>
        <w:t>7、</w:t>
      </w:r>
      <w:r>
        <w:rPr>
          <w:rFonts w:hint="eastAsia" w:ascii="宋体" w:hAnsi="宋体"/>
          <w:sz w:val="24"/>
          <w:szCs w:val="24"/>
        </w:rPr>
        <w:t>对发票不合规的约定：</w:t>
      </w:r>
    </w:p>
    <w:p>
      <w:pPr>
        <w:tabs>
          <w:tab w:val="left" w:pos="0"/>
        </w:tabs>
        <w:autoSpaceDN w:val="0"/>
        <w:spacing w:line="360" w:lineRule="auto"/>
        <w:ind w:firstLine="360"/>
        <w:rPr>
          <w:rFonts w:ascii="宋体" w:hAnsi="宋体"/>
          <w:sz w:val="24"/>
          <w:szCs w:val="24"/>
        </w:rPr>
      </w:pPr>
      <w:r>
        <w:rPr>
          <w:rFonts w:hint="eastAsia" w:ascii="宋体" w:hAnsi="宋体"/>
          <w:sz w:val="24"/>
          <w:szCs w:val="24"/>
          <w:lang w:val="en-US" w:eastAsia="zh-CN"/>
        </w:rPr>
        <w:t>7</w:t>
      </w:r>
      <w:r>
        <w:rPr>
          <w:rFonts w:hint="eastAsia" w:ascii="宋体" w:hAnsi="宋体"/>
          <w:sz w:val="24"/>
          <w:szCs w:val="24"/>
        </w:rPr>
        <w:t>.1乙方提供的发票为增值税专用发票的，因乙方迟延送达、开具错误等原因导致其提供的增值税专用发票没有通过税务部门认证，造成甲方不能抵扣的，甲方有权拒绝接收。</w:t>
      </w:r>
    </w:p>
    <w:p>
      <w:pPr>
        <w:tabs>
          <w:tab w:val="left" w:pos="0"/>
        </w:tabs>
        <w:autoSpaceDN w:val="0"/>
        <w:spacing w:line="360" w:lineRule="auto"/>
        <w:ind w:firstLine="360"/>
        <w:rPr>
          <w:rFonts w:ascii="宋体" w:hAnsi="宋体"/>
          <w:sz w:val="24"/>
          <w:szCs w:val="24"/>
        </w:rPr>
      </w:pPr>
      <w:r>
        <w:rPr>
          <w:rFonts w:hint="eastAsia" w:ascii="宋体" w:hAnsi="宋体"/>
          <w:sz w:val="24"/>
          <w:szCs w:val="24"/>
          <w:lang w:val="en-US" w:eastAsia="zh-CN"/>
        </w:rPr>
        <w:t>7</w:t>
      </w:r>
      <w:r>
        <w:rPr>
          <w:rFonts w:hint="eastAsia" w:ascii="宋体" w:hAnsi="宋体"/>
          <w:sz w:val="24"/>
          <w:szCs w:val="24"/>
        </w:rPr>
        <w:t>.2乙方开具虚假、作废等无效发票或者违反国家法律法规开具、提供发票的，乙方应自行承担相应法律责任，并应向甲方支付合同总价20%的违约金，乙方提供履约诚意金的，甲方有权扣除乙方全部履约诚意金，以上违约金或履约诚意金不足以弥补甲方损失的，乙方应予赔偿；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w:t>
      </w:r>
    </w:p>
    <w:p>
      <w:pPr>
        <w:tabs>
          <w:tab w:val="left" w:pos="0"/>
        </w:tabs>
        <w:autoSpaceDN w:val="0"/>
        <w:spacing w:line="360" w:lineRule="auto"/>
        <w:ind w:firstLine="360"/>
        <w:rPr>
          <w:rFonts w:ascii="宋体" w:hAnsi="宋体"/>
          <w:sz w:val="24"/>
          <w:szCs w:val="24"/>
        </w:rPr>
      </w:pPr>
      <w:r>
        <w:rPr>
          <w:rFonts w:hint="eastAsia" w:ascii="宋体" w:hAnsi="宋体"/>
          <w:sz w:val="24"/>
          <w:szCs w:val="24"/>
          <w:lang w:val="en-US" w:eastAsia="zh-CN"/>
        </w:rPr>
        <w:t>7</w:t>
      </w:r>
      <w:r>
        <w:rPr>
          <w:rFonts w:hint="eastAsia" w:ascii="宋体" w:hAnsi="宋体"/>
          <w:sz w:val="24"/>
          <w:szCs w:val="24"/>
        </w:rPr>
        <w:t>.3乙方未按合同约定开具增值税专用发票或实际开具的增值税专用发票税率低于合同中约定税率的，乙方除应向甲方支付无法抵扣部分的税款金额外，乙方还应向甲方支付合同总价20%的违约金，违约金不足以弥补甲方损失的，乙方应予赔偿，甲方有权终止合同。</w:t>
      </w:r>
    </w:p>
    <w:p>
      <w:pPr>
        <w:tabs>
          <w:tab w:val="left" w:pos="0"/>
        </w:tabs>
        <w:autoSpaceDN w:val="0"/>
        <w:spacing w:line="360" w:lineRule="auto"/>
        <w:ind w:firstLine="360"/>
        <w:rPr>
          <w:rFonts w:ascii="宋体" w:hAnsi="宋体"/>
          <w:sz w:val="24"/>
          <w:szCs w:val="24"/>
        </w:rPr>
      </w:pPr>
      <w:r>
        <w:rPr>
          <w:rFonts w:hint="eastAsia" w:ascii="宋体" w:hAnsi="宋体"/>
          <w:sz w:val="24"/>
          <w:szCs w:val="24"/>
          <w:lang w:val="en-US" w:eastAsia="zh-CN"/>
        </w:rPr>
        <w:t>8</w:t>
      </w:r>
      <w:r>
        <w:rPr>
          <w:rFonts w:hint="eastAsia" w:ascii="宋体" w:hAnsi="宋体"/>
          <w:sz w:val="24"/>
          <w:szCs w:val="24"/>
        </w:rPr>
        <w:t>、其它税务风险的合同约定</w:t>
      </w:r>
    </w:p>
    <w:p>
      <w:pPr>
        <w:tabs>
          <w:tab w:val="left" w:pos="0"/>
        </w:tabs>
        <w:autoSpaceDN w:val="0"/>
        <w:spacing w:line="360" w:lineRule="auto"/>
        <w:ind w:firstLine="360"/>
        <w:rPr>
          <w:rFonts w:ascii="宋体" w:hAnsi="宋体"/>
          <w:sz w:val="24"/>
          <w:szCs w:val="24"/>
        </w:rPr>
      </w:pPr>
      <w:r>
        <w:rPr>
          <w:rFonts w:hint="eastAsia" w:ascii="宋体" w:hAnsi="宋体"/>
          <w:sz w:val="24"/>
          <w:szCs w:val="24"/>
          <w:lang w:val="en-US" w:eastAsia="zh-CN"/>
        </w:rPr>
        <w:t>8</w:t>
      </w:r>
      <w:r>
        <w:rPr>
          <w:rFonts w:hint="eastAsia" w:ascii="宋体" w:hAnsi="宋体"/>
          <w:sz w:val="24"/>
          <w:szCs w:val="24"/>
        </w:rPr>
        <w:t>.1如果甲方丢失增值税专用发票联和抵扣联，乙方应向甲方提供专用发票记账联复印件及主管税务机关出具的《丢失增值税专用发票已报税证明单》。</w:t>
      </w:r>
    </w:p>
    <w:p>
      <w:pPr>
        <w:tabs>
          <w:tab w:val="left" w:pos="0"/>
        </w:tabs>
        <w:autoSpaceDN w:val="0"/>
        <w:spacing w:line="360" w:lineRule="auto"/>
        <w:ind w:firstLine="360"/>
        <w:rPr>
          <w:rFonts w:ascii="宋体" w:hAnsi="宋体"/>
          <w:sz w:val="24"/>
          <w:szCs w:val="24"/>
        </w:rPr>
      </w:pPr>
      <w:r>
        <w:rPr>
          <w:rFonts w:hint="eastAsia" w:ascii="宋体" w:hAnsi="宋体"/>
          <w:sz w:val="24"/>
          <w:szCs w:val="24"/>
          <w:lang w:val="en-US" w:eastAsia="zh-CN"/>
        </w:rPr>
        <w:t>8</w:t>
      </w:r>
      <w:r>
        <w:rPr>
          <w:rFonts w:hint="eastAsia" w:ascii="宋体" w:hAnsi="宋体"/>
          <w:sz w:val="24"/>
          <w:szCs w:val="24"/>
        </w:rPr>
        <w:t>.2如果获得开具的汇总专用发票，则乙方应提供其防伪税控系统开具的《销售货物或者提供应税劳务清单》，并加盖发票专用章。</w:t>
      </w:r>
    </w:p>
    <w:p>
      <w:pPr>
        <w:pStyle w:val="3"/>
        <w:numPr>
          <w:ilvl w:val="0"/>
          <w:numId w:val="0"/>
        </w:numPr>
        <w:rPr>
          <w:rFonts w:ascii="宋体" w:hAnsi="宋体"/>
          <w:sz w:val="24"/>
          <w:szCs w:val="24"/>
        </w:rPr>
      </w:pPr>
      <w:r>
        <w:rPr>
          <w:rFonts w:hint="eastAsia" w:ascii="宋体" w:hAnsi="宋体"/>
          <w:sz w:val="24"/>
          <w:szCs w:val="24"/>
        </w:rPr>
        <w:t>第六条：合同工期</w:t>
      </w:r>
    </w:p>
    <w:p>
      <w:pPr>
        <w:tabs>
          <w:tab w:val="left" w:pos="0"/>
        </w:tabs>
        <w:autoSpaceDN w:val="0"/>
        <w:spacing w:line="360" w:lineRule="auto"/>
        <w:ind w:firstLine="360"/>
        <w:rPr>
          <w:rFonts w:ascii="宋体" w:hAnsi="宋体"/>
          <w:sz w:val="24"/>
          <w:szCs w:val="24"/>
        </w:rPr>
      </w:pPr>
      <w:r>
        <w:rPr>
          <w:rFonts w:hint="eastAsia" w:ascii="宋体" w:hAnsi="宋体"/>
          <w:sz w:val="24"/>
          <w:szCs w:val="24"/>
        </w:rPr>
        <w:t>1、工期：</w:t>
      </w:r>
      <w:r>
        <w:rPr>
          <w:rFonts w:hint="eastAsia" w:ascii="宋体" w:hAnsi="宋体" w:cs="Times New Roman"/>
          <w:spacing w:val="0"/>
          <w:sz w:val="24"/>
          <w:szCs w:val="24"/>
        </w:rPr>
        <w:t>分批</w:t>
      </w:r>
      <w:r>
        <w:rPr>
          <w:rFonts w:hint="eastAsia" w:ascii="宋体" w:hAnsi="宋体" w:cs="Times New Roman"/>
          <w:spacing w:val="0"/>
          <w:sz w:val="24"/>
          <w:szCs w:val="24"/>
          <w:lang w:eastAsia="zh-CN"/>
        </w:rPr>
        <w:t>次</w:t>
      </w:r>
      <w:r>
        <w:rPr>
          <w:rFonts w:hint="eastAsia" w:ascii="宋体" w:hAnsi="宋体" w:cs="Times New Roman"/>
          <w:spacing w:val="0"/>
          <w:sz w:val="24"/>
          <w:szCs w:val="24"/>
        </w:rPr>
        <w:t>工期</w:t>
      </w:r>
      <w:r>
        <w:rPr>
          <w:rFonts w:hint="eastAsia" w:ascii="宋体" w:hAnsi="宋体" w:cs="Times New Roman"/>
          <w:color w:val="0000FF"/>
          <w:spacing w:val="0"/>
          <w:sz w:val="24"/>
          <w:szCs w:val="24"/>
        </w:rPr>
        <w:t>40</w:t>
      </w:r>
      <w:r>
        <w:rPr>
          <w:rFonts w:hint="eastAsia" w:ascii="宋体" w:hAnsi="宋体" w:cs="Times New Roman"/>
          <w:spacing w:val="0"/>
          <w:sz w:val="24"/>
          <w:szCs w:val="24"/>
        </w:rPr>
        <w:t>日历天</w:t>
      </w:r>
      <w:r>
        <w:rPr>
          <w:rFonts w:hint="eastAsia" w:ascii="宋体" w:hAnsi="宋体"/>
          <w:sz w:val="24"/>
          <w:szCs w:val="24"/>
        </w:rPr>
        <w:t>，开工日期暂定为：_</w:t>
      </w:r>
      <w:r>
        <w:rPr>
          <w:rFonts w:hint="eastAsia" w:ascii="宋体" w:hAnsi="宋体"/>
          <w:sz w:val="24"/>
          <w:szCs w:val="24"/>
          <w:lang w:val="en-US" w:eastAsia="zh-CN"/>
        </w:rPr>
        <w:t>2021</w:t>
      </w:r>
      <w:r>
        <w:rPr>
          <w:rFonts w:hint="eastAsia" w:ascii="宋体" w:hAnsi="宋体"/>
          <w:sz w:val="24"/>
          <w:szCs w:val="24"/>
        </w:rPr>
        <w:t>_年__</w:t>
      </w:r>
      <w:r>
        <w:rPr>
          <w:rFonts w:hint="eastAsia" w:ascii="宋体" w:hAnsi="宋体"/>
          <w:sz w:val="24"/>
          <w:szCs w:val="24"/>
          <w:lang w:val="en-US" w:eastAsia="zh-CN"/>
        </w:rPr>
        <w:t>8</w:t>
      </w:r>
      <w:r>
        <w:rPr>
          <w:rFonts w:hint="eastAsia" w:ascii="宋体" w:hAnsi="宋体"/>
          <w:sz w:val="24"/>
          <w:szCs w:val="24"/>
        </w:rPr>
        <w:t>_月_</w:t>
      </w:r>
      <w:r>
        <w:rPr>
          <w:rFonts w:hint="eastAsia" w:ascii="宋体" w:hAnsi="宋体"/>
          <w:sz w:val="24"/>
          <w:szCs w:val="24"/>
          <w:lang w:val="en-US" w:eastAsia="zh-CN"/>
        </w:rPr>
        <w:t>10</w:t>
      </w:r>
      <w:r>
        <w:rPr>
          <w:rFonts w:hint="eastAsia" w:ascii="宋体" w:hAnsi="宋体"/>
          <w:sz w:val="24"/>
          <w:szCs w:val="24"/>
        </w:rPr>
        <w:t>_ 日，具体开工日期以甲方现场管理代表或总监签发的开工令确定的开工日期为准。</w:t>
      </w:r>
    </w:p>
    <w:p>
      <w:pPr>
        <w:tabs>
          <w:tab w:val="left" w:pos="0"/>
        </w:tabs>
        <w:autoSpaceDN w:val="0"/>
        <w:spacing w:line="360" w:lineRule="auto"/>
        <w:ind w:firstLine="360"/>
        <w:rPr>
          <w:rFonts w:ascii="宋体" w:hAnsi="宋体"/>
          <w:sz w:val="24"/>
          <w:szCs w:val="24"/>
        </w:rPr>
      </w:pPr>
      <w:r>
        <w:rPr>
          <w:rFonts w:hint="eastAsia" w:ascii="宋体" w:hAnsi="宋体"/>
          <w:sz w:val="24"/>
          <w:szCs w:val="24"/>
        </w:rPr>
        <w:t>2、节点工期要求：甲方可以根据现场的施工条件，合理安排本合同工程项目进行施工，乙方应按甲方现场管理代表下发的施工指令组织施工；如因非乙方原因造成工期延误，乙方可经甲方现场工程师及监理确认后调整或顺延工期，但乙方必须对精装修其他相关参建单位负有总包管理责任，为了便于总包管理，乙方对精装修其他相关参建单位工程进度款的支付具有建议权。</w:t>
      </w:r>
    </w:p>
    <w:p>
      <w:pPr>
        <w:pStyle w:val="3"/>
        <w:numPr>
          <w:ilvl w:val="0"/>
          <w:numId w:val="0"/>
        </w:numPr>
        <w:rPr>
          <w:rFonts w:ascii="宋体" w:hAnsi="宋体"/>
          <w:sz w:val="24"/>
          <w:szCs w:val="24"/>
        </w:rPr>
      </w:pPr>
      <w:r>
        <w:rPr>
          <w:rFonts w:hint="eastAsia" w:ascii="宋体" w:hAnsi="宋体"/>
          <w:sz w:val="24"/>
          <w:szCs w:val="24"/>
        </w:rPr>
        <w:t>第七条：验收及移交</w:t>
      </w:r>
    </w:p>
    <w:p>
      <w:pPr>
        <w:tabs>
          <w:tab w:val="left" w:pos="0"/>
        </w:tabs>
        <w:autoSpaceDN w:val="0"/>
        <w:spacing w:line="360" w:lineRule="auto"/>
        <w:ind w:firstLine="360"/>
        <w:rPr>
          <w:rFonts w:ascii="宋体" w:hAnsi="宋体"/>
          <w:sz w:val="24"/>
          <w:szCs w:val="24"/>
        </w:rPr>
      </w:pPr>
      <w:r>
        <w:rPr>
          <w:rFonts w:hint="eastAsia" w:ascii="宋体" w:hAnsi="宋体"/>
          <w:sz w:val="24"/>
          <w:szCs w:val="24"/>
        </w:rPr>
        <w:t>按照国家标准设计要求装饰装修工程质量标准和甲乙双方的约定进行验收。如工程质量达不到约定条件，乙方应按甲方和监理的要求返工、修改，并承担由于自身原因导致返工、修改的费用。</w:t>
      </w:r>
    </w:p>
    <w:p>
      <w:pPr>
        <w:pStyle w:val="3"/>
        <w:numPr>
          <w:ilvl w:val="0"/>
          <w:numId w:val="0"/>
        </w:numPr>
        <w:rPr>
          <w:rFonts w:ascii="宋体" w:hAnsi="宋体"/>
          <w:sz w:val="24"/>
          <w:szCs w:val="24"/>
        </w:rPr>
      </w:pPr>
      <w:r>
        <w:rPr>
          <w:rFonts w:hint="eastAsia" w:ascii="宋体" w:hAnsi="宋体"/>
          <w:sz w:val="24"/>
          <w:szCs w:val="24"/>
        </w:rPr>
        <w:t>第八条：质量保修期</w:t>
      </w:r>
    </w:p>
    <w:p>
      <w:pPr>
        <w:rPr>
          <w:rFonts w:ascii="宋体" w:hAnsi="宋体"/>
          <w:sz w:val="24"/>
          <w:szCs w:val="24"/>
          <w:highlight w:val="yellow"/>
        </w:rPr>
      </w:pPr>
      <w:r>
        <w:rPr>
          <w:rFonts w:ascii="宋体" w:hAnsi="宋体"/>
          <w:sz w:val="24"/>
          <w:szCs w:val="24"/>
        </w:rPr>
        <w:t xml:space="preserve">  </w:t>
      </w:r>
      <w:r>
        <w:rPr>
          <w:rFonts w:hint="eastAsia" w:ascii="宋体" w:hAnsi="宋体"/>
          <w:sz w:val="24"/>
          <w:szCs w:val="24"/>
          <w:highlight w:val="none"/>
        </w:rPr>
        <w:t xml:space="preserve"> 本合同工程项目的质量保修期为两年。</w:t>
      </w:r>
      <w:r>
        <w:rPr>
          <w:rFonts w:hint="eastAsia" w:ascii="宋体" w:hAnsi="宋体"/>
          <w:sz w:val="24"/>
          <w:szCs w:val="24"/>
          <w:highlight w:val="none"/>
          <w:lang w:eastAsia="zh-CN"/>
        </w:rPr>
        <w:t>质保期</w:t>
      </w:r>
      <w:r>
        <w:rPr>
          <w:rFonts w:hint="eastAsia" w:ascii="宋体" w:hAnsi="宋体" w:eastAsia="宋体" w:cs="Times New Roman"/>
          <w:i w:val="0"/>
          <w:caps w:val="0"/>
          <w:color w:val="333333"/>
          <w:spacing w:val="0"/>
          <w:sz w:val="24"/>
          <w:szCs w:val="24"/>
          <w:highlight w:val="none"/>
          <w:shd w:val="clear" w:fill="auto"/>
        </w:rPr>
        <w:t>自</w:t>
      </w:r>
      <w:r>
        <w:rPr>
          <w:rFonts w:hint="eastAsia" w:ascii="宋体" w:hAnsi="宋体" w:cs="Times New Roman"/>
          <w:i w:val="0"/>
          <w:caps w:val="0"/>
          <w:spacing w:val="0"/>
          <w:sz w:val="24"/>
          <w:szCs w:val="24"/>
          <w:highlight w:val="none"/>
          <w:shd w:val="clear"/>
          <w:lang w:val="en-US" w:eastAsia="zh-CN"/>
        </w:rPr>
        <w:t>工程竣工验收</w:t>
      </w:r>
      <w:r>
        <w:rPr>
          <w:rFonts w:hint="eastAsia" w:ascii="宋体" w:hAnsi="宋体" w:eastAsia="宋体" w:cs="Times New Roman"/>
          <w:i w:val="0"/>
          <w:caps w:val="0"/>
          <w:color w:val="333333"/>
          <w:spacing w:val="0"/>
          <w:sz w:val="24"/>
          <w:szCs w:val="24"/>
          <w:highlight w:val="none"/>
          <w:shd w:val="clear" w:fill="auto"/>
        </w:rPr>
        <w:t>合格之日起算。</w:t>
      </w:r>
    </w:p>
    <w:p>
      <w:pPr>
        <w:pStyle w:val="3"/>
        <w:numPr>
          <w:ilvl w:val="0"/>
          <w:numId w:val="0"/>
        </w:numPr>
        <w:rPr>
          <w:rFonts w:ascii="宋体" w:hAnsi="宋体"/>
          <w:sz w:val="24"/>
          <w:szCs w:val="24"/>
        </w:rPr>
      </w:pPr>
      <w:r>
        <w:rPr>
          <w:rFonts w:hint="eastAsia" w:ascii="宋体" w:hAnsi="宋体"/>
          <w:sz w:val="24"/>
          <w:szCs w:val="24"/>
        </w:rPr>
        <w:t>第九条：材料的供应</w:t>
      </w:r>
    </w:p>
    <w:p>
      <w:pPr>
        <w:tabs>
          <w:tab w:val="left" w:pos="0"/>
        </w:tabs>
        <w:autoSpaceDN w:val="0"/>
        <w:spacing w:line="360" w:lineRule="auto"/>
        <w:ind w:firstLine="360"/>
        <w:rPr>
          <w:rFonts w:ascii="宋体" w:hAnsi="宋体"/>
          <w:sz w:val="24"/>
          <w:szCs w:val="24"/>
        </w:rPr>
      </w:pPr>
      <w:r>
        <w:rPr>
          <w:rFonts w:hint="eastAsia" w:ascii="宋体" w:hAnsi="宋体"/>
          <w:sz w:val="24"/>
          <w:szCs w:val="24"/>
        </w:rPr>
        <w:t>1、由乙方自行选择供货商进行采购的材料：由乙方在签订合同前按照甲方确认的设计图纸要求注明的颜色、质量、质感、规格、品牌送实物样品（所有饰面材料）供甲方确认，经甲方、监理确认后，作为实物样板封存，并由乙方按甲方确认的实物样板自行采购（乙方材料样品报送甲方后，由甲方负责人员确认）。</w:t>
      </w:r>
    </w:p>
    <w:p>
      <w:pPr>
        <w:tabs>
          <w:tab w:val="left" w:pos="0"/>
        </w:tabs>
        <w:autoSpaceDN w:val="0"/>
        <w:spacing w:line="360" w:lineRule="auto"/>
        <w:ind w:firstLine="360"/>
        <w:rPr>
          <w:rFonts w:ascii="宋体" w:hAnsi="宋体"/>
          <w:sz w:val="24"/>
          <w:szCs w:val="24"/>
        </w:rPr>
      </w:pPr>
      <w:r>
        <w:rPr>
          <w:rFonts w:hint="eastAsia" w:ascii="宋体" w:hAnsi="宋体"/>
          <w:sz w:val="24"/>
          <w:szCs w:val="24"/>
        </w:rPr>
        <w:t>2、指定品牌的材料：按本合同附表甲方指定品牌材料表中的品牌由乙方自行采购并已计入合同固定总价内。在施工时对于甲方指定品牌的材料在进场前必须先经甲方认可后方能进场。</w:t>
      </w:r>
    </w:p>
    <w:p>
      <w:pPr>
        <w:tabs>
          <w:tab w:val="left" w:pos="0"/>
        </w:tabs>
        <w:autoSpaceDN w:val="0"/>
        <w:spacing w:line="360" w:lineRule="auto"/>
        <w:ind w:firstLine="360"/>
        <w:rPr>
          <w:rFonts w:ascii="宋体" w:hAnsi="宋体"/>
          <w:sz w:val="24"/>
          <w:szCs w:val="24"/>
        </w:rPr>
      </w:pPr>
      <w:r>
        <w:rPr>
          <w:rFonts w:hint="eastAsia" w:ascii="宋体" w:hAnsi="宋体"/>
          <w:sz w:val="24"/>
          <w:szCs w:val="24"/>
        </w:rPr>
        <w:t>3、乙方所使用的材料必须保证合格证书齐全，保证材料通过消防等主管部门的检验检测并承担相关费用并提交相应检测报告，因材料不合格造成费用等损失均由乙方承担。同时，乙方采购材料必须达国家环保标准，选用板材必须达到E1级环保级别，检验时无条件达到洛阳市环保主管部门的标准。</w:t>
      </w:r>
    </w:p>
    <w:p>
      <w:pPr>
        <w:tabs>
          <w:tab w:val="left" w:pos="0"/>
        </w:tabs>
        <w:autoSpaceDN w:val="0"/>
        <w:spacing w:line="360" w:lineRule="auto"/>
        <w:ind w:firstLine="360"/>
        <w:rPr>
          <w:rFonts w:ascii="宋体" w:hAnsi="宋体"/>
          <w:sz w:val="24"/>
          <w:szCs w:val="24"/>
        </w:rPr>
      </w:pPr>
      <w:r>
        <w:rPr>
          <w:rFonts w:hint="eastAsia" w:ascii="宋体" w:hAnsi="宋体"/>
          <w:sz w:val="24"/>
          <w:szCs w:val="24"/>
        </w:rPr>
        <w:t>4、</w:t>
      </w:r>
      <w:r>
        <w:rPr>
          <w:rFonts w:hint="eastAsia" w:ascii="宋体" w:hAnsi="宋体" w:cs="宋体"/>
          <w:sz w:val="24"/>
          <w:szCs w:val="24"/>
        </w:rPr>
        <w:t>甲方对施工过程中的工程质量问题实行零容忍，若乙方采购的材料设备不符合合同约定的品牌、厂家、产地、材质、工艺、规格、型号等标准或者存在“假冒伪劣”等情形，则甲方有权要求乙方将该部分材料设备清退出场，对已施工使用的材料设备，有权要求乙方全部拆除并重新施工，直至符合合同约定的各项质量标准，工期不予顺延，由此导致乙方工期及费用等损失由乙方自行承担，同时甲方还有权根据本合同其他条款向乙方索赔损失或主张其他权利。为保障建设工程品质、强化施工质量，无论工程是否已经验收合格，无论甲方是否未经验收即已投入使用，乙方均承诺：不论何时，只要甲方发现乙方施工的工程存在前述约定的情形，乙方除按照本条款承担相应责任外，还应当按照该部分材料设备对应的合同价款的叁倍金额另行向甲方支付惩罚性赔偿（该惩罚性赔偿不足伍万元的，按伍万元计）。除此之外，乙方应当勤勉尽责的履行工程质量保修义务，并在甲方通知的期限内完成保修事项并经甲方书面认可，乙方按期完成保修事项并经甲方书面认可的，该部分工程量给予结算100%，乙方拒不履行保修责任或未按期完成保修事项的，该部分工程量甲方不予结算。</w:t>
      </w:r>
    </w:p>
    <w:p>
      <w:pPr>
        <w:tabs>
          <w:tab w:val="left" w:pos="0"/>
        </w:tabs>
        <w:autoSpaceDN w:val="0"/>
        <w:spacing w:line="360" w:lineRule="auto"/>
        <w:ind w:firstLine="360"/>
        <w:rPr>
          <w:rFonts w:ascii="宋体" w:hAnsi="宋体"/>
          <w:sz w:val="24"/>
          <w:szCs w:val="24"/>
        </w:rPr>
      </w:pPr>
      <w:r>
        <w:rPr>
          <w:rFonts w:hint="eastAsia" w:ascii="宋体" w:hAnsi="宋体"/>
          <w:sz w:val="24"/>
          <w:szCs w:val="24"/>
        </w:rPr>
        <w:t>5、乙方必须严格按照建设单位《中浩徳地产有限公司材料进场验收制度》、《中浩徳地产有限公司材料管理办法》执行，如发现一次假冒伪劣产品、偷工减料现象，甲方有权单方面解除合同。</w:t>
      </w:r>
    </w:p>
    <w:p>
      <w:pPr>
        <w:pStyle w:val="3"/>
        <w:numPr>
          <w:ilvl w:val="0"/>
          <w:numId w:val="0"/>
        </w:numPr>
        <w:rPr>
          <w:rFonts w:ascii="宋体" w:hAnsi="宋体"/>
          <w:sz w:val="24"/>
          <w:szCs w:val="24"/>
        </w:rPr>
      </w:pPr>
      <w:r>
        <w:rPr>
          <w:rFonts w:hint="eastAsia" w:ascii="宋体" w:hAnsi="宋体"/>
          <w:sz w:val="24"/>
          <w:szCs w:val="24"/>
        </w:rPr>
        <w:t>第十条、竣工结算：</w:t>
      </w:r>
    </w:p>
    <w:p>
      <w:pPr>
        <w:tabs>
          <w:tab w:val="left" w:pos="0"/>
        </w:tabs>
        <w:autoSpaceDN w:val="0"/>
        <w:spacing w:line="360" w:lineRule="auto"/>
        <w:ind w:firstLine="360"/>
        <w:rPr>
          <w:sz w:val="24"/>
          <w:szCs w:val="24"/>
        </w:rPr>
      </w:pPr>
      <w:r>
        <w:rPr>
          <w:rFonts w:hint="eastAsia" w:ascii="宋体" w:hAnsi="宋体"/>
          <w:b/>
          <w:bCs/>
          <w:sz w:val="24"/>
          <w:szCs w:val="24"/>
        </w:rPr>
        <w:t>竣工结算总价＝合同固定总价±变更、签证造价-应扣费用。</w:t>
      </w:r>
    </w:p>
    <w:p>
      <w:pPr>
        <w:numPr>
          <w:ilvl w:val="0"/>
          <w:numId w:val="2"/>
        </w:numPr>
        <w:tabs>
          <w:tab w:val="left" w:pos="0"/>
        </w:tabs>
        <w:autoSpaceDN w:val="0"/>
        <w:spacing w:line="360" w:lineRule="auto"/>
        <w:ind w:firstLine="360"/>
        <w:rPr>
          <w:rFonts w:ascii="宋体" w:hAnsi="宋体"/>
          <w:sz w:val="24"/>
          <w:szCs w:val="24"/>
        </w:rPr>
      </w:pPr>
      <w:r>
        <w:rPr>
          <w:rFonts w:hint="eastAsia" w:ascii="宋体" w:hAnsi="宋体"/>
          <w:sz w:val="24"/>
          <w:szCs w:val="24"/>
        </w:rPr>
        <w:t>工程完工后，乙方应及时提交结算资料，配合甲方办理竣工结算。</w:t>
      </w:r>
    </w:p>
    <w:p>
      <w:pPr>
        <w:numPr>
          <w:ilvl w:val="0"/>
          <w:numId w:val="2"/>
        </w:numPr>
        <w:tabs>
          <w:tab w:val="left" w:pos="0"/>
        </w:tabs>
        <w:autoSpaceDN w:val="0"/>
        <w:spacing w:line="360" w:lineRule="auto"/>
        <w:ind w:firstLine="360"/>
        <w:rPr>
          <w:rFonts w:ascii="宋体" w:hAnsi="宋体"/>
          <w:sz w:val="24"/>
          <w:szCs w:val="24"/>
        </w:rPr>
      </w:pPr>
      <w:r>
        <w:rPr>
          <w:rFonts w:hint="eastAsia" w:ascii="宋体" w:hAnsi="宋体"/>
          <w:sz w:val="24"/>
          <w:szCs w:val="24"/>
        </w:rPr>
        <w:t>乙方报送结算书应诚实准确，若最终审减额超过结算金额的5%则需要乙方向甲方支付超出部分费用的3%作为扣款，在结算报告中一次扣除。</w:t>
      </w:r>
    </w:p>
    <w:p>
      <w:pPr>
        <w:tabs>
          <w:tab w:val="left" w:pos="0"/>
        </w:tabs>
        <w:autoSpaceDN w:val="0"/>
        <w:spacing w:line="360" w:lineRule="auto"/>
        <w:ind w:firstLine="360"/>
        <w:rPr>
          <w:rFonts w:ascii="宋体" w:hAnsi="宋体"/>
          <w:sz w:val="24"/>
          <w:szCs w:val="24"/>
        </w:rPr>
      </w:pPr>
      <w:r>
        <w:rPr>
          <w:rFonts w:hint="eastAsia" w:ascii="宋体" w:hAnsi="宋体"/>
          <w:sz w:val="24"/>
          <w:szCs w:val="24"/>
        </w:rPr>
        <w:t>3、工程变更、签证实行一单一结，变更、签证在30日内核算清楚，变更、签证超出两个月未办理手续、核对的，以</w:t>
      </w:r>
      <w:r>
        <w:rPr>
          <w:rFonts w:hint="eastAsia" w:ascii="宋体" w:hAnsi="宋体"/>
          <w:sz w:val="24"/>
          <w:szCs w:val="24"/>
          <w:lang w:eastAsia="zh-CN"/>
        </w:rPr>
        <w:t>甲方</w:t>
      </w:r>
      <w:r>
        <w:rPr>
          <w:rFonts w:hint="eastAsia" w:ascii="宋体" w:hAnsi="宋体"/>
          <w:sz w:val="24"/>
          <w:szCs w:val="24"/>
        </w:rPr>
        <w:t>单方核算结果作为结算依据。具体办法如下：</w:t>
      </w:r>
    </w:p>
    <w:p>
      <w:pPr>
        <w:tabs>
          <w:tab w:val="left" w:pos="0"/>
        </w:tabs>
        <w:autoSpaceDN w:val="0"/>
        <w:spacing w:line="360" w:lineRule="auto"/>
        <w:ind w:firstLine="360"/>
        <w:rPr>
          <w:rFonts w:ascii="宋体" w:hAnsi="宋体"/>
          <w:sz w:val="24"/>
          <w:szCs w:val="24"/>
        </w:rPr>
      </w:pPr>
      <w:r>
        <w:rPr>
          <w:rFonts w:hint="eastAsia" w:ascii="宋体" w:hAnsi="宋体"/>
          <w:sz w:val="24"/>
          <w:szCs w:val="24"/>
        </w:rPr>
        <w:t>本合同执行期间，若因</w:t>
      </w:r>
      <w:r>
        <w:rPr>
          <w:rFonts w:hint="eastAsia" w:ascii="宋体" w:hAnsi="宋体"/>
          <w:sz w:val="24"/>
          <w:szCs w:val="24"/>
          <w:lang w:eastAsia="zh-CN"/>
        </w:rPr>
        <w:t>甲方</w:t>
      </w:r>
      <w:r>
        <w:rPr>
          <w:rFonts w:hint="eastAsia" w:ascii="宋体" w:hAnsi="宋体"/>
          <w:sz w:val="24"/>
          <w:szCs w:val="24"/>
        </w:rPr>
        <w:t>设计原因引起的设计变更，由</w:t>
      </w:r>
      <w:r>
        <w:rPr>
          <w:rFonts w:hint="eastAsia" w:ascii="宋体" w:hAnsi="宋体"/>
          <w:sz w:val="24"/>
          <w:szCs w:val="24"/>
          <w:lang w:eastAsia="zh-CN"/>
        </w:rPr>
        <w:t>甲方</w:t>
      </w:r>
      <w:r>
        <w:rPr>
          <w:rFonts w:hint="eastAsia" w:ascii="宋体" w:hAnsi="宋体"/>
          <w:sz w:val="24"/>
          <w:szCs w:val="24"/>
        </w:rPr>
        <w:t>出具设计变更单。因设计变更引起部分工程量清单增加，该项清单的综合单价在合同中（即后附表工程量清单汇总表）有相同清单的执行相同清单综合单价，合同中后附表中有相近清单的按相近清单综合单价执行；若合同中后附表无适用或类似于变更、签证工程综合单价的，按照《河南省房屋建筑与装饰工程预算定额》、《河南省通用安装工程预算定额》（2016版）相关分册及配套的取费文件执行，安全文明措施费含安全生产费、文明施工费及扬尘污染防治费，材料按照施工时间同期的《河南省建设工程造价信息洛阳专刊》中的平均价格调整差价，若《河南省建设工程造价信息洛阳专刊》中价格（不含厂家价格信息)没有该种材料价格的，参照同期《郑州建筑工程信息价》（季刊），两者均没有该种材料价格的由</w:t>
      </w:r>
      <w:r>
        <w:rPr>
          <w:rFonts w:hint="eastAsia" w:ascii="宋体" w:hAnsi="宋体"/>
          <w:sz w:val="24"/>
          <w:szCs w:val="24"/>
          <w:lang w:eastAsia="zh-CN"/>
        </w:rPr>
        <w:t>甲方</w:t>
      </w:r>
      <w:r>
        <w:rPr>
          <w:rFonts w:hint="eastAsia" w:ascii="宋体" w:hAnsi="宋体"/>
          <w:sz w:val="24"/>
          <w:szCs w:val="24"/>
        </w:rPr>
        <w:t>认价后执行（认价材料不参与优惠），除认价材料外，整体参与优惠</w:t>
      </w:r>
      <w:r>
        <w:rPr>
          <w:rFonts w:hint="eastAsia" w:ascii="宋体" w:hAnsi="宋体"/>
          <w:sz w:val="24"/>
          <w:szCs w:val="24"/>
          <w:u w:val="single"/>
          <w:lang w:val="en-US" w:eastAsia="zh-CN"/>
        </w:rPr>
        <w:t>15</w:t>
      </w:r>
      <w:r>
        <w:rPr>
          <w:rFonts w:hint="eastAsia" w:ascii="宋体" w:hAnsi="宋体"/>
          <w:sz w:val="24"/>
          <w:szCs w:val="24"/>
          <w:u w:val="single"/>
        </w:rPr>
        <w:t>％</w:t>
      </w:r>
      <w:r>
        <w:rPr>
          <w:rFonts w:hint="eastAsia" w:ascii="宋体" w:hAnsi="宋体"/>
          <w:sz w:val="24"/>
          <w:szCs w:val="24"/>
        </w:rPr>
        <w:t>，其余一切相关费用不得调整。本工程脚手架、成品保护、扬尘防护费等工程类相关措施费为一次性包干费用，已包含在合同价内，结算时不再调整。二次搬运费、远途施工增加费、缩短工期增加费、夜间施工措施费、冬雨施工措施费等其他组织措施费不计取。</w:t>
      </w:r>
    </w:p>
    <w:p>
      <w:pPr>
        <w:pStyle w:val="3"/>
        <w:numPr>
          <w:ilvl w:val="0"/>
          <w:numId w:val="0"/>
        </w:numPr>
        <w:rPr>
          <w:rFonts w:ascii="宋体" w:hAnsi="宋体"/>
          <w:b/>
          <w:sz w:val="24"/>
          <w:szCs w:val="24"/>
        </w:rPr>
      </w:pPr>
      <w:r>
        <w:rPr>
          <w:rFonts w:hint="eastAsia" w:ascii="宋体" w:hAnsi="宋体"/>
          <w:sz w:val="24"/>
          <w:szCs w:val="24"/>
        </w:rPr>
        <w:t>第十一条：甲方现场移交标准</w:t>
      </w:r>
    </w:p>
    <w:p>
      <w:pPr>
        <w:tabs>
          <w:tab w:val="left" w:pos="0"/>
        </w:tabs>
        <w:autoSpaceDN w:val="0"/>
        <w:spacing w:line="360" w:lineRule="auto"/>
        <w:ind w:firstLine="360"/>
        <w:rPr>
          <w:rFonts w:ascii="宋体" w:hAnsi="宋体"/>
          <w:sz w:val="24"/>
          <w:szCs w:val="24"/>
        </w:rPr>
      </w:pPr>
      <w:r>
        <w:rPr>
          <w:rFonts w:hint="eastAsia" w:ascii="宋体" w:hAnsi="宋体"/>
          <w:sz w:val="24"/>
          <w:szCs w:val="24"/>
        </w:rPr>
        <w:t>本工程移交界面为工地现状条件，且乙方在投标报价前已充分踏勘现场，对工地现状条件下施工所需的措施费等相关费用已综合考虑在固定合同总价内。</w:t>
      </w:r>
    </w:p>
    <w:p>
      <w:pPr>
        <w:pStyle w:val="3"/>
        <w:numPr>
          <w:ilvl w:val="0"/>
          <w:numId w:val="0"/>
        </w:numPr>
        <w:rPr>
          <w:rFonts w:ascii="宋体" w:hAnsi="宋体"/>
          <w:kern w:val="2"/>
          <w:sz w:val="24"/>
          <w:szCs w:val="24"/>
        </w:rPr>
      </w:pPr>
      <w:r>
        <w:rPr>
          <w:rFonts w:hint="eastAsia" w:ascii="宋体" w:hAnsi="宋体"/>
          <w:kern w:val="2"/>
          <w:sz w:val="24"/>
          <w:szCs w:val="24"/>
        </w:rPr>
        <w:t>第十二条：双方现场代表</w:t>
      </w:r>
    </w:p>
    <w:p>
      <w:pPr>
        <w:tabs>
          <w:tab w:val="left" w:pos="0"/>
        </w:tabs>
        <w:autoSpaceDN w:val="0"/>
        <w:spacing w:line="360" w:lineRule="auto"/>
        <w:ind w:firstLine="360"/>
        <w:rPr>
          <w:rFonts w:ascii="宋体" w:hAnsi="宋体"/>
          <w:sz w:val="24"/>
          <w:szCs w:val="24"/>
        </w:rPr>
      </w:pPr>
      <w:r>
        <w:rPr>
          <w:rFonts w:hint="eastAsia" w:ascii="宋体" w:hAnsi="宋体"/>
          <w:sz w:val="24"/>
          <w:szCs w:val="24"/>
        </w:rPr>
        <w:t>1、甲方授权</w:t>
      </w:r>
      <w:r>
        <w:rPr>
          <w:rFonts w:hint="eastAsia" w:ascii="宋体" w:hAnsi="宋体"/>
          <w:sz w:val="24"/>
          <w:szCs w:val="24"/>
          <w:lang w:eastAsia="zh-CN"/>
        </w:rPr>
        <w:t>文金廷电话</w:t>
      </w:r>
      <w:r>
        <w:rPr>
          <w:rFonts w:hint="eastAsia" w:ascii="宋体" w:hAnsi="宋体"/>
          <w:sz w:val="24"/>
          <w:szCs w:val="24"/>
          <w:lang w:val="en-US" w:eastAsia="zh-CN"/>
        </w:rPr>
        <w:t>13683791319</w:t>
      </w:r>
      <w:r>
        <w:rPr>
          <w:rFonts w:hint="eastAsia" w:ascii="宋体" w:hAnsi="宋体"/>
          <w:sz w:val="24"/>
          <w:szCs w:val="24"/>
        </w:rPr>
        <w:t>为现场管理代表，监督检查工程质量、进度、负责设计图纸的变更，工程期间的质量验收、施工现场的管理及其他相关事宜。</w:t>
      </w:r>
    </w:p>
    <w:p>
      <w:pPr>
        <w:tabs>
          <w:tab w:val="left" w:pos="0"/>
        </w:tabs>
        <w:autoSpaceDN w:val="0"/>
        <w:spacing w:line="360" w:lineRule="auto"/>
        <w:ind w:firstLine="360"/>
        <w:rPr>
          <w:rFonts w:ascii="宋体" w:hAnsi="宋体"/>
          <w:sz w:val="24"/>
          <w:szCs w:val="24"/>
        </w:rPr>
      </w:pPr>
      <w:r>
        <w:rPr>
          <w:rFonts w:hint="eastAsia" w:ascii="宋体" w:hAnsi="宋体"/>
          <w:sz w:val="24"/>
          <w:szCs w:val="24"/>
        </w:rPr>
        <w:t>2、乙方委派</w:t>
      </w:r>
      <w:r>
        <w:rPr>
          <w:rFonts w:hint="eastAsia" w:ascii="宋体" w:hAnsi="宋体"/>
          <w:sz w:val="24"/>
          <w:szCs w:val="24"/>
          <w:lang w:eastAsia="zh-CN"/>
        </w:rPr>
        <w:t>马连水电话</w:t>
      </w:r>
      <w:r>
        <w:rPr>
          <w:rFonts w:hint="eastAsia" w:ascii="宋体" w:hAnsi="宋体"/>
          <w:sz w:val="24"/>
          <w:szCs w:val="24"/>
          <w:lang w:val="en-US" w:eastAsia="zh-CN"/>
        </w:rPr>
        <w:t>18538881878</w:t>
      </w:r>
      <w:r>
        <w:rPr>
          <w:rFonts w:hint="eastAsia" w:ascii="宋体" w:hAnsi="宋体"/>
          <w:sz w:val="24"/>
          <w:szCs w:val="24"/>
        </w:rPr>
        <w:t>为现场项目经理。委派的项目经理须持有与工程项目相适应的真实有效的资格证书，负责施工期间的施工质量、进度、安全文明施工及现场管理等问题。</w:t>
      </w:r>
    </w:p>
    <w:p>
      <w:pPr>
        <w:pStyle w:val="3"/>
        <w:numPr>
          <w:ilvl w:val="0"/>
          <w:numId w:val="0"/>
        </w:numPr>
        <w:rPr>
          <w:rFonts w:ascii="宋体" w:hAnsi="宋体"/>
          <w:sz w:val="24"/>
          <w:szCs w:val="24"/>
        </w:rPr>
      </w:pPr>
      <w:r>
        <w:rPr>
          <w:rFonts w:hint="eastAsia" w:ascii="宋体" w:hAnsi="宋体"/>
          <w:sz w:val="24"/>
          <w:szCs w:val="24"/>
        </w:rPr>
        <w:t>第十三条：其它约定</w:t>
      </w:r>
    </w:p>
    <w:p>
      <w:pPr>
        <w:tabs>
          <w:tab w:val="left" w:pos="0"/>
        </w:tabs>
        <w:autoSpaceDN w:val="0"/>
        <w:spacing w:line="360" w:lineRule="auto"/>
        <w:ind w:firstLine="360"/>
        <w:rPr>
          <w:rFonts w:ascii="宋体" w:hAnsi="宋体"/>
          <w:sz w:val="24"/>
          <w:szCs w:val="24"/>
        </w:rPr>
      </w:pPr>
      <w:r>
        <w:rPr>
          <w:rFonts w:hint="eastAsia" w:ascii="宋体" w:hAnsi="宋体"/>
          <w:sz w:val="24"/>
          <w:szCs w:val="24"/>
        </w:rPr>
        <w:t>1、甲方只负责提供施工现场堆放材料的场地，乙方自行解决施工及管理人员住宿办公场所，甲方不予补偿费用。</w:t>
      </w:r>
    </w:p>
    <w:p>
      <w:pPr>
        <w:tabs>
          <w:tab w:val="left" w:pos="0"/>
        </w:tabs>
        <w:autoSpaceDN w:val="0"/>
        <w:spacing w:line="360" w:lineRule="auto"/>
        <w:ind w:firstLine="360"/>
        <w:rPr>
          <w:rFonts w:ascii="宋体" w:hAnsi="宋体"/>
          <w:sz w:val="24"/>
          <w:szCs w:val="24"/>
        </w:rPr>
      </w:pPr>
      <w:r>
        <w:rPr>
          <w:rFonts w:hint="eastAsia" w:ascii="宋体" w:hAnsi="宋体"/>
          <w:sz w:val="24"/>
          <w:szCs w:val="24"/>
        </w:rPr>
        <w:t xml:space="preserve"> 2、乙方负责本施工区域内其它专业的门窗收边收口等工作，此部分费用已包含在合同包干固定总价中，甲方不予另行签证。若乙方因周边围护措施不到位或考虑不周造成的损失由乙方自行承担。</w:t>
      </w:r>
    </w:p>
    <w:p>
      <w:pPr>
        <w:tabs>
          <w:tab w:val="left" w:pos="0"/>
        </w:tabs>
        <w:autoSpaceDN w:val="0"/>
        <w:spacing w:line="360" w:lineRule="auto"/>
        <w:ind w:firstLine="360"/>
        <w:rPr>
          <w:rFonts w:ascii="宋体" w:hAnsi="宋体"/>
          <w:sz w:val="24"/>
          <w:szCs w:val="24"/>
        </w:rPr>
      </w:pPr>
      <w:r>
        <w:rPr>
          <w:rFonts w:hint="eastAsia" w:ascii="宋体" w:hAnsi="宋体"/>
          <w:sz w:val="24"/>
          <w:szCs w:val="24"/>
        </w:rPr>
        <w:t>3、所有材料进场前其品种、颜色、规格、质量必须得到甲方、监理认可；乙方负责材料检测费用的支出；门窗等的收边收口处理方法需乙方深化设计，并出具书面方案经过甲方确认后方能实施。</w:t>
      </w:r>
    </w:p>
    <w:p>
      <w:pPr>
        <w:tabs>
          <w:tab w:val="left" w:pos="0"/>
        </w:tabs>
        <w:autoSpaceDN w:val="0"/>
        <w:spacing w:line="360" w:lineRule="auto"/>
        <w:ind w:firstLine="360"/>
        <w:rPr>
          <w:rFonts w:ascii="宋体" w:hAnsi="宋体"/>
          <w:sz w:val="24"/>
          <w:szCs w:val="24"/>
        </w:rPr>
      </w:pPr>
      <w:r>
        <w:rPr>
          <w:rFonts w:hint="eastAsia" w:ascii="宋体" w:hAnsi="宋体"/>
          <w:sz w:val="24"/>
          <w:szCs w:val="24"/>
        </w:rPr>
        <w:t>4、</w:t>
      </w:r>
      <w:r>
        <w:rPr>
          <w:rFonts w:hint="eastAsia" w:ascii="宋体" w:hAnsi="宋体"/>
          <w:color w:val="auto"/>
          <w:sz w:val="24"/>
          <w:szCs w:val="24"/>
          <w:highlight w:val="none"/>
        </w:rPr>
        <w:t>乙方施工工艺要符合国家标准，更要符合甲方设计要求，满足甲方设计功能，质量必须要达到国家验收标准；乙方必须根据甲方现场工程师的要求做到样板先行，每一道工序开工前必须先做样板，待样板经甲方、监理验收合格后，方可开始大面积施工。</w:t>
      </w:r>
      <w:r>
        <w:rPr>
          <w:rFonts w:hint="eastAsia" w:ascii="宋体" w:hAnsi="宋体"/>
          <w:color w:val="auto"/>
          <w:sz w:val="24"/>
          <w:szCs w:val="24"/>
          <w:highlight w:val="none"/>
          <w:lang w:eastAsia="zh-CN"/>
        </w:rPr>
        <w:t>若样板验收不通过或用假冒材料，履约保证金不予退还，同时该部分工程费用由乙方自行承担。</w:t>
      </w:r>
      <w:r>
        <w:rPr>
          <w:rFonts w:hint="eastAsia" w:ascii="宋体" w:hAnsi="宋体"/>
          <w:sz w:val="24"/>
          <w:szCs w:val="24"/>
        </w:rPr>
        <w:t>5、乙方现场必须选用优秀的劳务队伍以保证施工质量及工期，若劳务队伍不能满足甲方要求，甲方可随时要求乙方更换其劳务队伍，乙方必须无条件服从，且不能影响工期。乙方劳务计划见附件5，制定时一定要科学、合理并经甲方及监理单位审核批准，若实际施工人数不能满足现场施工进度时，乙方要严格按照劳务计划增添施工作业人员，甲方将按照此计划表每天清点人数，每缺一人，甲方罚乙方500元。</w:t>
      </w:r>
    </w:p>
    <w:p>
      <w:pPr>
        <w:tabs>
          <w:tab w:val="left" w:pos="0"/>
        </w:tabs>
        <w:autoSpaceDN w:val="0"/>
        <w:spacing w:line="360" w:lineRule="auto"/>
        <w:ind w:firstLine="360"/>
        <w:rPr>
          <w:rFonts w:ascii="宋体" w:hAnsi="宋体"/>
          <w:sz w:val="24"/>
          <w:szCs w:val="24"/>
        </w:rPr>
      </w:pPr>
      <w:r>
        <w:rPr>
          <w:rFonts w:hint="eastAsia" w:ascii="宋体" w:hAnsi="宋体"/>
          <w:sz w:val="24"/>
          <w:szCs w:val="24"/>
        </w:rPr>
        <w:t>6、甲方应向乙方交付的设计资料及文件</w:t>
      </w:r>
    </w:p>
    <w:tbl>
      <w:tblPr>
        <w:tblStyle w:val="46"/>
        <w:tblW w:w="913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77"/>
        <w:gridCol w:w="2197"/>
        <w:gridCol w:w="1688"/>
        <w:gridCol w:w="2896"/>
        <w:gridCol w:w="128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1" w:hRule="atLeast"/>
        </w:trPr>
        <w:tc>
          <w:tcPr>
            <w:tcW w:w="1077" w:type="dxa"/>
            <w:tcBorders>
              <w:top w:val="single" w:color="auto" w:sz="4" w:space="0"/>
              <w:left w:val="single" w:color="auto" w:sz="4" w:space="0"/>
              <w:bottom w:val="single" w:color="auto" w:sz="4" w:space="0"/>
              <w:right w:val="single" w:color="auto" w:sz="4" w:space="0"/>
            </w:tcBorders>
          </w:tcPr>
          <w:p>
            <w:pPr>
              <w:tabs>
                <w:tab w:val="left" w:pos="0"/>
              </w:tabs>
              <w:autoSpaceDN w:val="0"/>
              <w:spacing w:line="360" w:lineRule="auto"/>
              <w:ind w:firstLine="360"/>
              <w:rPr>
                <w:rFonts w:ascii="宋体" w:hAnsi="宋体"/>
                <w:sz w:val="24"/>
                <w:szCs w:val="24"/>
              </w:rPr>
            </w:pPr>
            <w:r>
              <w:rPr>
                <w:rFonts w:hint="eastAsia" w:ascii="宋体" w:hAnsi="宋体"/>
                <w:sz w:val="24"/>
                <w:szCs w:val="24"/>
              </w:rPr>
              <w:t>序号</w:t>
            </w:r>
          </w:p>
        </w:tc>
        <w:tc>
          <w:tcPr>
            <w:tcW w:w="2197" w:type="dxa"/>
            <w:tcBorders>
              <w:top w:val="single" w:color="auto" w:sz="4" w:space="0"/>
              <w:left w:val="single" w:color="auto" w:sz="4" w:space="0"/>
              <w:bottom w:val="single" w:color="auto" w:sz="4" w:space="0"/>
              <w:right w:val="single" w:color="auto" w:sz="4" w:space="0"/>
            </w:tcBorders>
          </w:tcPr>
          <w:p>
            <w:pPr>
              <w:tabs>
                <w:tab w:val="left" w:pos="0"/>
              </w:tabs>
              <w:autoSpaceDN w:val="0"/>
              <w:spacing w:line="360" w:lineRule="auto"/>
              <w:ind w:firstLine="360"/>
              <w:rPr>
                <w:rFonts w:ascii="宋体" w:hAnsi="宋体"/>
                <w:sz w:val="24"/>
                <w:szCs w:val="24"/>
              </w:rPr>
            </w:pPr>
            <w:r>
              <w:rPr>
                <w:rFonts w:hint="eastAsia" w:ascii="宋体" w:hAnsi="宋体"/>
                <w:sz w:val="24"/>
                <w:szCs w:val="24"/>
              </w:rPr>
              <w:t>设计文件名称</w:t>
            </w:r>
          </w:p>
        </w:tc>
        <w:tc>
          <w:tcPr>
            <w:tcW w:w="1688" w:type="dxa"/>
            <w:tcBorders>
              <w:top w:val="single" w:color="auto" w:sz="4" w:space="0"/>
              <w:left w:val="single" w:color="auto" w:sz="4" w:space="0"/>
              <w:bottom w:val="single" w:color="auto" w:sz="4" w:space="0"/>
              <w:right w:val="single" w:color="auto" w:sz="4" w:space="0"/>
            </w:tcBorders>
          </w:tcPr>
          <w:p>
            <w:pPr>
              <w:tabs>
                <w:tab w:val="left" w:pos="0"/>
              </w:tabs>
              <w:autoSpaceDN w:val="0"/>
              <w:spacing w:line="360" w:lineRule="auto"/>
              <w:ind w:firstLine="360"/>
              <w:rPr>
                <w:rFonts w:ascii="宋体" w:hAnsi="宋体"/>
                <w:sz w:val="24"/>
                <w:szCs w:val="24"/>
              </w:rPr>
            </w:pPr>
            <w:r>
              <w:rPr>
                <w:rFonts w:hint="eastAsia" w:ascii="宋体" w:hAnsi="宋体"/>
                <w:sz w:val="24"/>
                <w:szCs w:val="24"/>
              </w:rPr>
              <w:t>份数</w:t>
            </w:r>
          </w:p>
        </w:tc>
        <w:tc>
          <w:tcPr>
            <w:tcW w:w="2896" w:type="dxa"/>
            <w:tcBorders>
              <w:top w:val="single" w:color="auto" w:sz="4" w:space="0"/>
              <w:left w:val="single" w:color="auto" w:sz="4" w:space="0"/>
              <w:bottom w:val="single" w:color="auto" w:sz="4" w:space="0"/>
              <w:right w:val="single" w:color="auto" w:sz="4" w:space="0"/>
            </w:tcBorders>
          </w:tcPr>
          <w:p>
            <w:pPr>
              <w:tabs>
                <w:tab w:val="left" w:pos="0"/>
              </w:tabs>
              <w:autoSpaceDN w:val="0"/>
              <w:spacing w:line="360" w:lineRule="auto"/>
              <w:ind w:firstLine="360"/>
              <w:rPr>
                <w:rFonts w:ascii="宋体" w:hAnsi="宋体"/>
                <w:sz w:val="24"/>
                <w:szCs w:val="24"/>
              </w:rPr>
            </w:pPr>
            <w:r>
              <w:rPr>
                <w:rFonts w:hint="eastAsia" w:ascii="宋体" w:hAnsi="宋体"/>
                <w:sz w:val="24"/>
                <w:szCs w:val="24"/>
              </w:rPr>
              <w:t>交付日期</w:t>
            </w:r>
          </w:p>
        </w:tc>
        <w:tc>
          <w:tcPr>
            <w:tcW w:w="1280" w:type="dxa"/>
            <w:tcBorders>
              <w:top w:val="single" w:color="auto" w:sz="4" w:space="0"/>
              <w:left w:val="single" w:color="auto" w:sz="4" w:space="0"/>
              <w:bottom w:val="single" w:color="auto" w:sz="4" w:space="0"/>
              <w:right w:val="single" w:color="auto" w:sz="4" w:space="0"/>
            </w:tcBorders>
          </w:tcPr>
          <w:p>
            <w:pPr>
              <w:tabs>
                <w:tab w:val="left" w:pos="0"/>
              </w:tabs>
              <w:autoSpaceDN w:val="0"/>
              <w:spacing w:line="360" w:lineRule="auto"/>
              <w:ind w:firstLine="360"/>
              <w:rPr>
                <w:rFonts w:ascii="宋体" w:hAnsi="宋体"/>
                <w:sz w:val="24"/>
                <w:szCs w:val="24"/>
              </w:rPr>
            </w:pPr>
            <w:r>
              <w:rPr>
                <w:rFonts w:hint="eastAsia" w:ascii="宋体" w:hAnsi="宋体"/>
                <w:sz w:val="24"/>
                <w:szCs w:val="24"/>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1" w:hRule="atLeast"/>
        </w:trPr>
        <w:tc>
          <w:tcPr>
            <w:tcW w:w="1077" w:type="dxa"/>
            <w:tcBorders>
              <w:top w:val="single" w:color="auto" w:sz="4" w:space="0"/>
              <w:left w:val="single" w:color="auto" w:sz="4" w:space="0"/>
              <w:bottom w:val="single" w:color="auto" w:sz="4" w:space="0"/>
              <w:right w:val="single" w:color="auto" w:sz="4" w:space="0"/>
            </w:tcBorders>
          </w:tcPr>
          <w:p>
            <w:pPr>
              <w:tabs>
                <w:tab w:val="left" w:pos="0"/>
              </w:tabs>
              <w:autoSpaceDN w:val="0"/>
              <w:spacing w:line="360" w:lineRule="auto"/>
              <w:ind w:firstLine="360"/>
              <w:rPr>
                <w:rFonts w:ascii="宋体" w:hAnsi="宋体"/>
                <w:sz w:val="24"/>
                <w:szCs w:val="24"/>
              </w:rPr>
            </w:pPr>
            <w:r>
              <w:rPr>
                <w:rFonts w:hint="eastAsia" w:ascii="宋体" w:hAnsi="宋体"/>
                <w:sz w:val="24"/>
                <w:szCs w:val="24"/>
              </w:rPr>
              <w:t xml:space="preserve"> 1</w:t>
            </w:r>
          </w:p>
        </w:tc>
        <w:tc>
          <w:tcPr>
            <w:tcW w:w="2197" w:type="dxa"/>
            <w:tcBorders>
              <w:top w:val="single" w:color="auto" w:sz="4" w:space="0"/>
              <w:left w:val="single" w:color="auto" w:sz="4" w:space="0"/>
              <w:bottom w:val="single" w:color="auto" w:sz="4" w:space="0"/>
              <w:right w:val="single" w:color="auto" w:sz="4" w:space="0"/>
            </w:tcBorders>
          </w:tcPr>
          <w:p>
            <w:pPr>
              <w:tabs>
                <w:tab w:val="left" w:pos="0"/>
              </w:tabs>
              <w:autoSpaceDN w:val="0"/>
              <w:spacing w:line="360" w:lineRule="auto"/>
              <w:ind w:firstLine="360"/>
              <w:rPr>
                <w:rFonts w:ascii="宋体" w:hAnsi="宋体"/>
                <w:sz w:val="24"/>
                <w:szCs w:val="24"/>
              </w:rPr>
            </w:pPr>
            <w:r>
              <w:rPr>
                <w:rFonts w:hint="eastAsia" w:ascii="宋体" w:hAnsi="宋体"/>
                <w:sz w:val="24"/>
                <w:szCs w:val="24"/>
              </w:rPr>
              <w:t>装修施工图</w:t>
            </w:r>
          </w:p>
        </w:tc>
        <w:tc>
          <w:tcPr>
            <w:tcW w:w="1688" w:type="dxa"/>
            <w:tcBorders>
              <w:top w:val="single" w:color="auto" w:sz="4" w:space="0"/>
              <w:left w:val="single" w:color="auto" w:sz="4" w:space="0"/>
              <w:bottom w:val="single" w:color="auto" w:sz="4" w:space="0"/>
              <w:right w:val="single" w:color="auto" w:sz="4" w:space="0"/>
            </w:tcBorders>
          </w:tcPr>
          <w:p>
            <w:pPr>
              <w:tabs>
                <w:tab w:val="left" w:pos="0"/>
              </w:tabs>
              <w:autoSpaceDN w:val="0"/>
              <w:spacing w:line="360" w:lineRule="auto"/>
              <w:ind w:firstLine="360"/>
              <w:rPr>
                <w:rFonts w:ascii="宋体" w:hAnsi="宋体"/>
                <w:sz w:val="24"/>
                <w:szCs w:val="24"/>
              </w:rPr>
            </w:pPr>
            <w:r>
              <w:rPr>
                <w:rFonts w:hint="eastAsia" w:ascii="宋体" w:hAnsi="宋体"/>
                <w:sz w:val="24"/>
                <w:szCs w:val="24"/>
              </w:rPr>
              <w:t>1份</w:t>
            </w:r>
          </w:p>
        </w:tc>
        <w:tc>
          <w:tcPr>
            <w:tcW w:w="2896" w:type="dxa"/>
            <w:tcBorders>
              <w:top w:val="single" w:color="auto" w:sz="4" w:space="0"/>
              <w:left w:val="single" w:color="auto" w:sz="4" w:space="0"/>
              <w:bottom w:val="single" w:color="auto" w:sz="4" w:space="0"/>
              <w:right w:val="single" w:color="auto" w:sz="4" w:space="0"/>
            </w:tcBorders>
          </w:tcPr>
          <w:p>
            <w:pPr>
              <w:tabs>
                <w:tab w:val="left" w:pos="0"/>
              </w:tabs>
              <w:autoSpaceDN w:val="0"/>
              <w:spacing w:line="360" w:lineRule="auto"/>
              <w:ind w:firstLine="360"/>
              <w:rPr>
                <w:rFonts w:ascii="宋体" w:hAnsi="宋体"/>
                <w:sz w:val="24"/>
                <w:szCs w:val="24"/>
              </w:rPr>
            </w:pPr>
            <w:r>
              <w:rPr>
                <w:rFonts w:hint="eastAsia" w:ascii="宋体" w:hAnsi="宋体"/>
                <w:sz w:val="24"/>
                <w:szCs w:val="24"/>
              </w:rPr>
              <w:t>本合同生效后__天内</w:t>
            </w:r>
          </w:p>
        </w:tc>
        <w:tc>
          <w:tcPr>
            <w:tcW w:w="1280" w:type="dxa"/>
            <w:tcBorders>
              <w:top w:val="single" w:color="auto" w:sz="4" w:space="0"/>
              <w:left w:val="single" w:color="auto" w:sz="4" w:space="0"/>
              <w:bottom w:val="single" w:color="auto" w:sz="4" w:space="0"/>
              <w:right w:val="single" w:color="auto" w:sz="4" w:space="0"/>
            </w:tcBorders>
          </w:tcPr>
          <w:p>
            <w:pPr>
              <w:tabs>
                <w:tab w:val="left" w:pos="0"/>
              </w:tabs>
              <w:autoSpaceDN w:val="0"/>
              <w:spacing w:line="360" w:lineRule="auto"/>
              <w:ind w:firstLine="360"/>
              <w:rPr>
                <w:rFonts w:ascii="宋体" w:hAnsi="宋体"/>
                <w:sz w:val="24"/>
                <w:szCs w:val="24"/>
              </w:rPr>
            </w:pPr>
            <w:r>
              <w:rPr>
                <w:rFonts w:hint="eastAsia" w:ascii="宋体" w:hAnsi="宋体"/>
                <w:sz w:val="24"/>
                <w:szCs w:val="24"/>
              </w:rPr>
              <w:t xml:space="preserve">  </w:t>
            </w:r>
          </w:p>
        </w:tc>
      </w:tr>
    </w:tbl>
    <w:p>
      <w:pPr>
        <w:tabs>
          <w:tab w:val="left" w:pos="0"/>
        </w:tabs>
        <w:autoSpaceDN w:val="0"/>
        <w:spacing w:line="360" w:lineRule="auto"/>
        <w:ind w:firstLine="360"/>
        <w:rPr>
          <w:rFonts w:ascii="宋体" w:hAnsi="宋体"/>
          <w:sz w:val="24"/>
          <w:szCs w:val="24"/>
        </w:rPr>
      </w:pPr>
      <w:r>
        <w:rPr>
          <w:rFonts w:hint="eastAsia" w:ascii="宋体" w:hAnsi="宋体"/>
          <w:sz w:val="24"/>
          <w:szCs w:val="24"/>
        </w:rPr>
        <w:t>7、乙方未能按合同约定工期如期竣工验收合格工程的，延迟5天（含5天）以内每延迟1天，乙方向甲方支付500元/天（伍佰元）的违约金；延期超过7天以上的，每延迟1天乙方向甲方支付1000元/天（壹仟元）的违约金，同时甲方可自主决定解除合同，前期已完工程不再支付任何费用，乙方必须无条件自行退场。若因甲方原因造成工期延误，则工期相应顺延。</w:t>
      </w:r>
    </w:p>
    <w:p>
      <w:pPr>
        <w:tabs>
          <w:tab w:val="left" w:pos="0"/>
        </w:tabs>
        <w:autoSpaceDN w:val="0"/>
        <w:spacing w:line="360" w:lineRule="auto"/>
        <w:ind w:firstLine="360"/>
        <w:rPr>
          <w:rFonts w:ascii="宋体" w:hAnsi="宋体"/>
          <w:sz w:val="24"/>
          <w:szCs w:val="24"/>
        </w:rPr>
      </w:pPr>
      <w:r>
        <w:rPr>
          <w:rFonts w:hint="eastAsia" w:ascii="宋体" w:hAnsi="宋体"/>
          <w:sz w:val="24"/>
          <w:szCs w:val="24"/>
        </w:rPr>
        <w:t>8、乙方项目负责人必须按时参加甲方或者监理组织的定期或者不定期的工地会议，并遵循会议上做出的决议；乙方需派驻现场专职安全员，负责监管现场安全文明施工。</w:t>
      </w:r>
    </w:p>
    <w:p>
      <w:pPr>
        <w:tabs>
          <w:tab w:val="left" w:pos="0"/>
        </w:tabs>
        <w:autoSpaceDN w:val="0"/>
        <w:spacing w:line="360" w:lineRule="auto"/>
        <w:ind w:firstLine="360"/>
        <w:rPr>
          <w:rFonts w:ascii="宋体" w:hAnsi="宋体"/>
          <w:sz w:val="24"/>
          <w:szCs w:val="24"/>
        </w:rPr>
      </w:pPr>
      <w:r>
        <w:rPr>
          <w:rFonts w:hint="eastAsia" w:ascii="宋体" w:hAnsi="宋体"/>
          <w:sz w:val="24"/>
          <w:szCs w:val="24"/>
        </w:rPr>
        <w:t>9、其他分包单位（外墙、消防、门窗、弱电等）要积极配合乙方施工，乙方负责相应的收口收边工作，收口收边的施工方案和工艺要经过甲方、监理认可方可施行。同时，做好安全文明施工工作，施工人员进出通道由甲方现场指定出入口，施工材料运输通道乙方根据现场情况，制定专项方案，经甲方、监理同意后实施；乙方应做好施工通道附近成品保护措施及卫生清扫工作。以上费用乙方已综合包含在合同固定总价内。</w:t>
      </w:r>
    </w:p>
    <w:p>
      <w:pPr>
        <w:tabs>
          <w:tab w:val="left" w:pos="0"/>
        </w:tabs>
        <w:autoSpaceDN w:val="0"/>
        <w:spacing w:line="360" w:lineRule="auto"/>
        <w:ind w:firstLine="360"/>
        <w:rPr>
          <w:rFonts w:ascii="宋体" w:hAnsi="宋体"/>
          <w:sz w:val="24"/>
          <w:szCs w:val="24"/>
        </w:rPr>
      </w:pPr>
      <w:r>
        <w:rPr>
          <w:rFonts w:hint="eastAsia" w:ascii="宋体" w:hAnsi="宋体"/>
          <w:sz w:val="24"/>
          <w:szCs w:val="24"/>
        </w:rPr>
        <w:t>10、甲方提供一套施工图纸，竣工验收后30_日内乙方向甲方移交叁套竣工图纸和竣工资料；</w:t>
      </w:r>
    </w:p>
    <w:p>
      <w:pPr>
        <w:tabs>
          <w:tab w:val="left" w:pos="0"/>
        </w:tabs>
        <w:autoSpaceDN w:val="0"/>
        <w:spacing w:line="360" w:lineRule="auto"/>
        <w:ind w:firstLine="360"/>
        <w:rPr>
          <w:rFonts w:ascii="宋体" w:hAnsi="宋体"/>
          <w:sz w:val="24"/>
          <w:szCs w:val="24"/>
        </w:rPr>
      </w:pPr>
      <w:r>
        <w:rPr>
          <w:rFonts w:hint="eastAsia" w:ascii="宋体" w:hAnsi="宋体"/>
          <w:sz w:val="24"/>
          <w:szCs w:val="24"/>
        </w:rPr>
        <w:t>11、招标文件、图纸、招标答疑作为合同不可缺少的附件；</w:t>
      </w:r>
    </w:p>
    <w:p>
      <w:pPr>
        <w:tabs>
          <w:tab w:val="left" w:pos="0"/>
        </w:tabs>
        <w:autoSpaceDN w:val="0"/>
        <w:spacing w:line="360" w:lineRule="auto"/>
        <w:ind w:firstLine="360"/>
        <w:rPr>
          <w:rFonts w:ascii="宋体" w:hAnsi="宋体"/>
          <w:sz w:val="24"/>
          <w:szCs w:val="24"/>
        </w:rPr>
      </w:pPr>
      <w:r>
        <w:rPr>
          <w:rFonts w:hint="eastAsia" w:ascii="宋体" w:hAnsi="宋体"/>
          <w:sz w:val="24"/>
          <w:szCs w:val="24"/>
        </w:rPr>
        <w:t>12、乙方应提前10个工作日上报详细准确的材料需用计划、变更签证确认申请单等，甲方自收到乙方所报上述报表后10个工作日内给予确认。</w:t>
      </w:r>
    </w:p>
    <w:p>
      <w:pPr>
        <w:tabs>
          <w:tab w:val="left" w:pos="0"/>
        </w:tabs>
        <w:autoSpaceDN w:val="0"/>
        <w:spacing w:line="360" w:lineRule="auto"/>
        <w:ind w:firstLine="360"/>
        <w:rPr>
          <w:rFonts w:ascii="宋体" w:hAnsi="宋体"/>
          <w:sz w:val="24"/>
          <w:szCs w:val="24"/>
        </w:rPr>
      </w:pPr>
      <w:r>
        <w:rPr>
          <w:rFonts w:hint="eastAsia" w:ascii="宋体" w:hAnsi="宋体"/>
          <w:sz w:val="24"/>
          <w:szCs w:val="24"/>
        </w:rPr>
        <w:t>13、若实施过程中产生纠纷双方协商解决，若协商不成时，双方约定由甲方所在地人民法院裁判。</w:t>
      </w:r>
    </w:p>
    <w:p>
      <w:pPr>
        <w:tabs>
          <w:tab w:val="left" w:pos="0"/>
        </w:tabs>
        <w:autoSpaceDN w:val="0"/>
        <w:spacing w:line="360" w:lineRule="auto"/>
        <w:ind w:firstLine="360"/>
        <w:rPr>
          <w:rFonts w:hint="eastAsia" w:ascii="宋体" w:hAnsi="宋体"/>
          <w:sz w:val="24"/>
          <w:szCs w:val="24"/>
        </w:rPr>
      </w:pPr>
      <w:r>
        <w:rPr>
          <w:rFonts w:hint="eastAsia" w:ascii="宋体" w:hAnsi="宋体"/>
          <w:sz w:val="24"/>
          <w:szCs w:val="24"/>
        </w:rPr>
        <w:t>14、完工后，乙方提交符合甲方要求的竣工资料、竣工图各叁套。</w:t>
      </w:r>
    </w:p>
    <w:p>
      <w:pPr>
        <w:pStyle w:val="2"/>
        <w:rPr>
          <w:rFonts w:hint="eastAsia" w:hAnsi="宋体"/>
          <w:b w:val="0"/>
          <w:kern w:val="2"/>
          <w:position w:val="0"/>
          <w:szCs w:val="24"/>
          <w:lang w:val="en-US" w:eastAsia="zh-CN"/>
        </w:rPr>
      </w:pPr>
      <w:r>
        <w:rPr>
          <w:rFonts w:hint="eastAsia"/>
          <w:lang w:val="en-US" w:eastAsia="zh-CN"/>
        </w:rPr>
        <w:t xml:space="preserve"> </w:t>
      </w:r>
      <w:r>
        <w:rPr>
          <w:rFonts w:hint="eastAsia" w:hAnsi="宋体"/>
          <w:b w:val="0"/>
          <w:kern w:val="2"/>
          <w:position w:val="0"/>
          <w:szCs w:val="24"/>
          <w:lang w:val="en-US" w:eastAsia="zh-CN"/>
        </w:rPr>
        <w:t xml:space="preserve">  15、履约期间若出现农民工讨薪、上访、堵售楼部之类事件，如发生每次罚款3万。</w:t>
      </w:r>
    </w:p>
    <w:p>
      <w:pPr>
        <w:pStyle w:val="2"/>
        <w:ind w:firstLine="480" w:firstLineChars="200"/>
        <w:rPr>
          <w:rFonts w:hAnsi="宋体"/>
          <w:b w:val="0"/>
          <w:kern w:val="2"/>
          <w:position w:val="0"/>
          <w:szCs w:val="24"/>
        </w:rPr>
      </w:pPr>
      <w:r>
        <w:rPr>
          <w:rFonts w:hint="eastAsia" w:hAnsi="宋体"/>
          <w:b w:val="0"/>
          <w:kern w:val="2"/>
          <w:position w:val="0"/>
          <w:szCs w:val="24"/>
        </w:rPr>
        <w:t>16、</w:t>
      </w:r>
      <w:r>
        <w:rPr>
          <w:rFonts w:hint="eastAsia" w:hAnsi="宋体" w:cs="Times New Roman"/>
          <w:b w:val="0"/>
          <w:kern w:val="2"/>
          <w:position w:val="0"/>
          <w:szCs w:val="24"/>
          <w:lang w:eastAsia="zh-CN"/>
        </w:rPr>
        <w:t>乙方</w:t>
      </w:r>
      <w:r>
        <w:rPr>
          <w:rFonts w:hint="eastAsia" w:hAnsi="宋体" w:cs="Times New Roman"/>
          <w:b w:val="0"/>
          <w:kern w:val="2"/>
          <w:position w:val="0"/>
          <w:szCs w:val="24"/>
        </w:rPr>
        <w:t>成品保护：本工程移交甲方前由乙方负责成品保护，对所有成品进行全面清洗清洁及现场清理，以确保在移交甲方前施工现场无建筑垃圾和其他任何污染，凡因成品保护和现场清理所发生的任何毁损或污染，应本着先修复，后分清责任的原则，由乙方负责修复、清理并承担相关所有费用、损失和风险。如乙方未妥善履行上述义务，甲方有权另行委托他人代为履行，所产生的费用全部由乙方承担，由此影响到本工程竣工验收及交付使用的，产生的全部损失均由乙方负责赔偿</w:t>
      </w:r>
    </w:p>
    <w:p>
      <w:pPr>
        <w:pStyle w:val="2"/>
        <w:ind w:firstLine="480" w:firstLineChars="200"/>
        <w:rPr>
          <w:rFonts w:hAnsi="宋体"/>
          <w:b w:val="0"/>
          <w:kern w:val="2"/>
          <w:position w:val="0"/>
          <w:szCs w:val="24"/>
        </w:rPr>
      </w:pPr>
      <w:r>
        <w:rPr>
          <w:rFonts w:hint="eastAsia" w:hAnsi="宋体"/>
          <w:b w:val="0"/>
          <w:kern w:val="2"/>
          <w:position w:val="0"/>
          <w:szCs w:val="24"/>
        </w:rPr>
        <w:t>17、甲方提供水电接驳点，费用乙方自理。</w:t>
      </w:r>
    </w:p>
    <w:p>
      <w:pPr>
        <w:spacing w:line="360" w:lineRule="auto"/>
        <w:ind w:firstLine="420" w:firstLineChars="200"/>
        <w:rPr>
          <w:rFonts w:ascii="宋体" w:hAnsi="宋体" w:cs="宋体"/>
          <w:szCs w:val="24"/>
        </w:rPr>
      </w:pPr>
      <w:r>
        <w:rPr>
          <w:rFonts w:hint="eastAsia" w:hAnsi="宋体"/>
          <w:szCs w:val="24"/>
        </w:rPr>
        <w:t>18、施工时受</w:t>
      </w:r>
      <w:r>
        <w:rPr>
          <w:rFonts w:hint="eastAsia" w:ascii="宋体" w:hAnsi="宋体" w:cs="宋体"/>
          <w:szCs w:val="24"/>
        </w:rPr>
        <w:t>雨、雪天气、扬尘管控等影响，乙方应积极采取抢工措施措施，不得因天气及外界因素影响进度形象，该部分所产生的费用均由乙方承担。</w:t>
      </w:r>
    </w:p>
    <w:p>
      <w:pPr>
        <w:spacing w:line="360" w:lineRule="auto"/>
        <w:ind w:firstLine="420" w:firstLineChars="200"/>
        <w:rPr>
          <w:rFonts w:hAnsi="宋体" w:cs="宋体"/>
          <w:szCs w:val="24"/>
        </w:rPr>
      </w:pPr>
      <w:r>
        <w:rPr>
          <w:rFonts w:ascii="宋体" w:hAnsi="宋体" w:cs="宋体"/>
          <w:b w:val="0"/>
          <w:szCs w:val="24"/>
        </w:rPr>
        <w:t>19</w:t>
      </w:r>
      <w:r>
        <w:rPr>
          <w:rFonts w:hint="eastAsia" w:ascii="宋体" w:hAnsi="宋体" w:cs="宋体"/>
          <w:b w:val="0"/>
          <w:szCs w:val="24"/>
        </w:rPr>
        <w:t>、乙方必须服从甲方及监理单位管理，项目经理每周按时参加监理例会，乙方已了解和熟知甲方相关现场管理办法，愿意接受管理和考核。</w:t>
      </w:r>
    </w:p>
    <w:p>
      <w:pPr>
        <w:pStyle w:val="2"/>
        <w:ind w:firstLine="480" w:firstLineChars="200"/>
        <w:rPr>
          <w:rFonts w:hAnsi="宋体" w:cs="Times New Roman"/>
          <w:b w:val="0"/>
          <w:kern w:val="2"/>
          <w:position w:val="0"/>
          <w:szCs w:val="24"/>
        </w:rPr>
      </w:pPr>
      <w:r>
        <w:rPr>
          <w:rFonts w:hAnsi="宋体" w:cs="Times New Roman"/>
          <w:b w:val="0"/>
          <w:kern w:val="2"/>
          <w:position w:val="0"/>
          <w:szCs w:val="24"/>
        </w:rPr>
        <w:t>20</w:t>
      </w:r>
      <w:r>
        <w:rPr>
          <w:rFonts w:hint="eastAsia" w:hAnsi="宋体" w:cs="Times New Roman"/>
          <w:b w:val="0"/>
          <w:kern w:val="2"/>
          <w:position w:val="0"/>
          <w:szCs w:val="24"/>
        </w:rPr>
        <w:t>、施工过程中如发生扰民、民扰及扬尘部门罚款，由乙方与甲方协调解决，费用乙方承担。</w:t>
      </w:r>
    </w:p>
    <w:p>
      <w:pPr>
        <w:pStyle w:val="2"/>
        <w:rPr>
          <w:rFonts w:hint="eastAsia" w:hAnsi="宋体"/>
          <w:b w:val="0"/>
          <w:kern w:val="2"/>
          <w:position w:val="0"/>
          <w:szCs w:val="24"/>
          <w:lang w:val="en-US" w:eastAsia="zh-CN"/>
        </w:rPr>
      </w:pPr>
    </w:p>
    <w:p>
      <w:pPr>
        <w:spacing w:line="460" w:lineRule="exact"/>
        <w:ind w:firstLine="0" w:firstLineChars="0"/>
        <w:jc w:val="left"/>
        <w:rPr>
          <w:rFonts w:hint="eastAsia" w:ascii="宋体" w:hAnsi="宋体" w:cs="宋体"/>
          <w:b/>
          <w:bCs/>
          <w:sz w:val="24"/>
          <w:szCs w:val="24"/>
        </w:rPr>
      </w:pPr>
      <w:r>
        <w:rPr>
          <w:rFonts w:hint="eastAsia" w:ascii="宋体" w:hAnsi="宋体"/>
          <w:b/>
          <w:bCs/>
          <w:sz w:val="24"/>
          <w:szCs w:val="24"/>
        </w:rPr>
        <w:t>第十四条：</w:t>
      </w:r>
      <w:r>
        <w:rPr>
          <w:rFonts w:hint="eastAsia" w:ascii="宋体" w:hAnsi="宋体" w:cs="宋体"/>
          <w:b/>
          <w:bCs/>
          <w:sz w:val="24"/>
          <w:szCs w:val="24"/>
        </w:rPr>
        <w:t>合同生效与解约条款</w:t>
      </w:r>
    </w:p>
    <w:p>
      <w:pPr>
        <w:tabs>
          <w:tab w:val="left" w:pos="0"/>
        </w:tabs>
        <w:autoSpaceDN w:val="0"/>
        <w:adjustRightInd/>
        <w:snapToGrid/>
        <w:spacing w:line="360" w:lineRule="auto"/>
        <w:ind w:firstLine="360" w:firstLineChars="0"/>
        <w:rPr>
          <w:rFonts w:hint="eastAsia" w:ascii="宋体" w:hAnsi="宋体"/>
          <w:color w:val="auto"/>
          <w:sz w:val="24"/>
          <w:szCs w:val="24"/>
          <w:highlight w:val="none"/>
        </w:rPr>
      </w:pPr>
      <w:r>
        <w:rPr>
          <w:rFonts w:hint="eastAsia" w:ascii="宋体" w:hAnsi="宋体"/>
          <w:color w:val="auto"/>
          <w:sz w:val="24"/>
          <w:szCs w:val="24"/>
          <w:highlight w:val="none"/>
        </w:rPr>
        <w:t>1、本合同在双方盖章后生效。</w:t>
      </w:r>
    </w:p>
    <w:p>
      <w:pPr>
        <w:tabs>
          <w:tab w:val="left" w:pos="0"/>
        </w:tabs>
        <w:autoSpaceDN w:val="0"/>
        <w:spacing w:line="360" w:lineRule="auto"/>
        <w:ind w:firstLine="360"/>
      </w:pPr>
      <w:r>
        <w:rPr>
          <w:rFonts w:hint="eastAsia" w:ascii="宋体" w:hAnsi="宋体"/>
          <w:color w:val="auto"/>
          <w:sz w:val="24"/>
          <w:szCs w:val="24"/>
          <w:highlight w:val="none"/>
        </w:rPr>
        <w:t>2、本合同文本壹式</w:t>
      </w:r>
      <w:r>
        <w:rPr>
          <w:rFonts w:hint="eastAsia" w:ascii="宋体" w:hAnsi="宋体"/>
          <w:color w:val="auto"/>
          <w:sz w:val="24"/>
          <w:szCs w:val="24"/>
          <w:highlight w:val="none"/>
          <w:u w:val="none"/>
          <w:lang w:val="en-US" w:eastAsia="zh-CN"/>
        </w:rPr>
        <w:t>陆</w:t>
      </w:r>
      <w:r>
        <w:rPr>
          <w:rFonts w:hint="eastAsia" w:ascii="宋体" w:hAnsi="宋体"/>
          <w:color w:val="auto"/>
          <w:sz w:val="24"/>
          <w:szCs w:val="24"/>
          <w:highlight w:val="none"/>
        </w:rPr>
        <w:t>份，甲方执</w:t>
      </w:r>
      <w:r>
        <w:rPr>
          <w:rFonts w:hint="eastAsia" w:ascii="宋体" w:hAnsi="宋体"/>
          <w:color w:val="auto"/>
          <w:sz w:val="24"/>
          <w:szCs w:val="24"/>
          <w:highlight w:val="none"/>
          <w:u w:val="none"/>
          <w:lang w:val="en-US" w:eastAsia="zh-CN"/>
        </w:rPr>
        <w:t>伍</w:t>
      </w:r>
      <w:r>
        <w:rPr>
          <w:rFonts w:hint="eastAsia" w:ascii="宋体" w:hAnsi="宋体"/>
          <w:color w:val="auto"/>
          <w:sz w:val="24"/>
          <w:szCs w:val="24"/>
          <w:highlight w:val="none"/>
        </w:rPr>
        <w:t>份，乙方执</w:t>
      </w:r>
      <w:r>
        <w:rPr>
          <w:rFonts w:hint="eastAsia" w:ascii="宋体" w:hAnsi="宋体"/>
          <w:color w:val="auto"/>
          <w:sz w:val="24"/>
          <w:szCs w:val="24"/>
          <w:highlight w:val="none"/>
          <w:u w:val="none"/>
          <w:lang w:val="en-US" w:eastAsia="zh-CN"/>
        </w:rPr>
        <w:t>壹</w:t>
      </w:r>
      <w:r>
        <w:rPr>
          <w:rFonts w:hint="eastAsia" w:ascii="宋体" w:hAnsi="宋体"/>
          <w:color w:val="auto"/>
          <w:sz w:val="24"/>
          <w:szCs w:val="24"/>
          <w:highlight w:val="none"/>
        </w:rPr>
        <w:t>份，各份具同等法律效力。</w:t>
      </w:r>
    </w:p>
    <w:p>
      <w:pPr>
        <w:spacing w:line="360" w:lineRule="auto"/>
        <w:ind w:right="218" w:rightChars="104" w:firstLine="720" w:firstLineChars="300"/>
        <w:rPr>
          <w:rFonts w:ascii="宋体" w:hAnsi="宋体"/>
          <w:color w:val="auto"/>
          <w:sz w:val="24"/>
          <w:szCs w:val="28"/>
          <w:highlight w:val="none"/>
        </w:rPr>
      </w:pPr>
      <w:r>
        <w:rPr>
          <w:rFonts w:hint="eastAsia" w:ascii="宋体" w:hAnsi="宋体"/>
          <w:color w:val="auto"/>
          <w:sz w:val="24"/>
          <w:szCs w:val="28"/>
          <w:highlight w:val="none"/>
          <w:lang w:eastAsia="zh-CN"/>
        </w:rPr>
        <w:t>合同签订前乙方缴纳的投标诚意金在本合同签订时直接转为本合同履约保证金，</w:t>
      </w:r>
      <w:r>
        <w:rPr>
          <w:rFonts w:hint="eastAsia" w:ascii="宋体" w:hAnsi="宋体"/>
          <w:color w:val="auto"/>
          <w:sz w:val="24"/>
          <w:szCs w:val="28"/>
          <w:highlight w:val="none"/>
        </w:rPr>
        <w:t>合同签订后3日内，乙方须缴纳</w:t>
      </w:r>
      <w:r>
        <w:rPr>
          <w:rFonts w:hint="eastAsia" w:ascii="宋体" w:hAnsi="宋体"/>
          <w:color w:val="auto"/>
          <w:sz w:val="24"/>
          <w:szCs w:val="28"/>
          <w:highlight w:val="none"/>
          <w:lang w:eastAsia="zh-CN"/>
        </w:rPr>
        <w:t>足共计</w:t>
      </w:r>
      <w:r>
        <w:rPr>
          <w:rFonts w:hint="eastAsia" w:ascii="宋体" w:hAnsi="宋体"/>
          <w:color w:val="auto"/>
          <w:sz w:val="24"/>
          <w:szCs w:val="28"/>
          <w:highlight w:val="none"/>
          <w:lang w:val="en-US" w:eastAsia="zh-CN"/>
        </w:rPr>
        <w:t>5</w:t>
      </w:r>
      <w:r>
        <w:rPr>
          <w:rFonts w:hint="eastAsia" w:ascii="宋体" w:hAnsi="宋体"/>
          <w:color w:val="auto"/>
          <w:sz w:val="24"/>
          <w:szCs w:val="28"/>
          <w:highlight w:val="none"/>
        </w:rPr>
        <w:t>万元人民币</w:t>
      </w:r>
      <w:r>
        <w:rPr>
          <w:rFonts w:hint="eastAsia" w:ascii="宋体" w:hAnsi="宋体"/>
          <w:color w:val="auto"/>
          <w:sz w:val="24"/>
          <w:szCs w:val="28"/>
          <w:highlight w:val="none"/>
          <w:lang w:eastAsia="zh-CN"/>
        </w:rPr>
        <w:t>，大写伍万元</w:t>
      </w:r>
      <w:r>
        <w:rPr>
          <w:rFonts w:hint="eastAsia" w:ascii="宋体" w:hAnsi="宋体"/>
          <w:color w:val="auto"/>
          <w:sz w:val="24"/>
          <w:szCs w:val="28"/>
          <w:highlight w:val="none"/>
        </w:rPr>
        <w:t>的履约保证金，</w:t>
      </w:r>
      <w:r>
        <w:rPr>
          <w:rFonts w:hint="eastAsia" w:ascii="宋体" w:hAnsi="宋体"/>
          <w:color w:val="auto"/>
          <w:sz w:val="24"/>
          <w:szCs w:val="28"/>
          <w:highlight w:val="none"/>
          <w:lang w:eastAsia="zh-CN"/>
        </w:rPr>
        <w:t>每逾期一天应向甲方支付应缴纳款的总额的</w:t>
      </w:r>
      <w:r>
        <w:rPr>
          <w:rFonts w:hint="eastAsia" w:ascii="宋体" w:hAnsi="宋体"/>
          <w:color w:val="auto"/>
          <w:sz w:val="24"/>
          <w:szCs w:val="28"/>
          <w:highlight w:val="none"/>
          <w:lang w:val="en-US" w:eastAsia="zh-CN"/>
        </w:rPr>
        <w:t>千分之五的违约金。乙方严格依照本合同约定履行完毕，</w:t>
      </w:r>
      <w:r>
        <w:rPr>
          <w:rFonts w:hint="eastAsia" w:ascii="宋体" w:hAnsi="宋体"/>
          <w:color w:val="auto"/>
          <w:sz w:val="24"/>
          <w:szCs w:val="28"/>
          <w:highlight w:val="none"/>
        </w:rPr>
        <w:t>在工程</w:t>
      </w:r>
      <w:r>
        <w:rPr>
          <w:rFonts w:hint="eastAsia" w:ascii="宋体" w:hAnsi="宋体"/>
          <w:color w:val="auto"/>
          <w:sz w:val="24"/>
          <w:szCs w:val="28"/>
          <w:highlight w:val="none"/>
          <w:lang w:eastAsia="zh-CN"/>
        </w:rPr>
        <w:t>竣工</w:t>
      </w:r>
      <w:r>
        <w:rPr>
          <w:rFonts w:hint="eastAsia" w:ascii="宋体" w:hAnsi="宋体"/>
          <w:color w:val="auto"/>
          <w:sz w:val="24"/>
          <w:szCs w:val="28"/>
          <w:highlight w:val="none"/>
        </w:rPr>
        <w:t>验收合格</w:t>
      </w:r>
      <w:r>
        <w:rPr>
          <w:rFonts w:hint="eastAsia" w:ascii="宋体" w:hAnsi="宋体"/>
          <w:color w:val="auto"/>
          <w:sz w:val="24"/>
          <w:szCs w:val="28"/>
          <w:highlight w:val="none"/>
          <w:lang w:eastAsia="zh-CN"/>
        </w:rPr>
        <w:t>无质量问题</w:t>
      </w:r>
      <w:r>
        <w:rPr>
          <w:rFonts w:hint="eastAsia" w:ascii="宋体" w:hAnsi="宋体"/>
          <w:color w:val="auto"/>
          <w:sz w:val="24"/>
          <w:szCs w:val="28"/>
          <w:highlight w:val="none"/>
        </w:rPr>
        <w:t>7日内无息退还</w:t>
      </w:r>
      <w:r>
        <w:rPr>
          <w:rFonts w:hint="eastAsia" w:ascii="宋体" w:hAnsi="宋体"/>
          <w:color w:val="auto"/>
          <w:sz w:val="24"/>
          <w:szCs w:val="28"/>
          <w:highlight w:val="none"/>
          <w:lang w:eastAsia="zh-CN"/>
        </w:rPr>
        <w:t>。履约保证金依照本合同被扣除的，甲方仅退还剩余部分（如有）</w:t>
      </w:r>
      <w:r>
        <w:rPr>
          <w:rFonts w:hint="eastAsia" w:ascii="宋体" w:hAnsi="宋体"/>
          <w:color w:val="auto"/>
          <w:sz w:val="24"/>
          <w:szCs w:val="28"/>
          <w:highlight w:val="none"/>
        </w:rPr>
        <w:t>。</w:t>
      </w:r>
    </w:p>
    <w:p>
      <w:pPr>
        <w:widowControl/>
        <w:tabs>
          <w:tab w:val="left" w:pos="0"/>
        </w:tabs>
        <w:autoSpaceDN w:val="0"/>
        <w:spacing w:line="360" w:lineRule="auto"/>
        <w:ind w:firstLine="360" w:firstLineChars="0"/>
        <w:jc w:val="left"/>
        <w:rPr>
          <w:rFonts w:hint="eastAsia" w:ascii="宋体" w:hAnsi="宋体" w:cs="Times New Roman"/>
          <w:sz w:val="24"/>
          <w:szCs w:val="24"/>
        </w:rPr>
      </w:pPr>
      <w:r>
        <w:rPr>
          <w:rFonts w:hint="eastAsia" w:ascii="宋体" w:hAnsi="宋体" w:cs="Times New Roman"/>
          <w:sz w:val="24"/>
          <w:szCs w:val="24"/>
        </w:rPr>
        <w:t>如发生以下情况甲方有权解除合同：</w:t>
      </w:r>
    </w:p>
    <w:p>
      <w:pPr>
        <w:widowControl/>
        <w:tabs>
          <w:tab w:val="left" w:pos="0"/>
        </w:tabs>
        <w:autoSpaceDN w:val="0"/>
        <w:spacing w:line="360" w:lineRule="auto"/>
        <w:ind w:firstLine="360" w:firstLineChars="0"/>
        <w:jc w:val="left"/>
        <w:rPr>
          <w:rFonts w:hint="eastAsia" w:ascii="宋体" w:hAnsi="宋体" w:cs="Times New Roman"/>
          <w:sz w:val="24"/>
          <w:szCs w:val="24"/>
        </w:rPr>
      </w:pPr>
      <w:r>
        <w:rPr>
          <w:rFonts w:hint="eastAsia" w:ascii="宋体" w:hAnsi="宋体" w:cs="Times New Roman"/>
          <w:sz w:val="24"/>
          <w:szCs w:val="24"/>
        </w:rPr>
        <w:t>1、乙方未经甲方同意停工7日（含7日）以上。</w:t>
      </w:r>
    </w:p>
    <w:p>
      <w:pPr>
        <w:widowControl/>
        <w:numPr>
          <w:ilvl w:val="-1"/>
          <w:numId w:val="0"/>
        </w:numPr>
        <w:tabs>
          <w:tab w:val="left" w:pos="0"/>
        </w:tabs>
        <w:autoSpaceDN w:val="0"/>
        <w:spacing w:line="360" w:lineRule="auto"/>
        <w:ind w:firstLine="360" w:firstLineChars="0"/>
        <w:jc w:val="left"/>
        <w:rPr>
          <w:rFonts w:ascii="宋体" w:hAnsi="宋体" w:cs="宋体"/>
          <w:sz w:val="24"/>
          <w:szCs w:val="24"/>
        </w:rPr>
      </w:pPr>
      <w:r>
        <w:rPr>
          <w:rFonts w:hint="eastAsia" w:ascii="宋体" w:hAnsi="宋体" w:cs="Times New Roman"/>
          <w:sz w:val="24"/>
          <w:szCs w:val="24"/>
        </w:rPr>
        <w:t>2、甲方或监理方对同一施工问题连续下发三次整改</w:t>
      </w:r>
      <w:r>
        <w:rPr>
          <w:rFonts w:hint="eastAsia" w:ascii="宋体" w:hAnsi="宋体" w:cs="宋体"/>
          <w:sz w:val="24"/>
          <w:szCs w:val="24"/>
        </w:rPr>
        <w:t>通知书后乙方无作为或整改问题未解决。</w:t>
      </w:r>
    </w:p>
    <w:p>
      <w:pPr>
        <w:widowControl/>
        <w:spacing w:line="360" w:lineRule="auto"/>
        <w:ind w:firstLine="480" w:firstLineChars="200"/>
        <w:jc w:val="left"/>
        <w:rPr>
          <w:rFonts w:ascii="宋体" w:hAnsi="宋体" w:cs="宋体"/>
          <w:sz w:val="24"/>
          <w:szCs w:val="24"/>
        </w:rPr>
      </w:pPr>
      <w:r>
        <w:rPr>
          <w:rFonts w:hint="eastAsia" w:ascii="宋体" w:hAnsi="宋体" w:cs="宋体"/>
          <w:sz w:val="24"/>
          <w:szCs w:val="24"/>
        </w:rPr>
        <w:t>3、乙方购置假冒伪劣产品用于本工程。</w:t>
      </w:r>
    </w:p>
    <w:p>
      <w:pPr>
        <w:widowControl/>
        <w:spacing w:line="360" w:lineRule="auto"/>
        <w:ind w:firstLine="480" w:firstLineChars="200"/>
        <w:jc w:val="left"/>
        <w:rPr>
          <w:rFonts w:ascii="宋体" w:hAnsi="宋体" w:cs="宋体"/>
          <w:sz w:val="24"/>
          <w:szCs w:val="24"/>
        </w:rPr>
      </w:pPr>
      <w:r>
        <w:rPr>
          <w:rFonts w:hint="eastAsia" w:ascii="宋体" w:hAnsi="宋体" w:cs="宋体"/>
          <w:sz w:val="24"/>
          <w:szCs w:val="24"/>
        </w:rPr>
        <w:t>合同解除后，对于乙方已完工部分质量合格的按照实际工程量给予结算70%，对于不合格部分责令整改，整改合格后给予结算工程70%，若乙方拒接整改或无作为，甲方对不合格工程量不予支付费用，并由乙方承担由此产生的拆改、整修等费用，乙方应按甲方要求的日期清理现场撤离。</w:t>
      </w:r>
    </w:p>
    <w:p>
      <w:pPr>
        <w:widowControl/>
        <w:spacing w:line="360" w:lineRule="auto"/>
        <w:ind w:firstLine="480" w:firstLineChars="200"/>
        <w:jc w:val="left"/>
        <w:rPr>
          <w:rFonts w:ascii="宋体" w:hAnsi="宋体" w:cs="宋体"/>
          <w:sz w:val="24"/>
          <w:szCs w:val="24"/>
        </w:rPr>
      </w:pPr>
      <w:r>
        <w:rPr>
          <w:rFonts w:hint="eastAsia" w:ascii="宋体" w:hAnsi="宋体" w:cs="宋体"/>
          <w:sz w:val="24"/>
          <w:szCs w:val="24"/>
        </w:rPr>
        <w:t>如合同解约甲方有权委托其他公司进行施工。</w:t>
      </w:r>
    </w:p>
    <w:p>
      <w:pPr>
        <w:widowControl/>
        <w:spacing w:line="360" w:lineRule="auto"/>
        <w:rPr>
          <w:rFonts w:ascii="宋体" w:hAnsi="宋体" w:eastAsia="黑体"/>
          <w:kern w:val="44"/>
          <w:sz w:val="24"/>
          <w:szCs w:val="24"/>
        </w:rPr>
      </w:pPr>
      <w:r>
        <w:rPr>
          <w:rFonts w:hint="eastAsia" w:ascii="宋体" w:hAnsi="宋体" w:eastAsia="黑体"/>
          <w:kern w:val="44"/>
          <w:sz w:val="24"/>
          <w:szCs w:val="24"/>
        </w:rPr>
        <w:t>第十五条：送达条款</w:t>
      </w:r>
    </w:p>
    <w:p>
      <w:pPr>
        <w:tabs>
          <w:tab w:val="left" w:pos="0"/>
        </w:tabs>
        <w:autoSpaceDN w:val="0"/>
        <w:spacing w:line="360" w:lineRule="auto"/>
        <w:ind w:firstLine="360"/>
        <w:rPr>
          <w:rFonts w:ascii="宋体" w:hAnsi="宋体"/>
          <w:sz w:val="24"/>
          <w:szCs w:val="24"/>
        </w:rPr>
      </w:pPr>
      <w:r>
        <w:rPr>
          <w:rFonts w:hint="eastAsia" w:ascii="宋体" w:hAnsi="宋体"/>
          <w:sz w:val="24"/>
          <w:szCs w:val="24"/>
        </w:rPr>
        <w:t>甲乙双方明确送达信息如下：</w:t>
      </w:r>
    </w:p>
    <w:p>
      <w:pPr>
        <w:tabs>
          <w:tab w:val="left" w:pos="0"/>
        </w:tabs>
        <w:autoSpaceDN w:val="0"/>
        <w:spacing w:line="360" w:lineRule="auto"/>
        <w:ind w:firstLine="360"/>
        <w:rPr>
          <w:rFonts w:ascii="宋体" w:hAnsi="宋体"/>
          <w:sz w:val="24"/>
          <w:szCs w:val="24"/>
        </w:rPr>
      </w:pPr>
      <w:r>
        <w:rPr>
          <w:rFonts w:hint="eastAsia" w:ascii="宋体" w:hAnsi="宋体"/>
          <w:sz w:val="24"/>
          <w:szCs w:val="24"/>
        </w:rPr>
        <w:t>甲方确认的送达信息为：</w:t>
      </w:r>
    </w:p>
    <w:p>
      <w:pPr>
        <w:tabs>
          <w:tab w:val="left" w:pos="0"/>
        </w:tabs>
        <w:autoSpaceDN w:val="0"/>
        <w:spacing w:line="360" w:lineRule="auto"/>
        <w:ind w:firstLine="360"/>
        <w:rPr>
          <w:rFonts w:ascii="宋体" w:hAnsi="宋体"/>
          <w:sz w:val="24"/>
          <w:szCs w:val="24"/>
        </w:rPr>
      </w:pPr>
      <w:r>
        <w:rPr>
          <w:rFonts w:hint="eastAsia" w:ascii="宋体" w:hAnsi="宋体"/>
          <w:sz w:val="24"/>
          <w:szCs w:val="24"/>
        </w:rPr>
        <w:t xml:space="preserve">送达地址：洛阳市洛龙区开元大道1号开元一号营销中心三楼                                                </w:t>
      </w:r>
    </w:p>
    <w:p>
      <w:pPr>
        <w:tabs>
          <w:tab w:val="left" w:pos="0"/>
        </w:tabs>
        <w:autoSpaceDN w:val="0"/>
        <w:spacing w:line="360" w:lineRule="auto"/>
        <w:ind w:firstLine="360"/>
        <w:rPr>
          <w:rFonts w:ascii="宋体" w:hAnsi="宋体"/>
          <w:sz w:val="24"/>
          <w:szCs w:val="24"/>
        </w:rPr>
      </w:pPr>
      <w:r>
        <w:rPr>
          <w:rFonts w:hint="eastAsia" w:ascii="宋体" w:hAnsi="宋体"/>
          <w:sz w:val="24"/>
          <w:szCs w:val="24"/>
        </w:rPr>
        <w:t xml:space="preserve">联系人及联系方式： </w:t>
      </w:r>
      <w:r>
        <w:rPr>
          <w:rFonts w:hint="eastAsia" w:ascii="宋体" w:hAnsi="宋体"/>
          <w:sz w:val="24"/>
          <w:szCs w:val="24"/>
          <w:lang w:val="en-US" w:eastAsia="zh-CN"/>
        </w:rPr>
        <w:t>0379-60198086</w:t>
      </w:r>
      <w:r>
        <w:rPr>
          <w:rFonts w:hint="eastAsia" w:ascii="宋体" w:hAnsi="宋体"/>
          <w:sz w:val="24"/>
          <w:szCs w:val="24"/>
        </w:rPr>
        <w:t xml:space="preserve">                                  </w:t>
      </w:r>
    </w:p>
    <w:p>
      <w:pPr>
        <w:tabs>
          <w:tab w:val="left" w:pos="0"/>
        </w:tabs>
        <w:autoSpaceDN w:val="0"/>
        <w:spacing w:line="360" w:lineRule="auto"/>
        <w:ind w:firstLine="360"/>
        <w:rPr>
          <w:rFonts w:ascii="宋体" w:hAnsi="宋体"/>
          <w:sz w:val="24"/>
          <w:szCs w:val="24"/>
        </w:rPr>
      </w:pPr>
      <w:r>
        <w:rPr>
          <w:rFonts w:hint="eastAsia" w:ascii="宋体" w:hAnsi="宋体"/>
          <w:sz w:val="24"/>
          <w:szCs w:val="24"/>
        </w:rPr>
        <w:t>乙方确认的送达信息为：</w:t>
      </w:r>
    </w:p>
    <w:p>
      <w:pPr>
        <w:tabs>
          <w:tab w:val="left" w:pos="0"/>
        </w:tabs>
        <w:autoSpaceDN w:val="0"/>
        <w:spacing w:line="360" w:lineRule="auto"/>
        <w:ind w:firstLine="360"/>
        <w:rPr>
          <w:rFonts w:ascii="宋体" w:hAnsi="宋体"/>
          <w:sz w:val="24"/>
          <w:szCs w:val="24"/>
        </w:rPr>
      </w:pPr>
      <w:r>
        <w:rPr>
          <w:rFonts w:hint="eastAsia" w:ascii="宋体" w:hAnsi="宋体"/>
          <w:sz w:val="24"/>
          <w:szCs w:val="24"/>
        </w:rPr>
        <w:t>送达地址：郑州市郑东新区通泰路东、宏昌街南（商都6号）11幢东4单元24层2号</w:t>
      </w:r>
    </w:p>
    <w:p>
      <w:pPr>
        <w:tabs>
          <w:tab w:val="left" w:pos="0"/>
        </w:tabs>
        <w:autoSpaceDN w:val="0"/>
        <w:spacing w:line="360" w:lineRule="auto"/>
        <w:ind w:firstLine="360"/>
        <w:rPr>
          <w:rFonts w:ascii="宋体" w:hAnsi="宋体"/>
          <w:sz w:val="24"/>
          <w:szCs w:val="24"/>
        </w:rPr>
      </w:pPr>
      <w:r>
        <w:rPr>
          <w:rFonts w:hint="eastAsia" w:ascii="宋体" w:hAnsi="宋体"/>
          <w:sz w:val="24"/>
          <w:szCs w:val="24"/>
        </w:rPr>
        <w:t xml:space="preserve">联系人及联系方式：0371-66009113                               </w:t>
      </w:r>
    </w:p>
    <w:p>
      <w:pPr>
        <w:tabs>
          <w:tab w:val="left" w:pos="0"/>
        </w:tabs>
        <w:autoSpaceDN w:val="0"/>
        <w:spacing w:line="360" w:lineRule="auto"/>
        <w:ind w:firstLine="360"/>
        <w:rPr>
          <w:rFonts w:ascii="宋体" w:hAnsi="宋体"/>
          <w:sz w:val="24"/>
          <w:szCs w:val="24"/>
        </w:rPr>
      </w:pPr>
      <w:r>
        <w:rPr>
          <w:rFonts w:hint="eastAsia" w:ascii="宋体" w:hAnsi="宋体"/>
          <w:sz w:val="24"/>
          <w:szCs w:val="24"/>
        </w:rPr>
        <w:t>双方在此共同确认，上述送达信息将作为双方在合同项下邮寄往来通知、函件等任何文件资料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t>
      </w:r>
    </w:p>
    <w:p>
      <w:pPr>
        <w:spacing w:line="360" w:lineRule="auto"/>
        <w:jc w:val="left"/>
        <w:rPr>
          <w:rFonts w:ascii="宋体" w:hAnsi="宋体"/>
          <w:sz w:val="24"/>
          <w:szCs w:val="24"/>
        </w:rPr>
      </w:pPr>
      <w:r>
        <w:rPr>
          <w:rFonts w:ascii="宋体" w:hAnsi="宋体"/>
          <w:sz w:val="24"/>
          <w:szCs w:val="24"/>
        </w:rPr>
        <w:t xml:space="preserve">甲方名称：（盖章）     </w:t>
      </w:r>
      <w:r>
        <w:rPr>
          <w:rFonts w:hint="eastAsia" w:ascii="宋体" w:hAnsi="宋体"/>
          <w:sz w:val="24"/>
          <w:szCs w:val="24"/>
        </w:rPr>
        <w:t xml:space="preserve">                  </w:t>
      </w:r>
      <w:r>
        <w:rPr>
          <w:rFonts w:ascii="宋体" w:hAnsi="宋体"/>
          <w:sz w:val="24"/>
          <w:szCs w:val="24"/>
        </w:rPr>
        <w:t xml:space="preserve">乙方名称：（盖章）                        </w:t>
      </w:r>
    </w:p>
    <w:p>
      <w:pPr>
        <w:spacing w:line="360" w:lineRule="auto"/>
        <w:jc w:val="left"/>
        <w:rPr>
          <w:rFonts w:ascii="宋体" w:hAnsi="宋体"/>
          <w:sz w:val="24"/>
          <w:szCs w:val="24"/>
        </w:rPr>
      </w:pPr>
      <w:r>
        <w:rPr>
          <w:rFonts w:ascii="宋体" w:hAnsi="宋体"/>
          <w:sz w:val="24"/>
          <w:szCs w:val="24"/>
        </w:rPr>
        <w:t xml:space="preserve">法定代表人或授权代表：（签字）          </w:t>
      </w:r>
      <w:r>
        <w:rPr>
          <w:rFonts w:hint="eastAsia" w:ascii="宋体" w:hAnsi="宋体"/>
          <w:sz w:val="24"/>
          <w:szCs w:val="24"/>
        </w:rPr>
        <w:t xml:space="preserve"> </w:t>
      </w:r>
      <w:r>
        <w:rPr>
          <w:rFonts w:ascii="宋体" w:hAnsi="宋体"/>
          <w:sz w:val="24"/>
          <w:szCs w:val="24"/>
        </w:rPr>
        <w:t>法定代表人或授权代表：（签字）</w:t>
      </w:r>
    </w:p>
    <w:p>
      <w:pPr>
        <w:spacing w:line="360" w:lineRule="auto"/>
        <w:jc w:val="left"/>
        <w:rPr>
          <w:rFonts w:ascii="宋体" w:hAnsi="宋体"/>
          <w:sz w:val="24"/>
          <w:szCs w:val="24"/>
        </w:rPr>
      </w:pPr>
      <w:r>
        <w:rPr>
          <w:rFonts w:ascii="宋体" w:hAnsi="宋体"/>
          <w:sz w:val="24"/>
          <w:szCs w:val="24"/>
        </w:rPr>
        <w:t xml:space="preserve">住    所：                              住    所： </w:t>
      </w:r>
    </w:p>
    <w:p>
      <w:pPr>
        <w:spacing w:line="360" w:lineRule="auto"/>
        <w:jc w:val="left"/>
        <w:rPr>
          <w:rFonts w:ascii="宋体" w:hAnsi="宋体"/>
          <w:sz w:val="24"/>
          <w:szCs w:val="24"/>
        </w:rPr>
      </w:pPr>
      <w:r>
        <w:rPr>
          <w:rFonts w:ascii="宋体" w:hAnsi="宋体"/>
          <w:sz w:val="24"/>
          <w:szCs w:val="24"/>
        </w:rPr>
        <w:t xml:space="preserve">邮政编码：471900                        </w:t>
      </w:r>
      <w:r>
        <w:rPr>
          <w:rFonts w:hint="eastAsia" w:ascii="宋体" w:hAnsi="宋体"/>
          <w:sz w:val="24"/>
          <w:szCs w:val="24"/>
        </w:rPr>
        <w:t xml:space="preserve"> </w:t>
      </w:r>
      <w:r>
        <w:rPr>
          <w:rFonts w:ascii="宋体" w:hAnsi="宋体"/>
          <w:sz w:val="24"/>
          <w:szCs w:val="24"/>
        </w:rPr>
        <w:t>邮政编码：</w:t>
      </w:r>
    </w:p>
    <w:p>
      <w:pPr>
        <w:spacing w:line="360" w:lineRule="auto"/>
        <w:jc w:val="left"/>
        <w:rPr>
          <w:rFonts w:ascii="宋体" w:hAnsi="宋体"/>
          <w:sz w:val="24"/>
          <w:szCs w:val="24"/>
        </w:rPr>
      </w:pPr>
      <w:r>
        <w:rPr>
          <w:rFonts w:hint="eastAsia" w:ascii="宋体" w:hAnsi="宋体"/>
          <w:sz w:val="24"/>
          <w:szCs w:val="24"/>
        </w:rPr>
        <w:t xml:space="preserve"> </w:t>
      </w:r>
      <w:r>
        <w:rPr>
          <w:rFonts w:ascii="宋体" w:hAnsi="宋体"/>
          <w:sz w:val="24"/>
          <w:szCs w:val="24"/>
        </w:rPr>
        <w:t>传    真：                              传    真：</w:t>
      </w:r>
    </w:p>
    <w:p>
      <w:pPr>
        <w:tabs>
          <w:tab w:val="left" w:pos="4688"/>
          <w:tab w:val="left" w:pos="4719"/>
        </w:tabs>
        <w:spacing w:before="158" w:line="364" w:lineRule="auto"/>
        <w:ind w:left="520" w:right="330" w:hanging="32"/>
        <w:rPr>
          <w:rFonts w:hint="eastAsia"/>
          <w:sz w:val="24"/>
        </w:rPr>
      </w:pPr>
      <w:r>
        <w:rPr>
          <w:sz w:val="24"/>
        </w:rPr>
        <w:t>开户行：交行洛阳分行西苑支行</w:t>
      </w:r>
      <w:r>
        <w:rPr>
          <w:sz w:val="24"/>
        </w:rPr>
        <w:tab/>
      </w:r>
      <w:r>
        <w:rPr>
          <w:sz w:val="24"/>
        </w:rPr>
        <w:t>开户行：</w:t>
      </w:r>
      <w:r>
        <w:rPr>
          <w:rFonts w:hint="eastAsia"/>
          <w:sz w:val="24"/>
        </w:rPr>
        <w:t>中原银行郑州农业路支行</w:t>
      </w:r>
    </w:p>
    <w:p>
      <w:pPr>
        <w:tabs>
          <w:tab w:val="left" w:pos="4688"/>
          <w:tab w:val="left" w:pos="4719"/>
        </w:tabs>
        <w:spacing w:before="158" w:line="364" w:lineRule="auto"/>
        <w:ind w:left="520" w:right="330" w:hanging="32"/>
        <w:rPr>
          <w:rFonts w:ascii="Calibri" w:eastAsia="Calibri"/>
          <w:sz w:val="21"/>
        </w:rPr>
      </w:pPr>
      <w:r>
        <w:rPr>
          <w:sz w:val="24"/>
        </w:rPr>
        <w:t>账号：413062200018170292470</w:t>
      </w:r>
      <w:r>
        <w:rPr>
          <w:sz w:val="24"/>
        </w:rPr>
        <w:tab/>
      </w:r>
      <w:r>
        <w:rPr>
          <w:sz w:val="24"/>
        </w:rPr>
        <w:tab/>
      </w:r>
      <w:r>
        <w:rPr>
          <w:sz w:val="24"/>
        </w:rPr>
        <w:t>账号：</w:t>
      </w:r>
      <w:r>
        <w:rPr>
          <w:rFonts w:hint="eastAsia"/>
          <w:sz w:val="24"/>
        </w:rPr>
        <w:t>5019916500015</w:t>
      </w:r>
    </w:p>
    <w:p>
      <w:pPr>
        <w:spacing w:line="360" w:lineRule="auto"/>
        <w:jc w:val="left"/>
        <w:rPr>
          <w:rFonts w:ascii="宋体" w:hAnsi="宋体"/>
          <w:sz w:val="24"/>
          <w:szCs w:val="24"/>
        </w:rPr>
      </w:pPr>
      <w:r>
        <w:rPr>
          <w:rFonts w:ascii="宋体" w:hAnsi="宋体"/>
          <w:sz w:val="24"/>
          <w:szCs w:val="24"/>
        </w:rPr>
        <w:t xml:space="preserve">纳税人类别：一般纳税人                 </w:t>
      </w:r>
      <w:r>
        <w:rPr>
          <w:rFonts w:hint="eastAsia" w:ascii="宋体" w:hAnsi="宋体"/>
          <w:sz w:val="24"/>
          <w:szCs w:val="24"/>
        </w:rPr>
        <w:t xml:space="preserve"> </w:t>
      </w:r>
      <w:r>
        <w:rPr>
          <w:rFonts w:ascii="宋体" w:hAnsi="宋体"/>
          <w:sz w:val="24"/>
          <w:szCs w:val="24"/>
        </w:rPr>
        <w:t xml:space="preserve"> 纳税人类别：</w:t>
      </w:r>
      <w:r>
        <w:rPr>
          <w:rFonts w:hint="eastAsia" w:ascii="宋体" w:hAnsi="宋体"/>
          <w:sz w:val="24"/>
          <w:szCs w:val="24"/>
          <w:lang w:eastAsia="zh-CN"/>
        </w:rPr>
        <w:t>一般纳税人</w:t>
      </w:r>
      <w:r>
        <w:rPr>
          <w:rFonts w:ascii="宋体" w:hAnsi="宋体"/>
          <w:sz w:val="24"/>
          <w:szCs w:val="24"/>
        </w:rPr>
        <w:t xml:space="preserve"> </w:t>
      </w:r>
    </w:p>
    <w:p>
      <w:pPr>
        <w:spacing w:line="360" w:lineRule="auto"/>
        <w:jc w:val="left"/>
        <w:rPr>
          <w:rFonts w:ascii="宋体" w:hAnsi="宋体"/>
          <w:sz w:val="24"/>
          <w:szCs w:val="24"/>
        </w:rPr>
      </w:pPr>
      <w:r>
        <w:rPr>
          <w:rFonts w:ascii="宋体" w:hAnsi="宋体"/>
          <w:sz w:val="24"/>
          <w:szCs w:val="24"/>
        </w:rPr>
        <w:t>纳税人识别号：</w:t>
      </w:r>
      <w:r>
        <w:rPr>
          <w:rFonts w:hint="eastAsia" w:ascii="宋体" w:hAnsi="宋体" w:cs="宋体"/>
          <w:kern w:val="0"/>
          <w:sz w:val="24"/>
        </w:rPr>
        <w:t>914103005542480325 </w:t>
      </w:r>
      <w:r>
        <w:rPr>
          <w:rFonts w:hint="eastAsia" w:ascii="宋体" w:hAnsi="宋体"/>
          <w:sz w:val="24"/>
          <w:szCs w:val="24"/>
        </w:rPr>
        <w:t xml:space="preserve">  </w:t>
      </w:r>
      <w:r>
        <w:rPr>
          <w:rFonts w:ascii="宋体" w:hAnsi="宋体"/>
          <w:sz w:val="24"/>
          <w:szCs w:val="24"/>
        </w:rPr>
        <w:t xml:space="preserve"> </w:t>
      </w:r>
      <w:r>
        <w:rPr>
          <w:rFonts w:hint="eastAsia" w:ascii="宋体" w:hAnsi="宋体"/>
          <w:sz w:val="24"/>
          <w:szCs w:val="24"/>
          <w:lang w:val="en-US" w:eastAsia="zh-CN"/>
        </w:rPr>
        <w:t xml:space="preserve"> </w:t>
      </w:r>
      <w:r>
        <w:rPr>
          <w:rFonts w:ascii="宋体" w:hAnsi="宋体"/>
          <w:sz w:val="24"/>
          <w:szCs w:val="24"/>
        </w:rPr>
        <w:t>纳税人识别号：</w:t>
      </w:r>
      <w:r>
        <w:rPr>
          <w:rFonts w:hint="eastAsia" w:ascii="宋体" w:hAnsi="宋体"/>
          <w:sz w:val="24"/>
          <w:szCs w:val="24"/>
        </w:rPr>
        <w:t>91410100561023261W</w:t>
      </w:r>
    </w:p>
    <w:p>
      <w:pPr>
        <w:spacing w:line="360" w:lineRule="auto"/>
        <w:jc w:val="left"/>
        <w:rPr>
          <w:rFonts w:ascii="宋体" w:hAnsi="宋体"/>
          <w:sz w:val="24"/>
          <w:szCs w:val="24"/>
        </w:rPr>
      </w:pPr>
      <w:r>
        <w:rPr>
          <w:rFonts w:ascii="宋体" w:hAnsi="宋体"/>
          <w:sz w:val="24"/>
          <w:szCs w:val="24"/>
        </w:rPr>
        <w:t xml:space="preserve">计税方式：一般计税方法                  </w:t>
      </w:r>
      <w:r>
        <w:rPr>
          <w:rFonts w:hint="eastAsia" w:ascii="宋体" w:hAnsi="宋体"/>
          <w:sz w:val="24"/>
          <w:szCs w:val="24"/>
        </w:rPr>
        <w:t xml:space="preserve"> </w:t>
      </w:r>
      <w:r>
        <w:rPr>
          <w:rFonts w:ascii="宋体" w:hAnsi="宋体"/>
          <w:sz w:val="24"/>
          <w:szCs w:val="24"/>
        </w:rPr>
        <w:t xml:space="preserve">计税方式：一般计税方法   </w:t>
      </w:r>
    </w:p>
    <w:p>
      <w:pPr>
        <w:spacing w:line="360" w:lineRule="auto"/>
        <w:jc w:val="left"/>
        <w:rPr>
          <w:rFonts w:hint="default" w:ascii="宋体" w:hAnsi="宋体" w:eastAsia="宋体"/>
          <w:sz w:val="24"/>
          <w:szCs w:val="24"/>
          <w:lang w:val="en-US" w:eastAsia="zh-CN"/>
        </w:rPr>
      </w:pPr>
      <w:r>
        <w:rPr>
          <w:rFonts w:ascii="宋体" w:hAnsi="宋体"/>
          <w:sz w:val="24"/>
          <w:szCs w:val="24"/>
        </w:rPr>
        <w:t>签订日期：</w:t>
      </w:r>
      <w:r>
        <w:rPr>
          <w:rFonts w:hint="eastAsia" w:ascii="宋体" w:hAnsi="宋体"/>
          <w:sz w:val="24"/>
          <w:szCs w:val="24"/>
        </w:rPr>
        <w:t>202</w:t>
      </w:r>
      <w:r>
        <w:rPr>
          <w:rFonts w:hint="eastAsia" w:ascii="宋体" w:hAnsi="宋体"/>
          <w:sz w:val="24"/>
          <w:szCs w:val="24"/>
          <w:lang w:val="en-US" w:eastAsia="zh-CN"/>
        </w:rPr>
        <w:t>1</w:t>
      </w:r>
      <w:r>
        <w:rPr>
          <w:rFonts w:hint="eastAsia" w:ascii="宋体" w:hAnsi="宋体"/>
          <w:sz w:val="24"/>
          <w:szCs w:val="24"/>
        </w:rPr>
        <w:t>.</w:t>
      </w:r>
      <w:r>
        <w:rPr>
          <w:rFonts w:hint="eastAsia" w:ascii="宋体" w:hAnsi="宋体"/>
          <w:sz w:val="24"/>
          <w:szCs w:val="24"/>
          <w:lang w:val="en-US" w:eastAsia="zh-CN"/>
        </w:rPr>
        <w:t>7.15</w:t>
      </w:r>
    </w:p>
    <w:p>
      <w:pPr>
        <w:tabs>
          <w:tab w:val="left" w:pos="1080"/>
        </w:tabs>
        <w:autoSpaceDN w:val="0"/>
        <w:adjustRightInd w:val="0"/>
        <w:snapToGrid w:val="0"/>
        <w:ind w:firstLine="384" w:firstLineChars="160"/>
        <w:rPr>
          <w:rFonts w:ascii="宋体" w:hAnsi="宋体"/>
          <w:sz w:val="24"/>
          <w:szCs w:val="24"/>
        </w:rPr>
      </w:pPr>
    </w:p>
    <w:p>
      <w:pPr>
        <w:pStyle w:val="2"/>
      </w:pPr>
    </w:p>
    <w:p>
      <w:pPr>
        <w:pStyle w:val="3"/>
        <w:numPr>
          <w:ilvl w:val="0"/>
          <w:numId w:val="0"/>
        </w:numPr>
        <w:rPr>
          <w:rFonts w:ascii="宋体" w:hAnsi="宋体"/>
          <w:b/>
          <w:sz w:val="24"/>
          <w:szCs w:val="24"/>
        </w:rPr>
      </w:pPr>
      <w:r>
        <w:rPr>
          <w:rFonts w:hint="eastAsia" w:ascii="宋体" w:hAnsi="宋体"/>
          <w:b/>
          <w:sz w:val="24"/>
          <w:szCs w:val="24"/>
        </w:rPr>
        <w:t xml:space="preserve">第十五条：附件 </w:t>
      </w:r>
    </w:p>
    <w:p>
      <w:pPr>
        <w:tabs>
          <w:tab w:val="left" w:pos="1080"/>
        </w:tabs>
        <w:autoSpaceDN w:val="0"/>
        <w:adjustRightInd w:val="0"/>
        <w:snapToGrid w:val="0"/>
        <w:ind w:firstLine="480" w:firstLineChars="200"/>
        <w:rPr>
          <w:rFonts w:ascii="宋体" w:hAnsi="宋体"/>
          <w:sz w:val="24"/>
          <w:szCs w:val="24"/>
        </w:rPr>
      </w:pPr>
      <w:r>
        <w:rPr>
          <w:rFonts w:hint="eastAsia" w:ascii="宋体" w:hAnsi="宋体"/>
          <w:sz w:val="24"/>
          <w:szCs w:val="24"/>
        </w:rPr>
        <w:t>附件：甲方主要材料指定品牌表</w:t>
      </w:r>
    </w:p>
    <w:p>
      <w:pPr>
        <w:spacing w:line="360" w:lineRule="auto"/>
        <w:rPr>
          <w:rFonts w:hint="eastAsia" w:ascii="宋体" w:hAnsi="宋体"/>
          <w:b/>
          <w:bCs/>
          <w:sz w:val="24"/>
          <w:szCs w:val="24"/>
        </w:rPr>
      </w:pPr>
      <w:r>
        <w:rPr>
          <w:rFonts w:hint="eastAsia" w:ascii="宋体" w:hAnsi="宋体"/>
          <w:b/>
          <w:bCs/>
          <w:sz w:val="24"/>
          <w:szCs w:val="24"/>
        </w:rPr>
        <w:t xml:space="preserve">                       </w:t>
      </w:r>
    </w:p>
    <w:p>
      <w:pPr>
        <w:tabs>
          <w:tab w:val="left" w:pos="3168"/>
          <w:tab w:val="left" w:pos="4248"/>
          <w:tab w:val="left" w:pos="5422"/>
          <w:tab w:val="left" w:pos="6588"/>
          <w:tab w:val="left" w:pos="7668"/>
          <w:tab w:val="left" w:pos="9038"/>
        </w:tabs>
        <w:spacing w:line="360" w:lineRule="auto"/>
        <w:rPr>
          <w:rFonts w:ascii="宋体" w:hAnsi="宋体" w:cs="宋体"/>
          <w:b/>
          <w:bCs/>
          <w:sz w:val="30"/>
          <w:szCs w:val="30"/>
        </w:rPr>
      </w:pPr>
    </w:p>
    <w:p>
      <w:pPr>
        <w:tabs>
          <w:tab w:val="left" w:pos="3168"/>
          <w:tab w:val="left" w:pos="4248"/>
          <w:tab w:val="left" w:pos="5422"/>
          <w:tab w:val="left" w:pos="6588"/>
          <w:tab w:val="left" w:pos="7668"/>
          <w:tab w:val="left" w:pos="9038"/>
        </w:tabs>
        <w:spacing w:line="360" w:lineRule="auto"/>
        <w:rPr>
          <w:rFonts w:ascii="宋体" w:hAnsi="宋体" w:cs="宋体"/>
          <w:b/>
          <w:bCs/>
          <w:sz w:val="30"/>
          <w:szCs w:val="30"/>
        </w:rPr>
      </w:pPr>
      <w:r>
        <w:rPr>
          <w:rFonts w:hint="eastAsia" w:ascii="宋体" w:hAnsi="宋体" w:cs="宋体"/>
          <w:b/>
          <w:bCs/>
          <w:sz w:val="30"/>
          <w:szCs w:val="30"/>
        </w:rPr>
        <w:t>3-5                   甲方主要材料指定品牌表</w:t>
      </w:r>
    </w:p>
    <w:p>
      <w:pPr>
        <w:tabs>
          <w:tab w:val="left" w:pos="3168"/>
          <w:tab w:val="left" w:pos="4248"/>
          <w:tab w:val="left" w:pos="5422"/>
          <w:tab w:val="left" w:pos="6588"/>
          <w:tab w:val="left" w:pos="7668"/>
          <w:tab w:val="left" w:pos="9038"/>
        </w:tabs>
        <w:spacing w:line="360" w:lineRule="auto"/>
        <w:rPr>
          <w:rFonts w:ascii="宋体" w:hAnsi="宋体" w:cs="宋体"/>
          <w:kern w:val="0"/>
          <w:sz w:val="30"/>
          <w:szCs w:val="30"/>
        </w:rPr>
      </w:pPr>
      <w:r>
        <w:rPr>
          <w:rFonts w:hint="eastAsia" w:ascii="宋体" w:hAnsi="宋体" w:cs="宋体"/>
          <w:kern w:val="0"/>
          <w:sz w:val="30"/>
          <w:szCs w:val="30"/>
        </w:rPr>
        <w:t>一、品牌范围：</w:t>
      </w:r>
    </w:p>
    <w:p>
      <w:pPr>
        <w:numPr>
          <w:ilvl w:val="0"/>
          <w:numId w:val="3"/>
        </w:numPr>
        <w:rPr>
          <w:rFonts w:ascii="宋体" w:hAnsi="宋体"/>
          <w:sz w:val="28"/>
          <w:szCs w:val="28"/>
        </w:rPr>
      </w:pPr>
      <w:r>
        <w:rPr>
          <w:rFonts w:hint="eastAsia" w:ascii="宋体" w:hAnsi="宋体"/>
          <w:sz w:val="28"/>
          <w:szCs w:val="28"/>
        </w:rPr>
        <w:t>开关插座品牌：施耐德、ABB、西门子（投标时需提供样品）</w:t>
      </w:r>
    </w:p>
    <w:p>
      <w:pPr>
        <w:numPr>
          <w:ilvl w:val="0"/>
          <w:numId w:val="3"/>
        </w:numPr>
        <w:rPr>
          <w:rFonts w:ascii="宋体" w:hAnsi="宋体"/>
          <w:sz w:val="28"/>
          <w:szCs w:val="28"/>
        </w:rPr>
      </w:pPr>
      <w:r>
        <w:rPr>
          <w:rFonts w:hint="eastAsia" w:asciiTheme="minorEastAsia" w:hAnsiTheme="minorEastAsia" w:eastAsiaTheme="minorEastAsia"/>
          <w:sz w:val="28"/>
          <w:szCs w:val="28"/>
        </w:rPr>
        <w:t>灯具</w:t>
      </w:r>
      <w:r>
        <w:rPr>
          <w:rFonts w:hint="eastAsia" w:ascii="宋体" w:hAnsi="宋体"/>
          <w:sz w:val="28"/>
          <w:szCs w:val="28"/>
        </w:rPr>
        <w:t>品牌：雷士、松下、欧普、三雄极光（投标时需提供样品）</w:t>
      </w:r>
    </w:p>
    <w:p>
      <w:pPr>
        <w:numPr>
          <w:ilvl w:val="0"/>
          <w:numId w:val="3"/>
        </w:numPr>
        <w:rPr>
          <w:rFonts w:ascii="宋体" w:hAnsi="宋体"/>
          <w:sz w:val="28"/>
          <w:szCs w:val="28"/>
        </w:rPr>
      </w:pPr>
      <w:r>
        <w:rPr>
          <w:rFonts w:hint="eastAsia" w:ascii="宋体" w:hAnsi="宋体"/>
          <w:sz w:val="28"/>
          <w:szCs w:val="28"/>
        </w:rPr>
        <w:t>电线：郑三、金水、洛阳二缆、恒天、郑缆（投标时需提供样品）</w:t>
      </w:r>
    </w:p>
    <w:p>
      <w:pPr>
        <w:rPr>
          <w:rFonts w:hint="eastAsia" w:ascii="宋体" w:hAnsi="宋体" w:eastAsia="宋体"/>
          <w:sz w:val="28"/>
          <w:szCs w:val="28"/>
          <w:lang w:eastAsia="zh-CN"/>
        </w:rPr>
      </w:pPr>
      <w:r>
        <w:rPr>
          <w:rFonts w:hint="eastAsia" w:ascii="宋体" w:hAnsi="宋体"/>
          <w:sz w:val="28"/>
          <w:szCs w:val="28"/>
        </w:rPr>
        <w:t>4、洁具：</w:t>
      </w:r>
      <w:r>
        <w:rPr>
          <w:rFonts w:hint="eastAsia" w:ascii="宋体" w:hAnsi="宋体"/>
          <w:sz w:val="28"/>
          <w:szCs w:val="28"/>
          <w:lang w:eastAsia="zh-CN"/>
        </w:rPr>
        <w:t>此项无</w:t>
      </w:r>
    </w:p>
    <w:p>
      <w:pPr>
        <w:rPr>
          <w:rFonts w:asciiTheme="minorEastAsia" w:hAnsiTheme="minorEastAsia" w:eastAsiaTheme="minorEastAsia"/>
          <w:sz w:val="28"/>
          <w:szCs w:val="28"/>
        </w:rPr>
      </w:pPr>
      <w:r>
        <w:rPr>
          <w:rFonts w:hint="eastAsia" w:ascii="宋体" w:hAnsi="宋体"/>
          <w:sz w:val="28"/>
          <w:szCs w:val="28"/>
        </w:rPr>
        <w:t>5、管材：伟星、金牛、日丰、联塑、中财（投标时需提供样品）</w:t>
      </w:r>
    </w:p>
    <w:p>
      <w:pPr>
        <w:ind w:left="1680" w:hanging="1680" w:hangingChars="600"/>
        <w:rPr>
          <w:rFonts w:asciiTheme="minorEastAsia" w:hAnsiTheme="minorEastAsia" w:eastAsiaTheme="minorEastAsia"/>
          <w:sz w:val="28"/>
          <w:szCs w:val="28"/>
        </w:rPr>
      </w:pPr>
      <w:r>
        <w:rPr>
          <w:rFonts w:hint="eastAsia" w:asciiTheme="minorEastAsia" w:hAnsiTheme="minorEastAsia" w:eastAsiaTheme="minorEastAsia"/>
          <w:sz w:val="28"/>
          <w:szCs w:val="28"/>
        </w:rPr>
        <w:t>6、地板砖：中档优质品牌</w:t>
      </w:r>
      <w:r>
        <w:rPr>
          <w:rFonts w:hint="eastAsia" w:ascii="宋体" w:hAnsi="宋体"/>
          <w:sz w:val="28"/>
          <w:szCs w:val="28"/>
        </w:rPr>
        <w:t>（投标时需提供样品）</w:t>
      </w:r>
    </w:p>
    <w:p>
      <w:pPr>
        <w:rPr>
          <w:rFonts w:ascii="宋体" w:hAnsi="宋体"/>
          <w:sz w:val="28"/>
          <w:szCs w:val="28"/>
        </w:rPr>
      </w:pPr>
      <w:r>
        <w:rPr>
          <w:rFonts w:hint="eastAsia" w:asciiTheme="minorEastAsia" w:hAnsiTheme="minorEastAsia" w:eastAsiaTheme="minorEastAsia"/>
          <w:sz w:val="28"/>
          <w:szCs w:val="28"/>
        </w:rPr>
        <w:t>7、石材：中档优质品牌</w:t>
      </w:r>
      <w:r>
        <w:rPr>
          <w:rFonts w:hint="eastAsia" w:ascii="宋体" w:hAnsi="宋体"/>
          <w:sz w:val="28"/>
          <w:szCs w:val="28"/>
        </w:rPr>
        <w:t>（投标时需提供样品）</w:t>
      </w:r>
    </w:p>
    <w:p>
      <w:pPr>
        <w:rPr>
          <w:rFonts w:ascii="宋体" w:hAnsi="宋体"/>
          <w:sz w:val="28"/>
          <w:szCs w:val="28"/>
        </w:rPr>
      </w:pPr>
      <w:r>
        <w:rPr>
          <w:rFonts w:hint="eastAsia" w:ascii="宋体" w:hAnsi="宋体"/>
          <w:sz w:val="28"/>
          <w:szCs w:val="28"/>
        </w:rPr>
        <w:t>8、乳胶漆：三棵树、立邦、嘉宝莉、多乐士</w:t>
      </w:r>
    </w:p>
    <w:p>
      <w:pPr>
        <w:rPr>
          <w:rFonts w:hint="eastAsia" w:ascii="宋体" w:hAnsi="宋体"/>
          <w:sz w:val="28"/>
          <w:szCs w:val="28"/>
        </w:rPr>
      </w:pPr>
      <w:r>
        <w:rPr>
          <w:rFonts w:hint="eastAsia" w:ascii="宋体" w:hAnsi="宋体"/>
          <w:sz w:val="28"/>
          <w:szCs w:val="28"/>
        </w:rPr>
        <w:t>9、其他主要材料（投标时需提供样品）</w:t>
      </w:r>
    </w:p>
    <w:p>
      <w:pPr>
        <w:pStyle w:val="2"/>
        <w:rPr>
          <w:rFonts w:hint="default" w:eastAsia="宋体"/>
          <w:lang w:val="en-US" w:eastAsia="zh-CN"/>
        </w:rPr>
      </w:pPr>
      <w:r>
        <w:rPr>
          <w:rFonts w:hint="eastAsia" w:hAnsi="宋体"/>
          <w:sz w:val="28"/>
          <w:szCs w:val="28"/>
          <w:lang w:val="en-US" w:eastAsia="zh-CN"/>
        </w:rPr>
        <w:t>10、电梯门套主要材料</w:t>
      </w:r>
    </w:p>
    <w:p>
      <w:pPr>
        <w:rPr>
          <w:rFonts w:ascii="宋体" w:hAnsi="宋体"/>
          <w:sz w:val="28"/>
          <w:szCs w:val="28"/>
        </w:rPr>
      </w:pPr>
      <w:r>
        <w:rPr>
          <w:rFonts w:hint="eastAsia" w:ascii="宋体" w:hAnsi="宋体"/>
          <w:sz w:val="28"/>
          <w:szCs w:val="28"/>
        </w:rPr>
        <w:t>注：1、以上品牌任选其一，</w:t>
      </w:r>
      <w:r>
        <w:rPr>
          <w:rFonts w:hint="eastAsia" w:ascii="宋体" w:hAnsi="宋体"/>
          <w:sz w:val="28"/>
          <w:szCs w:val="28"/>
          <w:lang w:eastAsia="zh-CN"/>
        </w:rPr>
        <w:t>见合同清单中</w:t>
      </w:r>
      <w:r>
        <w:rPr>
          <w:rFonts w:hint="eastAsia" w:ascii="宋体" w:hAnsi="宋体"/>
          <w:sz w:val="28"/>
          <w:szCs w:val="28"/>
        </w:rPr>
        <w:t>品牌。</w:t>
      </w:r>
    </w:p>
    <w:p>
      <w:pPr>
        <w:pStyle w:val="2"/>
      </w:pPr>
    </w:p>
    <w:p>
      <w:pPr>
        <w:rPr>
          <w:rFonts w:ascii="宋体" w:hAnsi="宋体"/>
          <w:sz w:val="28"/>
          <w:szCs w:val="28"/>
        </w:rPr>
      </w:pPr>
    </w:p>
    <w:p>
      <w:pPr>
        <w:tabs>
          <w:tab w:val="left" w:pos="3168"/>
          <w:tab w:val="left" w:pos="4248"/>
          <w:tab w:val="left" w:pos="5422"/>
          <w:tab w:val="left" w:pos="6588"/>
          <w:tab w:val="left" w:pos="7668"/>
          <w:tab w:val="left" w:pos="9038"/>
        </w:tabs>
        <w:spacing w:line="360" w:lineRule="auto"/>
        <w:rPr>
          <w:rFonts w:ascii="宋体" w:hAnsi="宋体" w:cs="宋体"/>
          <w:kern w:val="0"/>
          <w:sz w:val="24"/>
          <w:szCs w:val="24"/>
        </w:rPr>
      </w:pPr>
    </w:p>
    <w:p>
      <w:pPr>
        <w:widowControl/>
        <w:rPr>
          <w:rFonts w:ascii="宋体" w:hAnsi="宋体" w:cs="宋体"/>
          <w:kern w:val="0"/>
          <w:sz w:val="30"/>
          <w:szCs w:val="30"/>
        </w:rPr>
      </w:pPr>
      <w:r>
        <w:rPr>
          <w:rFonts w:hint="eastAsia" w:ascii="宋体" w:hAnsi="宋体" w:cs="宋体"/>
          <w:kern w:val="0"/>
          <w:sz w:val="30"/>
          <w:szCs w:val="30"/>
        </w:rPr>
        <w:t xml:space="preserve">   </w:t>
      </w:r>
    </w:p>
    <w:p>
      <w:pPr>
        <w:widowControl/>
        <w:rPr>
          <w:rFonts w:ascii="宋体" w:hAnsi="宋体" w:cs="宋体"/>
          <w:kern w:val="0"/>
          <w:sz w:val="30"/>
          <w:szCs w:val="30"/>
        </w:rPr>
      </w:pPr>
    </w:p>
    <w:p>
      <w:pPr>
        <w:widowControl/>
        <w:rPr>
          <w:rFonts w:ascii="宋体" w:hAnsi="宋体" w:cs="宋体"/>
          <w:kern w:val="0"/>
          <w:sz w:val="30"/>
          <w:szCs w:val="30"/>
        </w:rPr>
      </w:pPr>
    </w:p>
    <w:p>
      <w:pPr>
        <w:widowControl/>
        <w:rPr>
          <w:rFonts w:ascii="宋体" w:hAnsi="宋体" w:cs="宋体"/>
          <w:kern w:val="0"/>
          <w:sz w:val="30"/>
          <w:szCs w:val="30"/>
        </w:rPr>
      </w:pPr>
    </w:p>
    <w:p>
      <w:pPr>
        <w:widowControl/>
        <w:rPr>
          <w:rFonts w:ascii="宋体" w:hAnsi="宋体" w:cs="宋体"/>
          <w:kern w:val="0"/>
          <w:sz w:val="30"/>
          <w:szCs w:val="30"/>
        </w:rPr>
      </w:pPr>
    </w:p>
    <w:p>
      <w:pPr>
        <w:widowControl/>
        <w:rPr>
          <w:rFonts w:ascii="宋体" w:hAnsi="宋体" w:cs="宋体"/>
          <w:kern w:val="0"/>
          <w:sz w:val="30"/>
          <w:szCs w:val="30"/>
        </w:rPr>
      </w:pPr>
    </w:p>
    <w:p>
      <w:pPr>
        <w:widowControl/>
        <w:rPr>
          <w:rFonts w:ascii="宋体" w:hAnsi="宋体" w:cs="宋体"/>
          <w:kern w:val="0"/>
          <w:sz w:val="30"/>
          <w:szCs w:val="30"/>
        </w:rPr>
      </w:pPr>
      <w:r>
        <w:rPr>
          <w:rFonts w:hint="eastAsia" w:ascii="宋体" w:hAnsi="宋体" w:cs="宋体"/>
          <w:kern w:val="0"/>
          <w:sz w:val="30"/>
          <w:szCs w:val="30"/>
        </w:rPr>
        <w:t xml:space="preserve">        </w:t>
      </w:r>
    </w:p>
    <w:tbl>
      <w:tblPr>
        <w:tblStyle w:val="46"/>
        <w:tblpPr w:leftFromText="180" w:rightFromText="180" w:vertAnchor="text" w:horzAnchor="page" w:tblpX="537" w:tblpY="502"/>
        <w:tblOverlap w:val="never"/>
        <w:tblW w:w="9024" w:type="dxa"/>
        <w:tblInd w:w="0" w:type="dxa"/>
        <w:tblLayout w:type="fixed"/>
        <w:tblCellMar>
          <w:top w:w="0" w:type="dxa"/>
          <w:left w:w="108" w:type="dxa"/>
          <w:bottom w:w="0" w:type="dxa"/>
          <w:right w:w="108" w:type="dxa"/>
        </w:tblCellMar>
      </w:tblPr>
      <w:tblGrid>
        <w:gridCol w:w="828"/>
        <w:gridCol w:w="2699"/>
        <w:gridCol w:w="2528"/>
        <w:gridCol w:w="2969"/>
      </w:tblGrid>
      <w:tr>
        <w:tblPrEx>
          <w:tblCellMar>
            <w:top w:w="0" w:type="dxa"/>
            <w:left w:w="108" w:type="dxa"/>
            <w:bottom w:w="0" w:type="dxa"/>
            <w:right w:w="108" w:type="dxa"/>
          </w:tblCellMar>
        </w:tblPrEx>
        <w:trPr>
          <w:trHeight w:val="670" w:hRule="atLeast"/>
        </w:trPr>
        <w:tc>
          <w:tcPr>
            <w:tcW w:w="902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3168"/>
                <w:tab w:val="left" w:pos="4248"/>
                <w:tab w:val="left" w:pos="5422"/>
                <w:tab w:val="left" w:pos="6588"/>
                <w:tab w:val="left" w:pos="7668"/>
                <w:tab w:val="left" w:pos="9038"/>
              </w:tabs>
              <w:ind w:firstLine="1120" w:firstLineChars="400"/>
              <w:rPr>
                <w:rFonts w:ascii="宋体" w:hAnsi="宋体" w:cs="宋体"/>
                <w:kern w:val="0"/>
                <w:sz w:val="44"/>
                <w:szCs w:val="44"/>
              </w:rPr>
            </w:pPr>
            <w:r>
              <w:rPr>
                <w:rFonts w:hint="eastAsia" w:ascii="宋体" w:hAnsi="宋体" w:cs="宋体"/>
                <w:kern w:val="0"/>
                <w:sz w:val="28"/>
                <w:szCs w:val="28"/>
              </w:rPr>
              <w:t xml:space="preserve">3-6        </w:t>
            </w:r>
            <w:r>
              <w:rPr>
                <w:rFonts w:hint="eastAsia" w:ascii="宋体" w:hAnsi="宋体" w:cs="宋体"/>
                <w:kern w:val="0"/>
                <w:sz w:val="44"/>
                <w:szCs w:val="44"/>
              </w:rPr>
              <w:t>辅助材料明细表</w:t>
            </w:r>
          </w:p>
        </w:tc>
      </w:tr>
      <w:tr>
        <w:tblPrEx>
          <w:tblCellMar>
            <w:top w:w="0" w:type="dxa"/>
            <w:left w:w="108" w:type="dxa"/>
            <w:bottom w:w="0" w:type="dxa"/>
            <w:right w:w="108" w:type="dxa"/>
          </w:tblCellMar>
        </w:tblPrEx>
        <w:trPr>
          <w:trHeight w:val="815" w:hRule="atLeast"/>
        </w:trPr>
        <w:tc>
          <w:tcPr>
            <w:tcW w:w="828" w:type="dxa"/>
            <w:tcBorders>
              <w:top w:val="nil"/>
              <w:left w:val="single" w:color="auto" w:sz="4" w:space="0"/>
              <w:bottom w:val="single" w:color="auto" w:sz="4" w:space="0"/>
              <w:right w:val="single" w:color="auto" w:sz="4" w:space="0"/>
            </w:tcBorders>
            <w:shd w:val="clear" w:color="auto" w:fill="auto"/>
            <w:vAlign w:val="center"/>
          </w:tcPr>
          <w:p>
            <w:pPr>
              <w:autoSpaceDN w:val="0"/>
              <w:jc w:val="center"/>
              <w:textAlignment w:val="center"/>
              <w:rPr>
                <w:rFonts w:ascii="宋体" w:hAnsi="宋体" w:cs="宋体"/>
                <w:sz w:val="24"/>
              </w:rPr>
            </w:pPr>
            <w:r>
              <w:rPr>
                <w:rFonts w:hint="eastAsia" w:ascii="宋体" w:hAnsi="宋体" w:cs="宋体"/>
                <w:sz w:val="24"/>
              </w:rPr>
              <w:t>序号</w:t>
            </w:r>
          </w:p>
        </w:tc>
        <w:tc>
          <w:tcPr>
            <w:tcW w:w="2699" w:type="dxa"/>
            <w:tcBorders>
              <w:top w:val="nil"/>
              <w:left w:val="nil"/>
              <w:bottom w:val="single" w:color="auto" w:sz="4" w:space="0"/>
              <w:right w:val="single" w:color="auto" w:sz="4" w:space="0"/>
            </w:tcBorders>
            <w:shd w:val="clear" w:color="auto" w:fill="auto"/>
            <w:vAlign w:val="center"/>
          </w:tcPr>
          <w:p>
            <w:pPr>
              <w:autoSpaceDN w:val="0"/>
              <w:jc w:val="center"/>
              <w:textAlignment w:val="center"/>
              <w:rPr>
                <w:rFonts w:ascii="宋体" w:hAnsi="宋体" w:cs="宋体"/>
                <w:sz w:val="24"/>
              </w:rPr>
            </w:pPr>
            <w:r>
              <w:rPr>
                <w:rFonts w:hint="eastAsia" w:ascii="宋体" w:hAnsi="宋体" w:cs="宋体"/>
                <w:sz w:val="24"/>
              </w:rPr>
              <w:t>名称</w:t>
            </w:r>
          </w:p>
        </w:tc>
        <w:tc>
          <w:tcPr>
            <w:tcW w:w="2528" w:type="dxa"/>
            <w:tcBorders>
              <w:top w:val="nil"/>
              <w:left w:val="nil"/>
              <w:bottom w:val="single" w:color="auto" w:sz="4" w:space="0"/>
              <w:right w:val="single" w:color="auto" w:sz="4" w:space="0"/>
            </w:tcBorders>
            <w:shd w:val="clear" w:color="auto" w:fill="auto"/>
            <w:vAlign w:val="center"/>
          </w:tcPr>
          <w:p>
            <w:pPr>
              <w:autoSpaceDN w:val="0"/>
              <w:jc w:val="center"/>
              <w:textAlignment w:val="center"/>
              <w:rPr>
                <w:rFonts w:ascii="宋体" w:hAnsi="宋体" w:cs="宋体"/>
                <w:sz w:val="24"/>
              </w:rPr>
            </w:pPr>
            <w:r>
              <w:rPr>
                <w:rFonts w:hint="eastAsia" w:ascii="宋体" w:hAnsi="宋体" w:cs="宋体"/>
                <w:sz w:val="24"/>
              </w:rPr>
              <w:t>规格</w:t>
            </w:r>
          </w:p>
        </w:tc>
        <w:tc>
          <w:tcPr>
            <w:tcW w:w="2969" w:type="dxa"/>
            <w:tcBorders>
              <w:top w:val="nil"/>
              <w:left w:val="nil"/>
              <w:bottom w:val="single" w:color="auto" w:sz="4" w:space="0"/>
              <w:right w:val="single" w:color="auto" w:sz="4" w:space="0"/>
            </w:tcBorders>
            <w:shd w:val="clear" w:color="auto" w:fill="auto"/>
            <w:vAlign w:val="center"/>
          </w:tcPr>
          <w:p>
            <w:pPr>
              <w:autoSpaceDN w:val="0"/>
              <w:jc w:val="center"/>
              <w:textAlignment w:val="center"/>
              <w:rPr>
                <w:rFonts w:ascii="宋体" w:hAnsi="宋体" w:cs="宋体"/>
                <w:sz w:val="24"/>
              </w:rPr>
            </w:pPr>
            <w:r>
              <w:rPr>
                <w:rFonts w:hint="eastAsia" w:ascii="宋体" w:hAnsi="宋体" w:cs="宋体"/>
                <w:sz w:val="24"/>
              </w:rPr>
              <w:t>生产厂家或品牌</w:t>
            </w:r>
          </w:p>
        </w:tc>
      </w:tr>
      <w:tr>
        <w:tblPrEx>
          <w:tblCellMar>
            <w:top w:w="0" w:type="dxa"/>
            <w:left w:w="108" w:type="dxa"/>
            <w:bottom w:w="0" w:type="dxa"/>
            <w:right w:w="108" w:type="dxa"/>
          </w:tblCellMar>
        </w:tblPrEx>
        <w:trPr>
          <w:trHeight w:val="420" w:hRule="atLeast"/>
        </w:trPr>
        <w:tc>
          <w:tcPr>
            <w:tcW w:w="828" w:type="dxa"/>
            <w:tcBorders>
              <w:top w:val="nil"/>
              <w:left w:val="single" w:color="auto" w:sz="4" w:space="0"/>
              <w:bottom w:val="single" w:color="auto" w:sz="4" w:space="0"/>
              <w:right w:val="single" w:color="auto" w:sz="4" w:space="0"/>
            </w:tcBorders>
            <w:shd w:val="clear" w:color="auto" w:fill="auto"/>
            <w:vAlign w:val="center"/>
          </w:tcPr>
          <w:p>
            <w:pPr>
              <w:autoSpaceDN w:val="0"/>
              <w:jc w:val="center"/>
              <w:textAlignment w:val="center"/>
              <w:rPr>
                <w:rFonts w:ascii="宋体" w:hAnsi="宋体" w:cs="宋体"/>
                <w:sz w:val="24"/>
              </w:rPr>
            </w:pPr>
            <w:r>
              <w:rPr>
                <w:rFonts w:hint="eastAsia" w:ascii="宋体" w:hAnsi="宋体" w:cs="宋体"/>
                <w:sz w:val="24"/>
              </w:rPr>
              <w:t>1</w:t>
            </w:r>
          </w:p>
        </w:tc>
        <w:tc>
          <w:tcPr>
            <w:tcW w:w="2699" w:type="dxa"/>
            <w:tcBorders>
              <w:top w:val="nil"/>
              <w:left w:val="nil"/>
              <w:bottom w:val="single" w:color="auto" w:sz="4" w:space="0"/>
              <w:right w:val="single" w:color="auto" w:sz="4" w:space="0"/>
            </w:tcBorders>
            <w:shd w:val="clear" w:color="auto" w:fill="auto"/>
            <w:vAlign w:val="center"/>
          </w:tcPr>
          <w:p>
            <w:pPr>
              <w:autoSpaceDN w:val="0"/>
              <w:jc w:val="center"/>
              <w:textAlignment w:val="center"/>
              <w:rPr>
                <w:rFonts w:ascii="宋体" w:hAnsi="宋体" w:cs="宋体"/>
                <w:sz w:val="24"/>
              </w:rPr>
            </w:pPr>
            <w:r>
              <w:rPr>
                <w:rFonts w:hint="eastAsia" w:ascii="宋体" w:hAnsi="宋体" w:cs="宋体"/>
                <w:sz w:val="24"/>
              </w:rPr>
              <w:t>水泥</w:t>
            </w:r>
          </w:p>
        </w:tc>
        <w:tc>
          <w:tcPr>
            <w:tcW w:w="2528" w:type="dxa"/>
            <w:tcBorders>
              <w:top w:val="nil"/>
              <w:left w:val="nil"/>
              <w:bottom w:val="single" w:color="auto" w:sz="4" w:space="0"/>
              <w:right w:val="single" w:color="auto" w:sz="4" w:space="0"/>
            </w:tcBorders>
            <w:shd w:val="clear" w:color="auto" w:fill="auto"/>
            <w:vAlign w:val="center"/>
          </w:tcPr>
          <w:p>
            <w:pPr>
              <w:autoSpaceDN w:val="0"/>
              <w:jc w:val="center"/>
              <w:textAlignment w:val="center"/>
              <w:rPr>
                <w:rFonts w:ascii="宋体" w:hAnsi="宋体" w:cs="宋体"/>
                <w:sz w:val="24"/>
              </w:rPr>
            </w:pPr>
            <w:r>
              <w:rPr>
                <w:rFonts w:hint="eastAsia" w:ascii="宋体" w:hAnsi="宋体" w:cs="宋体"/>
                <w:sz w:val="24"/>
              </w:rPr>
              <w:t>32.5#</w:t>
            </w:r>
          </w:p>
        </w:tc>
        <w:tc>
          <w:tcPr>
            <w:tcW w:w="2969" w:type="dxa"/>
            <w:tcBorders>
              <w:top w:val="nil"/>
              <w:left w:val="nil"/>
              <w:bottom w:val="single" w:color="auto" w:sz="4" w:space="0"/>
              <w:right w:val="single" w:color="auto" w:sz="4" w:space="0"/>
            </w:tcBorders>
            <w:shd w:val="clear" w:color="auto" w:fill="auto"/>
            <w:vAlign w:val="center"/>
          </w:tcPr>
          <w:p>
            <w:pPr>
              <w:autoSpaceDN w:val="0"/>
              <w:jc w:val="center"/>
              <w:textAlignment w:val="center"/>
              <w:rPr>
                <w:rFonts w:ascii="宋体" w:hAnsi="宋体" w:cs="宋体"/>
                <w:sz w:val="24"/>
              </w:rPr>
            </w:pPr>
            <w:r>
              <w:rPr>
                <w:rFonts w:ascii="宋体" w:hAnsi="宋体" w:cs="宋体"/>
                <w:sz w:val="24"/>
              </w:rPr>
              <w:t>同力</w:t>
            </w:r>
            <w:r>
              <w:rPr>
                <w:rFonts w:hint="eastAsia" w:ascii="宋体" w:hAnsi="宋体" w:cs="宋体"/>
                <w:sz w:val="24"/>
              </w:rPr>
              <w:t>、畔山</w:t>
            </w:r>
          </w:p>
        </w:tc>
      </w:tr>
      <w:tr>
        <w:tblPrEx>
          <w:tblCellMar>
            <w:top w:w="0" w:type="dxa"/>
            <w:left w:w="108" w:type="dxa"/>
            <w:bottom w:w="0" w:type="dxa"/>
            <w:right w:w="108" w:type="dxa"/>
          </w:tblCellMar>
        </w:tblPrEx>
        <w:trPr>
          <w:trHeight w:val="420" w:hRule="atLeast"/>
        </w:trPr>
        <w:tc>
          <w:tcPr>
            <w:tcW w:w="828" w:type="dxa"/>
            <w:tcBorders>
              <w:top w:val="nil"/>
              <w:left w:val="single" w:color="auto" w:sz="4" w:space="0"/>
              <w:bottom w:val="single" w:color="auto" w:sz="4" w:space="0"/>
              <w:right w:val="single" w:color="auto" w:sz="4" w:space="0"/>
            </w:tcBorders>
            <w:shd w:val="clear" w:color="auto" w:fill="auto"/>
            <w:vAlign w:val="center"/>
          </w:tcPr>
          <w:p>
            <w:pPr>
              <w:autoSpaceDN w:val="0"/>
              <w:jc w:val="center"/>
              <w:textAlignment w:val="center"/>
              <w:rPr>
                <w:rFonts w:ascii="宋体" w:hAnsi="宋体" w:cs="宋体"/>
                <w:sz w:val="24"/>
              </w:rPr>
            </w:pPr>
            <w:r>
              <w:rPr>
                <w:rFonts w:hint="eastAsia" w:ascii="宋体" w:hAnsi="宋体" w:cs="宋体"/>
                <w:sz w:val="24"/>
              </w:rPr>
              <w:t>2</w:t>
            </w:r>
          </w:p>
        </w:tc>
        <w:tc>
          <w:tcPr>
            <w:tcW w:w="2699" w:type="dxa"/>
            <w:tcBorders>
              <w:top w:val="nil"/>
              <w:left w:val="nil"/>
              <w:bottom w:val="single" w:color="auto" w:sz="4" w:space="0"/>
              <w:right w:val="single" w:color="auto" w:sz="4" w:space="0"/>
            </w:tcBorders>
            <w:shd w:val="clear" w:color="auto" w:fill="auto"/>
            <w:vAlign w:val="center"/>
          </w:tcPr>
          <w:p>
            <w:pPr>
              <w:autoSpaceDN w:val="0"/>
              <w:jc w:val="center"/>
              <w:textAlignment w:val="center"/>
              <w:rPr>
                <w:rFonts w:ascii="宋体" w:hAnsi="宋体" w:cs="宋体"/>
                <w:sz w:val="24"/>
              </w:rPr>
            </w:pPr>
            <w:r>
              <w:rPr>
                <w:rFonts w:hint="eastAsia" w:ascii="宋体" w:hAnsi="宋体" w:cs="宋体"/>
                <w:sz w:val="24"/>
              </w:rPr>
              <w:t>轻钢主龙骨</w:t>
            </w:r>
          </w:p>
        </w:tc>
        <w:tc>
          <w:tcPr>
            <w:tcW w:w="2528" w:type="dxa"/>
            <w:tcBorders>
              <w:top w:val="nil"/>
              <w:left w:val="nil"/>
              <w:bottom w:val="nil"/>
              <w:right w:val="nil"/>
            </w:tcBorders>
            <w:shd w:val="clear" w:color="auto" w:fill="auto"/>
            <w:vAlign w:val="center"/>
          </w:tcPr>
          <w:p>
            <w:pPr>
              <w:autoSpaceDN w:val="0"/>
              <w:jc w:val="center"/>
              <w:textAlignment w:val="center"/>
              <w:rPr>
                <w:rFonts w:ascii="宋体" w:hAnsi="宋体" w:cs="宋体"/>
                <w:sz w:val="24"/>
              </w:rPr>
            </w:pPr>
          </w:p>
        </w:tc>
        <w:tc>
          <w:tcPr>
            <w:tcW w:w="2969" w:type="dxa"/>
            <w:tcBorders>
              <w:top w:val="nil"/>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kern w:val="0"/>
                <w:sz w:val="22"/>
                <w:lang w:eastAsia="zh-CN"/>
              </w:rPr>
            </w:pPr>
            <w:r>
              <w:rPr>
                <w:rFonts w:hint="eastAsia" w:ascii="宋体" w:hAnsi="宋体" w:cs="宋体"/>
                <w:kern w:val="0"/>
                <w:sz w:val="22"/>
              </w:rPr>
              <w:t>泰山</w:t>
            </w:r>
            <w:r>
              <w:rPr>
                <w:rFonts w:hint="eastAsia" w:ascii="宋体" w:hAnsi="宋体" w:cs="宋体"/>
                <w:kern w:val="0"/>
                <w:sz w:val="22"/>
                <w:lang w:eastAsia="zh-CN"/>
              </w:rPr>
              <w:t>等国内知名品牌</w:t>
            </w:r>
          </w:p>
        </w:tc>
      </w:tr>
      <w:tr>
        <w:tblPrEx>
          <w:tblCellMar>
            <w:top w:w="0" w:type="dxa"/>
            <w:left w:w="108" w:type="dxa"/>
            <w:bottom w:w="0" w:type="dxa"/>
            <w:right w:w="108" w:type="dxa"/>
          </w:tblCellMar>
        </w:tblPrEx>
        <w:trPr>
          <w:trHeight w:val="499" w:hRule="atLeast"/>
        </w:trPr>
        <w:tc>
          <w:tcPr>
            <w:tcW w:w="828" w:type="dxa"/>
            <w:tcBorders>
              <w:top w:val="nil"/>
              <w:left w:val="single" w:color="auto" w:sz="4" w:space="0"/>
              <w:bottom w:val="single" w:color="auto" w:sz="4" w:space="0"/>
              <w:right w:val="single" w:color="auto" w:sz="4" w:space="0"/>
            </w:tcBorders>
            <w:shd w:val="clear" w:color="auto" w:fill="auto"/>
            <w:vAlign w:val="center"/>
          </w:tcPr>
          <w:p>
            <w:pPr>
              <w:autoSpaceDN w:val="0"/>
              <w:jc w:val="center"/>
              <w:textAlignment w:val="center"/>
              <w:rPr>
                <w:rFonts w:ascii="宋体" w:hAnsi="宋体" w:cs="宋体"/>
                <w:sz w:val="24"/>
              </w:rPr>
            </w:pPr>
            <w:r>
              <w:rPr>
                <w:rFonts w:hint="eastAsia" w:ascii="宋体" w:hAnsi="宋体" w:cs="宋体"/>
                <w:sz w:val="24"/>
              </w:rPr>
              <w:t>3</w:t>
            </w:r>
          </w:p>
        </w:tc>
        <w:tc>
          <w:tcPr>
            <w:tcW w:w="2699" w:type="dxa"/>
            <w:tcBorders>
              <w:top w:val="nil"/>
              <w:left w:val="nil"/>
              <w:bottom w:val="single" w:color="auto" w:sz="4" w:space="0"/>
              <w:right w:val="single" w:color="auto" w:sz="4" w:space="0"/>
            </w:tcBorders>
            <w:shd w:val="clear" w:color="auto" w:fill="auto"/>
            <w:vAlign w:val="center"/>
          </w:tcPr>
          <w:p>
            <w:pPr>
              <w:autoSpaceDN w:val="0"/>
              <w:jc w:val="center"/>
              <w:textAlignment w:val="center"/>
              <w:rPr>
                <w:rFonts w:ascii="宋体" w:hAnsi="宋体" w:cs="宋体"/>
                <w:sz w:val="24"/>
              </w:rPr>
            </w:pPr>
            <w:r>
              <w:rPr>
                <w:rFonts w:hint="eastAsia" w:ascii="宋体" w:hAnsi="宋体" w:cs="宋体"/>
                <w:sz w:val="24"/>
              </w:rPr>
              <w:t>吊顶主龙骨</w:t>
            </w:r>
          </w:p>
        </w:tc>
        <w:tc>
          <w:tcPr>
            <w:tcW w:w="2528" w:type="dxa"/>
            <w:tcBorders>
              <w:top w:val="single" w:color="auto" w:sz="4" w:space="0"/>
              <w:left w:val="nil"/>
              <w:bottom w:val="single" w:color="auto" w:sz="4" w:space="0"/>
              <w:right w:val="single" w:color="auto" w:sz="4" w:space="0"/>
            </w:tcBorders>
            <w:shd w:val="clear" w:color="auto" w:fill="auto"/>
            <w:vAlign w:val="center"/>
          </w:tcPr>
          <w:p>
            <w:pPr>
              <w:autoSpaceDN w:val="0"/>
              <w:jc w:val="center"/>
              <w:textAlignment w:val="center"/>
              <w:rPr>
                <w:rFonts w:ascii="宋体" w:hAnsi="宋体" w:cs="宋体"/>
                <w:sz w:val="24"/>
              </w:rPr>
            </w:pPr>
          </w:p>
        </w:tc>
        <w:tc>
          <w:tcPr>
            <w:tcW w:w="2969" w:type="dxa"/>
            <w:tcBorders>
              <w:top w:val="nil"/>
              <w:left w:val="nil"/>
              <w:bottom w:val="single" w:color="auto" w:sz="4" w:space="0"/>
              <w:right w:val="single" w:color="auto" w:sz="4" w:space="0"/>
            </w:tcBorders>
            <w:shd w:val="clear" w:color="auto" w:fill="auto"/>
          </w:tcPr>
          <w:p>
            <w:pPr>
              <w:jc w:val="center"/>
            </w:pPr>
            <w:r>
              <w:rPr>
                <w:rFonts w:hint="eastAsia" w:ascii="宋体" w:hAnsi="宋体" w:cs="宋体"/>
                <w:kern w:val="0"/>
                <w:sz w:val="22"/>
              </w:rPr>
              <w:t>泰山</w:t>
            </w:r>
            <w:r>
              <w:rPr>
                <w:rFonts w:hint="eastAsia" w:ascii="宋体" w:hAnsi="宋体" w:cs="宋体"/>
                <w:kern w:val="0"/>
                <w:sz w:val="22"/>
                <w:lang w:eastAsia="zh-CN"/>
              </w:rPr>
              <w:t>等国内知名品牌</w:t>
            </w:r>
          </w:p>
        </w:tc>
      </w:tr>
      <w:tr>
        <w:tblPrEx>
          <w:tblCellMar>
            <w:top w:w="0" w:type="dxa"/>
            <w:left w:w="108" w:type="dxa"/>
            <w:bottom w:w="0" w:type="dxa"/>
            <w:right w:w="108" w:type="dxa"/>
          </w:tblCellMar>
        </w:tblPrEx>
        <w:trPr>
          <w:trHeight w:val="420" w:hRule="atLeast"/>
        </w:trPr>
        <w:tc>
          <w:tcPr>
            <w:tcW w:w="828" w:type="dxa"/>
            <w:tcBorders>
              <w:top w:val="nil"/>
              <w:left w:val="single" w:color="auto" w:sz="4" w:space="0"/>
              <w:bottom w:val="single" w:color="auto" w:sz="4" w:space="0"/>
              <w:right w:val="single" w:color="auto" w:sz="4" w:space="0"/>
            </w:tcBorders>
            <w:shd w:val="clear" w:color="auto" w:fill="auto"/>
            <w:vAlign w:val="center"/>
          </w:tcPr>
          <w:p>
            <w:pPr>
              <w:autoSpaceDN w:val="0"/>
              <w:jc w:val="center"/>
              <w:textAlignment w:val="center"/>
              <w:rPr>
                <w:rFonts w:ascii="宋体" w:hAnsi="宋体" w:cs="宋体"/>
                <w:sz w:val="24"/>
              </w:rPr>
            </w:pPr>
            <w:r>
              <w:rPr>
                <w:rFonts w:hint="eastAsia" w:ascii="宋体" w:hAnsi="宋体" w:cs="宋体"/>
                <w:sz w:val="24"/>
              </w:rPr>
              <w:t>4</w:t>
            </w:r>
          </w:p>
        </w:tc>
        <w:tc>
          <w:tcPr>
            <w:tcW w:w="2699" w:type="dxa"/>
            <w:tcBorders>
              <w:top w:val="nil"/>
              <w:left w:val="nil"/>
              <w:bottom w:val="single" w:color="auto" w:sz="4" w:space="0"/>
              <w:right w:val="single" w:color="auto" w:sz="4" w:space="0"/>
            </w:tcBorders>
            <w:shd w:val="clear" w:color="auto" w:fill="auto"/>
            <w:vAlign w:val="center"/>
          </w:tcPr>
          <w:p>
            <w:pPr>
              <w:autoSpaceDN w:val="0"/>
              <w:jc w:val="center"/>
              <w:textAlignment w:val="center"/>
              <w:rPr>
                <w:rFonts w:ascii="宋体" w:hAnsi="宋体" w:cs="宋体"/>
                <w:sz w:val="24"/>
              </w:rPr>
            </w:pPr>
            <w:r>
              <w:rPr>
                <w:rFonts w:hint="eastAsia" w:ascii="宋体" w:hAnsi="宋体" w:cs="宋体"/>
                <w:sz w:val="24"/>
              </w:rPr>
              <w:t>隔墙主龙骨</w:t>
            </w:r>
          </w:p>
        </w:tc>
        <w:tc>
          <w:tcPr>
            <w:tcW w:w="2528" w:type="dxa"/>
            <w:tcBorders>
              <w:top w:val="nil"/>
              <w:left w:val="nil"/>
              <w:bottom w:val="single" w:color="auto" w:sz="4" w:space="0"/>
              <w:right w:val="single" w:color="auto" w:sz="4" w:space="0"/>
            </w:tcBorders>
            <w:shd w:val="clear" w:color="auto" w:fill="auto"/>
            <w:vAlign w:val="center"/>
          </w:tcPr>
          <w:p>
            <w:pPr>
              <w:autoSpaceDN w:val="0"/>
              <w:jc w:val="center"/>
              <w:textAlignment w:val="center"/>
              <w:rPr>
                <w:rFonts w:ascii="宋体" w:hAnsi="宋体" w:cs="宋体"/>
                <w:sz w:val="24"/>
              </w:rPr>
            </w:pPr>
          </w:p>
        </w:tc>
        <w:tc>
          <w:tcPr>
            <w:tcW w:w="2969" w:type="dxa"/>
            <w:tcBorders>
              <w:top w:val="nil"/>
              <w:left w:val="nil"/>
              <w:bottom w:val="single" w:color="auto" w:sz="4" w:space="0"/>
              <w:right w:val="single" w:color="auto" w:sz="4" w:space="0"/>
            </w:tcBorders>
            <w:shd w:val="clear" w:color="auto" w:fill="auto"/>
          </w:tcPr>
          <w:p>
            <w:pPr>
              <w:jc w:val="center"/>
            </w:pPr>
            <w:r>
              <w:rPr>
                <w:rFonts w:hint="eastAsia" w:ascii="宋体" w:hAnsi="宋体" w:cs="宋体"/>
                <w:kern w:val="0"/>
                <w:sz w:val="22"/>
              </w:rPr>
              <w:t>泰山</w:t>
            </w:r>
            <w:r>
              <w:rPr>
                <w:rFonts w:hint="eastAsia" w:ascii="宋体" w:hAnsi="宋体" w:cs="宋体"/>
                <w:kern w:val="0"/>
                <w:sz w:val="22"/>
                <w:lang w:eastAsia="zh-CN"/>
              </w:rPr>
              <w:t>等国内知名品牌</w:t>
            </w:r>
          </w:p>
        </w:tc>
      </w:tr>
      <w:tr>
        <w:tblPrEx>
          <w:tblCellMar>
            <w:top w:w="0" w:type="dxa"/>
            <w:left w:w="108" w:type="dxa"/>
            <w:bottom w:w="0" w:type="dxa"/>
            <w:right w:w="108" w:type="dxa"/>
          </w:tblCellMar>
        </w:tblPrEx>
        <w:trPr>
          <w:trHeight w:val="420" w:hRule="atLeast"/>
        </w:trPr>
        <w:tc>
          <w:tcPr>
            <w:tcW w:w="828" w:type="dxa"/>
            <w:tcBorders>
              <w:top w:val="nil"/>
              <w:left w:val="single" w:color="auto" w:sz="4" w:space="0"/>
              <w:bottom w:val="single" w:color="auto" w:sz="4" w:space="0"/>
              <w:right w:val="single" w:color="auto" w:sz="4" w:space="0"/>
            </w:tcBorders>
            <w:shd w:val="clear" w:color="auto" w:fill="auto"/>
            <w:vAlign w:val="center"/>
          </w:tcPr>
          <w:p>
            <w:pPr>
              <w:autoSpaceDN w:val="0"/>
              <w:jc w:val="center"/>
              <w:textAlignment w:val="center"/>
              <w:rPr>
                <w:rFonts w:ascii="宋体" w:hAnsi="宋体" w:cs="宋体"/>
                <w:sz w:val="24"/>
              </w:rPr>
            </w:pPr>
            <w:r>
              <w:rPr>
                <w:rFonts w:hint="eastAsia" w:ascii="宋体" w:hAnsi="宋体" w:cs="宋体"/>
                <w:sz w:val="24"/>
              </w:rPr>
              <w:t>5</w:t>
            </w:r>
          </w:p>
        </w:tc>
        <w:tc>
          <w:tcPr>
            <w:tcW w:w="2699" w:type="dxa"/>
            <w:tcBorders>
              <w:top w:val="nil"/>
              <w:left w:val="nil"/>
              <w:bottom w:val="single" w:color="auto" w:sz="4" w:space="0"/>
              <w:right w:val="single" w:color="auto" w:sz="4" w:space="0"/>
            </w:tcBorders>
            <w:shd w:val="clear" w:color="auto" w:fill="auto"/>
            <w:vAlign w:val="center"/>
          </w:tcPr>
          <w:p>
            <w:pPr>
              <w:autoSpaceDN w:val="0"/>
              <w:jc w:val="center"/>
              <w:textAlignment w:val="center"/>
              <w:rPr>
                <w:rFonts w:ascii="宋体" w:hAnsi="宋体" w:cs="宋体"/>
                <w:sz w:val="24"/>
              </w:rPr>
            </w:pPr>
            <w:r>
              <w:rPr>
                <w:rFonts w:hint="eastAsia" w:ascii="宋体" w:hAnsi="宋体" w:cs="宋体"/>
                <w:sz w:val="24"/>
              </w:rPr>
              <w:t>纸面石膏板</w:t>
            </w:r>
          </w:p>
        </w:tc>
        <w:tc>
          <w:tcPr>
            <w:tcW w:w="2528" w:type="dxa"/>
            <w:tcBorders>
              <w:top w:val="nil"/>
              <w:left w:val="nil"/>
              <w:bottom w:val="single" w:color="auto" w:sz="4" w:space="0"/>
              <w:right w:val="single" w:color="auto" w:sz="4" w:space="0"/>
            </w:tcBorders>
            <w:shd w:val="clear" w:color="auto" w:fill="auto"/>
            <w:vAlign w:val="center"/>
          </w:tcPr>
          <w:p>
            <w:pPr>
              <w:autoSpaceDN w:val="0"/>
              <w:jc w:val="center"/>
              <w:textAlignment w:val="center"/>
              <w:rPr>
                <w:rFonts w:ascii="宋体" w:hAnsi="宋体" w:cs="宋体"/>
                <w:sz w:val="24"/>
              </w:rPr>
            </w:pPr>
            <w:r>
              <w:rPr>
                <w:rFonts w:hint="eastAsia" w:ascii="宋体" w:hAnsi="宋体" w:cs="宋体"/>
                <w:sz w:val="24"/>
              </w:rPr>
              <w:t>2440×1220×12</w:t>
            </w:r>
          </w:p>
        </w:tc>
        <w:tc>
          <w:tcPr>
            <w:tcW w:w="2969"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sz w:val="22"/>
              </w:rPr>
            </w:pPr>
            <w:r>
              <w:rPr>
                <w:rFonts w:hint="eastAsia" w:ascii="宋体" w:hAnsi="宋体" w:cs="宋体"/>
                <w:kern w:val="0"/>
                <w:sz w:val="22"/>
              </w:rPr>
              <w:t>泰山</w:t>
            </w:r>
            <w:r>
              <w:rPr>
                <w:rFonts w:hint="eastAsia" w:ascii="宋体" w:hAnsi="宋体" w:cs="宋体"/>
                <w:kern w:val="0"/>
                <w:sz w:val="22"/>
                <w:lang w:eastAsia="zh-CN"/>
              </w:rPr>
              <w:t>等国内知名品牌</w:t>
            </w:r>
          </w:p>
        </w:tc>
      </w:tr>
      <w:tr>
        <w:tblPrEx>
          <w:tblCellMar>
            <w:top w:w="0" w:type="dxa"/>
            <w:left w:w="108" w:type="dxa"/>
            <w:bottom w:w="0" w:type="dxa"/>
            <w:right w:w="108" w:type="dxa"/>
          </w:tblCellMar>
        </w:tblPrEx>
        <w:trPr>
          <w:trHeight w:val="420" w:hRule="atLeast"/>
        </w:trPr>
        <w:tc>
          <w:tcPr>
            <w:tcW w:w="828" w:type="dxa"/>
            <w:tcBorders>
              <w:top w:val="nil"/>
              <w:left w:val="single" w:color="auto" w:sz="4" w:space="0"/>
              <w:bottom w:val="single" w:color="auto" w:sz="4" w:space="0"/>
              <w:right w:val="single" w:color="auto" w:sz="4" w:space="0"/>
            </w:tcBorders>
            <w:shd w:val="clear" w:color="auto" w:fill="auto"/>
            <w:vAlign w:val="center"/>
          </w:tcPr>
          <w:p>
            <w:pPr>
              <w:autoSpaceDN w:val="0"/>
              <w:jc w:val="center"/>
              <w:textAlignment w:val="center"/>
              <w:rPr>
                <w:rFonts w:ascii="宋体" w:hAnsi="宋体" w:cs="宋体"/>
                <w:sz w:val="24"/>
              </w:rPr>
            </w:pPr>
            <w:r>
              <w:rPr>
                <w:rFonts w:hint="eastAsia" w:ascii="宋体" w:hAnsi="宋体" w:cs="宋体"/>
                <w:sz w:val="24"/>
              </w:rPr>
              <w:t>6</w:t>
            </w:r>
          </w:p>
        </w:tc>
        <w:tc>
          <w:tcPr>
            <w:tcW w:w="2699" w:type="dxa"/>
            <w:tcBorders>
              <w:top w:val="nil"/>
              <w:left w:val="nil"/>
              <w:bottom w:val="single" w:color="auto" w:sz="4" w:space="0"/>
              <w:right w:val="single" w:color="auto" w:sz="4" w:space="0"/>
            </w:tcBorders>
            <w:shd w:val="clear" w:color="auto" w:fill="auto"/>
            <w:vAlign w:val="center"/>
          </w:tcPr>
          <w:p>
            <w:pPr>
              <w:autoSpaceDN w:val="0"/>
              <w:jc w:val="center"/>
              <w:textAlignment w:val="center"/>
              <w:rPr>
                <w:rFonts w:ascii="宋体" w:hAnsi="宋体" w:cs="宋体"/>
                <w:sz w:val="24"/>
              </w:rPr>
            </w:pPr>
            <w:r>
              <w:rPr>
                <w:rFonts w:hint="eastAsia" w:ascii="宋体" w:hAnsi="宋体" w:cs="宋体"/>
                <w:sz w:val="24"/>
              </w:rPr>
              <w:t>夹板</w:t>
            </w:r>
          </w:p>
        </w:tc>
        <w:tc>
          <w:tcPr>
            <w:tcW w:w="2528" w:type="dxa"/>
            <w:tcBorders>
              <w:top w:val="nil"/>
              <w:left w:val="nil"/>
              <w:bottom w:val="single" w:color="auto" w:sz="4" w:space="0"/>
              <w:right w:val="single" w:color="auto" w:sz="4" w:space="0"/>
            </w:tcBorders>
            <w:shd w:val="clear" w:color="auto" w:fill="auto"/>
            <w:vAlign w:val="center"/>
          </w:tcPr>
          <w:p>
            <w:pPr>
              <w:autoSpaceDN w:val="0"/>
              <w:jc w:val="center"/>
              <w:textAlignment w:val="center"/>
              <w:rPr>
                <w:rFonts w:ascii="宋体" w:hAnsi="宋体" w:cs="宋体"/>
                <w:sz w:val="24"/>
              </w:rPr>
            </w:pPr>
            <w:r>
              <w:rPr>
                <w:rFonts w:hint="eastAsia" w:ascii="宋体" w:hAnsi="宋体" w:cs="宋体"/>
                <w:sz w:val="24"/>
              </w:rPr>
              <w:t>根据设计要求</w:t>
            </w:r>
          </w:p>
        </w:tc>
        <w:tc>
          <w:tcPr>
            <w:tcW w:w="2969" w:type="dxa"/>
            <w:tcBorders>
              <w:top w:val="nil"/>
              <w:left w:val="nil"/>
              <w:bottom w:val="single" w:color="auto" w:sz="4" w:space="0"/>
              <w:right w:val="single" w:color="auto" w:sz="4" w:space="0"/>
            </w:tcBorders>
            <w:shd w:val="clear" w:color="auto" w:fill="auto"/>
            <w:vAlign w:val="center"/>
          </w:tcPr>
          <w:p>
            <w:pPr>
              <w:autoSpaceDN w:val="0"/>
              <w:jc w:val="center"/>
              <w:textAlignment w:val="center"/>
              <w:rPr>
                <w:rFonts w:ascii="宋体" w:hAnsi="宋体" w:cs="宋体"/>
                <w:sz w:val="24"/>
              </w:rPr>
            </w:pPr>
            <w:r>
              <w:rPr>
                <w:rFonts w:ascii="宋体" w:hAnsi="宋体" w:cs="宋体"/>
                <w:sz w:val="24"/>
              </w:rPr>
              <w:t>国内一线品牌</w:t>
            </w:r>
          </w:p>
        </w:tc>
      </w:tr>
      <w:tr>
        <w:tblPrEx>
          <w:tblCellMar>
            <w:top w:w="0" w:type="dxa"/>
            <w:left w:w="108" w:type="dxa"/>
            <w:bottom w:w="0" w:type="dxa"/>
            <w:right w:w="108" w:type="dxa"/>
          </w:tblCellMar>
        </w:tblPrEx>
        <w:trPr>
          <w:trHeight w:val="420" w:hRule="atLeast"/>
        </w:trPr>
        <w:tc>
          <w:tcPr>
            <w:tcW w:w="828" w:type="dxa"/>
            <w:tcBorders>
              <w:top w:val="nil"/>
              <w:left w:val="single" w:color="auto" w:sz="4" w:space="0"/>
              <w:bottom w:val="single" w:color="auto" w:sz="4" w:space="0"/>
              <w:right w:val="single" w:color="auto" w:sz="4" w:space="0"/>
            </w:tcBorders>
            <w:shd w:val="clear" w:color="auto" w:fill="auto"/>
            <w:vAlign w:val="center"/>
          </w:tcPr>
          <w:p>
            <w:pPr>
              <w:autoSpaceDN w:val="0"/>
              <w:jc w:val="center"/>
              <w:textAlignment w:val="center"/>
              <w:rPr>
                <w:rFonts w:ascii="宋体" w:hAnsi="宋体" w:cs="宋体"/>
                <w:sz w:val="24"/>
              </w:rPr>
            </w:pPr>
            <w:r>
              <w:rPr>
                <w:rFonts w:hint="eastAsia" w:ascii="宋体" w:hAnsi="宋体" w:cs="宋体"/>
                <w:sz w:val="24"/>
              </w:rPr>
              <w:t>7</w:t>
            </w:r>
          </w:p>
        </w:tc>
        <w:tc>
          <w:tcPr>
            <w:tcW w:w="2699" w:type="dxa"/>
            <w:tcBorders>
              <w:top w:val="nil"/>
              <w:left w:val="nil"/>
              <w:bottom w:val="single" w:color="auto" w:sz="4" w:space="0"/>
              <w:right w:val="single" w:color="auto" w:sz="4" w:space="0"/>
            </w:tcBorders>
            <w:shd w:val="clear" w:color="auto" w:fill="auto"/>
            <w:vAlign w:val="center"/>
          </w:tcPr>
          <w:p>
            <w:pPr>
              <w:autoSpaceDN w:val="0"/>
              <w:jc w:val="center"/>
              <w:textAlignment w:val="center"/>
              <w:rPr>
                <w:rFonts w:ascii="宋体" w:hAnsi="宋体" w:cs="宋体"/>
                <w:sz w:val="24"/>
              </w:rPr>
            </w:pPr>
            <w:r>
              <w:rPr>
                <w:rFonts w:hint="eastAsia" w:ascii="宋体" w:hAnsi="宋体" w:cs="宋体"/>
                <w:sz w:val="24"/>
              </w:rPr>
              <w:t>大芯板</w:t>
            </w:r>
          </w:p>
        </w:tc>
        <w:tc>
          <w:tcPr>
            <w:tcW w:w="2528" w:type="dxa"/>
            <w:tcBorders>
              <w:top w:val="nil"/>
              <w:left w:val="nil"/>
              <w:bottom w:val="single" w:color="auto" w:sz="4" w:space="0"/>
              <w:right w:val="single" w:color="auto" w:sz="4" w:space="0"/>
            </w:tcBorders>
            <w:shd w:val="clear" w:color="auto" w:fill="auto"/>
            <w:vAlign w:val="center"/>
          </w:tcPr>
          <w:p>
            <w:pPr>
              <w:autoSpaceDN w:val="0"/>
              <w:jc w:val="center"/>
              <w:textAlignment w:val="center"/>
              <w:rPr>
                <w:rFonts w:ascii="宋体" w:hAnsi="宋体" w:cs="宋体"/>
                <w:sz w:val="24"/>
              </w:rPr>
            </w:pPr>
            <w:r>
              <w:rPr>
                <w:rFonts w:hint="eastAsia" w:ascii="宋体" w:hAnsi="宋体" w:cs="宋体"/>
                <w:sz w:val="24"/>
              </w:rPr>
              <w:t>2440×1220</w:t>
            </w:r>
          </w:p>
        </w:tc>
        <w:tc>
          <w:tcPr>
            <w:tcW w:w="2969" w:type="dxa"/>
            <w:tcBorders>
              <w:top w:val="nil"/>
              <w:left w:val="nil"/>
              <w:bottom w:val="single" w:color="auto" w:sz="4" w:space="0"/>
              <w:right w:val="single" w:color="auto" w:sz="4" w:space="0"/>
            </w:tcBorders>
            <w:shd w:val="clear" w:color="auto" w:fill="auto"/>
            <w:vAlign w:val="center"/>
          </w:tcPr>
          <w:p>
            <w:pPr>
              <w:autoSpaceDN w:val="0"/>
              <w:jc w:val="center"/>
              <w:textAlignment w:val="center"/>
              <w:rPr>
                <w:rFonts w:ascii="宋体" w:hAnsi="宋体" w:cs="宋体"/>
                <w:sz w:val="24"/>
              </w:rPr>
            </w:pPr>
            <w:r>
              <w:rPr>
                <w:rFonts w:ascii="宋体" w:hAnsi="宋体" w:cs="宋体"/>
                <w:sz w:val="24"/>
              </w:rPr>
              <w:t>国内一线品牌</w:t>
            </w:r>
          </w:p>
        </w:tc>
      </w:tr>
      <w:tr>
        <w:tblPrEx>
          <w:tblCellMar>
            <w:top w:w="0" w:type="dxa"/>
            <w:left w:w="108" w:type="dxa"/>
            <w:bottom w:w="0" w:type="dxa"/>
            <w:right w:w="108" w:type="dxa"/>
          </w:tblCellMar>
        </w:tblPrEx>
        <w:trPr>
          <w:trHeight w:val="420" w:hRule="atLeast"/>
        </w:trPr>
        <w:tc>
          <w:tcPr>
            <w:tcW w:w="828" w:type="dxa"/>
            <w:tcBorders>
              <w:top w:val="nil"/>
              <w:left w:val="single" w:color="auto" w:sz="4" w:space="0"/>
              <w:bottom w:val="single" w:color="auto" w:sz="4" w:space="0"/>
              <w:right w:val="single" w:color="auto" w:sz="4" w:space="0"/>
            </w:tcBorders>
            <w:shd w:val="clear" w:color="auto" w:fill="auto"/>
            <w:vAlign w:val="center"/>
          </w:tcPr>
          <w:p>
            <w:pPr>
              <w:autoSpaceDN w:val="0"/>
              <w:jc w:val="center"/>
              <w:textAlignment w:val="center"/>
              <w:rPr>
                <w:rFonts w:ascii="宋体" w:hAnsi="宋体" w:cs="宋体"/>
                <w:sz w:val="24"/>
              </w:rPr>
            </w:pPr>
            <w:r>
              <w:rPr>
                <w:rFonts w:hint="eastAsia" w:ascii="宋体" w:hAnsi="宋体" w:cs="宋体"/>
                <w:sz w:val="24"/>
              </w:rPr>
              <w:t>8</w:t>
            </w:r>
          </w:p>
        </w:tc>
        <w:tc>
          <w:tcPr>
            <w:tcW w:w="2699" w:type="dxa"/>
            <w:tcBorders>
              <w:top w:val="nil"/>
              <w:left w:val="nil"/>
              <w:bottom w:val="single" w:color="auto" w:sz="4" w:space="0"/>
              <w:right w:val="single" w:color="auto" w:sz="4" w:space="0"/>
            </w:tcBorders>
            <w:shd w:val="clear" w:color="auto" w:fill="auto"/>
            <w:vAlign w:val="center"/>
          </w:tcPr>
          <w:p>
            <w:pPr>
              <w:autoSpaceDN w:val="0"/>
              <w:jc w:val="center"/>
              <w:textAlignment w:val="center"/>
              <w:rPr>
                <w:rFonts w:ascii="宋体" w:hAnsi="宋体" w:cs="宋体"/>
                <w:sz w:val="24"/>
              </w:rPr>
            </w:pPr>
            <w:r>
              <w:rPr>
                <w:rFonts w:hint="eastAsia" w:ascii="宋体" w:hAnsi="宋体" w:cs="宋体"/>
                <w:sz w:val="24"/>
              </w:rPr>
              <w:t>防火涂料</w:t>
            </w:r>
          </w:p>
        </w:tc>
        <w:tc>
          <w:tcPr>
            <w:tcW w:w="2528" w:type="dxa"/>
            <w:tcBorders>
              <w:top w:val="nil"/>
              <w:left w:val="nil"/>
              <w:bottom w:val="single" w:color="auto" w:sz="4" w:space="0"/>
              <w:right w:val="single" w:color="auto" w:sz="4" w:space="0"/>
            </w:tcBorders>
            <w:shd w:val="clear" w:color="auto" w:fill="auto"/>
            <w:vAlign w:val="center"/>
          </w:tcPr>
          <w:p>
            <w:pPr>
              <w:autoSpaceDN w:val="0"/>
              <w:jc w:val="center"/>
              <w:textAlignment w:val="center"/>
              <w:rPr>
                <w:rFonts w:ascii="宋体" w:hAnsi="宋体" w:cs="宋体"/>
                <w:sz w:val="24"/>
              </w:rPr>
            </w:pPr>
            <w:r>
              <w:rPr>
                <w:rFonts w:hint="eastAsia" w:ascii="宋体" w:hAnsi="宋体" w:cs="宋体"/>
                <w:sz w:val="24"/>
              </w:rPr>
              <w:t>20KG/桶</w:t>
            </w:r>
          </w:p>
        </w:tc>
        <w:tc>
          <w:tcPr>
            <w:tcW w:w="2969" w:type="dxa"/>
            <w:tcBorders>
              <w:top w:val="nil"/>
              <w:left w:val="nil"/>
              <w:bottom w:val="single" w:color="auto" w:sz="4" w:space="0"/>
              <w:right w:val="single" w:color="auto" w:sz="4" w:space="0"/>
            </w:tcBorders>
            <w:shd w:val="clear" w:color="auto" w:fill="auto"/>
          </w:tcPr>
          <w:p>
            <w:pPr>
              <w:jc w:val="center"/>
            </w:pPr>
            <w:r>
              <w:rPr>
                <w:rFonts w:ascii="宋体" w:hAnsi="宋体" w:cs="宋体"/>
                <w:sz w:val="24"/>
              </w:rPr>
              <w:t>国内一线品牌</w:t>
            </w:r>
          </w:p>
        </w:tc>
      </w:tr>
      <w:tr>
        <w:tblPrEx>
          <w:tblCellMar>
            <w:top w:w="0" w:type="dxa"/>
            <w:left w:w="108" w:type="dxa"/>
            <w:bottom w:w="0" w:type="dxa"/>
            <w:right w:w="108" w:type="dxa"/>
          </w:tblCellMar>
        </w:tblPrEx>
        <w:trPr>
          <w:trHeight w:val="420" w:hRule="atLeast"/>
        </w:trPr>
        <w:tc>
          <w:tcPr>
            <w:tcW w:w="828" w:type="dxa"/>
            <w:tcBorders>
              <w:top w:val="nil"/>
              <w:left w:val="single" w:color="auto" w:sz="4" w:space="0"/>
              <w:bottom w:val="single" w:color="auto" w:sz="4" w:space="0"/>
              <w:right w:val="single" w:color="auto" w:sz="4" w:space="0"/>
            </w:tcBorders>
            <w:shd w:val="clear" w:color="auto" w:fill="auto"/>
            <w:vAlign w:val="center"/>
          </w:tcPr>
          <w:p>
            <w:pPr>
              <w:autoSpaceDN w:val="0"/>
              <w:jc w:val="center"/>
              <w:textAlignment w:val="center"/>
              <w:rPr>
                <w:rFonts w:ascii="宋体" w:hAnsi="宋体" w:cs="宋体"/>
                <w:sz w:val="24"/>
              </w:rPr>
            </w:pPr>
            <w:r>
              <w:rPr>
                <w:rFonts w:hint="eastAsia" w:ascii="宋体" w:hAnsi="宋体" w:cs="宋体"/>
                <w:sz w:val="24"/>
              </w:rPr>
              <w:t>9</w:t>
            </w:r>
          </w:p>
        </w:tc>
        <w:tc>
          <w:tcPr>
            <w:tcW w:w="2699" w:type="dxa"/>
            <w:tcBorders>
              <w:top w:val="nil"/>
              <w:left w:val="nil"/>
              <w:bottom w:val="single" w:color="auto" w:sz="4" w:space="0"/>
              <w:right w:val="single" w:color="auto" w:sz="4" w:space="0"/>
            </w:tcBorders>
            <w:shd w:val="clear" w:color="auto" w:fill="auto"/>
            <w:vAlign w:val="center"/>
          </w:tcPr>
          <w:p>
            <w:pPr>
              <w:autoSpaceDN w:val="0"/>
              <w:jc w:val="center"/>
              <w:textAlignment w:val="center"/>
              <w:rPr>
                <w:rFonts w:ascii="宋体" w:hAnsi="宋体" w:cs="宋体"/>
                <w:sz w:val="24"/>
              </w:rPr>
            </w:pPr>
            <w:r>
              <w:rPr>
                <w:rFonts w:hint="eastAsia" w:ascii="宋体" w:hAnsi="宋体" w:cs="宋体"/>
                <w:sz w:val="24"/>
              </w:rPr>
              <w:t>防水涂料</w:t>
            </w:r>
          </w:p>
        </w:tc>
        <w:tc>
          <w:tcPr>
            <w:tcW w:w="2528" w:type="dxa"/>
            <w:tcBorders>
              <w:top w:val="nil"/>
              <w:left w:val="nil"/>
              <w:bottom w:val="single" w:color="auto" w:sz="4" w:space="0"/>
              <w:right w:val="single" w:color="auto" w:sz="4" w:space="0"/>
            </w:tcBorders>
            <w:shd w:val="clear" w:color="auto" w:fill="auto"/>
            <w:vAlign w:val="center"/>
          </w:tcPr>
          <w:p>
            <w:pPr>
              <w:autoSpaceDN w:val="0"/>
              <w:jc w:val="center"/>
              <w:textAlignment w:val="center"/>
              <w:rPr>
                <w:rFonts w:ascii="宋体" w:hAnsi="宋体" w:cs="宋体"/>
                <w:sz w:val="24"/>
              </w:rPr>
            </w:pPr>
            <w:r>
              <w:rPr>
                <w:rFonts w:hint="eastAsia" w:ascii="宋体" w:hAnsi="宋体" w:cs="宋体"/>
                <w:sz w:val="24"/>
              </w:rPr>
              <w:t>20KG/桶</w:t>
            </w:r>
          </w:p>
        </w:tc>
        <w:tc>
          <w:tcPr>
            <w:tcW w:w="2969" w:type="dxa"/>
            <w:tcBorders>
              <w:top w:val="nil"/>
              <w:left w:val="nil"/>
              <w:bottom w:val="single" w:color="auto" w:sz="4" w:space="0"/>
              <w:right w:val="single" w:color="auto" w:sz="4" w:space="0"/>
            </w:tcBorders>
            <w:shd w:val="clear" w:color="auto" w:fill="auto"/>
          </w:tcPr>
          <w:p>
            <w:pPr>
              <w:jc w:val="center"/>
            </w:pPr>
            <w:r>
              <w:rPr>
                <w:rFonts w:ascii="宋体" w:hAnsi="宋体" w:cs="宋体"/>
                <w:sz w:val="24"/>
              </w:rPr>
              <w:t>国内一线品牌</w:t>
            </w:r>
          </w:p>
        </w:tc>
      </w:tr>
    </w:tbl>
    <w:p>
      <w:pPr>
        <w:widowControl/>
        <w:rPr>
          <w:rFonts w:ascii="宋体" w:hAnsi="宋体" w:cs="宋体"/>
          <w:kern w:val="0"/>
          <w:sz w:val="30"/>
          <w:szCs w:val="30"/>
        </w:rPr>
      </w:pPr>
    </w:p>
    <w:p>
      <w:pPr>
        <w:widowControl/>
        <w:rPr>
          <w:rFonts w:ascii="宋体" w:hAnsi="宋体" w:cs="宋体"/>
          <w:kern w:val="0"/>
          <w:sz w:val="30"/>
          <w:szCs w:val="30"/>
        </w:rPr>
      </w:pPr>
    </w:p>
    <w:p>
      <w:pPr>
        <w:widowControl/>
        <w:rPr>
          <w:rFonts w:ascii="宋体" w:hAnsi="宋体" w:cs="宋体"/>
          <w:kern w:val="0"/>
          <w:sz w:val="24"/>
          <w:szCs w:val="24"/>
        </w:rPr>
      </w:pPr>
    </w:p>
    <w:p>
      <w:pPr>
        <w:widowControl/>
        <w:rPr>
          <w:rFonts w:ascii="宋体" w:hAnsi="宋体" w:cs="宋体"/>
          <w:kern w:val="0"/>
          <w:sz w:val="24"/>
          <w:szCs w:val="24"/>
        </w:rPr>
      </w:pPr>
    </w:p>
    <w:p>
      <w:pPr>
        <w:widowControl/>
        <w:rPr>
          <w:rFonts w:ascii="宋体" w:hAnsi="宋体" w:cs="宋体"/>
          <w:kern w:val="0"/>
          <w:sz w:val="24"/>
          <w:szCs w:val="24"/>
        </w:rPr>
      </w:pPr>
    </w:p>
    <w:p>
      <w:pPr>
        <w:widowControl/>
        <w:rPr>
          <w:rFonts w:ascii="宋体" w:hAnsi="宋体" w:cs="宋体"/>
          <w:kern w:val="0"/>
          <w:sz w:val="24"/>
          <w:szCs w:val="24"/>
        </w:rPr>
      </w:pPr>
    </w:p>
    <w:p>
      <w:pPr>
        <w:widowControl/>
        <w:rPr>
          <w:rFonts w:ascii="宋体" w:hAnsi="宋体" w:cs="宋体"/>
          <w:kern w:val="0"/>
          <w:sz w:val="24"/>
          <w:szCs w:val="24"/>
        </w:rPr>
      </w:pPr>
    </w:p>
    <w:p>
      <w:pPr>
        <w:widowControl/>
        <w:rPr>
          <w:rFonts w:ascii="宋体" w:hAnsi="宋体" w:cs="宋体"/>
          <w:kern w:val="0"/>
          <w:sz w:val="24"/>
          <w:szCs w:val="24"/>
        </w:rPr>
      </w:pPr>
    </w:p>
    <w:p>
      <w:pPr>
        <w:widowControl/>
        <w:rPr>
          <w:rFonts w:ascii="宋体" w:hAnsi="宋体" w:cs="宋体"/>
          <w:kern w:val="0"/>
          <w:sz w:val="24"/>
          <w:szCs w:val="24"/>
        </w:rPr>
      </w:pPr>
    </w:p>
    <w:p>
      <w:pPr>
        <w:widowControl/>
        <w:rPr>
          <w:rFonts w:ascii="宋体" w:hAnsi="宋体" w:cs="宋体"/>
          <w:kern w:val="0"/>
          <w:sz w:val="24"/>
          <w:szCs w:val="24"/>
        </w:rPr>
      </w:pPr>
    </w:p>
    <w:p>
      <w:pPr>
        <w:widowControl/>
        <w:rPr>
          <w:rFonts w:ascii="宋体" w:hAnsi="宋体" w:cs="宋体"/>
          <w:kern w:val="0"/>
          <w:sz w:val="24"/>
          <w:szCs w:val="24"/>
        </w:rPr>
      </w:pPr>
    </w:p>
    <w:p>
      <w:pPr>
        <w:widowControl/>
        <w:rPr>
          <w:rFonts w:ascii="宋体" w:hAnsi="宋体" w:cs="宋体"/>
          <w:kern w:val="0"/>
          <w:sz w:val="24"/>
          <w:szCs w:val="24"/>
        </w:rPr>
      </w:pPr>
    </w:p>
    <w:p>
      <w:pPr>
        <w:widowControl/>
        <w:rPr>
          <w:rFonts w:ascii="宋体" w:hAnsi="宋体" w:cs="宋体"/>
          <w:kern w:val="0"/>
          <w:sz w:val="24"/>
          <w:szCs w:val="24"/>
        </w:rPr>
      </w:pPr>
    </w:p>
    <w:p>
      <w:pPr>
        <w:widowControl/>
        <w:rPr>
          <w:rFonts w:ascii="宋体" w:hAnsi="宋体" w:cs="宋体"/>
          <w:kern w:val="0"/>
          <w:sz w:val="24"/>
          <w:szCs w:val="24"/>
        </w:rPr>
      </w:pPr>
    </w:p>
    <w:p>
      <w:pPr>
        <w:widowControl/>
        <w:rPr>
          <w:rFonts w:ascii="宋体" w:hAnsi="宋体" w:cs="宋体"/>
          <w:kern w:val="0"/>
          <w:sz w:val="24"/>
          <w:szCs w:val="24"/>
        </w:rPr>
      </w:pPr>
    </w:p>
    <w:p>
      <w:pPr>
        <w:widowControl/>
        <w:rPr>
          <w:rFonts w:ascii="宋体" w:hAnsi="宋体" w:cs="宋体"/>
          <w:kern w:val="0"/>
          <w:sz w:val="24"/>
          <w:szCs w:val="24"/>
        </w:rPr>
      </w:pPr>
    </w:p>
    <w:p>
      <w:pPr>
        <w:pStyle w:val="2"/>
        <w:rPr>
          <w:rFonts w:hint="eastAsia" w:ascii="宋体" w:hAnsi="宋体"/>
          <w:b/>
          <w:bCs/>
          <w:sz w:val="24"/>
          <w:szCs w:val="24"/>
        </w:rPr>
      </w:pPr>
    </w:p>
    <w:p>
      <w:pPr>
        <w:pStyle w:val="2"/>
        <w:rPr>
          <w:rFonts w:hint="eastAsia" w:ascii="宋体" w:hAnsi="宋体"/>
          <w:b/>
          <w:bCs/>
          <w:sz w:val="24"/>
          <w:szCs w:val="24"/>
        </w:rPr>
      </w:pPr>
    </w:p>
    <w:p>
      <w:pPr>
        <w:pStyle w:val="2"/>
        <w:rPr>
          <w:rFonts w:hint="eastAsia" w:ascii="宋体" w:hAnsi="宋体" w:eastAsia="宋体"/>
          <w:b/>
          <w:bCs/>
          <w:sz w:val="24"/>
          <w:szCs w:val="24"/>
          <w:lang w:eastAsia="zh-CN"/>
        </w:rPr>
      </w:pPr>
      <w:r>
        <w:rPr>
          <w:rFonts w:hint="eastAsia" w:hAnsi="宋体"/>
          <w:b/>
          <w:bCs/>
          <w:sz w:val="24"/>
          <w:szCs w:val="24"/>
          <w:lang w:eastAsia="zh-CN"/>
        </w:rPr>
        <w:t>预算表另附合同附件</w:t>
      </w:r>
      <w:bookmarkStart w:id="0" w:name="_GoBack"/>
      <w:bookmarkEnd w:id="0"/>
    </w:p>
    <w:p>
      <w:pPr>
        <w:pStyle w:val="2"/>
        <w:rPr>
          <w:rFonts w:hint="eastAsia" w:ascii="宋体" w:hAnsi="宋体"/>
          <w:b/>
          <w:bCs/>
          <w:sz w:val="24"/>
          <w:szCs w:val="24"/>
        </w:rPr>
      </w:pPr>
    </w:p>
    <w:p>
      <w:pPr>
        <w:pStyle w:val="2"/>
        <w:rPr>
          <w:rFonts w:hint="eastAsia" w:ascii="宋体" w:hAnsi="宋体"/>
          <w:b/>
          <w:bCs/>
          <w:sz w:val="24"/>
          <w:szCs w:val="24"/>
        </w:rPr>
      </w:pPr>
    </w:p>
    <w:p>
      <w:pPr>
        <w:pStyle w:val="2"/>
        <w:rPr>
          <w:rFonts w:hint="eastAsia" w:ascii="宋体" w:hAnsi="宋体"/>
          <w:b/>
          <w:bCs/>
          <w:sz w:val="24"/>
          <w:szCs w:val="24"/>
        </w:rPr>
      </w:pPr>
    </w:p>
    <w:p>
      <w:pPr>
        <w:pStyle w:val="2"/>
        <w:rPr>
          <w:rFonts w:hint="eastAsia" w:ascii="宋体" w:hAnsi="宋体"/>
          <w:b/>
          <w:bCs/>
          <w:sz w:val="24"/>
          <w:szCs w:val="24"/>
        </w:rPr>
      </w:pPr>
    </w:p>
    <w:p>
      <w:pPr>
        <w:pStyle w:val="2"/>
        <w:rPr>
          <w:rFonts w:hint="eastAsia" w:ascii="宋体" w:hAnsi="宋体"/>
          <w:b/>
          <w:bCs/>
          <w:sz w:val="24"/>
          <w:szCs w:val="24"/>
        </w:rPr>
      </w:pPr>
    </w:p>
    <w:p>
      <w:pPr>
        <w:pStyle w:val="2"/>
        <w:rPr>
          <w:rFonts w:hint="eastAsia" w:ascii="宋体" w:hAnsi="宋体"/>
          <w:b/>
          <w:bCs/>
          <w:sz w:val="24"/>
          <w:szCs w:val="24"/>
        </w:rPr>
      </w:pPr>
    </w:p>
    <w:p>
      <w:pPr>
        <w:pStyle w:val="2"/>
        <w:rPr>
          <w:rFonts w:hint="eastAsia" w:ascii="宋体" w:hAnsi="宋体"/>
          <w:b/>
          <w:bCs/>
          <w:sz w:val="24"/>
          <w:szCs w:val="24"/>
        </w:rPr>
      </w:pPr>
    </w:p>
    <w:p>
      <w:pPr>
        <w:pStyle w:val="2"/>
        <w:rPr>
          <w:rFonts w:hint="eastAsia" w:ascii="宋体" w:hAnsi="宋体"/>
          <w:b/>
          <w:bCs/>
          <w:sz w:val="24"/>
          <w:szCs w:val="24"/>
        </w:rPr>
      </w:pPr>
    </w:p>
    <w:p>
      <w:pPr>
        <w:pStyle w:val="2"/>
        <w:rPr>
          <w:rFonts w:hint="eastAsia" w:ascii="宋体" w:hAnsi="宋体"/>
          <w:b/>
          <w:bCs/>
          <w:sz w:val="24"/>
          <w:szCs w:val="24"/>
        </w:rPr>
      </w:pPr>
    </w:p>
    <w:p>
      <w:pPr>
        <w:pStyle w:val="2"/>
        <w:rPr>
          <w:rFonts w:hint="eastAsia" w:ascii="宋体" w:hAnsi="宋体"/>
          <w:b/>
          <w:bCs/>
          <w:sz w:val="24"/>
          <w:szCs w:val="24"/>
        </w:rPr>
      </w:pPr>
    </w:p>
    <w:p>
      <w:pPr>
        <w:pStyle w:val="2"/>
        <w:rPr>
          <w:rFonts w:hint="eastAsia" w:ascii="宋体" w:hAnsi="宋体"/>
          <w:b/>
          <w:bCs/>
          <w:sz w:val="24"/>
          <w:szCs w:val="24"/>
        </w:rPr>
      </w:pPr>
    </w:p>
    <w:p>
      <w:pPr>
        <w:pStyle w:val="2"/>
        <w:rPr>
          <w:rFonts w:hint="eastAsia" w:ascii="宋体" w:hAnsi="宋体"/>
          <w:b/>
          <w:bCs/>
          <w:sz w:val="24"/>
          <w:szCs w:val="24"/>
        </w:rPr>
      </w:pPr>
    </w:p>
    <w:p>
      <w:pPr>
        <w:pStyle w:val="2"/>
        <w:rPr>
          <w:rFonts w:hint="eastAsia" w:ascii="宋体" w:hAnsi="宋体"/>
          <w:b/>
          <w:bCs/>
          <w:sz w:val="24"/>
          <w:szCs w:val="24"/>
        </w:rPr>
      </w:pPr>
    </w:p>
    <w:p>
      <w:pPr>
        <w:pStyle w:val="2"/>
        <w:rPr>
          <w:rFonts w:hint="eastAsia" w:ascii="宋体" w:hAnsi="宋体"/>
          <w:b/>
          <w:bCs/>
          <w:sz w:val="24"/>
          <w:szCs w:val="24"/>
        </w:rPr>
      </w:pPr>
    </w:p>
    <w:p>
      <w:pPr>
        <w:pStyle w:val="2"/>
        <w:rPr>
          <w:rFonts w:hint="eastAsia" w:ascii="宋体" w:hAnsi="宋体"/>
          <w:b/>
          <w:bCs/>
          <w:sz w:val="24"/>
          <w:szCs w:val="24"/>
        </w:rPr>
      </w:pPr>
    </w:p>
    <w:p>
      <w:pPr>
        <w:spacing w:line="360" w:lineRule="auto"/>
        <w:jc w:val="center"/>
        <w:rPr>
          <w:rFonts w:ascii="宋体" w:hAnsi="宋体"/>
          <w:b/>
          <w:bCs/>
          <w:sz w:val="24"/>
        </w:rPr>
      </w:pPr>
      <w:r>
        <w:rPr>
          <w:rFonts w:hint="eastAsia" w:ascii="宋体" w:hAnsi="宋体"/>
          <w:b/>
          <w:bCs/>
          <w:sz w:val="24"/>
        </w:rPr>
        <w:t>廉政合作协议</w:t>
      </w:r>
    </w:p>
    <w:p>
      <w:pPr>
        <w:spacing w:line="360" w:lineRule="auto"/>
        <w:jc w:val="left"/>
        <w:rPr>
          <w:rFonts w:ascii="宋体" w:hAnsi="宋体" w:cs="宋体"/>
          <w:sz w:val="24"/>
        </w:rPr>
      </w:pPr>
    </w:p>
    <w:p>
      <w:pPr>
        <w:spacing w:line="360" w:lineRule="auto"/>
        <w:jc w:val="left"/>
        <w:rPr>
          <w:rFonts w:hint="eastAsia" w:ascii="宋体" w:hAnsi="宋体" w:eastAsia="宋体" w:cs="宋体"/>
          <w:sz w:val="24"/>
          <w:lang w:eastAsia="zh-CN"/>
        </w:rPr>
      </w:pPr>
      <w:r>
        <w:rPr>
          <w:rFonts w:hint="eastAsia" w:ascii="宋体" w:hAnsi="宋体" w:cs="宋体"/>
          <w:sz w:val="24"/>
        </w:rPr>
        <w:t>甲方：</w:t>
      </w:r>
      <w:r>
        <w:rPr>
          <w:rFonts w:hint="eastAsia" w:ascii="宋体" w:hAnsi="宋体" w:cs="宋体"/>
          <w:sz w:val="24"/>
          <w:lang w:eastAsia="zh-CN"/>
        </w:rPr>
        <w:t>洛阳浩德鑫置地有限公司</w:t>
      </w:r>
    </w:p>
    <w:p>
      <w:pPr>
        <w:spacing w:line="360" w:lineRule="auto"/>
        <w:jc w:val="left"/>
        <w:rPr>
          <w:rFonts w:hint="eastAsia" w:ascii="宋体" w:hAnsi="宋体" w:eastAsia="宋体" w:cs="宋体"/>
          <w:sz w:val="24"/>
          <w:lang w:eastAsia="zh-CN"/>
        </w:rPr>
      </w:pPr>
      <w:r>
        <w:rPr>
          <w:rFonts w:hint="eastAsia" w:ascii="宋体" w:hAnsi="宋体" w:cs="宋体"/>
          <w:sz w:val="24"/>
        </w:rPr>
        <w:t>乙方：</w:t>
      </w:r>
      <w:r>
        <w:rPr>
          <w:rFonts w:hint="eastAsia" w:ascii="宋体" w:hAnsi="宋体" w:cs="宋体"/>
          <w:sz w:val="24"/>
          <w:lang w:eastAsia="zh-CN"/>
        </w:rPr>
        <w:t>河南鼎甲装饰工程有限公司</w:t>
      </w:r>
    </w:p>
    <w:p>
      <w:pPr>
        <w:tabs>
          <w:tab w:val="left" w:pos="0"/>
        </w:tabs>
        <w:autoSpaceDN w:val="0"/>
        <w:spacing w:line="360" w:lineRule="auto"/>
        <w:ind w:firstLine="360"/>
        <w:rPr>
          <w:rFonts w:ascii="宋体" w:hAnsi="宋体" w:cs="宋体"/>
          <w:sz w:val="24"/>
        </w:rPr>
      </w:pPr>
      <w:r>
        <w:rPr>
          <w:rFonts w:hint="eastAsia" w:ascii="宋体" w:hAnsi="宋体" w:cs="宋体"/>
          <w:sz w:val="24"/>
        </w:rPr>
        <w:t>为加强工程项目建设期间的廉政管理，确保项目高效优质按期竣工，甲、乙双方经协商签定本协议并做为双方共同遵守的廉政行为准则。</w:t>
      </w:r>
    </w:p>
    <w:p>
      <w:pPr>
        <w:spacing w:line="360" w:lineRule="auto"/>
        <w:ind w:firstLine="482" w:firstLineChars="200"/>
        <w:rPr>
          <w:rFonts w:ascii="宋体" w:hAnsi="宋体" w:cs="宋体"/>
          <w:b/>
          <w:bCs/>
          <w:sz w:val="24"/>
        </w:rPr>
      </w:pPr>
      <w:r>
        <w:rPr>
          <w:rFonts w:hint="eastAsia" w:ascii="宋体" w:hAnsi="宋体" w:cs="宋体"/>
          <w:b/>
          <w:bCs/>
          <w:sz w:val="24"/>
        </w:rPr>
        <w:t>一．甲方责任</w:t>
      </w:r>
    </w:p>
    <w:p>
      <w:pPr>
        <w:spacing w:line="360" w:lineRule="auto"/>
        <w:ind w:firstLine="480" w:firstLineChars="200"/>
        <w:rPr>
          <w:rFonts w:ascii="宋体" w:hAnsi="宋体" w:cs="宋体"/>
          <w:sz w:val="24"/>
        </w:rPr>
      </w:pPr>
      <w:r>
        <w:rPr>
          <w:rFonts w:hint="eastAsia" w:ascii="宋体" w:hAnsi="宋体" w:cs="宋体"/>
          <w:sz w:val="24"/>
        </w:rPr>
        <w:t>1．甲方有责任向乙方介绍本单位有关廉政管理的各项制度和规定。</w:t>
      </w:r>
    </w:p>
    <w:p>
      <w:pPr>
        <w:spacing w:line="360" w:lineRule="auto"/>
        <w:ind w:firstLine="480" w:firstLineChars="200"/>
        <w:rPr>
          <w:rFonts w:ascii="宋体" w:hAnsi="宋体" w:cs="宋体"/>
          <w:sz w:val="24"/>
        </w:rPr>
      </w:pPr>
      <w:r>
        <w:rPr>
          <w:rFonts w:hint="eastAsia" w:ascii="宋体" w:hAnsi="宋体" w:cs="宋体"/>
          <w:sz w:val="24"/>
        </w:rPr>
        <w:t>2．甲方有责任对本单位项目管理人员进行廉政教育。</w:t>
      </w:r>
    </w:p>
    <w:p>
      <w:pPr>
        <w:spacing w:line="360" w:lineRule="auto"/>
        <w:ind w:firstLine="480" w:firstLineChars="200"/>
        <w:rPr>
          <w:rFonts w:ascii="宋体" w:hAnsi="宋体" w:cs="宋体"/>
          <w:sz w:val="24"/>
        </w:rPr>
      </w:pPr>
      <w:r>
        <w:rPr>
          <w:rFonts w:hint="eastAsia" w:ascii="宋体" w:hAnsi="宋体" w:cs="宋体"/>
          <w:sz w:val="24"/>
        </w:rPr>
        <w:t>3．甲方人员应严格遵守本单位有关廉政管理的规定，不得接受乙方的宴请，不得接受任何形式的实物、现金或礼券。</w:t>
      </w:r>
    </w:p>
    <w:p>
      <w:pPr>
        <w:spacing w:line="360" w:lineRule="auto"/>
        <w:ind w:firstLine="480" w:firstLineChars="200"/>
        <w:rPr>
          <w:rFonts w:ascii="宋体" w:hAnsi="宋体" w:cs="宋体"/>
          <w:sz w:val="24"/>
        </w:rPr>
      </w:pPr>
      <w:r>
        <w:rPr>
          <w:rFonts w:hint="eastAsia" w:ascii="宋体" w:hAnsi="宋体" w:cs="宋体"/>
          <w:sz w:val="24"/>
        </w:rPr>
        <w:t>4．甲方在项目建设期间发现甲方人员任何形式的索贿受贿行为，均应及时采取措施予以制止，并及时通报乙方单位领导。</w:t>
      </w:r>
    </w:p>
    <w:p>
      <w:pPr>
        <w:spacing w:line="360" w:lineRule="auto"/>
        <w:ind w:firstLine="480" w:firstLineChars="200"/>
        <w:rPr>
          <w:rFonts w:ascii="宋体" w:hAnsi="宋体" w:cs="宋体"/>
          <w:sz w:val="24"/>
        </w:rPr>
      </w:pPr>
      <w:r>
        <w:rPr>
          <w:rFonts w:hint="eastAsia" w:ascii="宋体" w:hAnsi="宋体" w:cs="宋体"/>
          <w:sz w:val="24"/>
        </w:rPr>
        <w:t>5．甲方人员如违反廉政管理制度及本协议规定，甲方应视情节轻重、影响大小给予处罚。</w:t>
      </w:r>
    </w:p>
    <w:p>
      <w:pPr>
        <w:spacing w:line="360" w:lineRule="auto"/>
        <w:ind w:firstLine="480" w:firstLineChars="200"/>
        <w:rPr>
          <w:rFonts w:ascii="宋体" w:hAnsi="宋体" w:cs="宋体"/>
          <w:sz w:val="24"/>
        </w:rPr>
      </w:pPr>
      <w:r>
        <w:rPr>
          <w:rFonts w:hint="eastAsia" w:ascii="宋体" w:hAnsi="宋体" w:cs="宋体"/>
          <w:sz w:val="24"/>
        </w:rPr>
        <w:t>6．对于乙方举报甲方人员违反廉政规定的情况，甲方应及时进行调查，根据调查情况进行处理。</w:t>
      </w:r>
    </w:p>
    <w:p>
      <w:pPr>
        <w:spacing w:line="360" w:lineRule="auto"/>
        <w:ind w:firstLine="482" w:firstLineChars="200"/>
        <w:rPr>
          <w:rFonts w:ascii="宋体" w:hAnsi="宋体" w:cs="宋体"/>
          <w:b/>
          <w:bCs/>
          <w:sz w:val="24"/>
        </w:rPr>
      </w:pPr>
      <w:r>
        <w:rPr>
          <w:rFonts w:hint="eastAsia" w:ascii="宋体" w:hAnsi="宋体" w:cs="宋体"/>
          <w:b/>
          <w:bCs/>
          <w:sz w:val="24"/>
        </w:rPr>
        <w:t>二．乙方责任</w:t>
      </w:r>
    </w:p>
    <w:p>
      <w:pPr>
        <w:spacing w:line="360" w:lineRule="auto"/>
        <w:ind w:firstLine="480" w:firstLineChars="200"/>
        <w:rPr>
          <w:rFonts w:ascii="宋体" w:hAnsi="宋体" w:cs="宋体"/>
          <w:sz w:val="24"/>
        </w:rPr>
      </w:pPr>
      <w:r>
        <w:rPr>
          <w:rFonts w:hint="eastAsia" w:ascii="宋体" w:hAnsi="宋体" w:cs="宋体"/>
          <w:sz w:val="24"/>
        </w:rPr>
        <w:t>1．乙方应保证乙方有关人员了解甲方有关廉政管理的各项制度及本协议的规定，并遵照执行。</w:t>
      </w:r>
    </w:p>
    <w:p>
      <w:pPr>
        <w:spacing w:line="360" w:lineRule="auto"/>
        <w:ind w:firstLine="480" w:firstLineChars="200"/>
        <w:rPr>
          <w:rFonts w:ascii="宋体" w:hAnsi="宋体" w:cs="宋体"/>
          <w:sz w:val="24"/>
        </w:rPr>
      </w:pPr>
      <w:r>
        <w:rPr>
          <w:rFonts w:hint="eastAsia" w:ascii="宋体" w:hAnsi="宋体" w:cs="宋体"/>
          <w:sz w:val="24"/>
        </w:rPr>
        <w:t>2．乙方不得宴请甲方人员，不得以任何形式赠送实物、现金或礼券。</w:t>
      </w:r>
    </w:p>
    <w:p>
      <w:pPr>
        <w:spacing w:line="360" w:lineRule="auto"/>
        <w:ind w:firstLine="480" w:firstLineChars="200"/>
        <w:rPr>
          <w:rFonts w:ascii="宋体" w:hAnsi="宋体" w:cs="宋体"/>
          <w:sz w:val="24"/>
        </w:rPr>
      </w:pPr>
      <w:r>
        <w:rPr>
          <w:rFonts w:hint="eastAsia" w:ascii="宋体" w:hAnsi="宋体" w:cs="宋体"/>
          <w:sz w:val="24"/>
        </w:rPr>
        <w:t>3．乙方在项目建设期间发现乙方人员任何向甲方人员行贿行为，均应及时采取措施予以制止，并及时通报甲方单位领导。</w:t>
      </w:r>
    </w:p>
    <w:p>
      <w:pPr>
        <w:spacing w:line="360" w:lineRule="auto"/>
        <w:ind w:firstLine="480" w:firstLineChars="200"/>
        <w:rPr>
          <w:rFonts w:ascii="宋体" w:hAnsi="宋体" w:cs="宋体"/>
          <w:sz w:val="24"/>
        </w:rPr>
      </w:pPr>
      <w:r>
        <w:rPr>
          <w:rFonts w:hint="eastAsia" w:ascii="宋体" w:hAnsi="宋体" w:cs="宋体"/>
          <w:sz w:val="24"/>
        </w:rPr>
        <w:t>4．乙方有责任接受甲方对乙方在项目建设期间廉政管理执行情况的监督。</w:t>
      </w:r>
    </w:p>
    <w:p>
      <w:pPr>
        <w:spacing w:line="360" w:lineRule="auto"/>
        <w:ind w:firstLine="480" w:firstLineChars="200"/>
        <w:rPr>
          <w:rFonts w:ascii="宋体" w:hAnsi="宋体" w:cs="宋体"/>
          <w:sz w:val="24"/>
        </w:rPr>
      </w:pPr>
      <w:r>
        <w:rPr>
          <w:rFonts w:hint="eastAsia" w:ascii="宋体" w:hAnsi="宋体" w:cs="宋体"/>
          <w:sz w:val="24"/>
        </w:rPr>
        <w:t>5．乙方单位人员有义务就甲方人员任何形式的索贿或受贿行为及时向甲方单位领导举报；如乙方向甲方人员行贿，或甲方人员向乙方索贿，乙方满足其要求且未向甲方举报的，一经查实，除追回由此给甲方造成的损失外，甲方可要求乙方支付5-100万元的违约金。</w:t>
      </w:r>
    </w:p>
    <w:p>
      <w:pPr>
        <w:spacing w:line="360" w:lineRule="auto"/>
        <w:ind w:firstLine="480" w:firstLineChars="200"/>
        <w:rPr>
          <w:rFonts w:ascii="宋体" w:hAnsi="宋体" w:cs="宋体"/>
          <w:sz w:val="24"/>
        </w:rPr>
      </w:pPr>
      <w:r>
        <w:rPr>
          <w:rFonts w:hint="eastAsia" w:ascii="宋体" w:hAnsi="宋体" w:cs="宋体"/>
          <w:sz w:val="24"/>
        </w:rPr>
        <w:t>6．如因乙方或其人员在项目建设期间贿赂甲方人员，被检查机关立案查处的，甲方有权中止合同履行或解除合同，由此给甲方造成的损失，均由乙方负责赔偿。</w:t>
      </w:r>
    </w:p>
    <w:p>
      <w:pPr>
        <w:spacing w:line="360" w:lineRule="auto"/>
        <w:rPr>
          <w:rFonts w:ascii="宋体" w:hAnsi="宋体" w:cs="宋体"/>
          <w:sz w:val="24"/>
        </w:rPr>
      </w:pPr>
      <w:r>
        <w:rPr>
          <w:rFonts w:hint="eastAsia" w:ascii="宋体" w:hAnsi="宋体" w:cs="宋体"/>
          <w:sz w:val="24"/>
        </w:rPr>
        <w:t xml:space="preserve">   </w:t>
      </w:r>
    </w:p>
    <w:p>
      <w:pPr>
        <w:spacing w:line="360" w:lineRule="auto"/>
        <w:ind w:firstLine="480" w:firstLineChars="200"/>
        <w:rPr>
          <w:rFonts w:hint="eastAsia" w:ascii="宋体" w:hAnsi="宋体" w:cs="宋体"/>
          <w:b/>
          <w:bCs/>
          <w:color w:val="000000"/>
          <w:sz w:val="24"/>
          <w:szCs w:val="32"/>
        </w:rPr>
      </w:pPr>
      <w:r>
        <w:rPr>
          <w:rFonts w:hint="eastAsia" w:ascii="宋体" w:hAnsi="宋体" w:cs="宋体"/>
          <w:sz w:val="24"/>
        </w:rPr>
        <w:t xml:space="preserve"> </w:t>
      </w:r>
      <w:r>
        <w:rPr>
          <w:rFonts w:hint="eastAsia" w:ascii="宋体" w:hAnsi="宋体" w:cs="宋体"/>
          <w:b/>
          <w:bCs/>
          <w:sz w:val="24"/>
        </w:rPr>
        <w:t>三、</w:t>
      </w:r>
      <w:r>
        <w:rPr>
          <w:rFonts w:hint="eastAsia" w:ascii="宋体" w:hAnsi="宋体" w:cs="宋体"/>
          <w:b/>
          <w:bCs/>
          <w:color w:val="000000"/>
          <w:sz w:val="24"/>
          <w:szCs w:val="32"/>
        </w:rPr>
        <w:t>为维护甲乙双方的合法利益，营造良好的商务环境，甲方建立多种举报渠道（如下）。甲方内控督查督办人员将恪守职业道德，严格履行保密义务！</w:t>
      </w:r>
    </w:p>
    <w:p>
      <w:pPr>
        <w:spacing w:line="360" w:lineRule="auto"/>
        <w:ind w:firstLine="480" w:firstLineChars="200"/>
        <w:rPr>
          <w:rFonts w:hint="eastAsia" w:ascii="宋体" w:hAnsi="宋体" w:cs="宋体"/>
          <w:color w:val="000000"/>
          <w:sz w:val="24"/>
          <w:szCs w:val="32"/>
        </w:rPr>
      </w:pPr>
      <w:r>
        <w:rPr>
          <w:rFonts w:hint="eastAsia" w:ascii="宋体" w:hAnsi="宋体" w:cs="宋体"/>
          <w:color w:val="000000"/>
          <w:sz w:val="24"/>
          <w:szCs w:val="32"/>
        </w:rPr>
        <w:drawing>
          <wp:anchor distT="0" distB="0" distL="114300" distR="114300" simplePos="0" relativeHeight="251659264" behindDoc="0" locked="0" layoutInCell="1" allowOverlap="1">
            <wp:simplePos x="0" y="0"/>
            <wp:positionH relativeFrom="column">
              <wp:posOffset>4382770</wp:posOffset>
            </wp:positionH>
            <wp:positionV relativeFrom="paragraph">
              <wp:posOffset>61595</wp:posOffset>
            </wp:positionV>
            <wp:extent cx="1265555" cy="1265555"/>
            <wp:effectExtent l="0" t="0" r="14605" b="14605"/>
            <wp:wrapNone/>
            <wp:docPr id="8" name="图片 3" descr="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 descr="32dc313b898daf07a491037a11ba2c8"/>
                    <pic:cNvPicPr>
                      <a:picLocks noChangeAspect="1"/>
                    </pic:cNvPicPr>
                  </pic:nvPicPr>
                  <pic:blipFill>
                    <a:blip r:embed="rId6"/>
                    <a:stretch>
                      <a:fillRect/>
                    </a:stretch>
                  </pic:blipFill>
                  <pic:spPr>
                    <a:xfrm>
                      <a:off x="0" y="0"/>
                      <a:ext cx="1265555" cy="1265555"/>
                    </a:xfrm>
                    <a:prstGeom prst="rect">
                      <a:avLst/>
                    </a:prstGeom>
                    <a:noFill/>
                    <a:ln>
                      <a:noFill/>
                    </a:ln>
                  </pic:spPr>
                </pic:pic>
              </a:graphicData>
            </a:graphic>
          </wp:anchor>
        </w:drawing>
      </w:r>
      <w:r>
        <w:rPr>
          <w:rFonts w:hint="eastAsia" w:ascii="宋体" w:hAnsi="宋体" w:cs="宋体"/>
          <w:color w:val="000000"/>
          <w:sz w:val="24"/>
          <w:szCs w:val="32"/>
        </w:rPr>
        <w:t>（1）电话：王先生：18638357973</w:t>
      </w:r>
    </w:p>
    <w:p>
      <w:pPr>
        <w:spacing w:line="360" w:lineRule="auto"/>
        <w:ind w:firstLine="480" w:firstLineChars="200"/>
        <w:rPr>
          <w:rFonts w:hint="eastAsia" w:ascii="宋体" w:hAnsi="宋体" w:cs="宋体"/>
          <w:color w:val="000000"/>
          <w:sz w:val="24"/>
          <w:szCs w:val="32"/>
        </w:rPr>
      </w:pPr>
      <w:r>
        <w:rPr>
          <w:rFonts w:hint="eastAsia" w:ascii="宋体" w:hAnsi="宋体" w:cs="宋体"/>
          <w:color w:val="000000"/>
          <w:sz w:val="24"/>
          <w:szCs w:val="32"/>
        </w:rPr>
        <w:t>（2）电话：杨先生：15670305910</w:t>
      </w:r>
    </w:p>
    <w:p>
      <w:pPr>
        <w:spacing w:line="360" w:lineRule="auto"/>
        <w:ind w:firstLine="480" w:firstLineChars="200"/>
        <w:rPr>
          <w:rFonts w:hint="eastAsia" w:ascii="宋体" w:hAnsi="宋体" w:cs="宋体"/>
          <w:color w:val="000000"/>
          <w:sz w:val="24"/>
          <w:szCs w:val="32"/>
        </w:rPr>
      </w:pPr>
      <w:r>
        <w:rPr>
          <w:rFonts w:hint="eastAsia" w:ascii="宋体" w:hAnsi="宋体" w:cs="宋体"/>
          <w:color w:val="000000"/>
          <w:sz w:val="24"/>
          <w:szCs w:val="32"/>
        </w:rPr>
        <w:t>（3）邮箱：hddcfkb@Foxmail.com</w:t>
      </w:r>
    </w:p>
    <w:p>
      <w:pPr>
        <w:spacing w:line="360" w:lineRule="auto"/>
        <w:ind w:firstLine="480" w:firstLineChars="200"/>
        <w:rPr>
          <w:rFonts w:ascii="宋体" w:hAnsi="宋体" w:cs="宋体"/>
          <w:sz w:val="24"/>
        </w:rPr>
      </w:pPr>
      <w:r>
        <w:rPr>
          <w:rFonts w:hint="eastAsia" w:ascii="宋体" w:hAnsi="宋体" w:cs="宋体"/>
          <w:color w:val="000000"/>
          <w:sz w:val="24"/>
          <w:szCs w:val="32"/>
        </w:rPr>
        <w:t>（4）直接和督查督办人员约定场所当面举报。</w:t>
      </w:r>
    </w:p>
    <w:p>
      <w:pPr>
        <w:spacing w:line="360" w:lineRule="auto"/>
        <w:ind w:firstLine="480" w:firstLineChars="200"/>
        <w:rPr>
          <w:rFonts w:ascii="宋体" w:hAnsi="宋体" w:cs="宋体"/>
          <w:sz w:val="24"/>
        </w:rPr>
      </w:pPr>
    </w:p>
    <w:p>
      <w:pPr>
        <w:spacing w:line="360" w:lineRule="auto"/>
        <w:ind w:firstLine="482" w:firstLineChars="200"/>
        <w:rPr>
          <w:rFonts w:ascii="宋体" w:hAnsi="宋体" w:cs="宋体"/>
          <w:b/>
          <w:bCs/>
          <w:sz w:val="24"/>
        </w:rPr>
      </w:pPr>
      <w:r>
        <w:rPr>
          <w:rFonts w:hint="eastAsia" w:ascii="宋体" w:hAnsi="宋体" w:cs="宋体"/>
          <w:b/>
          <w:bCs/>
          <w:sz w:val="24"/>
        </w:rPr>
        <w:t>四、甲乙双方发现对方工作人员有下列行为之一的，可通过第三条约定的渠道进行举报：</w:t>
      </w:r>
    </w:p>
    <w:p>
      <w:pPr>
        <w:spacing w:line="360" w:lineRule="auto"/>
        <w:ind w:firstLine="480" w:firstLineChars="200"/>
        <w:rPr>
          <w:rFonts w:ascii="宋体" w:hAnsi="宋体" w:cs="宋体"/>
          <w:sz w:val="24"/>
        </w:rPr>
      </w:pPr>
      <w:r>
        <w:rPr>
          <w:rFonts w:hint="eastAsia" w:ascii="宋体" w:hAnsi="宋体" w:cs="宋体"/>
          <w:sz w:val="24"/>
        </w:rPr>
        <w:t>1.推诿扯皮、有责不负、处事消极、渎职失职、弄虚作假等行为。</w:t>
      </w:r>
    </w:p>
    <w:p>
      <w:pPr>
        <w:spacing w:line="360" w:lineRule="auto"/>
        <w:ind w:firstLine="480" w:firstLineChars="200"/>
        <w:rPr>
          <w:rFonts w:ascii="宋体" w:hAnsi="宋体" w:cs="宋体"/>
          <w:sz w:val="24"/>
        </w:rPr>
      </w:pPr>
      <w:r>
        <w:rPr>
          <w:rFonts w:hint="eastAsia" w:ascii="宋体" w:hAnsi="宋体" w:cs="宋体"/>
          <w:sz w:val="24"/>
        </w:rPr>
        <w:t>2.以权谋私、滥用职权、处事不公、隐瞒事故、违章指挥造成公司严重事故隐患的行为。</w:t>
      </w:r>
    </w:p>
    <w:p>
      <w:pPr>
        <w:spacing w:line="360" w:lineRule="auto"/>
        <w:ind w:firstLine="480" w:firstLineChars="200"/>
        <w:rPr>
          <w:rFonts w:ascii="宋体" w:hAnsi="宋体" w:cs="宋体"/>
          <w:sz w:val="24"/>
        </w:rPr>
      </w:pPr>
      <w:r>
        <w:rPr>
          <w:rFonts w:hint="eastAsia" w:ascii="宋体" w:hAnsi="宋体" w:cs="宋体"/>
          <w:sz w:val="24"/>
        </w:rPr>
        <w:t>3.贪污、受贿、盗窃、欺上瞒下等违法乱纪行为。</w:t>
      </w:r>
    </w:p>
    <w:p>
      <w:pPr>
        <w:spacing w:line="360" w:lineRule="auto"/>
        <w:ind w:firstLine="480" w:firstLineChars="200"/>
        <w:rPr>
          <w:rFonts w:ascii="宋体" w:hAnsi="宋体" w:cs="宋体"/>
          <w:sz w:val="24"/>
        </w:rPr>
      </w:pPr>
      <w:r>
        <w:rPr>
          <w:rFonts w:hint="eastAsia" w:ascii="宋体" w:hAnsi="宋体" w:cs="宋体"/>
          <w:sz w:val="24"/>
        </w:rPr>
        <w:t>4.出卖、泄露公司商业机密等危害公司行为。</w:t>
      </w:r>
    </w:p>
    <w:p>
      <w:pPr>
        <w:spacing w:line="360" w:lineRule="auto"/>
        <w:ind w:firstLine="480" w:firstLineChars="200"/>
        <w:rPr>
          <w:rFonts w:ascii="宋体" w:hAnsi="宋体" w:cs="宋体"/>
          <w:sz w:val="24"/>
        </w:rPr>
      </w:pPr>
      <w:r>
        <w:rPr>
          <w:rFonts w:hint="eastAsia" w:ascii="宋体" w:hAnsi="宋体" w:cs="宋体"/>
          <w:sz w:val="24"/>
        </w:rPr>
        <w:t>5.重大经济活动未按公司制度、流程执行的违规违纪行为。</w:t>
      </w:r>
    </w:p>
    <w:p>
      <w:pPr>
        <w:spacing w:line="360" w:lineRule="auto"/>
        <w:ind w:firstLine="480" w:firstLineChars="200"/>
        <w:rPr>
          <w:rFonts w:ascii="宋体" w:hAnsi="宋体" w:cs="宋体"/>
          <w:sz w:val="24"/>
        </w:rPr>
      </w:pPr>
      <w:r>
        <w:rPr>
          <w:rFonts w:hint="eastAsia" w:ascii="宋体" w:hAnsi="宋体" w:cs="宋体"/>
          <w:sz w:val="24"/>
        </w:rPr>
        <w:t>6.利用职权，任人唯亲，拉帮结派，搞小利益团体或对同事正当行使权利进行打击报复的行为。</w:t>
      </w:r>
    </w:p>
    <w:p>
      <w:pPr>
        <w:spacing w:line="360" w:lineRule="auto"/>
        <w:ind w:firstLine="480" w:firstLineChars="200"/>
        <w:rPr>
          <w:rFonts w:ascii="宋体" w:hAnsi="宋体" w:cs="宋体"/>
          <w:sz w:val="24"/>
        </w:rPr>
      </w:pPr>
      <w:r>
        <w:rPr>
          <w:rFonts w:hint="eastAsia" w:ascii="宋体" w:hAnsi="宋体" w:cs="宋体"/>
          <w:sz w:val="24"/>
        </w:rPr>
        <w:t>7.故意涂改公司文件或以公司名义谋私利，损害公司荣誉和利益的行为。</w:t>
      </w:r>
    </w:p>
    <w:p>
      <w:pPr>
        <w:spacing w:line="360" w:lineRule="auto"/>
        <w:ind w:firstLine="480" w:firstLineChars="200"/>
        <w:rPr>
          <w:rFonts w:ascii="宋体" w:hAnsi="宋体" w:cs="宋体"/>
          <w:sz w:val="24"/>
        </w:rPr>
      </w:pPr>
      <w:r>
        <w:rPr>
          <w:rFonts w:hint="eastAsia" w:ascii="宋体" w:hAnsi="宋体" w:cs="宋体"/>
          <w:sz w:val="24"/>
        </w:rPr>
        <w:t>8.私自侵占、挪用公司财物，损坏公司重要设备或资产的行为。</w:t>
      </w:r>
    </w:p>
    <w:p>
      <w:pPr>
        <w:spacing w:line="360" w:lineRule="auto"/>
        <w:ind w:firstLine="480" w:firstLineChars="200"/>
        <w:rPr>
          <w:rFonts w:ascii="宋体" w:hAnsi="宋体" w:cs="宋体"/>
          <w:sz w:val="24"/>
        </w:rPr>
      </w:pPr>
      <w:r>
        <w:rPr>
          <w:rFonts w:hint="eastAsia" w:ascii="宋体" w:hAnsi="宋体" w:cs="宋体"/>
          <w:sz w:val="24"/>
        </w:rPr>
        <w:t>9.破坏团队和谐，故意挑拨员工之间关系，对同事恶意侮辱、陷害、制造事端的行为。</w:t>
      </w:r>
    </w:p>
    <w:p>
      <w:pPr>
        <w:spacing w:line="360" w:lineRule="auto"/>
        <w:ind w:firstLine="480" w:firstLineChars="200"/>
        <w:rPr>
          <w:rFonts w:ascii="宋体" w:hAnsi="宋体" w:cs="宋体"/>
          <w:sz w:val="24"/>
        </w:rPr>
      </w:pPr>
      <w:r>
        <w:rPr>
          <w:rFonts w:hint="eastAsia" w:ascii="宋体" w:hAnsi="宋体" w:cs="宋体"/>
          <w:sz w:val="24"/>
        </w:rPr>
        <w:t>10.妄议集团经营、管理、决策部署、会议决议，对正当行使职权的执法部门、员工进行设置障碍、诋毁、恶意侮辱的行为。</w:t>
      </w:r>
    </w:p>
    <w:p>
      <w:pPr>
        <w:spacing w:line="360" w:lineRule="auto"/>
        <w:ind w:firstLine="480" w:firstLineChars="200"/>
        <w:rPr>
          <w:rFonts w:ascii="宋体" w:hAnsi="宋体" w:cs="宋体"/>
          <w:sz w:val="24"/>
        </w:rPr>
      </w:pPr>
      <w:r>
        <w:rPr>
          <w:rFonts w:hint="eastAsia" w:ascii="宋体" w:hAnsi="宋体" w:cs="宋体"/>
          <w:sz w:val="24"/>
        </w:rPr>
        <w:t>11.其它违反法律或者</w:t>
      </w:r>
      <w:r>
        <w:rPr>
          <w:rFonts w:hint="eastAsia" w:ascii="宋体" w:hAnsi="宋体" w:cs="宋体"/>
          <w:sz w:val="24"/>
          <w:lang w:eastAsia="zh-CN"/>
        </w:rPr>
        <w:t>甲方</w:t>
      </w:r>
      <w:r>
        <w:rPr>
          <w:rFonts w:hint="eastAsia" w:ascii="宋体" w:hAnsi="宋体" w:cs="宋体"/>
          <w:sz w:val="24"/>
        </w:rPr>
        <w:t>公司相关制度的行为。</w:t>
      </w:r>
    </w:p>
    <w:p>
      <w:pPr>
        <w:spacing w:line="360" w:lineRule="auto"/>
        <w:ind w:firstLine="480" w:firstLineChars="200"/>
        <w:rPr>
          <w:rFonts w:ascii="宋体" w:hAnsi="宋体" w:cs="宋体"/>
          <w:sz w:val="24"/>
        </w:rPr>
      </w:pPr>
      <w:r>
        <w:rPr>
          <w:rFonts w:hint="eastAsia" w:ascii="宋体" w:hAnsi="宋体" w:cs="宋体"/>
          <w:sz w:val="24"/>
        </w:rPr>
        <w:t>（以下无正文）</w:t>
      </w:r>
    </w:p>
    <w:p>
      <w:pPr>
        <w:spacing w:line="360" w:lineRule="auto"/>
        <w:jc w:val="left"/>
        <w:rPr>
          <w:rFonts w:ascii="宋体" w:hAnsi="宋体" w:cs="宋体"/>
          <w:sz w:val="24"/>
        </w:rPr>
      </w:pPr>
    </w:p>
    <w:p>
      <w:pPr>
        <w:spacing w:line="360" w:lineRule="auto"/>
        <w:jc w:val="left"/>
        <w:rPr>
          <w:rFonts w:hint="eastAsia" w:ascii="宋体" w:hAnsi="宋体" w:eastAsia="宋体" w:cs="宋体"/>
          <w:sz w:val="24"/>
          <w:lang w:eastAsia="zh-CN"/>
        </w:rPr>
      </w:pPr>
      <w:r>
        <w:rPr>
          <w:rFonts w:hint="eastAsia" w:ascii="宋体" w:hAnsi="宋体" w:cs="宋体"/>
          <w:sz w:val="24"/>
        </w:rPr>
        <w:t>甲方：</w:t>
      </w:r>
      <w:r>
        <w:rPr>
          <w:rFonts w:hint="eastAsia" w:ascii="宋体" w:hAnsi="宋体" w:cs="宋体"/>
          <w:sz w:val="24"/>
          <w:lang w:eastAsia="zh-CN"/>
        </w:rPr>
        <w:t>洛阳浩德鑫置地有限公司</w:t>
      </w:r>
      <w:r>
        <w:rPr>
          <w:rFonts w:hint="eastAsia" w:ascii="宋体" w:hAnsi="宋体" w:cs="宋体"/>
          <w:sz w:val="24"/>
        </w:rPr>
        <w:t xml:space="preserve">          乙方：</w:t>
      </w:r>
      <w:r>
        <w:rPr>
          <w:rFonts w:hint="eastAsia" w:ascii="宋体" w:hAnsi="宋体" w:cs="宋体"/>
          <w:sz w:val="24"/>
          <w:lang w:eastAsia="zh-CN"/>
        </w:rPr>
        <w:t>河南鼎甲装饰工程有限公司</w:t>
      </w:r>
    </w:p>
    <w:p>
      <w:pPr>
        <w:pStyle w:val="18"/>
        <w:ind w:firstLine="4800" w:firstLineChars="2000"/>
        <w:rPr>
          <w:rFonts w:hint="default" w:ascii="宋体" w:hAnsi="宋体" w:eastAsia="宋体" w:cs="宋体"/>
          <w:sz w:val="24"/>
          <w:lang w:val="en-US" w:eastAsia="zh-CN"/>
        </w:rPr>
      </w:pPr>
      <w:r>
        <w:rPr>
          <w:rFonts w:hint="eastAsia" w:ascii="宋体" w:hAnsi="宋体" w:cs="宋体"/>
          <w:sz w:val="24"/>
          <w:lang w:val="en-US" w:eastAsia="zh-CN"/>
        </w:rPr>
        <w:t>2021年7月15日</w:t>
      </w:r>
    </w:p>
    <w:p>
      <w:pPr>
        <w:pStyle w:val="19"/>
        <w:rPr>
          <w:rFonts w:hint="eastAsia" w:ascii="宋体" w:hAnsi="宋体" w:cs="宋体"/>
          <w:sz w:val="24"/>
        </w:rPr>
      </w:pPr>
    </w:p>
    <w:p>
      <w:pPr>
        <w:pStyle w:val="20"/>
        <w:rPr>
          <w:rFonts w:hint="eastAsia" w:ascii="宋体" w:hAnsi="宋体" w:cs="宋体"/>
          <w:sz w:val="24"/>
        </w:rPr>
      </w:pPr>
    </w:p>
    <w:p>
      <w:pPr>
        <w:rPr>
          <w:b/>
          <w:bCs/>
          <w:sz w:val="36"/>
          <w:szCs w:val="36"/>
        </w:rPr>
      </w:pPr>
    </w:p>
    <w:p>
      <w:pPr>
        <w:autoSpaceDN w:val="0"/>
        <w:ind w:firstLine="420" w:firstLineChars="200"/>
        <w:rPr>
          <w:rFonts w:ascii="宋体" w:hAnsi="宋体"/>
          <w:szCs w:val="24"/>
        </w:rPr>
      </w:pPr>
    </w:p>
    <w:p>
      <w:pPr>
        <w:tabs>
          <w:tab w:val="left" w:pos="5145"/>
        </w:tabs>
        <w:autoSpaceDN w:val="0"/>
        <w:spacing w:after="156" w:afterLines="50"/>
        <w:rPr>
          <w:rFonts w:ascii="宋体"/>
          <w:b/>
          <w:bCs/>
          <w:sz w:val="44"/>
          <w:szCs w:val="44"/>
        </w:rPr>
      </w:pPr>
    </w:p>
    <w:p>
      <w:pPr>
        <w:tabs>
          <w:tab w:val="left" w:pos="5145"/>
        </w:tabs>
        <w:autoSpaceDN w:val="0"/>
        <w:spacing w:after="156" w:afterLines="50"/>
        <w:rPr>
          <w:rFonts w:ascii="宋体"/>
          <w:b/>
          <w:bCs/>
          <w:sz w:val="44"/>
          <w:szCs w:val="44"/>
        </w:rPr>
      </w:pPr>
    </w:p>
    <w:sectPr>
      <w:headerReference r:id="rId3" w:type="default"/>
      <w:footerReference r:id="rId4" w:type="default"/>
      <w:pgSz w:w="11907" w:h="16840"/>
      <w:pgMar w:top="1247" w:right="980" w:bottom="1247" w:left="847" w:header="851" w:footer="680"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Arial Unicode MS">
    <w:panose1 w:val="020B0604020202020204"/>
    <w:charset w:val="86"/>
    <w:family w:val="swiss"/>
    <w:pitch w:val="default"/>
    <w:sig w:usb0="FFFFFFFF" w:usb1="E9FFFFFF" w:usb2="0000003F" w:usb3="00000000" w:csb0="603F01FF" w:csb1="FFFF0000"/>
  </w:font>
  <w:font w:name="Batang">
    <w:panose1 w:val="02030600000101010101"/>
    <w:charset w:val="81"/>
    <w:family w:val="auto"/>
    <w:pitch w:val="default"/>
    <w:sig w:usb0="B00002AF" w:usb1="69D77CFB" w:usb2="00000030" w:usb3="00000000" w:csb0="4008009F" w:csb1="DFD7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top w:val="single" w:color="auto" w:sz="4" w:space="1"/>
      </w:pBdr>
      <w:ind w:left="-141" w:leftChars="-67" w:right="360"/>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1"/>
                            <w:rPr>
                              <w:rStyle w:val="48"/>
                            </w:rPr>
                          </w:pPr>
                          <w:r>
                            <w:rPr>
                              <w:rStyle w:val="48"/>
                            </w:rPr>
                            <w:fldChar w:fldCharType="begin"/>
                          </w:r>
                          <w:r>
                            <w:rPr>
                              <w:rStyle w:val="48"/>
                            </w:rPr>
                            <w:instrText xml:space="preserve">PAGE  </w:instrText>
                          </w:r>
                          <w:r>
                            <w:rPr>
                              <w:rStyle w:val="48"/>
                            </w:rPr>
                            <w:fldChar w:fldCharType="separate"/>
                          </w:r>
                          <w:r>
                            <w:rPr>
                              <w:rStyle w:val="48"/>
                            </w:rPr>
                            <w:t>15</w:t>
                          </w:r>
                          <w:r>
                            <w:rPr>
                              <w:rStyle w:val="48"/>
                            </w:rPr>
                            <w:fldChar w:fldCharType="end"/>
                          </w:r>
                        </w:p>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31"/>
                      <w:rPr>
                        <w:rStyle w:val="48"/>
                      </w:rPr>
                    </w:pPr>
                    <w:r>
                      <w:rPr>
                        <w:rStyle w:val="48"/>
                      </w:rPr>
                      <w:fldChar w:fldCharType="begin"/>
                    </w:r>
                    <w:r>
                      <w:rPr>
                        <w:rStyle w:val="48"/>
                      </w:rPr>
                      <w:instrText xml:space="preserve">PAGE  </w:instrText>
                    </w:r>
                    <w:r>
                      <w:rPr>
                        <w:rStyle w:val="48"/>
                      </w:rPr>
                      <w:fldChar w:fldCharType="separate"/>
                    </w:r>
                    <w:r>
                      <w:rPr>
                        <w:rStyle w:val="48"/>
                      </w:rPr>
                      <w:t>15</w:t>
                    </w:r>
                    <w:r>
                      <w:rPr>
                        <w:rStyle w:val="48"/>
                      </w:rPr>
                      <w:fldChar w:fldCharType="end"/>
                    </w:r>
                  </w:p>
                  <w:p/>
                </w:txbxContent>
              </v:textbox>
            </v:shape>
          </w:pict>
        </mc:Fallback>
      </mc:AlternateContent>
    </w:r>
    <w:r>
      <w:rPr>
        <w:rFonts w:hint="eastAsia"/>
        <w:b/>
        <w:color w:val="5F5F5F"/>
        <w:sz w:val="21"/>
        <w:szCs w:val="21"/>
        <w:lang w:eastAsia="zh-CN"/>
      </w:rPr>
      <w:t>洛阳浩德鑫置地有限公司</w:t>
    </w:r>
    <w:r>
      <w:rPr>
        <w:rFonts w:hint="eastAsia"/>
        <w:b/>
        <w:color w:val="5F5F5F"/>
        <w:sz w:val="21"/>
        <w:szCs w:val="21"/>
      </w:rPr>
      <w:t xml:space="preserve">   </w:t>
    </w:r>
    <w:r>
      <w:rPr>
        <w:rFonts w:hint="eastAsia"/>
        <w:b/>
        <w:color w:val="5F5F5F"/>
      </w:rPr>
      <w:t>ADD:洛阳市经济开发区开元大道与长夏门街交汇处（开元壹号）项目会所</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ind w:right="422" w:firstLine="240" w:firstLineChars="150"/>
      <w:jc w:val="both"/>
      <w:rPr>
        <w:rFonts w:ascii="Batang" w:hAnsi="Batang"/>
        <w:color w:val="999999"/>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036D51"/>
    <w:multiLevelType w:val="multilevel"/>
    <w:tmpl w:val="95036D51"/>
    <w:lvl w:ilvl="0" w:tentative="0">
      <w:start w:val="1"/>
      <w:numFmt w:val="chineseCountingThousand"/>
      <w:pStyle w:val="3"/>
      <w:lvlText w:val="%1."/>
      <w:lvlJc w:val="left"/>
      <w:pPr>
        <w:tabs>
          <w:tab w:val="left" w:pos="0"/>
        </w:tabs>
        <w:ind w:left="425" w:hanging="425"/>
      </w:pPr>
    </w:lvl>
    <w:lvl w:ilvl="1" w:tentative="0">
      <w:start w:val="1"/>
      <w:numFmt w:val="decimal"/>
      <w:pStyle w:val="5"/>
      <w:lvlText w:val="%2."/>
      <w:legacy w:legacy="1" w:legacySpace="0" w:legacyIndent="425"/>
      <w:lvlJc w:val="left"/>
      <w:pPr>
        <w:ind w:left="992" w:hanging="425"/>
      </w:pPr>
    </w:lvl>
    <w:lvl w:ilvl="2" w:tentative="0">
      <w:start w:val="1"/>
      <w:numFmt w:val="none"/>
      <w:pStyle w:val="6"/>
      <w:suff w:val="nothing"/>
      <w:lvlText w:val=""/>
      <w:lvlJc w:val="left"/>
      <w:pPr>
        <w:tabs>
          <w:tab w:val="left" w:pos="0"/>
        </w:tabs>
        <w:ind w:left="851" w:hanging="425"/>
      </w:pPr>
    </w:lvl>
    <w:lvl w:ilvl="3" w:tentative="0">
      <w:start w:val="1"/>
      <w:numFmt w:val="lowerLetter"/>
      <w:pStyle w:val="7"/>
      <w:lvlText w:val="%4)"/>
      <w:legacy w:legacy="1" w:legacySpace="0" w:legacyIndent="425"/>
      <w:lvlJc w:val="left"/>
      <w:pPr>
        <w:ind w:left="1700" w:hanging="425"/>
      </w:pPr>
    </w:lvl>
    <w:lvl w:ilvl="4" w:tentative="0">
      <w:start w:val="1"/>
      <w:numFmt w:val="decimal"/>
      <w:pStyle w:val="8"/>
      <w:lvlText w:val="(%5)"/>
      <w:legacy w:legacy="1" w:legacySpace="0" w:legacyIndent="425"/>
      <w:lvlJc w:val="left"/>
      <w:pPr>
        <w:ind w:left="2125" w:hanging="425"/>
      </w:pPr>
    </w:lvl>
    <w:lvl w:ilvl="5" w:tentative="0">
      <w:start w:val="1"/>
      <w:numFmt w:val="lowerLetter"/>
      <w:pStyle w:val="9"/>
      <w:lvlText w:val="(%6)"/>
      <w:legacy w:legacy="1" w:legacySpace="0" w:legacyIndent="425"/>
      <w:lvlJc w:val="left"/>
      <w:pPr>
        <w:ind w:left="2550" w:hanging="425"/>
      </w:pPr>
    </w:lvl>
    <w:lvl w:ilvl="6" w:tentative="0">
      <w:start w:val="1"/>
      <w:numFmt w:val="lowerRoman"/>
      <w:pStyle w:val="10"/>
      <w:lvlText w:val="(%7)"/>
      <w:legacy w:legacy="1" w:legacySpace="0" w:legacyIndent="425"/>
      <w:lvlJc w:val="left"/>
      <w:pPr>
        <w:ind w:left="2975" w:hanging="425"/>
      </w:pPr>
    </w:lvl>
    <w:lvl w:ilvl="7" w:tentative="0">
      <w:start w:val="1"/>
      <w:numFmt w:val="lowerLetter"/>
      <w:pStyle w:val="11"/>
      <w:lvlText w:val="(%8)"/>
      <w:legacy w:legacy="1" w:legacySpace="0" w:legacyIndent="425"/>
      <w:lvlJc w:val="left"/>
      <w:pPr>
        <w:ind w:left="3400" w:hanging="425"/>
      </w:pPr>
    </w:lvl>
    <w:lvl w:ilvl="8" w:tentative="0">
      <w:start w:val="1"/>
      <w:numFmt w:val="lowerRoman"/>
      <w:pStyle w:val="12"/>
      <w:lvlText w:val="(%9)"/>
      <w:legacy w:legacy="1" w:legacySpace="0" w:legacyIndent="425"/>
      <w:lvlJc w:val="left"/>
      <w:pPr>
        <w:ind w:left="3825" w:hanging="425"/>
      </w:pPr>
    </w:lvl>
  </w:abstractNum>
  <w:abstractNum w:abstractNumId="1">
    <w:nsid w:val="E086581A"/>
    <w:multiLevelType w:val="singleLevel"/>
    <w:tmpl w:val="E086581A"/>
    <w:lvl w:ilvl="0" w:tentative="0">
      <w:start w:val="1"/>
      <w:numFmt w:val="decimal"/>
      <w:suff w:val="nothing"/>
      <w:lvlText w:val="%1、"/>
      <w:lvlJc w:val="left"/>
    </w:lvl>
  </w:abstractNum>
  <w:abstractNum w:abstractNumId="2">
    <w:nsid w:val="2CEC680C"/>
    <w:multiLevelType w:val="singleLevel"/>
    <w:tmpl w:val="2CEC680C"/>
    <w:lvl w:ilvl="0" w:tentative="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bordersDoNotSurroundHeader w:val="0"/>
  <w:bordersDoNotSurroundFooter w:val="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936F9"/>
    <w:rsid w:val="00112F37"/>
    <w:rsid w:val="00172A27"/>
    <w:rsid w:val="00191138"/>
    <w:rsid w:val="001E392D"/>
    <w:rsid w:val="001F2788"/>
    <w:rsid w:val="002C2901"/>
    <w:rsid w:val="002D2E4E"/>
    <w:rsid w:val="002F3D6C"/>
    <w:rsid w:val="002F518B"/>
    <w:rsid w:val="002F54E2"/>
    <w:rsid w:val="0035120A"/>
    <w:rsid w:val="005829C9"/>
    <w:rsid w:val="00626640"/>
    <w:rsid w:val="007B2CC6"/>
    <w:rsid w:val="00864308"/>
    <w:rsid w:val="00883693"/>
    <w:rsid w:val="008C20A2"/>
    <w:rsid w:val="008E7327"/>
    <w:rsid w:val="00950858"/>
    <w:rsid w:val="009515D3"/>
    <w:rsid w:val="009B1946"/>
    <w:rsid w:val="00AC4783"/>
    <w:rsid w:val="00B95703"/>
    <w:rsid w:val="00BF0416"/>
    <w:rsid w:val="00C1211F"/>
    <w:rsid w:val="00C27594"/>
    <w:rsid w:val="00C3786F"/>
    <w:rsid w:val="00D20A0C"/>
    <w:rsid w:val="00D435CF"/>
    <w:rsid w:val="00DA0F0D"/>
    <w:rsid w:val="00E34CC7"/>
    <w:rsid w:val="00EC0E27"/>
    <w:rsid w:val="00F22C58"/>
    <w:rsid w:val="00F3211D"/>
    <w:rsid w:val="00F60EBC"/>
    <w:rsid w:val="00FD69D7"/>
    <w:rsid w:val="020C04BA"/>
    <w:rsid w:val="042F236B"/>
    <w:rsid w:val="051E41F2"/>
    <w:rsid w:val="05B125F3"/>
    <w:rsid w:val="06443FD4"/>
    <w:rsid w:val="068303EB"/>
    <w:rsid w:val="06931E1E"/>
    <w:rsid w:val="07277E4A"/>
    <w:rsid w:val="07312958"/>
    <w:rsid w:val="07BF4B46"/>
    <w:rsid w:val="07E07279"/>
    <w:rsid w:val="08A45192"/>
    <w:rsid w:val="097D251D"/>
    <w:rsid w:val="0A960A6B"/>
    <w:rsid w:val="0B074C7C"/>
    <w:rsid w:val="0B887150"/>
    <w:rsid w:val="0BE74F15"/>
    <w:rsid w:val="0C337593"/>
    <w:rsid w:val="0D177805"/>
    <w:rsid w:val="0DBA3D1D"/>
    <w:rsid w:val="0DC30CBA"/>
    <w:rsid w:val="0E497DED"/>
    <w:rsid w:val="0EAE3A0F"/>
    <w:rsid w:val="0F274AB4"/>
    <w:rsid w:val="0F814B8E"/>
    <w:rsid w:val="117048C5"/>
    <w:rsid w:val="118A2253"/>
    <w:rsid w:val="11A021F8"/>
    <w:rsid w:val="11C0052E"/>
    <w:rsid w:val="12160F3D"/>
    <w:rsid w:val="13174BEA"/>
    <w:rsid w:val="14196A31"/>
    <w:rsid w:val="14360F37"/>
    <w:rsid w:val="15043A50"/>
    <w:rsid w:val="152E73B4"/>
    <w:rsid w:val="170B5EA3"/>
    <w:rsid w:val="17902CDE"/>
    <w:rsid w:val="17E625C2"/>
    <w:rsid w:val="187212AC"/>
    <w:rsid w:val="188C65FC"/>
    <w:rsid w:val="18B36492"/>
    <w:rsid w:val="1B2A271F"/>
    <w:rsid w:val="1BD50639"/>
    <w:rsid w:val="1BD937BC"/>
    <w:rsid w:val="1C1945A6"/>
    <w:rsid w:val="1C656C23"/>
    <w:rsid w:val="1CE046C9"/>
    <w:rsid w:val="1D0667AD"/>
    <w:rsid w:val="1D3037DF"/>
    <w:rsid w:val="1DC069DD"/>
    <w:rsid w:val="1E63486F"/>
    <w:rsid w:val="1FCE4C9E"/>
    <w:rsid w:val="21674F5E"/>
    <w:rsid w:val="22135B75"/>
    <w:rsid w:val="22863C94"/>
    <w:rsid w:val="243D7784"/>
    <w:rsid w:val="26AD66D5"/>
    <w:rsid w:val="27765CCC"/>
    <w:rsid w:val="281C391F"/>
    <w:rsid w:val="29BE6110"/>
    <w:rsid w:val="2A0E5A69"/>
    <w:rsid w:val="2B122C35"/>
    <w:rsid w:val="2B470F10"/>
    <w:rsid w:val="2B6946E7"/>
    <w:rsid w:val="2B88197A"/>
    <w:rsid w:val="2BA8442D"/>
    <w:rsid w:val="2CAC29D6"/>
    <w:rsid w:val="2D8639BE"/>
    <w:rsid w:val="2D8665FD"/>
    <w:rsid w:val="2F4524AB"/>
    <w:rsid w:val="31350C4C"/>
    <w:rsid w:val="31576C02"/>
    <w:rsid w:val="346F3BA7"/>
    <w:rsid w:val="349A34DB"/>
    <w:rsid w:val="35301450"/>
    <w:rsid w:val="360B544F"/>
    <w:rsid w:val="364D63A5"/>
    <w:rsid w:val="367E78FC"/>
    <w:rsid w:val="379D08A8"/>
    <w:rsid w:val="382B20B3"/>
    <w:rsid w:val="38AF00E9"/>
    <w:rsid w:val="38EE3475"/>
    <w:rsid w:val="396665B7"/>
    <w:rsid w:val="39BB7346"/>
    <w:rsid w:val="3ACB7183"/>
    <w:rsid w:val="3BDA7340"/>
    <w:rsid w:val="3C2B5769"/>
    <w:rsid w:val="3C9406F1"/>
    <w:rsid w:val="3D0038A0"/>
    <w:rsid w:val="3D577B32"/>
    <w:rsid w:val="3D8C2668"/>
    <w:rsid w:val="3DDC401F"/>
    <w:rsid w:val="3E0C5102"/>
    <w:rsid w:val="3E3948A1"/>
    <w:rsid w:val="3E4619B8"/>
    <w:rsid w:val="3E7F6A28"/>
    <w:rsid w:val="417C49FE"/>
    <w:rsid w:val="426104F4"/>
    <w:rsid w:val="428D00BE"/>
    <w:rsid w:val="42CC5625"/>
    <w:rsid w:val="43661FA0"/>
    <w:rsid w:val="437C1F45"/>
    <w:rsid w:val="44564388"/>
    <w:rsid w:val="459B1F40"/>
    <w:rsid w:val="45DC496B"/>
    <w:rsid w:val="45FD4563"/>
    <w:rsid w:val="462C0DB2"/>
    <w:rsid w:val="46644F7C"/>
    <w:rsid w:val="468C5761"/>
    <w:rsid w:val="48AC230C"/>
    <w:rsid w:val="49C35B92"/>
    <w:rsid w:val="4A702F34"/>
    <w:rsid w:val="4A706FB0"/>
    <w:rsid w:val="4C4A50E1"/>
    <w:rsid w:val="4D022A70"/>
    <w:rsid w:val="4D046F69"/>
    <w:rsid w:val="4DB01C2B"/>
    <w:rsid w:val="4E2C224E"/>
    <w:rsid w:val="4E3852E3"/>
    <w:rsid w:val="4EC004A5"/>
    <w:rsid w:val="4F4B0B61"/>
    <w:rsid w:val="4FC77502"/>
    <w:rsid w:val="505E3468"/>
    <w:rsid w:val="510A7E4A"/>
    <w:rsid w:val="51DA3E2E"/>
    <w:rsid w:val="51F0318E"/>
    <w:rsid w:val="520F4294"/>
    <w:rsid w:val="52295F56"/>
    <w:rsid w:val="53EE23BF"/>
    <w:rsid w:val="54A85071"/>
    <w:rsid w:val="54BF4C96"/>
    <w:rsid w:val="54FC313B"/>
    <w:rsid w:val="556C60B3"/>
    <w:rsid w:val="55EB4403"/>
    <w:rsid w:val="5606068F"/>
    <w:rsid w:val="57283E0B"/>
    <w:rsid w:val="57EB51CE"/>
    <w:rsid w:val="582D7CAE"/>
    <w:rsid w:val="58AF298D"/>
    <w:rsid w:val="58ED4F64"/>
    <w:rsid w:val="5AAD49D1"/>
    <w:rsid w:val="5AB865E5"/>
    <w:rsid w:val="5AC445F6"/>
    <w:rsid w:val="5AE215FB"/>
    <w:rsid w:val="5B1B5005"/>
    <w:rsid w:val="5BFF6ACC"/>
    <w:rsid w:val="5C0A6E8C"/>
    <w:rsid w:val="5CFD7060"/>
    <w:rsid w:val="5D187049"/>
    <w:rsid w:val="5D2E6FEF"/>
    <w:rsid w:val="5D444EF8"/>
    <w:rsid w:val="5D696761"/>
    <w:rsid w:val="5E3B3344"/>
    <w:rsid w:val="5E8F1627"/>
    <w:rsid w:val="5ED54031"/>
    <w:rsid w:val="5F2B1033"/>
    <w:rsid w:val="5F4D3766"/>
    <w:rsid w:val="5F821A41"/>
    <w:rsid w:val="5FB9411A"/>
    <w:rsid w:val="609C4B5E"/>
    <w:rsid w:val="6189573E"/>
    <w:rsid w:val="61BD512B"/>
    <w:rsid w:val="620D6B6D"/>
    <w:rsid w:val="626F7651"/>
    <w:rsid w:val="629038C3"/>
    <w:rsid w:val="62D1432C"/>
    <w:rsid w:val="638B06EF"/>
    <w:rsid w:val="63E044E9"/>
    <w:rsid w:val="646E7100"/>
    <w:rsid w:val="64F20D58"/>
    <w:rsid w:val="658F5374"/>
    <w:rsid w:val="660F776F"/>
    <w:rsid w:val="66913FDA"/>
    <w:rsid w:val="66D12D4F"/>
    <w:rsid w:val="670D5B2C"/>
    <w:rsid w:val="679A7B08"/>
    <w:rsid w:val="67E338A0"/>
    <w:rsid w:val="685D7932"/>
    <w:rsid w:val="68C2756A"/>
    <w:rsid w:val="6A3C4858"/>
    <w:rsid w:val="6BB9114A"/>
    <w:rsid w:val="6D871E5D"/>
    <w:rsid w:val="6DB7708E"/>
    <w:rsid w:val="6DF8337A"/>
    <w:rsid w:val="6E9047F2"/>
    <w:rsid w:val="6EA4142D"/>
    <w:rsid w:val="6FD06D1B"/>
    <w:rsid w:val="71717CF1"/>
    <w:rsid w:val="72401A80"/>
    <w:rsid w:val="73173CE2"/>
    <w:rsid w:val="73704370"/>
    <w:rsid w:val="73C07BBF"/>
    <w:rsid w:val="73DC4D25"/>
    <w:rsid w:val="745436E9"/>
    <w:rsid w:val="765A05BC"/>
    <w:rsid w:val="767F73D7"/>
    <w:rsid w:val="76BD6FDB"/>
    <w:rsid w:val="78BD7DA6"/>
    <w:rsid w:val="7AF16FF7"/>
    <w:rsid w:val="7B334F2B"/>
    <w:rsid w:val="7B5E4E76"/>
    <w:rsid w:val="7C2B0D47"/>
    <w:rsid w:val="7CDE11ED"/>
    <w:rsid w:val="7CEF6506"/>
    <w:rsid w:val="7CFA011A"/>
    <w:rsid w:val="7DF540DB"/>
    <w:rsid w:val="7F4A41A9"/>
    <w:rsid w:val="7FB811F8"/>
    <w:rsid w:val="7FE83C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uiPriority="0" w:name="List Bullet"/>
    <w:lsdException w:uiPriority="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uiPriority="0" w:name="Message Header"/>
    <w:lsdException w:unhideWhenUsed="0" w:uiPriority="0" w:semiHidden="0" w:name="Subtitle"/>
    <w:lsdException w:uiPriority="0" w:name="Salutation"/>
    <w:lsdException w:qFormat="1" w:unhideWhenUsed="0" w:uiPriority="0" w:semiHidden="0" w:name="Date"/>
    <w:lsdException w:uiPriority="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iPriority="0" w:semiHidden="0" w:name="Block Text"/>
    <w:lsdException w:qFormat="1" w:unhideWhenUsed="0" w:uiPriority="0" w:semiHidden="0" w:name="Hyperlink"/>
    <w:lsdException w:qFormat="1" w:unhideWhenUsed="0" w:uiPriority="0" w:semiHidden="0" w:name="FollowedHyperlink"/>
    <w:lsdException w:unhideWhenUsed="0" w:uiPriority="0" w:semiHidden="0" w:name="Strong"/>
    <w:lsdException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4"/>
    <w:qFormat/>
    <w:uiPriority w:val="0"/>
    <w:pPr>
      <w:keepNext/>
      <w:keepLines/>
      <w:numPr>
        <w:ilvl w:val="0"/>
        <w:numId w:val="1"/>
      </w:numPr>
      <w:adjustRightInd w:val="0"/>
      <w:spacing w:before="160" w:after="160" w:line="160" w:lineRule="atLeast"/>
      <w:textAlignment w:val="baseline"/>
      <w:outlineLvl w:val="0"/>
    </w:pPr>
    <w:rPr>
      <w:rFonts w:ascii="黑体" w:eastAsia="黑体"/>
      <w:kern w:val="44"/>
      <w:sz w:val="32"/>
      <w:szCs w:val="20"/>
    </w:rPr>
  </w:style>
  <w:style w:type="paragraph" w:styleId="5">
    <w:name w:val="heading 2"/>
    <w:basedOn w:val="1"/>
    <w:next w:val="4"/>
    <w:qFormat/>
    <w:uiPriority w:val="0"/>
    <w:pPr>
      <w:keepNext/>
      <w:keepLines/>
      <w:numPr>
        <w:ilvl w:val="1"/>
        <w:numId w:val="1"/>
      </w:numPr>
      <w:tabs>
        <w:tab w:val="left" w:pos="0"/>
        <w:tab w:val="left" w:pos="360"/>
      </w:tabs>
      <w:adjustRightInd w:val="0"/>
      <w:spacing w:before="160" w:after="160" w:line="160" w:lineRule="atLeast"/>
      <w:ind w:left="851" w:hanging="284"/>
      <w:textAlignment w:val="baseline"/>
      <w:outlineLvl w:val="1"/>
    </w:pPr>
    <w:rPr>
      <w:rFonts w:ascii="黑体" w:eastAsia="黑体"/>
      <w:kern w:val="0"/>
      <w:sz w:val="28"/>
      <w:szCs w:val="20"/>
    </w:rPr>
  </w:style>
  <w:style w:type="paragraph" w:styleId="6">
    <w:name w:val="heading 3"/>
    <w:basedOn w:val="1"/>
    <w:next w:val="4"/>
    <w:qFormat/>
    <w:uiPriority w:val="0"/>
    <w:pPr>
      <w:keepNext/>
      <w:keepLines/>
      <w:numPr>
        <w:ilvl w:val="2"/>
        <w:numId w:val="1"/>
      </w:numPr>
      <w:tabs>
        <w:tab w:val="left" w:pos="360"/>
      </w:tabs>
      <w:adjustRightInd w:val="0"/>
      <w:spacing w:before="160" w:after="160" w:line="160" w:lineRule="atLeast"/>
      <w:ind w:hanging="284"/>
      <w:textAlignment w:val="baseline"/>
      <w:outlineLvl w:val="2"/>
    </w:pPr>
    <w:rPr>
      <w:rFonts w:ascii="黑体" w:eastAsia="黑体"/>
      <w:kern w:val="0"/>
      <w:sz w:val="28"/>
      <w:szCs w:val="20"/>
    </w:rPr>
  </w:style>
  <w:style w:type="paragraph" w:styleId="7">
    <w:name w:val="heading 4"/>
    <w:basedOn w:val="1"/>
    <w:next w:val="1"/>
    <w:qFormat/>
    <w:uiPriority w:val="0"/>
    <w:pPr>
      <w:keepNext/>
      <w:keepLines/>
      <w:numPr>
        <w:ilvl w:val="3"/>
        <w:numId w:val="1"/>
      </w:numPr>
      <w:tabs>
        <w:tab w:val="left" w:pos="0"/>
        <w:tab w:val="left" w:pos="360"/>
      </w:tabs>
      <w:adjustRightInd w:val="0"/>
      <w:spacing w:before="280" w:after="290" w:line="376" w:lineRule="atLeast"/>
      <w:textAlignment w:val="baseline"/>
      <w:outlineLvl w:val="3"/>
    </w:pPr>
    <w:rPr>
      <w:rFonts w:ascii="Arial" w:hAnsi="Arial" w:eastAsia="黑体"/>
      <w:b/>
      <w:kern w:val="0"/>
      <w:sz w:val="28"/>
      <w:szCs w:val="20"/>
    </w:rPr>
  </w:style>
  <w:style w:type="paragraph" w:styleId="8">
    <w:name w:val="heading 5"/>
    <w:basedOn w:val="1"/>
    <w:next w:val="1"/>
    <w:qFormat/>
    <w:uiPriority w:val="0"/>
    <w:pPr>
      <w:keepNext/>
      <w:keepLines/>
      <w:numPr>
        <w:ilvl w:val="4"/>
        <w:numId w:val="1"/>
      </w:numPr>
      <w:tabs>
        <w:tab w:val="left" w:pos="0"/>
        <w:tab w:val="left" w:pos="360"/>
      </w:tabs>
      <w:adjustRightInd w:val="0"/>
      <w:spacing w:before="280" w:after="290" w:line="376" w:lineRule="atLeast"/>
      <w:textAlignment w:val="baseline"/>
      <w:outlineLvl w:val="4"/>
    </w:pPr>
    <w:rPr>
      <w:rFonts w:ascii="Times New Roman" w:hAnsi="Times New Roman"/>
      <w:b/>
      <w:kern w:val="0"/>
      <w:sz w:val="28"/>
      <w:szCs w:val="20"/>
    </w:rPr>
  </w:style>
  <w:style w:type="paragraph" w:styleId="9">
    <w:name w:val="heading 6"/>
    <w:basedOn w:val="1"/>
    <w:next w:val="1"/>
    <w:qFormat/>
    <w:uiPriority w:val="0"/>
    <w:pPr>
      <w:keepNext/>
      <w:keepLines/>
      <w:numPr>
        <w:ilvl w:val="5"/>
        <w:numId w:val="1"/>
      </w:numPr>
      <w:tabs>
        <w:tab w:val="left" w:pos="0"/>
        <w:tab w:val="left" w:pos="360"/>
      </w:tabs>
      <w:adjustRightInd w:val="0"/>
      <w:spacing w:before="240" w:after="64" w:line="320" w:lineRule="atLeast"/>
      <w:textAlignment w:val="baseline"/>
      <w:outlineLvl w:val="5"/>
    </w:pPr>
    <w:rPr>
      <w:rFonts w:ascii="Arial" w:hAnsi="Arial" w:eastAsia="黑体"/>
      <w:b/>
      <w:kern w:val="0"/>
      <w:sz w:val="24"/>
      <w:szCs w:val="20"/>
    </w:rPr>
  </w:style>
  <w:style w:type="paragraph" w:styleId="10">
    <w:name w:val="heading 7"/>
    <w:basedOn w:val="1"/>
    <w:next w:val="1"/>
    <w:qFormat/>
    <w:uiPriority w:val="0"/>
    <w:pPr>
      <w:keepNext/>
      <w:keepLines/>
      <w:numPr>
        <w:ilvl w:val="6"/>
        <w:numId w:val="1"/>
      </w:numPr>
      <w:tabs>
        <w:tab w:val="left" w:pos="0"/>
        <w:tab w:val="left" w:pos="360"/>
      </w:tabs>
      <w:adjustRightInd w:val="0"/>
      <w:spacing w:before="240" w:after="64" w:line="320" w:lineRule="atLeast"/>
      <w:textAlignment w:val="baseline"/>
      <w:outlineLvl w:val="6"/>
    </w:pPr>
    <w:rPr>
      <w:rFonts w:ascii="Times New Roman" w:hAnsi="Times New Roman"/>
      <w:b/>
      <w:kern w:val="0"/>
      <w:sz w:val="24"/>
      <w:szCs w:val="20"/>
    </w:rPr>
  </w:style>
  <w:style w:type="paragraph" w:styleId="11">
    <w:name w:val="heading 8"/>
    <w:basedOn w:val="1"/>
    <w:next w:val="1"/>
    <w:qFormat/>
    <w:uiPriority w:val="0"/>
    <w:pPr>
      <w:keepNext/>
      <w:keepLines/>
      <w:numPr>
        <w:ilvl w:val="7"/>
        <w:numId w:val="1"/>
      </w:numPr>
      <w:tabs>
        <w:tab w:val="left" w:pos="0"/>
        <w:tab w:val="left" w:pos="360"/>
      </w:tabs>
      <w:adjustRightInd w:val="0"/>
      <w:spacing w:before="240" w:after="64" w:line="320" w:lineRule="atLeast"/>
      <w:textAlignment w:val="baseline"/>
      <w:outlineLvl w:val="7"/>
    </w:pPr>
    <w:rPr>
      <w:rFonts w:ascii="Arial" w:hAnsi="Arial" w:eastAsia="黑体"/>
      <w:kern w:val="0"/>
      <w:sz w:val="24"/>
      <w:szCs w:val="20"/>
    </w:rPr>
  </w:style>
  <w:style w:type="paragraph" w:styleId="12">
    <w:name w:val="heading 9"/>
    <w:basedOn w:val="1"/>
    <w:next w:val="1"/>
    <w:qFormat/>
    <w:uiPriority w:val="0"/>
    <w:pPr>
      <w:keepNext/>
      <w:keepLines/>
      <w:numPr>
        <w:ilvl w:val="8"/>
        <w:numId w:val="1"/>
      </w:numPr>
      <w:tabs>
        <w:tab w:val="left" w:pos="0"/>
        <w:tab w:val="left" w:pos="360"/>
      </w:tabs>
      <w:adjustRightInd w:val="0"/>
      <w:spacing w:before="240" w:after="64" w:line="320" w:lineRule="atLeast"/>
      <w:textAlignment w:val="baseline"/>
      <w:outlineLvl w:val="8"/>
    </w:pPr>
    <w:rPr>
      <w:rFonts w:ascii="Arial" w:hAnsi="Arial" w:eastAsia="黑体"/>
      <w:kern w:val="0"/>
      <w:szCs w:val="20"/>
    </w:rPr>
  </w:style>
  <w:style w:type="character" w:default="1" w:styleId="47">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customStyle="1" w:styleId="2">
    <w:name w:val="正文1"/>
    <w:qFormat/>
    <w:uiPriority w:val="0"/>
    <w:pPr>
      <w:widowControl w:val="0"/>
      <w:adjustRightInd w:val="0"/>
      <w:spacing w:line="360" w:lineRule="atLeast"/>
    </w:pPr>
    <w:rPr>
      <w:rFonts w:ascii="宋体" w:hAnsi="Times New Roman" w:eastAsia="宋体" w:cs="Times New Roman"/>
      <w:b/>
      <w:position w:val="-10"/>
      <w:sz w:val="24"/>
      <w:szCs w:val="22"/>
      <w:lang w:val="en-US" w:eastAsia="zh-CN" w:bidi="ar-SA"/>
    </w:rPr>
  </w:style>
  <w:style w:type="paragraph" w:customStyle="1" w:styleId="4">
    <w:name w:val="文档正文"/>
    <w:basedOn w:val="1"/>
    <w:qFormat/>
    <w:uiPriority w:val="0"/>
    <w:pPr>
      <w:adjustRightInd w:val="0"/>
      <w:spacing w:line="480" w:lineRule="atLeast"/>
      <w:ind w:firstLine="567"/>
      <w:textAlignment w:val="baseline"/>
    </w:pPr>
    <w:rPr>
      <w:rFonts w:ascii="仿宋_GB2312" w:eastAsia="仿宋_GB2312"/>
      <w:kern w:val="0"/>
      <w:sz w:val="28"/>
      <w:szCs w:val="20"/>
    </w:rPr>
  </w:style>
  <w:style w:type="paragraph" w:styleId="13">
    <w:name w:val="List 3"/>
    <w:basedOn w:val="1"/>
    <w:qFormat/>
    <w:uiPriority w:val="0"/>
    <w:pPr>
      <w:ind w:left="600" w:leftChars="400" w:hanging="200" w:hangingChars="200"/>
    </w:pPr>
    <w:rPr>
      <w:rFonts w:ascii="Times New Roman" w:hAnsi="Times New Roman"/>
      <w:szCs w:val="20"/>
    </w:rPr>
  </w:style>
  <w:style w:type="paragraph" w:styleId="14">
    <w:name w:val="Normal Indent"/>
    <w:basedOn w:val="1"/>
    <w:qFormat/>
    <w:uiPriority w:val="0"/>
    <w:pPr>
      <w:ind w:firstLine="420"/>
    </w:pPr>
    <w:rPr>
      <w:rFonts w:ascii="Times New Roman" w:hAnsi="Times New Roman"/>
      <w:sz w:val="28"/>
      <w:szCs w:val="20"/>
    </w:rPr>
  </w:style>
  <w:style w:type="paragraph" w:styleId="15">
    <w:name w:val="caption"/>
    <w:basedOn w:val="1"/>
    <w:next w:val="1"/>
    <w:qFormat/>
    <w:uiPriority w:val="0"/>
    <w:pPr>
      <w:spacing w:before="152" w:after="160"/>
    </w:pPr>
    <w:rPr>
      <w:rFonts w:ascii="Arial" w:hAnsi="Arial" w:eastAsia="黑体" w:cs="Arial"/>
      <w:sz w:val="20"/>
      <w:szCs w:val="20"/>
    </w:rPr>
  </w:style>
  <w:style w:type="paragraph" w:styleId="16">
    <w:name w:val="annotation text"/>
    <w:basedOn w:val="1"/>
    <w:qFormat/>
    <w:uiPriority w:val="0"/>
    <w:pPr>
      <w:jc w:val="left"/>
    </w:pPr>
  </w:style>
  <w:style w:type="paragraph" w:styleId="17">
    <w:name w:val="Body Text 3"/>
    <w:basedOn w:val="1"/>
    <w:qFormat/>
    <w:uiPriority w:val="0"/>
    <w:pPr>
      <w:spacing w:after="120"/>
    </w:pPr>
    <w:rPr>
      <w:rFonts w:ascii="Times New Roman" w:hAnsi="Times New Roman"/>
      <w:sz w:val="16"/>
      <w:szCs w:val="16"/>
    </w:rPr>
  </w:style>
  <w:style w:type="paragraph" w:styleId="18">
    <w:name w:val="Body Text"/>
    <w:basedOn w:val="1"/>
    <w:next w:val="19"/>
    <w:qFormat/>
    <w:uiPriority w:val="0"/>
    <w:pPr>
      <w:spacing w:line="360" w:lineRule="auto"/>
    </w:pPr>
    <w:rPr>
      <w:rFonts w:ascii="Times New Roman" w:hAnsi="Times New Roman"/>
      <w:sz w:val="24"/>
      <w:szCs w:val="20"/>
    </w:rPr>
  </w:style>
  <w:style w:type="paragraph" w:customStyle="1" w:styleId="19">
    <w:name w:val="Default"/>
    <w:next w:val="20"/>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0">
    <w:name w:val="大标题"/>
    <w:basedOn w:val="1"/>
    <w:next w:val="21"/>
    <w:qFormat/>
    <w:uiPriority w:val="0"/>
    <w:pPr>
      <w:jc w:val="center"/>
    </w:pPr>
    <w:rPr>
      <w:rFonts w:ascii="Arial" w:hAnsi="Arial"/>
      <w:b/>
      <w:sz w:val="28"/>
      <w:szCs w:val="24"/>
    </w:rPr>
  </w:style>
  <w:style w:type="paragraph" w:styleId="21">
    <w:name w:val="Body Text First Indent 2"/>
    <w:basedOn w:val="22"/>
    <w:next w:val="18"/>
    <w:qFormat/>
    <w:uiPriority w:val="0"/>
    <w:pPr>
      <w:ind w:left="0" w:leftChars="0" w:firstLine="0" w:firstLineChars="0"/>
    </w:pPr>
  </w:style>
  <w:style w:type="paragraph" w:styleId="22">
    <w:name w:val="Body Text Indent"/>
    <w:basedOn w:val="1"/>
    <w:next w:val="18"/>
    <w:qFormat/>
    <w:uiPriority w:val="0"/>
    <w:pPr>
      <w:ind w:firstLine="645"/>
    </w:pPr>
    <w:rPr>
      <w:rFonts w:ascii="宋体"/>
      <w:sz w:val="32"/>
      <w:szCs w:val="20"/>
    </w:rPr>
  </w:style>
  <w:style w:type="paragraph" w:styleId="23">
    <w:name w:val="List 2"/>
    <w:basedOn w:val="1"/>
    <w:qFormat/>
    <w:uiPriority w:val="0"/>
    <w:pPr>
      <w:ind w:left="400" w:leftChars="200" w:hanging="200" w:hangingChars="200"/>
    </w:pPr>
    <w:rPr>
      <w:rFonts w:ascii="Times New Roman" w:hAnsi="Times New Roman"/>
      <w:szCs w:val="20"/>
    </w:rPr>
  </w:style>
  <w:style w:type="paragraph" w:styleId="24">
    <w:name w:val="Block Text"/>
    <w:basedOn w:val="1"/>
    <w:unhideWhenUsed/>
    <w:qFormat/>
    <w:uiPriority w:val="0"/>
    <w:pPr>
      <w:autoSpaceDE w:val="0"/>
      <w:autoSpaceDN w:val="0"/>
      <w:adjustRightInd w:val="0"/>
      <w:spacing w:line="500" w:lineRule="exact"/>
      <w:ind w:left="391" w:right="246"/>
    </w:pPr>
    <w:rPr>
      <w:rFonts w:ascii="仿宋_GB2312" w:hAnsi="Times New Roman" w:eastAsia="仿宋_GB2312"/>
      <w:kern w:val="0"/>
      <w:sz w:val="24"/>
      <w:szCs w:val="24"/>
    </w:rPr>
  </w:style>
  <w:style w:type="paragraph" w:styleId="25">
    <w:name w:val="toc 3"/>
    <w:basedOn w:val="1"/>
    <w:next w:val="1"/>
    <w:qFormat/>
    <w:uiPriority w:val="0"/>
    <w:pPr>
      <w:tabs>
        <w:tab w:val="right" w:leader="dot" w:pos="8776"/>
      </w:tabs>
      <w:spacing w:line="400" w:lineRule="exact"/>
      <w:ind w:left="400" w:leftChars="400" w:firstLine="200" w:firstLineChars="200"/>
    </w:pPr>
    <w:rPr>
      <w:rFonts w:ascii="宋体"/>
      <w:bCs/>
      <w:sz w:val="18"/>
      <w:szCs w:val="18"/>
    </w:rPr>
  </w:style>
  <w:style w:type="paragraph" w:styleId="26">
    <w:name w:val="Plain Text"/>
    <w:basedOn w:val="1"/>
    <w:qFormat/>
    <w:uiPriority w:val="0"/>
    <w:pPr>
      <w:spacing w:line="360" w:lineRule="auto"/>
      <w:ind w:firstLine="200" w:firstLineChars="200"/>
    </w:pPr>
    <w:rPr>
      <w:rFonts w:ascii="宋体" w:hAnsi="宋体" w:eastAsia="仿宋_GB2312" w:cs="Courier New"/>
      <w:sz w:val="24"/>
      <w:szCs w:val="21"/>
    </w:rPr>
  </w:style>
  <w:style w:type="paragraph" w:styleId="27">
    <w:name w:val="Date"/>
    <w:basedOn w:val="1"/>
    <w:next w:val="1"/>
    <w:qFormat/>
    <w:uiPriority w:val="0"/>
    <w:pPr>
      <w:ind w:left="2500" w:leftChars="2500"/>
    </w:pPr>
  </w:style>
  <w:style w:type="paragraph" w:styleId="28">
    <w:name w:val="Body Text Indent 2"/>
    <w:basedOn w:val="1"/>
    <w:qFormat/>
    <w:uiPriority w:val="0"/>
    <w:pPr>
      <w:ind w:firstLine="630"/>
    </w:pPr>
    <w:rPr>
      <w:rFonts w:ascii="宋体"/>
      <w:sz w:val="32"/>
      <w:szCs w:val="20"/>
    </w:rPr>
  </w:style>
  <w:style w:type="paragraph" w:styleId="29">
    <w:name w:val="List Continue 5"/>
    <w:basedOn w:val="1"/>
    <w:qFormat/>
    <w:uiPriority w:val="0"/>
    <w:pPr>
      <w:spacing w:after="120"/>
      <w:ind w:left="1000" w:leftChars="1000"/>
    </w:pPr>
    <w:rPr>
      <w:rFonts w:ascii="Times New Roman" w:hAnsi="Times New Roman"/>
      <w:szCs w:val="20"/>
    </w:rPr>
  </w:style>
  <w:style w:type="paragraph" w:styleId="30">
    <w:name w:val="Balloon Text"/>
    <w:basedOn w:val="1"/>
    <w:qFormat/>
    <w:uiPriority w:val="0"/>
    <w:rPr>
      <w:sz w:val="18"/>
      <w:szCs w:val="18"/>
    </w:rPr>
  </w:style>
  <w:style w:type="paragraph" w:styleId="31">
    <w:name w:val="footer"/>
    <w:basedOn w:val="1"/>
    <w:qFormat/>
    <w:uiPriority w:val="0"/>
    <w:pPr>
      <w:tabs>
        <w:tab w:val="center" w:pos="4153"/>
        <w:tab w:val="right" w:pos="8306"/>
      </w:tabs>
      <w:snapToGrid w:val="0"/>
      <w:jc w:val="left"/>
    </w:pPr>
    <w:rPr>
      <w:kern w:val="0"/>
      <w:sz w:val="18"/>
      <w:szCs w:val="18"/>
    </w:rPr>
  </w:style>
  <w:style w:type="paragraph" w:styleId="32">
    <w:name w:val="header"/>
    <w:basedOn w:val="1"/>
    <w:qFormat/>
    <w:uiPriority w:val="0"/>
    <w:pPr>
      <w:pBdr>
        <w:bottom w:val="single" w:color="auto" w:sz="6" w:space="1"/>
      </w:pBdr>
      <w:tabs>
        <w:tab w:val="center" w:pos="4153"/>
        <w:tab w:val="right" w:pos="8306"/>
      </w:tabs>
      <w:snapToGrid w:val="0"/>
      <w:jc w:val="center"/>
    </w:pPr>
    <w:rPr>
      <w:kern w:val="0"/>
      <w:sz w:val="18"/>
      <w:szCs w:val="18"/>
    </w:rPr>
  </w:style>
  <w:style w:type="paragraph" w:styleId="33">
    <w:name w:val="toc 1"/>
    <w:basedOn w:val="1"/>
    <w:next w:val="1"/>
    <w:qFormat/>
    <w:uiPriority w:val="0"/>
    <w:pPr>
      <w:tabs>
        <w:tab w:val="right" w:leader="dot" w:pos="8776"/>
      </w:tabs>
      <w:spacing w:line="360" w:lineRule="exact"/>
      <w:ind w:firstLine="200" w:firstLineChars="200"/>
    </w:pPr>
    <w:rPr>
      <w:rFonts w:ascii="华文中宋" w:eastAsia="华文中宋"/>
      <w:b/>
      <w:sz w:val="24"/>
      <w:szCs w:val="24"/>
    </w:rPr>
  </w:style>
  <w:style w:type="paragraph" w:styleId="34">
    <w:name w:val="List Continue 4"/>
    <w:basedOn w:val="1"/>
    <w:qFormat/>
    <w:uiPriority w:val="0"/>
    <w:pPr>
      <w:spacing w:after="120"/>
      <w:ind w:left="800" w:leftChars="800"/>
    </w:pPr>
    <w:rPr>
      <w:rFonts w:ascii="Times New Roman" w:hAnsi="Times New Roman"/>
      <w:szCs w:val="20"/>
    </w:rPr>
  </w:style>
  <w:style w:type="paragraph" w:styleId="35">
    <w:name w:val="List"/>
    <w:basedOn w:val="1"/>
    <w:qFormat/>
    <w:uiPriority w:val="0"/>
    <w:pPr>
      <w:ind w:left="200" w:hanging="200" w:hangingChars="200"/>
    </w:pPr>
    <w:rPr>
      <w:rFonts w:ascii="Times New Roman" w:hAnsi="Times New Roman"/>
      <w:szCs w:val="20"/>
    </w:rPr>
  </w:style>
  <w:style w:type="paragraph" w:styleId="36">
    <w:name w:val="footnote text"/>
    <w:basedOn w:val="1"/>
    <w:qFormat/>
    <w:uiPriority w:val="0"/>
    <w:pPr>
      <w:adjustRightInd w:val="0"/>
      <w:spacing w:line="312" w:lineRule="atLeast"/>
      <w:jc w:val="left"/>
    </w:pPr>
    <w:rPr>
      <w:rFonts w:ascii="Times New Roman" w:hAnsi="Times New Roman"/>
      <w:kern w:val="0"/>
      <w:sz w:val="18"/>
      <w:szCs w:val="20"/>
    </w:rPr>
  </w:style>
  <w:style w:type="paragraph" w:styleId="37">
    <w:name w:val="List 5"/>
    <w:basedOn w:val="1"/>
    <w:qFormat/>
    <w:uiPriority w:val="0"/>
    <w:pPr>
      <w:ind w:left="1000" w:leftChars="800" w:hanging="200" w:hangingChars="200"/>
    </w:pPr>
    <w:rPr>
      <w:rFonts w:ascii="Times New Roman" w:hAnsi="Times New Roman"/>
      <w:szCs w:val="20"/>
    </w:rPr>
  </w:style>
  <w:style w:type="paragraph" w:styleId="38">
    <w:name w:val="Body Text Indent 3"/>
    <w:basedOn w:val="1"/>
    <w:qFormat/>
    <w:uiPriority w:val="0"/>
    <w:pPr>
      <w:spacing w:line="360" w:lineRule="auto"/>
      <w:ind w:firstLine="468"/>
    </w:pPr>
    <w:rPr>
      <w:rFonts w:ascii="Times New Roman" w:hAnsi="Times New Roman"/>
      <w:sz w:val="24"/>
      <w:szCs w:val="20"/>
    </w:rPr>
  </w:style>
  <w:style w:type="paragraph" w:styleId="39">
    <w:name w:val="toc 2"/>
    <w:basedOn w:val="1"/>
    <w:next w:val="1"/>
    <w:qFormat/>
    <w:uiPriority w:val="0"/>
    <w:pPr>
      <w:tabs>
        <w:tab w:val="right" w:leader="dot" w:pos="8776"/>
      </w:tabs>
      <w:spacing w:line="360" w:lineRule="auto"/>
      <w:ind w:left="200" w:leftChars="200" w:firstLine="200" w:firstLineChars="200"/>
      <w:jc w:val="distribute"/>
    </w:pPr>
    <w:rPr>
      <w:rFonts w:ascii="华文中宋" w:eastAsia="华文中宋"/>
      <w:sz w:val="24"/>
      <w:szCs w:val="24"/>
    </w:rPr>
  </w:style>
  <w:style w:type="paragraph" w:styleId="40">
    <w:name w:val="Body Text 2"/>
    <w:basedOn w:val="1"/>
    <w:qFormat/>
    <w:uiPriority w:val="0"/>
    <w:pPr>
      <w:spacing w:after="120" w:line="480" w:lineRule="auto"/>
    </w:pPr>
    <w:rPr>
      <w:rFonts w:ascii="Times New Roman" w:hAnsi="Times New Roman"/>
      <w:szCs w:val="20"/>
    </w:rPr>
  </w:style>
  <w:style w:type="paragraph" w:styleId="41">
    <w:name w:val="List 4"/>
    <w:basedOn w:val="1"/>
    <w:qFormat/>
    <w:uiPriority w:val="0"/>
    <w:pPr>
      <w:ind w:left="800" w:leftChars="600" w:hanging="200" w:hangingChars="200"/>
    </w:pPr>
    <w:rPr>
      <w:rFonts w:ascii="Times New Roman" w:hAnsi="Times New Roman"/>
      <w:szCs w:val="20"/>
    </w:rPr>
  </w:style>
  <w:style w:type="paragraph" w:styleId="42">
    <w:name w:val="List Continue 2"/>
    <w:basedOn w:val="1"/>
    <w:qFormat/>
    <w:uiPriority w:val="0"/>
    <w:pPr>
      <w:spacing w:after="120"/>
      <w:ind w:left="400" w:leftChars="400"/>
    </w:pPr>
    <w:rPr>
      <w:rFonts w:ascii="Times New Roman" w:hAnsi="Times New Roman"/>
      <w:szCs w:val="20"/>
    </w:rPr>
  </w:style>
  <w:style w:type="paragraph" w:styleId="43">
    <w:name w:val="Normal (Web)"/>
    <w:basedOn w:val="1"/>
    <w:qFormat/>
    <w:uiPriority w:val="0"/>
    <w:pPr>
      <w:widowControl/>
      <w:spacing w:before="100" w:beforeAutospacing="1" w:after="100" w:afterAutospacing="1"/>
      <w:jc w:val="left"/>
    </w:pPr>
    <w:rPr>
      <w:rFonts w:ascii="宋体"/>
      <w:kern w:val="0"/>
      <w:sz w:val="24"/>
      <w:szCs w:val="24"/>
    </w:rPr>
  </w:style>
  <w:style w:type="paragraph" w:styleId="44">
    <w:name w:val="List Continue 3"/>
    <w:basedOn w:val="1"/>
    <w:qFormat/>
    <w:uiPriority w:val="0"/>
    <w:pPr>
      <w:spacing w:after="120"/>
      <w:ind w:left="600" w:leftChars="600"/>
    </w:pPr>
    <w:rPr>
      <w:rFonts w:ascii="Times New Roman" w:hAnsi="Times New Roman"/>
      <w:szCs w:val="20"/>
    </w:rPr>
  </w:style>
  <w:style w:type="paragraph" w:styleId="45">
    <w:name w:val="annotation subject"/>
    <w:basedOn w:val="16"/>
    <w:next w:val="16"/>
    <w:qFormat/>
    <w:uiPriority w:val="0"/>
    <w:rPr>
      <w:b/>
      <w:bCs/>
    </w:rPr>
  </w:style>
  <w:style w:type="character" w:styleId="48">
    <w:name w:val="page number"/>
    <w:basedOn w:val="47"/>
    <w:qFormat/>
    <w:uiPriority w:val="0"/>
  </w:style>
  <w:style w:type="character" w:styleId="49">
    <w:name w:val="FollowedHyperlink"/>
    <w:basedOn w:val="47"/>
    <w:qFormat/>
    <w:uiPriority w:val="0"/>
    <w:rPr>
      <w:color w:val="800080"/>
      <w:u w:val="single"/>
    </w:rPr>
  </w:style>
  <w:style w:type="character" w:styleId="50">
    <w:name w:val="Hyperlink"/>
    <w:basedOn w:val="47"/>
    <w:qFormat/>
    <w:uiPriority w:val="0"/>
    <w:rPr>
      <w:color w:val="0000FF"/>
      <w:u w:val="single"/>
    </w:rPr>
  </w:style>
  <w:style w:type="character" w:styleId="51">
    <w:name w:val="annotation reference"/>
    <w:basedOn w:val="47"/>
    <w:qFormat/>
    <w:uiPriority w:val="0"/>
    <w:rPr>
      <w:sz w:val="21"/>
      <w:szCs w:val="21"/>
    </w:rPr>
  </w:style>
  <w:style w:type="paragraph" w:customStyle="1" w:styleId="52">
    <w:name w:val="表格"/>
    <w:basedOn w:val="1"/>
    <w:qFormat/>
    <w:uiPriority w:val="0"/>
    <w:pPr>
      <w:adjustRightInd w:val="0"/>
      <w:spacing w:line="400" w:lineRule="atLeast"/>
      <w:textAlignment w:val="baseline"/>
    </w:pPr>
    <w:rPr>
      <w:rFonts w:ascii="仿宋_GB2312" w:eastAsia="仿宋_GB2312"/>
      <w:kern w:val="0"/>
      <w:sz w:val="28"/>
      <w:szCs w:val="20"/>
    </w:rPr>
  </w:style>
  <w:style w:type="paragraph" w:customStyle="1" w:styleId="53">
    <w:name w:val="简单回函地址"/>
    <w:basedOn w:val="1"/>
    <w:qFormat/>
    <w:uiPriority w:val="0"/>
    <w:rPr>
      <w:rFonts w:ascii="Times New Roman" w:hAnsi="Times New Roman"/>
      <w:szCs w:val="20"/>
    </w:rPr>
  </w:style>
  <w:style w:type="paragraph" w:customStyle="1" w:styleId="54">
    <w:name w:val="Blockquote"/>
    <w:basedOn w:val="1"/>
    <w:qFormat/>
    <w:uiPriority w:val="0"/>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55">
    <w:name w:val="font5"/>
    <w:basedOn w:val="1"/>
    <w:qFormat/>
    <w:uiPriority w:val="0"/>
    <w:pPr>
      <w:widowControl/>
      <w:spacing w:before="100" w:beforeAutospacing="1" w:after="100" w:afterAutospacing="1" w:line="360" w:lineRule="auto"/>
      <w:ind w:firstLine="200" w:firstLineChars="200"/>
      <w:jc w:val="left"/>
    </w:pPr>
    <w:rPr>
      <w:rFonts w:ascii="宋体" w:hAnsi="宋体" w:eastAsia="仿宋_GB2312" w:cs="Arial Unicode MS"/>
      <w:kern w:val="0"/>
      <w:sz w:val="24"/>
      <w:szCs w:val="24"/>
    </w:rPr>
  </w:style>
  <w:style w:type="paragraph" w:customStyle="1" w:styleId="56">
    <w:name w:val="font6"/>
    <w:basedOn w:val="1"/>
    <w:qFormat/>
    <w:uiPriority w:val="0"/>
    <w:pPr>
      <w:widowControl/>
      <w:spacing w:before="100" w:beforeAutospacing="1" w:after="100" w:afterAutospacing="1" w:line="360" w:lineRule="auto"/>
      <w:ind w:firstLine="200" w:firstLineChars="200"/>
      <w:jc w:val="left"/>
    </w:pPr>
    <w:rPr>
      <w:rFonts w:ascii="宋体" w:hAnsi="宋体" w:eastAsia="仿宋_GB2312" w:cs="Arial Unicode MS"/>
      <w:kern w:val="0"/>
      <w:sz w:val="18"/>
      <w:szCs w:val="18"/>
    </w:rPr>
  </w:style>
  <w:style w:type="paragraph" w:customStyle="1" w:styleId="57">
    <w:name w:val="font7"/>
    <w:basedOn w:val="1"/>
    <w:qFormat/>
    <w:uiPriority w:val="0"/>
    <w:pPr>
      <w:widowControl/>
      <w:spacing w:before="100" w:beforeAutospacing="1" w:after="100" w:afterAutospacing="1" w:line="360" w:lineRule="auto"/>
      <w:ind w:firstLine="200" w:firstLineChars="200"/>
      <w:jc w:val="left"/>
    </w:pPr>
    <w:rPr>
      <w:rFonts w:ascii="仿宋_GB2312" w:hAnsi="仿宋_GB2312" w:eastAsia="Arial Unicode MS"/>
      <w:kern w:val="0"/>
      <w:sz w:val="24"/>
      <w:szCs w:val="24"/>
    </w:rPr>
  </w:style>
  <w:style w:type="paragraph" w:customStyle="1" w:styleId="58">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center"/>
    </w:pPr>
    <w:rPr>
      <w:rFonts w:ascii="Arial Unicode MS" w:eastAsia="Arial Unicode MS" w:cs="Arial Unicode MS"/>
      <w:kern w:val="0"/>
      <w:sz w:val="24"/>
      <w:szCs w:val="24"/>
    </w:rPr>
  </w:style>
  <w:style w:type="paragraph" w:customStyle="1" w:styleId="59">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left"/>
    </w:pPr>
    <w:rPr>
      <w:rFonts w:ascii="Arial Unicode MS" w:eastAsia="Arial Unicode MS" w:cs="Arial Unicode MS"/>
      <w:kern w:val="0"/>
      <w:sz w:val="24"/>
      <w:szCs w:val="24"/>
    </w:rPr>
  </w:style>
  <w:style w:type="paragraph" w:customStyle="1" w:styleId="60">
    <w:name w:val="xl2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line="360" w:lineRule="auto"/>
      <w:ind w:firstLine="200" w:firstLineChars="200"/>
      <w:jc w:val="center"/>
    </w:pPr>
    <w:rPr>
      <w:rFonts w:ascii="Arial Unicode MS" w:eastAsia="Arial Unicode MS" w:cs="Arial Unicode MS"/>
      <w:kern w:val="0"/>
      <w:sz w:val="18"/>
      <w:szCs w:val="18"/>
    </w:rPr>
  </w:style>
  <w:style w:type="paragraph" w:customStyle="1" w:styleId="61">
    <w:name w:val="正文内容"/>
    <w:basedOn w:val="1"/>
    <w:qFormat/>
    <w:uiPriority w:val="0"/>
    <w:pPr>
      <w:widowControl/>
      <w:jc w:val="left"/>
    </w:pPr>
    <w:rPr>
      <w:rFonts w:ascii="宋体" w:cs="宋体"/>
      <w:kern w:val="0"/>
      <w:sz w:val="28"/>
      <w:szCs w:val="24"/>
    </w:rPr>
  </w:style>
  <w:style w:type="paragraph" w:customStyle="1" w:styleId="62">
    <w:name w:val="Default Text"/>
    <w:basedOn w:val="1"/>
    <w:qFormat/>
    <w:uiPriority w:val="0"/>
    <w:pPr>
      <w:widowControl/>
      <w:overflowPunct w:val="0"/>
      <w:autoSpaceDE w:val="0"/>
      <w:autoSpaceDN w:val="0"/>
      <w:adjustRightInd w:val="0"/>
      <w:jc w:val="left"/>
      <w:textAlignment w:val="baseline"/>
    </w:pPr>
    <w:rPr>
      <w:rFonts w:ascii="Times New Roman" w:hAnsi="Times New Roman"/>
      <w:kern w:val="0"/>
      <w:sz w:val="24"/>
      <w:szCs w:val="24"/>
    </w:rPr>
  </w:style>
  <w:style w:type="paragraph" w:customStyle="1" w:styleId="63">
    <w:name w:val="_Style 6"/>
    <w:basedOn w:val="1"/>
    <w:qFormat/>
    <w:uiPriority w:val="0"/>
    <w:pPr>
      <w:adjustRightInd w:val="0"/>
      <w:spacing w:line="360" w:lineRule="atLeast"/>
    </w:pPr>
    <w:rPr>
      <w:rFonts w:ascii="Times New Roman" w:hAnsi="Times New Roman"/>
      <w:szCs w:val="24"/>
    </w:rPr>
  </w:style>
  <w:style w:type="paragraph" w:customStyle="1" w:styleId="64">
    <w:name w:val="p0"/>
    <w:basedOn w:val="1"/>
    <w:qFormat/>
    <w:uiPriority w:val="0"/>
    <w:pPr>
      <w:widowControl/>
    </w:pPr>
    <w:rPr>
      <w:rFonts w:ascii="Times New Roman" w:hAnsi="Times New Roman"/>
      <w:kern w:val="0"/>
      <w:szCs w:val="21"/>
    </w:rPr>
  </w:style>
  <w:style w:type="character" w:customStyle="1" w:styleId="65">
    <w:name w:val="1051"/>
    <w:basedOn w:val="47"/>
    <w:qFormat/>
    <w:uiPriority w:val="0"/>
    <w:rPr>
      <w:sz w:val="21"/>
      <w:szCs w:val="21"/>
    </w:rPr>
  </w:style>
  <w:style w:type="paragraph" w:styleId="66">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43</Pages>
  <Words>3450</Words>
  <Characters>19665</Characters>
  <Lines>163</Lines>
  <Paragraphs>46</Paragraphs>
  <TotalTime>7</TotalTime>
  <ScaleCrop>false</ScaleCrop>
  <LinksUpToDate>false</LinksUpToDate>
  <CharactersWithSpaces>23069</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2018-06-19T03:27:00Z</dcterms:created>
  <dc:creator>张鹏飞</dc:creator>
  <cp:lastModifiedBy>DD</cp:lastModifiedBy>
  <cp:lastPrinted>2021-06-26T09:20:00Z</cp:lastPrinted>
  <dcterms:modified xsi:type="dcterms:W3CDTF">2021-07-15T08:35:40Z</dcterms:modified>
  <dc:title>洛</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2A6BB4D42028432496DFBAF6D3A34B8F</vt:lpwstr>
  </property>
</Properties>
</file>