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outlineLvl w:val="9"/>
        <w:rPr>
          <w:rFonts w:hint="eastAsia" w:ascii="宋体" w:hAnsi="宋体" w:eastAsia="宋体" w:cs="宋体"/>
          <w:color w:val="000000" w:themeColor="text1"/>
          <w:kern w:val="1"/>
          <w:sz w:val="28"/>
          <w:szCs w:val="28"/>
          <w:highlight w:val="none"/>
          <w14:textFill>
            <w14:solidFill>
              <w14:schemeClr w14:val="tx1"/>
            </w14:solidFill>
          </w14:textFill>
        </w:rPr>
      </w:pPr>
    </w:p>
    <w:p>
      <w:pPr>
        <w:pStyle w:val="13"/>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outlineLvl w:val="9"/>
        <w:rPr>
          <w:rFonts w:hint="eastAsia" w:ascii="宋体" w:hAnsi="宋体" w:eastAsia="宋体" w:cs="宋体"/>
          <w:color w:val="000000" w:themeColor="text1"/>
          <w:sz w:val="28"/>
          <w:szCs w:val="28"/>
          <w:highlight w:val="none"/>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firstLine="0" w:firstLineChars="0"/>
        <w:jc w:val="center"/>
        <w:textAlignment w:val="auto"/>
        <w:outlineLvl w:val="9"/>
        <w:rPr>
          <w:rFonts w:hint="eastAsia" w:ascii="宋体" w:hAnsi="宋体" w:eastAsia="宋体" w:cs="宋体"/>
          <w:b/>
          <w:color w:val="000000" w:themeColor="text1"/>
          <w:sz w:val="52"/>
          <w:szCs w:val="52"/>
          <w:highlight w:val="none"/>
          <w14:textFill>
            <w14:solidFill>
              <w14:schemeClr w14:val="tx1"/>
            </w14:solidFill>
          </w14:textFill>
        </w:rPr>
      </w:pPr>
      <w:r>
        <w:rPr>
          <w:rFonts w:hint="eastAsia" w:ascii="宋体" w:hAnsi="宋体" w:eastAsia="宋体" w:cs="宋体"/>
          <w:b/>
          <w:color w:val="000000" w:themeColor="text1"/>
          <w:sz w:val="52"/>
          <w:szCs w:val="52"/>
          <w:highlight w:val="none"/>
          <w14:textFill>
            <w14:solidFill>
              <w14:schemeClr w14:val="tx1"/>
            </w14:solidFill>
          </w14:textFill>
        </w:rPr>
        <w:t>宜阳山水文苑</w:t>
      </w:r>
      <w:r>
        <w:rPr>
          <w:rFonts w:hint="eastAsia" w:ascii="宋体" w:hAnsi="宋体" w:cs="宋体"/>
          <w:b/>
          <w:color w:val="000000" w:themeColor="text1"/>
          <w:sz w:val="52"/>
          <w:szCs w:val="52"/>
          <w:highlight w:val="none"/>
          <w:lang w:eastAsia="zh-CN"/>
          <w14:textFill>
            <w14:solidFill>
              <w14:schemeClr w14:val="tx1"/>
            </w14:solidFill>
          </w14:textFill>
        </w:rPr>
        <w:t>项目</w:t>
      </w:r>
      <w:r>
        <w:rPr>
          <w:rFonts w:hint="eastAsia" w:ascii="宋体" w:hAnsi="宋体" w:eastAsia="宋体" w:cs="宋体"/>
          <w:b/>
          <w:color w:val="000000" w:themeColor="text1"/>
          <w:sz w:val="52"/>
          <w:szCs w:val="52"/>
          <w:highlight w:val="none"/>
          <w14:textFill>
            <w14:solidFill>
              <w14:schemeClr w14:val="tx1"/>
            </w14:solidFill>
          </w14:textFill>
        </w:rPr>
        <w:t>供配电工程施工合同</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ind w:left="0" w:firstLine="0" w:firstLineChars="0"/>
        <w:jc w:val="both"/>
        <w:textAlignment w:val="auto"/>
        <w:outlineLvl w:val="9"/>
        <w:rPr>
          <w:rFonts w:hint="eastAsia" w:ascii="宋体" w:hAnsi="宋体" w:eastAsia="宋体" w:cs="宋体"/>
          <w:b/>
          <w:color w:val="000000" w:themeColor="text1"/>
          <w:sz w:val="28"/>
          <w:szCs w:val="28"/>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outlineLvl w:val="9"/>
        <w:rPr>
          <w:rFonts w:hint="eastAsia" w:ascii="宋体" w:hAnsi="宋体" w:eastAsia="宋体" w:cs="宋体"/>
          <w:b/>
          <w:color w:val="000000" w:themeColor="text1"/>
          <w:sz w:val="28"/>
          <w:szCs w:val="28"/>
          <w:highlight w:val="none"/>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color w:val="000000" w:themeColor="text1"/>
          <w:sz w:val="28"/>
          <w:szCs w:val="28"/>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outlineLvl w:val="9"/>
        <w:rPr>
          <w:rFonts w:hint="eastAsia" w:ascii="宋体" w:hAnsi="宋体" w:eastAsia="宋体" w:cs="宋体"/>
          <w:b/>
          <w:color w:val="000000" w:themeColor="text1"/>
          <w:sz w:val="28"/>
          <w:szCs w:val="28"/>
          <w:highlight w:val="none"/>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color w:val="000000" w:themeColor="text1"/>
          <w:sz w:val="28"/>
          <w:szCs w:val="28"/>
          <w:highlight w:val="none"/>
          <w14:textFill>
            <w14:solidFill>
              <w14:schemeClr w14:val="tx1"/>
            </w14:solidFill>
          </w14:textFill>
        </w:rPr>
      </w:pPr>
    </w:p>
    <w:p>
      <w:pPr>
        <w:pStyle w:val="3"/>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color w:val="000000" w:themeColor="text1"/>
          <w:sz w:val="28"/>
          <w:szCs w:val="28"/>
          <w:highlight w:val="none"/>
          <w14:textFill>
            <w14:solidFill>
              <w14:schemeClr w14:val="tx1"/>
            </w14:solidFill>
          </w14:textFill>
        </w:rPr>
      </w:pPr>
    </w:p>
    <w:p>
      <w:pPr>
        <w:pStyle w:val="13"/>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outlineLvl w:val="9"/>
        <w:rPr>
          <w:rFonts w:hint="eastAsia" w:ascii="宋体" w:hAnsi="宋体" w:eastAsia="宋体" w:cs="宋体"/>
          <w:color w:val="000000" w:themeColor="text1"/>
          <w:sz w:val="28"/>
          <w:szCs w:val="28"/>
          <w:highlight w:val="none"/>
          <w14:textFill>
            <w14:solidFill>
              <w14:schemeClr w14:val="tx1"/>
            </w14:solidFill>
          </w14:textFill>
        </w:rPr>
      </w:pPr>
    </w:p>
    <w:p>
      <w:pPr>
        <w:pStyle w:val="13"/>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outlineLvl w:val="9"/>
        <w:rPr>
          <w:rFonts w:hint="eastAsia" w:ascii="宋体" w:hAnsi="宋体" w:eastAsia="宋体" w:cs="宋体"/>
          <w:color w:val="000000" w:themeColor="text1"/>
          <w:sz w:val="28"/>
          <w:szCs w:val="28"/>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outlineLvl w:val="9"/>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 xml:space="preserve">            成本代码：4.1.2</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outlineLvl w:val="9"/>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 xml:space="preserve">            合同编号：SSWY.01-JA-083</w:t>
      </w:r>
    </w:p>
    <w:p>
      <w:pPr>
        <w:pStyle w:val="13"/>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outlineLvl w:val="9"/>
        <w:rPr>
          <w:rFonts w:hint="eastAsia" w:ascii="宋体" w:hAnsi="宋体" w:eastAsia="宋体" w:cs="宋体"/>
          <w:color w:val="000000" w:themeColor="text1"/>
          <w:sz w:val="28"/>
          <w:szCs w:val="28"/>
          <w:highlight w:val="none"/>
          <w14:textFill>
            <w14:solidFill>
              <w14:schemeClr w14:val="tx1"/>
            </w14:solidFill>
          </w14:textFill>
        </w:rPr>
      </w:pPr>
    </w:p>
    <w:p>
      <w:pPr>
        <w:pStyle w:val="13"/>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outlineLvl w:val="9"/>
        <w:rPr>
          <w:rFonts w:hint="eastAsia" w:ascii="宋体" w:hAnsi="宋体" w:eastAsia="宋体" w:cs="宋体"/>
          <w:color w:val="000000" w:themeColor="text1"/>
          <w:sz w:val="28"/>
          <w:szCs w:val="28"/>
          <w:highlight w:val="none"/>
          <w14:textFill>
            <w14:solidFill>
              <w14:schemeClr w14:val="tx1"/>
            </w14:solidFill>
          </w14:textFill>
        </w:rPr>
      </w:pPr>
    </w:p>
    <w:p>
      <w:pPr>
        <w:pStyle w:val="13"/>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outlineLvl w:val="9"/>
        <w:rPr>
          <w:rFonts w:hint="eastAsia" w:ascii="宋体" w:hAnsi="宋体" w:eastAsia="宋体" w:cs="宋体"/>
          <w:color w:val="000000" w:themeColor="text1"/>
          <w:sz w:val="28"/>
          <w:szCs w:val="28"/>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outlineLvl w:val="9"/>
        <w:rPr>
          <w:rFonts w:hint="eastAsia" w:ascii="宋体" w:hAnsi="宋体" w:eastAsia="宋体" w:cs="宋体"/>
          <w:b/>
          <w:color w:val="000000" w:themeColor="text1"/>
          <w:sz w:val="28"/>
          <w:szCs w:val="28"/>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firstLine="1606" w:firstLineChars="500"/>
        <w:jc w:val="both"/>
        <w:textAlignment w:val="auto"/>
        <w:outlineLvl w:val="9"/>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 xml:space="preserve">甲    方: </w:t>
      </w:r>
      <w:r>
        <w:rPr>
          <w:rFonts w:hint="eastAsia" w:ascii="宋体" w:hAnsi="宋体" w:cs="宋体"/>
          <w:b/>
          <w:color w:val="000000" w:themeColor="text1"/>
          <w:sz w:val="32"/>
          <w:szCs w:val="32"/>
          <w:highlight w:val="none"/>
          <w:u w:val="single"/>
          <w:lang w:val="en-US" w:eastAsia="zh-CN"/>
          <w14:textFill>
            <w14:solidFill>
              <w14:schemeClr w14:val="tx1"/>
            </w14:solidFill>
          </w14:textFill>
        </w:rPr>
        <w:t xml:space="preserve"> </w:t>
      </w:r>
      <w:r>
        <w:rPr>
          <w:rFonts w:hint="eastAsia" w:ascii="宋体" w:hAnsi="宋体" w:eastAsia="宋体" w:cs="宋体"/>
          <w:b/>
          <w:color w:val="000000" w:themeColor="text1"/>
          <w:sz w:val="32"/>
          <w:szCs w:val="32"/>
          <w:highlight w:val="none"/>
          <w:u w:val="single"/>
          <w14:textFill>
            <w14:solidFill>
              <w14:schemeClr w14:val="tx1"/>
            </w14:solidFill>
          </w14:textFill>
        </w:rPr>
        <w:t xml:space="preserve">洛阳莘子园置业有限公司 </w:t>
      </w:r>
      <w:r>
        <w:rPr>
          <w:rFonts w:hint="eastAsia" w:ascii="宋体" w:hAnsi="宋体" w:eastAsia="宋体" w:cs="宋体"/>
          <w:b/>
          <w:color w:val="000000" w:themeColor="text1"/>
          <w:sz w:val="32"/>
          <w:szCs w:val="32"/>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firstLine="1606" w:firstLineChars="500"/>
        <w:jc w:val="both"/>
        <w:textAlignment w:val="auto"/>
        <w:outlineLvl w:val="9"/>
        <w:rPr>
          <w:rFonts w:hint="eastAsia" w:ascii="宋体" w:hAnsi="宋体" w:eastAsia="宋体" w:cs="宋体"/>
          <w:b/>
          <w:color w:val="000000" w:themeColor="text1"/>
          <w:sz w:val="32"/>
          <w:szCs w:val="32"/>
          <w:highlight w:val="none"/>
          <w:u w:val="singl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 xml:space="preserve">乙    方: </w:t>
      </w:r>
      <w:r>
        <w:rPr>
          <w:rFonts w:hint="eastAsia" w:ascii="宋体" w:hAnsi="宋体" w:eastAsia="宋体" w:cs="宋体"/>
          <w:b/>
          <w:color w:val="000000" w:themeColor="text1"/>
          <w:sz w:val="32"/>
          <w:szCs w:val="32"/>
          <w:highlight w:val="none"/>
          <w:u w:val="single"/>
          <w14:textFill>
            <w14:solidFill>
              <w14:schemeClr w14:val="tx1"/>
            </w14:solidFill>
          </w14:textFill>
        </w:rPr>
        <w:t>洛阳龙羽电气设备有限公司</w:t>
      </w:r>
    </w:p>
    <w:p>
      <w:pPr>
        <w:keepNext w:val="0"/>
        <w:keepLines w:val="0"/>
        <w:pageBreakBefore w:val="0"/>
        <w:widowControl w:val="0"/>
        <w:kinsoku/>
        <w:wordWrap/>
        <w:overflowPunct/>
        <w:topLinePunct w:val="0"/>
        <w:autoSpaceDE/>
        <w:autoSpaceDN/>
        <w:bidi w:val="0"/>
        <w:adjustRightInd/>
        <w:snapToGrid/>
        <w:spacing w:line="360" w:lineRule="auto"/>
        <w:ind w:left="0" w:firstLine="1606" w:firstLineChars="500"/>
        <w:jc w:val="both"/>
        <w:textAlignment w:val="auto"/>
        <w:outlineLvl w:val="9"/>
        <w:rPr>
          <w:rFonts w:hint="default" w:ascii="宋体" w:hAnsi="宋体" w:eastAsia="宋体" w:cs="宋体"/>
          <w:b/>
          <w:color w:val="000000" w:themeColor="text1"/>
          <w:sz w:val="32"/>
          <w:szCs w:val="32"/>
          <w:highlight w:val="none"/>
          <w:u w:val="single"/>
          <w:lang w:val="en-US" w:eastAsia="zh-CN"/>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签订日期</w:t>
      </w:r>
      <w:r>
        <w:rPr>
          <w:rFonts w:hint="eastAsia" w:ascii="宋体" w:hAnsi="宋体" w:cs="宋体"/>
          <w:b/>
          <w:color w:val="000000" w:themeColor="text1"/>
          <w:sz w:val="32"/>
          <w:szCs w:val="32"/>
          <w:highlight w:val="none"/>
          <w:lang w:eastAsia="zh-CN"/>
          <w14:textFill>
            <w14:solidFill>
              <w14:schemeClr w14:val="tx1"/>
            </w14:solidFill>
          </w14:textFill>
        </w:rPr>
        <w:t>：</w:t>
      </w:r>
      <w:r>
        <w:rPr>
          <w:rFonts w:hint="eastAsia" w:ascii="宋体" w:hAnsi="宋体" w:eastAsia="宋体" w:cs="宋体"/>
          <w:b/>
          <w:color w:val="000000" w:themeColor="text1"/>
          <w:sz w:val="32"/>
          <w:szCs w:val="32"/>
          <w:highlight w:val="none"/>
          <w:u w:val="single"/>
          <w14:textFill>
            <w14:solidFill>
              <w14:schemeClr w14:val="tx1"/>
            </w14:solidFill>
          </w14:textFill>
        </w:rPr>
        <w:t xml:space="preserve"> </w:t>
      </w:r>
      <w:r>
        <w:rPr>
          <w:rFonts w:hint="eastAsia" w:ascii="宋体" w:hAnsi="宋体" w:cs="宋体"/>
          <w:b/>
          <w:color w:val="000000" w:themeColor="text1"/>
          <w:sz w:val="32"/>
          <w:szCs w:val="32"/>
          <w:highlight w:val="none"/>
          <w:u w:val="single"/>
          <w:lang w:val="en-US" w:eastAsia="zh-CN"/>
          <w14:textFill>
            <w14:solidFill>
              <w14:schemeClr w14:val="tx1"/>
            </w14:solidFill>
          </w14:textFill>
        </w:rPr>
        <w:t xml:space="preserve">   </w:t>
      </w:r>
      <w:r>
        <w:rPr>
          <w:rFonts w:hint="eastAsia" w:ascii="宋体" w:hAnsi="宋体" w:eastAsia="宋体" w:cs="宋体"/>
          <w:b/>
          <w:color w:val="000000" w:themeColor="text1"/>
          <w:sz w:val="32"/>
          <w:szCs w:val="32"/>
          <w:highlight w:val="none"/>
          <w:u w:val="single"/>
          <w14:textFill>
            <w14:solidFill>
              <w14:schemeClr w14:val="tx1"/>
            </w14:solidFill>
          </w14:textFill>
        </w:rPr>
        <w:t>2021年</w:t>
      </w:r>
      <w:r>
        <w:rPr>
          <w:rFonts w:hint="eastAsia" w:ascii="宋体" w:hAnsi="宋体" w:cs="宋体"/>
          <w:b/>
          <w:color w:val="000000" w:themeColor="text1"/>
          <w:sz w:val="32"/>
          <w:szCs w:val="32"/>
          <w:highlight w:val="none"/>
          <w:u w:val="single"/>
          <w:lang w:val="en-US" w:eastAsia="zh-CN"/>
          <w14:textFill>
            <w14:solidFill>
              <w14:schemeClr w14:val="tx1"/>
            </w14:solidFill>
          </w14:textFill>
        </w:rPr>
        <w:t>07</w:t>
      </w:r>
      <w:r>
        <w:rPr>
          <w:rFonts w:hint="eastAsia" w:ascii="宋体" w:hAnsi="宋体" w:eastAsia="宋体" w:cs="宋体"/>
          <w:b/>
          <w:color w:val="000000" w:themeColor="text1"/>
          <w:sz w:val="32"/>
          <w:szCs w:val="32"/>
          <w:highlight w:val="none"/>
          <w:u w:val="single"/>
          <w14:textFill>
            <w14:solidFill>
              <w14:schemeClr w14:val="tx1"/>
            </w14:solidFill>
          </w14:textFill>
        </w:rPr>
        <w:t>月   日</w:t>
      </w:r>
      <w:r>
        <w:rPr>
          <w:rFonts w:hint="eastAsia" w:ascii="宋体" w:hAnsi="宋体" w:cs="宋体"/>
          <w:b/>
          <w:color w:val="000000" w:themeColor="text1"/>
          <w:sz w:val="32"/>
          <w:szCs w:val="32"/>
          <w:highlight w:val="none"/>
          <w:u w:val="single"/>
          <w:lang w:val="en-US" w:eastAsia="zh-CN"/>
          <w14:textFill>
            <w14:solidFill>
              <w14:schemeClr w14:val="tx1"/>
            </w14:solidFill>
          </w14:textFill>
        </w:rPr>
        <w:t xml:space="preserve">   </w:t>
      </w:r>
    </w:p>
    <w:p>
      <w:pPr>
        <w:pStyle w:val="13"/>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 w:val="28"/>
          <w:szCs w:val="28"/>
          <w:highlight w:val="none"/>
          <w:lang w:bidi="ar"/>
          <w14:textFill>
            <w14:solidFill>
              <w14:schemeClr w14:val="tx1"/>
            </w14:solidFill>
          </w14:textFill>
        </w:rPr>
      </w:pPr>
    </w:p>
    <w:p>
      <w:pPr>
        <w:pStyle w:val="13"/>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 w:val="28"/>
          <w:szCs w:val="28"/>
          <w:highlight w:val="none"/>
          <w:lang w:bidi="ar"/>
          <w14:textFill>
            <w14:solidFill>
              <w14:schemeClr w14:val="tx1"/>
            </w14:solidFill>
          </w14:textFill>
        </w:rPr>
      </w:pP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b/>
          <w:color w:val="000000" w:themeColor="text1"/>
          <w:kern w:val="28"/>
          <w:sz w:val="36"/>
          <w:szCs w:val="36"/>
          <w:highlight w:val="none"/>
          <w14:textFill>
            <w14:solidFill>
              <w14:schemeClr w14:val="tx1"/>
            </w14:solidFill>
          </w14:textFill>
        </w:rPr>
        <w:sectPr>
          <w:pgSz w:w="11906" w:h="16838"/>
          <w:pgMar w:top="1304" w:right="1304" w:bottom="1304" w:left="1304" w:header="851" w:footer="992" w:gutter="0"/>
          <w:cols w:space="425" w:num="1"/>
          <w:docGrid w:type="lines" w:linePitch="312" w:charSpace="0"/>
        </w:sectPr>
      </w:pP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kern w:val="28"/>
          <w:sz w:val="36"/>
          <w:szCs w:val="36"/>
          <w:highlight w:val="none"/>
          <w14:textFill>
            <w14:solidFill>
              <w14:schemeClr w14:val="tx1"/>
            </w14:solidFill>
          </w14:textFill>
        </w:rPr>
        <w:t>宜阳山水文苑</w:t>
      </w:r>
      <w:r>
        <w:rPr>
          <w:rFonts w:hint="eastAsia" w:cs="宋体"/>
          <w:b/>
          <w:color w:val="000000" w:themeColor="text1"/>
          <w:kern w:val="28"/>
          <w:sz w:val="36"/>
          <w:szCs w:val="36"/>
          <w:highlight w:val="none"/>
          <w:lang w:eastAsia="zh-CN"/>
          <w14:textFill>
            <w14:solidFill>
              <w14:schemeClr w14:val="tx1"/>
            </w14:solidFill>
          </w14:textFill>
        </w:rPr>
        <w:t>项目</w:t>
      </w:r>
      <w:r>
        <w:rPr>
          <w:rFonts w:hint="eastAsia" w:ascii="宋体" w:hAnsi="宋体" w:eastAsia="宋体" w:cs="宋体"/>
          <w:b/>
          <w:color w:val="000000" w:themeColor="text1"/>
          <w:kern w:val="28"/>
          <w:sz w:val="36"/>
          <w:szCs w:val="36"/>
          <w:highlight w:val="none"/>
          <w14:textFill>
            <w14:solidFill>
              <w14:schemeClr w14:val="tx1"/>
            </w14:solidFill>
          </w14:textFill>
        </w:rPr>
        <w:t>供配电</w:t>
      </w:r>
      <w:r>
        <w:rPr>
          <w:rFonts w:hint="eastAsia" w:cs="宋体"/>
          <w:b/>
          <w:color w:val="000000" w:themeColor="text1"/>
          <w:kern w:val="28"/>
          <w:sz w:val="36"/>
          <w:szCs w:val="36"/>
          <w:highlight w:val="none"/>
          <w:lang w:eastAsia="zh-CN"/>
          <w14:textFill>
            <w14:solidFill>
              <w14:schemeClr w14:val="tx1"/>
            </w14:solidFill>
          </w14:textFill>
        </w:rPr>
        <w:t>工程</w:t>
      </w:r>
      <w:r>
        <w:rPr>
          <w:rFonts w:hint="eastAsia" w:ascii="宋体" w:hAnsi="宋体" w:eastAsia="宋体" w:cs="宋体"/>
          <w:b/>
          <w:color w:val="000000" w:themeColor="text1"/>
          <w:kern w:val="28"/>
          <w:sz w:val="36"/>
          <w:szCs w:val="36"/>
          <w:highlight w:val="none"/>
          <w14:textFill>
            <w14:solidFill>
              <w14:schemeClr w14:val="tx1"/>
            </w14:solidFill>
          </w14:textFill>
        </w:rPr>
        <w:t>施工工程</w:t>
      </w:r>
    </w:p>
    <w:p>
      <w:pPr>
        <w:widowControl w:val="0"/>
        <w:spacing w:line="360" w:lineRule="auto"/>
        <w:rPr>
          <w:rFonts w:hint="eastAsia" w:ascii="宋体" w:hAnsi="宋体" w:eastAsia="宋体" w:cs="宋体"/>
          <w:b/>
          <w:bCs w:val="0"/>
          <w:color w:val="000000" w:themeColor="text1"/>
          <w:spacing w:val="0"/>
          <w:kern w:val="24"/>
          <w:position w:val="0"/>
          <w:sz w:val="24"/>
          <w:szCs w:val="24"/>
          <w:highlight w:val="none"/>
          <w:u w:val="single"/>
          <w:vertAlign w:val="baseline"/>
          <w:lang w:val="en-US" w:eastAsia="zh-CN"/>
          <w14:textFill>
            <w14:solidFill>
              <w14:schemeClr w14:val="tx1"/>
            </w14:solidFill>
          </w14:textFill>
        </w:rPr>
      </w:pPr>
      <w:r>
        <w:rPr>
          <w:rFonts w:hint="eastAsia" w:ascii="宋体" w:hAnsi="宋体" w:cs="宋体"/>
          <w:b/>
          <w:bCs w:val="0"/>
          <w:color w:val="000000" w:themeColor="text1"/>
          <w:spacing w:val="0"/>
          <w:kern w:val="24"/>
          <w:position w:val="0"/>
          <w:sz w:val="24"/>
          <w:szCs w:val="24"/>
          <w:highlight w:val="none"/>
          <w:vertAlign w:val="baseline"/>
          <w:lang w:eastAsia="zh-CN" w:bidi="ar"/>
          <w14:textFill>
            <w14:solidFill>
              <w14:schemeClr w14:val="tx1"/>
            </w14:solidFill>
          </w14:textFill>
        </w:rPr>
        <w:t>甲方</w:t>
      </w:r>
      <w:r>
        <w:rPr>
          <w:rFonts w:hint="eastAsia" w:ascii="宋体" w:hAnsi="宋体" w:eastAsia="宋体" w:cs="宋体"/>
          <w:b/>
          <w:bCs w:val="0"/>
          <w:color w:val="000000" w:themeColor="text1"/>
          <w:spacing w:val="0"/>
          <w:kern w:val="24"/>
          <w:position w:val="0"/>
          <w:sz w:val="24"/>
          <w:szCs w:val="24"/>
          <w:highlight w:val="none"/>
          <w:vertAlign w:val="baseline"/>
          <w:lang w:bidi="ar"/>
          <w14:textFill>
            <w14:solidFill>
              <w14:schemeClr w14:val="tx1"/>
            </w14:solidFill>
          </w14:textFill>
        </w:rPr>
        <w:t>：</w:t>
      </w:r>
      <w:r>
        <w:rPr>
          <w:rFonts w:hint="eastAsia" w:ascii="宋体" w:hAnsi="宋体" w:cs="宋体"/>
          <w:b/>
          <w:bCs w:val="0"/>
          <w:color w:val="000000" w:themeColor="text1"/>
          <w:spacing w:val="0"/>
          <w:kern w:val="24"/>
          <w:position w:val="0"/>
          <w:sz w:val="24"/>
          <w:szCs w:val="24"/>
          <w:highlight w:val="none"/>
          <w:u w:val="single"/>
          <w:vertAlign w:val="baseline"/>
          <w:lang w:val="en-US" w:eastAsia="zh-CN" w:bidi="ar"/>
          <w14:textFill>
            <w14:solidFill>
              <w14:schemeClr w14:val="tx1"/>
            </w14:solidFill>
          </w14:textFill>
        </w:rPr>
        <w:t xml:space="preserve"> </w:t>
      </w:r>
      <w:r>
        <w:rPr>
          <w:rFonts w:hint="eastAsia" w:ascii="宋体" w:hAnsi="宋体" w:eastAsia="宋体" w:cs="宋体"/>
          <w:b/>
          <w:bCs w:val="0"/>
          <w:color w:val="000000" w:themeColor="text1"/>
          <w:spacing w:val="0"/>
          <w:kern w:val="24"/>
          <w:position w:val="0"/>
          <w:sz w:val="24"/>
          <w:szCs w:val="24"/>
          <w:highlight w:val="none"/>
          <w:u w:val="single"/>
          <w:vertAlign w:val="baseline"/>
          <w:lang w:bidi="ar"/>
          <w14:textFill>
            <w14:solidFill>
              <w14:schemeClr w14:val="tx1"/>
            </w14:solidFill>
          </w14:textFill>
        </w:rPr>
        <w:t>洛阳莘子园置业有限公司</w:t>
      </w:r>
      <w:r>
        <w:rPr>
          <w:rFonts w:hint="eastAsia" w:ascii="宋体" w:hAnsi="宋体" w:cs="宋体"/>
          <w:b/>
          <w:bCs w:val="0"/>
          <w:color w:val="000000" w:themeColor="text1"/>
          <w:spacing w:val="0"/>
          <w:kern w:val="24"/>
          <w:position w:val="0"/>
          <w:sz w:val="24"/>
          <w:szCs w:val="24"/>
          <w:highlight w:val="none"/>
          <w:u w:val="single"/>
          <w:vertAlign w:val="baseline"/>
          <w:lang w:val="en-US" w:eastAsia="zh-CN" w:bidi="ar"/>
          <w14:textFill>
            <w14:solidFill>
              <w14:schemeClr w14:val="tx1"/>
            </w14:solidFill>
          </w14:textFill>
        </w:rPr>
        <w:t xml:space="preserve"> </w:t>
      </w:r>
    </w:p>
    <w:p>
      <w:pPr>
        <w:widowControl w:val="0"/>
        <w:spacing w:line="360" w:lineRule="auto"/>
        <w:rPr>
          <w:rFonts w:hint="eastAsia" w:ascii="宋体" w:hAnsi="宋体" w:eastAsia="宋体" w:cs="宋体"/>
          <w:b/>
          <w:bCs w:val="0"/>
          <w:color w:val="000000" w:themeColor="text1"/>
          <w:spacing w:val="0"/>
          <w:kern w:val="24"/>
          <w:position w:val="0"/>
          <w:sz w:val="24"/>
          <w:szCs w:val="24"/>
          <w:highlight w:val="none"/>
          <w:u w:val="single"/>
          <w:vertAlign w:val="baseline"/>
          <w14:textFill>
            <w14:solidFill>
              <w14:schemeClr w14:val="tx1"/>
            </w14:solidFill>
          </w14:textFill>
        </w:rPr>
      </w:pPr>
      <w:r>
        <w:rPr>
          <w:rFonts w:hint="eastAsia" w:ascii="宋体" w:hAnsi="宋体" w:cs="宋体"/>
          <w:b/>
          <w:bCs w:val="0"/>
          <w:color w:val="000000" w:themeColor="text1"/>
          <w:spacing w:val="0"/>
          <w:kern w:val="24"/>
          <w:position w:val="0"/>
          <w:sz w:val="24"/>
          <w:szCs w:val="24"/>
          <w:highlight w:val="none"/>
          <w:vertAlign w:val="baseline"/>
          <w:lang w:eastAsia="zh-CN" w:bidi="ar"/>
          <w14:textFill>
            <w14:solidFill>
              <w14:schemeClr w14:val="tx1"/>
            </w14:solidFill>
          </w14:textFill>
        </w:rPr>
        <w:t>乙方</w:t>
      </w:r>
      <w:r>
        <w:rPr>
          <w:rFonts w:hint="eastAsia" w:ascii="宋体" w:hAnsi="宋体" w:eastAsia="宋体" w:cs="宋体"/>
          <w:b/>
          <w:bCs w:val="0"/>
          <w:color w:val="000000" w:themeColor="text1"/>
          <w:spacing w:val="0"/>
          <w:kern w:val="24"/>
          <w:position w:val="0"/>
          <w:sz w:val="24"/>
          <w:szCs w:val="24"/>
          <w:highlight w:val="none"/>
          <w:vertAlign w:val="baseline"/>
          <w:lang w:bidi="ar"/>
          <w14:textFill>
            <w14:solidFill>
              <w14:schemeClr w14:val="tx1"/>
            </w14:solidFill>
          </w14:textFill>
        </w:rPr>
        <w:t>：</w:t>
      </w:r>
      <w:r>
        <w:rPr>
          <w:rFonts w:hint="eastAsia" w:ascii="宋体" w:hAnsi="宋体" w:eastAsia="宋体" w:cs="宋体"/>
          <w:b/>
          <w:bCs w:val="0"/>
          <w:color w:val="000000" w:themeColor="text1"/>
          <w:spacing w:val="0"/>
          <w:kern w:val="24"/>
          <w:position w:val="0"/>
          <w:sz w:val="24"/>
          <w:szCs w:val="24"/>
          <w:highlight w:val="none"/>
          <w:u w:val="single"/>
          <w:vertAlign w:val="baseline"/>
          <w:lang w:bidi="ar"/>
          <w14:textFill>
            <w14:solidFill>
              <w14:schemeClr w14:val="tx1"/>
            </w14:solidFill>
          </w14:textFill>
        </w:rPr>
        <w:t>洛阳龙羽电气设备有限公司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依照《中华人民共和国民法典》、《中华人民共和国建筑法》及其他有关法律、行政法规，遵循平等、自愿、公平和诚实信用的原则，双方就本供配电工程施工事项协商一致，订立本合同。</w:t>
      </w:r>
    </w:p>
    <w:p>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bCs/>
          <w:color w:val="000000" w:themeColor="text1"/>
          <w:spacing w:val="0"/>
          <w:kern w:val="24"/>
          <w:position w:val="0"/>
          <w:sz w:val="24"/>
          <w:szCs w:val="24"/>
          <w:highlight w:val="none"/>
          <w:vertAlign w:val="baseline"/>
          <w:lang w:bidi="ar"/>
          <w14:textFill>
            <w14:solidFill>
              <w14:schemeClr w14:val="tx1"/>
            </w14:solidFill>
          </w14:textFill>
        </w:rPr>
        <w:t>一、工程概况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工程名称：宜阳山水文苑供配电工程</w:t>
      </w:r>
      <w:r>
        <w:rPr>
          <w:rFonts w:hint="eastAsia" w:ascii="宋体" w:hAnsi="宋体" w:eastAsia="宋体" w:cs="宋体"/>
          <w:b w:val="0"/>
          <w:color w:val="000000" w:themeColor="text1"/>
          <w:spacing w:val="0"/>
          <w:kern w:val="24"/>
          <w:position w:val="0"/>
          <w:sz w:val="24"/>
          <w:szCs w:val="24"/>
          <w:highlight w:val="none"/>
          <w:vertAlign w:val="baseline"/>
          <w:lang w:eastAsia="zh-CN"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工程地点：</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河南省洛阳市宜阳县香鹿山镇滨河北路与锦龙大桥交汇处</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bCs/>
          <w:color w:val="000000" w:themeColor="text1"/>
          <w:spacing w:val="0"/>
          <w:kern w:val="24"/>
          <w:position w:val="0"/>
          <w:sz w:val="24"/>
          <w:szCs w:val="24"/>
          <w:highlight w:val="none"/>
          <w:vertAlign w:val="baseline"/>
          <w:lang w:bidi="ar"/>
          <w14:textFill>
            <w14:solidFill>
              <w14:schemeClr w14:val="tx1"/>
            </w14:solidFill>
          </w14:textFill>
        </w:rPr>
        <w:t>二、工程承包范围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由</w:t>
      </w:r>
      <w:r>
        <w:rPr>
          <w:rFonts w:hint="eastAsia" w:ascii="宋体" w:hAnsi="宋体" w:eastAsia="宋体" w:cs="宋体"/>
          <w:b w:val="0"/>
          <w:color w:val="000000" w:themeColor="text1"/>
          <w:spacing w:val="0"/>
          <w:kern w:val="24"/>
          <w:position w:val="0"/>
          <w:sz w:val="24"/>
          <w:szCs w:val="24"/>
          <w:highlight w:val="none"/>
          <w:u w:val="single"/>
          <w:vertAlign w:val="baseline"/>
          <w14:textFill>
            <w14:solidFill>
              <w14:schemeClr w14:val="tx1"/>
            </w14:solidFill>
          </w14:textFill>
        </w:rPr>
        <w:t xml:space="preserve"> 河南大地电力勘察设计有限公司 </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设计的宜阳山水文苑供配电工程施工图纸</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及图纸</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范围内的相关供配电工程</w:t>
      </w: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，以及</w:t>
      </w:r>
      <w:r>
        <w:rPr>
          <w:rFonts w:hint="eastAsia" w:ascii="宋体" w:hAnsi="宋体" w:cs="宋体"/>
          <w:b w:val="0"/>
          <w:color w:val="000000" w:themeColor="text1"/>
          <w:spacing w:val="0"/>
          <w:kern w:val="24"/>
          <w:position w:val="0"/>
          <w:sz w:val="24"/>
          <w:szCs w:val="24"/>
          <w:highlight w:val="none"/>
          <w:shd w:val="clear" w:color="auto" w:fill="FFFFFF"/>
          <w:vertAlign w:val="baseline"/>
          <w:lang w:val="en-US" w:eastAsia="zh-CN"/>
          <w14:textFill>
            <w14:solidFill>
              <w14:schemeClr w14:val="tx1"/>
            </w14:solidFill>
          </w14:textFill>
        </w:rPr>
        <w:t>增设一路</w:t>
      </w:r>
      <w:r>
        <w:rPr>
          <w:rFonts w:hint="eastAsia" w:ascii="宋体" w:hAnsi="宋体" w:cs="宋体"/>
          <w:b w:val="0"/>
          <w:color w:val="000000" w:themeColor="text1"/>
          <w:spacing w:val="0"/>
          <w:kern w:val="24"/>
          <w:position w:val="0"/>
          <w:sz w:val="24"/>
          <w:szCs w:val="24"/>
          <w:highlight w:val="none"/>
          <w:vertAlign w:val="baseline"/>
          <w:lang w:eastAsia="zh-CN" w:bidi="ar"/>
          <w14:textFill>
            <w14:solidFill>
              <w14:schemeClr w14:val="tx1"/>
            </w14:solidFill>
          </w14:textFill>
        </w:rPr>
        <w:t>外部临时电源接入</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1、</w:t>
      </w:r>
      <w:r>
        <w:rPr>
          <w:rFonts w:hint="eastAsia" w:ascii="宋体" w:hAnsi="宋体" w:eastAsia="宋体" w:cs="宋体"/>
          <w:b w:val="0"/>
          <w:bCs w:val="0"/>
          <w:color w:val="000000" w:themeColor="text1"/>
          <w:spacing w:val="0"/>
          <w:kern w:val="24"/>
          <w:position w:val="0"/>
          <w:sz w:val="24"/>
          <w:szCs w:val="24"/>
          <w:highlight w:val="none"/>
          <w:vertAlign w:val="baseline"/>
          <w14:textFill>
            <w14:solidFill>
              <w14:schemeClr w14:val="tx1"/>
            </w14:solidFill>
          </w14:textFill>
        </w:rPr>
        <w:t>图纸范围内的</w:t>
      </w:r>
      <w:r>
        <w:rPr>
          <w:rFonts w:hint="eastAsia" w:ascii="宋体" w:hAnsi="宋体" w:eastAsia="宋体" w:cs="宋体"/>
          <w:b w:val="0"/>
          <w:bCs w:val="0"/>
          <w:color w:val="000000" w:themeColor="text1"/>
          <w:spacing w:val="0"/>
          <w:kern w:val="24"/>
          <w:position w:val="0"/>
          <w:sz w:val="24"/>
          <w:szCs w:val="24"/>
          <w:highlight w:val="none"/>
          <w:vertAlign w:val="baseline"/>
          <w:lang w:val="en-US" w:eastAsia="zh-CN"/>
          <w14:textFill>
            <w14:solidFill>
              <w14:schemeClr w14:val="tx1"/>
            </w14:solidFill>
          </w14:textFill>
        </w:rPr>
        <w:t>1#、2#</w:t>
      </w:r>
      <w:r>
        <w:rPr>
          <w:rFonts w:hint="eastAsia" w:ascii="宋体" w:hAnsi="宋体" w:eastAsia="宋体" w:cs="宋体"/>
          <w:b w:val="0"/>
          <w:bCs w:val="0"/>
          <w:color w:val="000000" w:themeColor="text1"/>
          <w:spacing w:val="0"/>
          <w:kern w:val="24"/>
          <w:position w:val="0"/>
          <w:sz w:val="24"/>
          <w:szCs w:val="24"/>
          <w:highlight w:val="none"/>
          <w:vertAlign w:val="baseline"/>
          <w:lang w:eastAsia="zh-CN"/>
          <w14:textFill>
            <w14:solidFill>
              <w14:schemeClr w14:val="tx1"/>
            </w14:solidFill>
          </w14:textFill>
        </w:rPr>
        <w:t>住宅配、专用配土建及设备采购安装、高压桥架的采购安装、各主楼户表低压出线电源电线，低压桥架、封闭母线、电表箱采购、敷设、安装，</w:t>
      </w:r>
      <w:r>
        <w:rPr>
          <w:rFonts w:hint="eastAsia" w:ascii="宋体" w:hAnsi="宋体" w:cs="宋体"/>
          <w:b w:val="0"/>
          <w:bCs w:val="0"/>
          <w:color w:val="000000" w:themeColor="text1"/>
          <w:spacing w:val="0"/>
          <w:kern w:val="24"/>
          <w:position w:val="0"/>
          <w:sz w:val="24"/>
          <w:szCs w:val="24"/>
          <w:highlight w:val="none"/>
          <w:vertAlign w:val="baseline"/>
          <w:lang w:val="en-US" w:eastAsia="zh-CN"/>
          <w14:textFill>
            <w14:solidFill>
              <w14:schemeClr w14:val="tx1"/>
            </w14:solidFill>
          </w14:textFill>
        </w:rPr>
        <w:t>临时</w:t>
      </w:r>
      <w:r>
        <w:rPr>
          <w:rFonts w:hint="eastAsia" w:ascii="宋体" w:hAnsi="宋体" w:eastAsia="宋体" w:cs="宋体"/>
          <w:b w:val="0"/>
          <w:bCs w:val="0"/>
          <w:color w:val="000000" w:themeColor="text1"/>
          <w:spacing w:val="0"/>
          <w:kern w:val="24"/>
          <w:position w:val="0"/>
          <w:sz w:val="24"/>
          <w:szCs w:val="24"/>
          <w:highlight w:val="none"/>
          <w:vertAlign w:val="baseline"/>
          <w:lang w:eastAsia="zh-CN"/>
          <w14:textFill>
            <w14:solidFill>
              <w14:schemeClr w14:val="tx1"/>
            </w14:solidFill>
          </w14:textFill>
        </w:rPr>
        <w:t>电表的</w:t>
      </w:r>
      <w:r>
        <w:rPr>
          <w:rFonts w:hint="eastAsia" w:ascii="宋体" w:hAnsi="宋体" w:cs="宋体"/>
          <w:b w:val="0"/>
          <w:bCs w:val="0"/>
          <w:color w:val="000000" w:themeColor="text1"/>
          <w:spacing w:val="0"/>
          <w:kern w:val="24"/>
          <w:position w:val="0"/>
          <w:sz w:val="24"/>
          <w:szCs w:val="24"/>
          <w:highlight w:val="none"/>
          <w:vertAlign w:val="baseline"/>
          <w:lang w:val="en-US" w:eastAsia="zh-CN"/>
          <w14:textFill>
            <w14:solidFill>
              <w14:schemeClr w14:val="tx1"/>
            </w14:solidFill>
          </w14:textFill>
        </w:rPr>
        <w:t>使用费用，</w:t>
      </w:r>
      <w:r>
        <w:rPr>
          <w:rFonts w:hint="eastAsia" w:ascii="宋体" w:hAnsi="宋体" w:eastAsia="宋体" w:cs="宋体"/>
          <w:b w:val="0"/>
          <w:bCs w:val="0"/>
          <w:color w:val="000000" w:themeColor="text1"/>
          <w:spacing w:val="0"/>
          <w:kern w:val="24"/>
          <w:position w:val="0"/>
          <w:sz w:val="24"/>
          <w:szCs w:val="24"/>
          <w:highlight w:val="none"/>
          <w:vertAlign w:val="baseline"/>
          <w:lang w:eastAsia="zh-CN"/>
          <w14:textFill>
            <w14:solidFill>
              <w14:schemeClr w14:val="tx1"/>
            </w14:solidFill>
          </w14:textFill>
        </w:rPr>
        <w:t>住宅配、专用配的移交，若正式电未送，需</w:t>
      </w:r>
      <w:r>
        <w:rPr>
          <w:rFonts w:hint="eastAsia" w:ascii="宋体" w:hAnsi="宋体" w:cs="宋体"/>
          <w:b w:val="0"/>
          <w:bCs w:val="0"/>
          <w:color w:val="000000" w:themeColor="text1"/>
          <w:spacing w:val="0"/>
          <w:kern w:val="24"/>
          <w:position w:val="0"/>
          <w:sz w:val="24"/>
          <w:szCs w:val="24"/>
          <w:highlight w:val="none"/>
          <w:vertAlign w:val="baseline"/>
          <w:lang w:eastAsia="zh-CN"/>
          <w14:textFill>
            <w14:solidFill>
              <w14:schemeClr w14:val="tx1"/>
            </w14:solidFill>
          </w14:textFill>
        </w:rPr>
        <w:t>通过外部临时电源接入方案</w:t>
      </w:r>
      <w:r>
        <w:rPr>
          <w:rFonts w:hint="eastAsia" w:ascii="宋体" w:hAnsi="宋体" w:eastAsia="宋体" w:cs="宋体"/>
          <w:b w:val="0"/>
          <w:bCs w:val="0"/>
          <w:color w:val="000000" w:themeColor="text1"/>
          <w:spacing w:val="0"/>
          <w:kern w:val="24"/>
          <w:position w:val="0"/>
          <w:sz w:val="24"/>
          <w:szCs w:val="24"/>
          <w:highlight w:val="none"/>
          <w:vertAlign w:val="baseline"/>
          <w:lang w:eastAsia="zh-CN"/>
          <w14:textFill>
            <w14:solidFill>
              <w14:schemeClr w14:val="tx1"/>
            </w14:solidFill>
          </w14:textFill>
        </w:rPr>
        <w:t>，用临时电送</w:t>
      </w:r>
      <w:r>
        <w:rPr>
          <w:rFonts w:hint="eastAsia" w:ascii="宋体" w:hAnsi="宋体" w:cs="宋体"/>
          <w:b w:val="0"/>
          <w:bCs w:val="0"/>
          <w:color w:val="000000" w:themeColor="text1"/>
          <w:spacing w:val="0"/>
          <w:kern w:val="24"/>
          <w:position w:val="0"/>
          <w:sz w:val="24"/>
          <w:szCs w:val="24"/>
          <w:highlight w:val="none"/>
          <w:vertAlign w:val="baseline"/>
          <w:lang w:eastAsia="zh-CN"/>
          <w14:textFill>
            <w14:solidFill>
              <w14:schemeClr w14:val="tx1"/>
            </w14:solidFill>
          </w14:textFill>
        </w:rPr>
        <w:t>电</w:t>
      </w:r>
      <w:r>
        <w:rPr>
          <w:rFonts w:hint="eastAsia" w:ascii="宋体" w:hAnsi="宋体" w:eastAsia="宋体" w:cs="宋体"/>
          <w:b w:val="0"/>
          <w:bCs w:val="0"/>
          <w:color w:val="000000" w:themeColor="text1"/>
          <w:spacing w:val="0"/>
          <w:kern w:val="24"/>
          <w:position w:val="0"/>
          <w:sz w:val="24"/>
          <w:szCs w:val="24"/>
          <w:highlight w:val="none"/>
          <w:vertAlign w:val="baseli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2 、</w:t>
      </w:r>
      <w:r>
        <w:rPr>
          <w:rFonts w:hint="eastAsia" w:ascii="宋体" w:hAnsi="宋体" w:eastAsia="宋体" w:cs="宋体"/>
          <w:b w:val="0"/>
          <w:bCs/>
          <w:color w:val="000000" w:themeColor="text1"/>
          <w:spacing w:val="0"/>
          <w:kern w:val="24"/>
          <w:position w:val="0"/>
          <w:sz w:val="24"/>
          <w:szCs w:val="24"/>
          <w:highlight w:val="none"/>
          <w:vertAlign w:val="baseline"/>
          <w14:textFill>
            <w14:solidFill>
              <w14:schemeClr w14:val="tx1"/>
            </w14:solidFill>
          </w14:textFill>
        </w:rPr>
        <w:t>宜阳山水文苑项目</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用户专用配部分图纸范围内的配电设备及进线、母线、桥架、安全文明工具（含绝缘胶垫、高压验电器、绝缘手套、绝缘胶鞋，警示牌、文件柜、高低凳、隔离栏、高低压接地线等）、模拟图版</w:t>
      </w:r>
      <w:r>
        <w:rPr>
          <w:rFonts w:hint="eastAsia" w:ascii="宋体" w:hAnsi="宋体" w:cs="宋体"/>
          <w:b w:val="0"/>
          <w:color w:val="000000" w:themeColor="text1"/>
          <w:spacing w:val="0"/>
          <w:kern w:val="24"/>
          <w:position w:val="0"/>
          <w:sz w:val="24"/>
          <w:szCs w:val="24"/>
          <w:highlight w:val="none"/>
          <w:vertAlign w:val="baseline"/>
          <w:lang w:eastAsia="zh-CN"/>
          <w14:textFill>
            <w14:solidFill>
              <w14:schemeClr w14:val="tx1"/>
            </w14:solidFill>
          </w14:textFill>
        </w:rPr>
        <w:t>、环境监测系统</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 xml:space="preserve">等辅助设施供货及安装；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3</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、图纸范围内土建（包含设备房及值班室的墙面天棚粉刷、防火门供货安装、电缆沟、设备基础及预埋件等）及配套安装（包括：照明设施、应急照明、事故照明、接地设施、通风设施、钢制竖井等）。</w:t>
      </w:r>
    </w:p>
    <w:p>
      <w:pPr>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4</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、包含</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本合同范围内</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送电手续、送电、监理费等所涉及全部费用；供配电工程的设备材料购置(含用户专用配内及总的部分配套设施）及其施工安装、调试、通过竣工验收直至交付使用、人员技术培训、保修、售后服务。</w:t>
      </w:r>
    </w:p>
    <w:p>
      <w:pPr>
        <w:pStyle w:val="2"/>
        <w:ind w:firstLine="480" w:firstLineChars="200"/>
        <w:rPr>
          <w:rFonts w:hint="default" w:eastAsia="宋体"/>
          <w:color w:val="000000" w:themeColor="text1"/>
          <w:highlight w:val="none"/>
          <w:lang w:val="en-US" w:eastAsia="zh-CN"/>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shd w:val="clear" w:color="auto" w:fill="FFFFFF"/>
          <w:vertAlign w:val="baseline"/>
          <w:lang w:val="en-US" w:eastAsia="zh-CN"/>
          <w14:textFill>
            <w14:solidFill>
              <w14:schemeClr w14:val="tx1"/>
            </w14:solidFill>
          </w14:textFill>
        </w:rPr>
        <w:t>5、包含增设一路临时电源接入及相关手续，保证消防和交房验收及正式电接入前的正常运营需求。</w:t>
      </w:r>
    </w:p>
    <w:p>
      <w:pPr>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shd w:val="clear" w:color="auto" w:fill="FFFFFF"/>
          <w:vertAlign w:val="baseline"/>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shd w:val="clear" w:color="auto" w:fill="FFFFFF"/>
          <w:vertAlign w:val="baseline"/>
          <w:lang w:val="en-US" w:eastAsia="zh-CN"/>
          <w14:textFill>
            <w14:solidFill>
              <w14:schemeClr w14:val="tx1"/>
            </w14:solidFill>
          </w14:textFill>
        </w:rPr>
        <w:t>6</w:t>
      </w:r>
      <w:r>
        <w:rPr>
          <w:rFonts w:hint="eastAsia" w:ascii="宋体" w:hAnsi="宋体" w:eastAsia="宋体" w:cs="宋体"/>
          <w:b w:val="0"/>
          <w:color w:val="000000" w:themeColor="text1"/>
          <w:spacing w:val="0"/>
          <w:kern w:val="24"/>
          <w:position w:val="0"/>
          <w:sz w:val="24"/>
          <w:szCs w:val="24"/>
          <w:highlight w:val="none"/>
          <w:shd w:val="clear" w:color="auto" w:fill="FFFFFF"/>
          <w:vertAlign w:val="baseline"/>
          <w14:textFill>
            <w14:solidFill>
              <w14:schemeClr w14:val="tx1"/>
            </w14:solidFill>
          </w14:textFill>
        </w:rPr>
        <w:t>、承包各系统的一切安装工程的施工、调试、报验并通过政府主管部门验收。</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000000" w:themeColor="text1"/>
          <w:spacing w:val="0"/>
          <w:kern w:val="24"/>
          <w:position w:val="0"/>
          <w:sz w:val="24"/>
          <w:szCs w:val="24"/>
          <w:highlight w:val="none"/>
          <w:vertAlign w:val="baseline"/>
          <w:lang w:bidi="ar"/>
          <w14:textFill>
            <w14:solidFill>
              <w14:schemeClr w14:val="tx1"/>
            </w14:solidFill>
          </w14:textFill>
        </w:rPr>
      </w:pPr>
      <w:r>
        <w:rPr>
          <w:rFonts w:hint="eastAsia" w:ascii="宋体" w:hAnsi="宋体" w:eastAsia="宋体" w:cs="宋体"/>
          <w:b/>
          <w:bCs/>
          <w:color w:val="000000" w:themeColor="text1"/>
          <w:spacing w:val="0"/>
          <w:kern w:val="24"/>
          <w:position w:val="0"/>
          <w:sz w:val="24"/>
          <w:szCs w:val="24"/>
          <w:highlight w:val="none"/>
          <w:vertAlign w:val="baseline"/>
          <w:lang w:bidi="ar"/>
          <w14:textFill>
            <w14:solidFill>
              <w14:schemeClr w14:val="tx1"/>
            </w14:solidFill>
          </w14:textFill>
        </w:rPr>
        <w:t>三、承包方式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shd w:val="clear" w:color="auto" w:fill="FFFFFF"/>
          <w:vertAlign w:val="baseline"/>
          <w14:textFill>
            <w14:solidFill>
              <w14:schemeClr w14:val="tx1"/>
            </w14:solidFill>
          </w14:textFill>
        </w:rPr>
        <w:t>承包方式</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：固定总价包干。包</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人工</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、包料、包工期、包质量、包安全、包文明施工、包市场风险、包验收、包税金、包交工资料</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包</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通过验收等直至交付使用</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乙方</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的报价中，均包括但不限于完成该工程项目的</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人工费、材料费、管理费</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、利润、税金、措施费</w:t>
      </w:r>
      <w:r>
        <w:rPr>
          <w:rFonts w:hint="eastAsia" w:ascii="宋体" w:hAnsi="宋体" w:eastAsia="宋体" w:cs="宋体"/>
          <w:b w:val="0"/>
          <w:color w:val="000000" w:themeColor="text1"/>
          <w:spacing w:val="0"/>
          <w:kern w:val="24"/>
          <w:position w:val="0"/>
          <w:sz w:val="24"/>
          <w:szCs w:val="24"/>
          <w:highlight w:val="none"/>
          <w:u w:val="none"/>
          <w:vertAlign w:val="baseline"/>
          <w:lang w:eastAsia="zh-CN"/>
          <w14:textFill>
            <w14:solidFill>
              <w14:schemeClr w14:val="tx1"/>
            </w14:solidFill>
          </w14:textFill>
        </w:rPr>
        <w:t>（包括</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14:textFill>
            <w14:solidFill>
              <w14:schemeClr w14:val="tx1"/>
            </w14:solidFill>
          </w14:textFill>
        </w:rPr>
        <w:t>环境保护费、文明施工费</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lang w:eastAsia="zh-CN"/>
          <w14:textFill>
            <w14:solidFill>
              <w14:schemeClr w14:val="tx1"/>
            </w14:solidFill>
          </w14:textFill>
        </w:rPr>
        <w:t>、</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14:textFill>
            <w14:solidFill>
              <w14:schemeClr w14:val="tx1"/>
            </w14:solidFill>
          </w14:textFill>
        </w:rPr>
        <w:t>安全施工费</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lang w:eastAsia="zh-CN"/>
          <w14:textFill>
            <w14:solidFill>
              <w14:schemeClr w14:val="tx1"/>
            </w14:solidFill>
          </w14:textFill>
        </w:rPr>
        <w:t>、</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14:textFill>
            <w14:solidFill>
              <w14:schemeClr w14:val="tx1"/>
            </w14:solidFill>
          </w14:textFill>
        </w:rPr>
        <w:t>临时设施费</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lang w:eastAsia="zh-CN"/>
          <w14:textFill>
            <w14:solidFill>
              <w14:schemeClr w14:val="tx1"/>
            </w14:solidFill>
          </w14:textFill>
        </w:rPr>
        <w:t>、</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14:textFill>
            <w14:solidFill>
              <w14:schemeClr w14:val="tx1"/>
            </w14:solidFill>
          </w14:textFill>
        </w:rPr>
        <w:t>夜间施工费</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lang w:eastAsia="zh-CN"/>
          <w14:textFill>
            <w14:solidFill>
              <w14:schemeClr w14:val="tx1"/>
            </w14:solidFill>
          </w14:textFill>
        </w:rPr>
        <w:t>、</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14:textFill>
            <w14:solidFill>
              <w14:schemeClr w14:val="tx1"/>
            </w14:solidFill>
          </w14:textFill>
        </w:rPr>
        <w:t>材料二次搬运费</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lang w:eastAsia="zh-CN"/>
          <w14:textFill>
            <w14:solidFill>
              <w14:schemeClr w14:val="tx1"/>
            </w14:solidFill>
          </w14:textFill>
        </w:rPr>
        <w:t>等</w:t>
      </w:r>
      <w:r>
        <w:rPr>
          <w:rFonts w:hint="eastAsia" w:ascii="宋体" w:hAnsi="宋体" w:eastAsia="宋体" w:cs="宋体"/>
          <w:b w:val="0"/>
          <w:color w:val="000000" w:themeColor="text1"/>
          <w:spacing w:val="0"/>
          <w:kern w:val="24"/>
          <w:position w:val="0"/>
          <w:sz w:val="24"/>
          <w:szCs w:val="24"/>
          <w:highlight w:val="none"/>
          <w:u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规费（专项费用）、扬尘治理费、疫情增加费、</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验收、</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机械进出场费、风险费用</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等与之相关的所有费用。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bCs/>
          <w:color w:val="000000" w:themeColor="text1"/>
          <w:spacing w:val="0"/>
          <w:kern w:val="24"/>
          <w:position w:val="0"/>
          <w:sz w:val="24"/>
          <w:szCs w:val="24"/>
          <w:highlight w:val="none"/>
          <w:vertAlign w:val="baseline"/>
          <w:lang w:bidi="ar"/>
          <w14:textFill>
            <w14:solidFill>
              <w14:schemeClr w14:val="tx1"/>
            </w14:solidFill>
          </w14:textFill>
        </w:rPr>
        <w:t>四、工期要求</w:t>
      </w:r>
    </w:p>
    <w:p>
      <w:pPr>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工期要求：乙方收到甲方书面通知日起</w:t>
      </w:r>
      <w:r>
        <w:rPr>
          <w:rFonts w:hint="eastAsia" w:ascii="宋体" w:hAnsi="宋体" w:eastAsia="宋体" w:cs="宋体"/>
          <w:b w:val="0"/>
          <w:color w:val="000000" w:themeColor="text1"/>
          <w:spacing w:val="0"/>
          <w:kern w:val="24"/>
          <w:position w:val="0"/>
          <w:sz w:val="24"/>
          <w:szCs w:val="24"/>
          <w:highlight w:val="none"/>
          <w:u w:val="single"/>
          <w:vertAlign w:val="baseline"/>
          <w:lang w:bidi="ar"/>
          <w14:textFill>
            <w14:solidFill>
              <w14:schemeClr w14:val="tx1"/>
            </w14:solidFill>
          </w14:textFill>
        </w:rPr>
        <w:t xml:space="preserve"> </w:t>
      </w:r>
      <w:r>
        <w:rPr>
          <w:rFonts w:hint="eastAsia" w:ascii="宋体" w:hAnsi="宋体" w:cs="宋体"/>
          <w:b w:val="0"/>
          <w:color w:val="000000" w:themeColor="text1"/>
          <w:spacing w:val="0"/>
          <w:kern w:val="24"/>
          <w:position w:val="0"/>
          <w:sz w:val="24"/>
          <w:szCs w:val="24"/>
          <w:highlight w:val="none"/>
          <w:u w:val="single"/>
          <w:vertAlign w:val="baseline"/>
          <w:lang w:val="en-US" w:eastAsia="zh-CN" w:bidi="ar"/>
          <w14:textFill>
            <w14:solidFill>
              <w14:schemeClr w14:val="tx1"/>
            </w14:solidFill>
          </w14:textFill>
        </w:rPr>
        <w:t>90</w:t>
      </w:r>
      <w:r>
        <w:rPr>
          <w:rFonts w:hint="eastAsia" w:ascii="宋体" w:hAnsi="宋体" w:eastAsia="宋体" w:cs="宋体"/>
          <w:b w:val="0"/>
          <w:color w:val="000000" w:themeColor="text1"/>
          <w:spacing w:val="0"/>
          <w:kern w:val="24"/>
          <w:position w:val="0"/>
          <w:sz w:val="24"/>
          <w:szCs w:val="24"/>
          <w:highlight w:val="none"/>
          <w:u w:val="single"/>
          <w:vertAlign w:val="baseline"/>
          <w:lang w:bidi="ar"/>
          <w14:textFill>
            <w14:solidFill>
              <w14:schemeClr w14:val="tx1"/>
            </w14:solidFill>
          </w14:textFill>
        </w:rPr>
        <w:t xml:space="preserve"> </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日历天，具体开工日期以甲方通知为准。</w:t>
      </w:r>
    </w:p>
    <w:p>
      <w:pPr>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因供电需求不同，甲方可根据实际需求合理安排施工进度，乙方应无条件配合。</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bCs/>
          <w:color w:val="000000" w:themeColor="text1"/>
          <w:spacing w:val="0"/>
          <w:kern w:val="24"/>
          <w:position w:val="0"/>
          <w:sz w:val="24"/>
          <w:szCs w:val="24"/>
          <w:highlight w:val="none"/>
          <w:vertAlign w:val="baseline"/>
          <w:lang w:bidi="ar"/>
          <w14:textFill>
            <w14:solidFill>
              <w14:schemeClr w14:val="tx1"/>
            </w14:solidFill>
          </w14:textFill>
        </w:rPr>
        <w:t>五、合同方式及价格</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1、合同方式：采用总价包干形式承包</w:t>
      </w:r>
      <w:r>
        <w:rPr>
          <w:rFonts w:hint="eastAsia" w:ascii="宋体" w:hAnsi="宋体" w:cs="宋体"/>
          <w:b w:val="0"/>
          <w:color w:val="000000" w:themeColor="text1"/>
          <w:spacing w:val="0"/>
          <w:kern w:val="24"/>
          <w:position w:val="0"/>
          <w:sz w:val="24"/>
          <w:szCs w:val="24"/>
          <w:highlight w:val="none"/>
          <w:vertAlign w:val="baseline"/>
          <w:lang w:eastAsia="zh-CN" w:bidi="ar"/>
          <w14:textFill>
            <w14:solidFill>
              <w14:schemeClr w14:val="tx1"/>
            </w14:solidFill>
          </w14:textFill>
        </w:rPr>
        <w:t>。</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施工图纸内承包内容按固定合同总价一次性包干，除变更签证外结算时不因任何因素的变化而调整。</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2、合同价格：</w:t>
      </w:r>
      <w:r>
        <w:rPr>
          <w:rFonts w:hint="eastAsia" w:ascii="宋体" w:hAnsi="宋体" w:cs="宋体"/>
          <w:b w:val="0"/>
          <w:color w:val="000000" w:themeColor="text1"/>
          <w:spacing w:val="0"/>
          <w:kern w:val="24"/>
          <w:position w:val="0"/>
          <w:sz w:val="24"/>
          <w:szCs w:val="24"/>
          <w:highlight w:val="none"/>
          <w:vertAlign w:val="baseline"/>
          <w:lang w:eastAsia="zh-CN" w:bidi="ar"/>
          <w14:textFill>
            <w14:solidFill>
              <w14:schemeClr w14:val="tx1"/>
            </w14:solidFill>
          </w14:textFill>
        </w:rPr>
        <w:t>本项目供配电工程（含内网及外部临时电源接入）固定总价为小写</w:t>
      </w:r>
      <w:r>
        <w:rPr>
          <w:rFonts w:hint="eastAsia" w:ascii="宋体" w:hAnsi="宋体"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t>¥8580000.00元，大写：人民币捌佰伍拾捌万元整，不含税价款为小写¥7871559.63元，大写：人民币柒佰捌拾柒万壹仟伍佰伍拾玖元陆角叁分，税金为小写¥708440.37元，大写：人民币柒拾万零捌仟肆佰肆拾元叁角柒分，税率为9%。内网及外部临时电源接入分项工程金额具体如下：</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（1）本</w:t>
      </w:r>
      <w:r>
        <w:rPr>
          <w:rFonts w:hint="eastAsia" w:ascii="宋体" w:hAnsi="宋体" w:cs="宋体"/>
          <w:b w:val="0"/>
          <w:color w:val="000000" w:themeColor="text1"/>
          <w:spacing w:val="0"/>
          <w:kern w:val="24"/>
          <w:position w:val="0"/>
          <w:sz w:val="24"/>
          <w:szCs w:val="24"/>
          <w:highlight w:val="none"/>
          <w:vertAlign w:val="baseline"/>
          <w:lang w:eastAsia="zh-CN" w:bidi="ar"/>
          <w14:textFill>
            <w14:solidFill>
              <w14:schemeClr w14:val="tx1"/>
            </w14:solidFill>
          </w14:textFill>
        </w:rPr>
        <w:t>项目供配电（内网）</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工程固定总价为</w:t>
      </w:r>
      <w:r>
        <w:rPr>
          <w:rFonts w:hint="eastAsia" w:ascii="宋体" w:hAnsi="宋体" w:cs="宋体"/>
          <w:b w:val="0"/>
          <w:color w:val="000000" w:themeColor="text1"/>
          <w:spacing w:val="0"/>
          <w:kern w:val="24"/>
          <w:position w:val="0"/>
          <w:sz w:val="24"/>
          <w:szCs w:val="24"/>
          <w:highlight w:val="none"/>
          <w:vertAlign w:val="baseline"/>
          <w:lang w:eastAsia="zh-CN" w:bidi="ar"/>
          <w14:textFill>
            <w14:solidFill>
              <w14:schemeClr w14:val="tx1"/>
            </w14:solidFill>
          </w14:textFill>
        </w:rPr>
        <w:t>小写</w:t>
      </w:r>
      <w:r>
        <w:rPr>
          <w:rFonts w:hint="eastAsia" w:ascii="宋体" w:hAnsi="宋体"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t>¥8300000.00元，大写：人民币捌佰叁拾万元整，其中不含税价款为小写¥7614678.90元，大写：人民币柒佰陆拾壹万肆仟陆佰柒拾捌元玖角，税金为小写¥685321.10元，大写：人民币陆拾捌万伍仟叁佰贰拾壹元壹角，税率为9%。</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具体报价单详见</w:t>
      </w:r>
      <w:r>
        <w:rPr>
          <w:rFonts w:hint="eastAsia" w:ascii="宋体" w:hAnsi="宋体" w:cs="宋体"/>
          <w:b w:val="0"/>
          <w:color w:val="000000" w:themeColor="text1"/>
          <w:spacing w:val="0"/>
          <w:kern w:val="24"/>
          <w:position w:val="0"/>
          <w:sz w:val="24"/>
          <w:szCs w:val="24"/>
          <w:highlight w:val="none"/>
          <w:vertAlign w:val="baseline"/>
          <w:lang w:eastAsia="zh-CN" w:bidi="ar"/>
          <w14:textFill>
            <w14:solidFill>
              <w14:schemeClr w14:val="tx1"/>
            </w14:solidFill>
          </w14:textFill>
        </w:rPr>
        <w:t>合同</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附件一。</w:t>
      </w:r>
    </w:p>
    <w:p>
      <w:pPr>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eastAsia="zh-CN" w:bidi="ar"/>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（2）本</w:t>
      </w:r>
      <w:r>
        <w:rPr>
          <w:rFonts w:hint="eastAsia" w:ascii="宋体" w:hAnsi="宋体" w:cs="宋体"/>
          <w:b w:val="0"/>
          <w:color w:val="000000" w:themeColor="text1"/>
          <w:spacing w:val="0"/>
          <w:kern w:val="24"/>
          <w:position w:val="0"/>
          <w:sz w:val="24"/>
          <w:szCs w:val="24"/>
          <w:highlight w:val="none"/>
          <w:vertAlign w:val="baseline"/>
          <w:lang w:eastAsia="zh-CN" w:bidi="ar"/>
          <w14:textFill>
            <w14:solidFill>
              <w14:schemeClr w14:val="tx1"/>
            </w14:solidFill>
          </w14:textFill>
        </w:rPr>
        <w:t>项目供配电（外部临时电源接入）工程</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固定总价为</w:t>
      </w:r>
      <w:r>
        <w:rPr>
          <w:rFonts w:hint="eastAsia" w:ascii="宋体" w:hAnsi="宋体" w:cs="宋体"/>
          <w:b w:val="0"/>
          <w:color w:val="000000" w:themeColor="text1"/>
          <w:spacing w:val="0"/>
          <w:kern w:val="24"/>
          <w:position w:val="0"/>
          <w:sz w:val="24"/>
          <w:szCs w:val="24"/>
          <w:highlight w:val="none"/>
          <w:vertAlign w:val="baseline"/>
          <w:lang w:eastAsia="zh-CN" w:bidi="ar"/>
          <w14:textFill>
            <w14:solidFill>
              <w14:schemeClr w14:val="tx1"/>
            </w14:solidFill>
          </w14:textFill>
        </w:rPr>
        <w:t>小写</w:t>
      </w:r>
      <w:r>
        <w:rPr>
          <w:rFonts w:hint="eastAsia" w:ascii="宋体" w:hAnsi="宋体"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t>¥280000.00元，大写：人民币贰拾捌万元整，其中不含税价款为小写¥256880.73元，大写：人民币贰拾伍万陆仟捌佰捌拾元柒角叁分，税金为小写¥23119.27元，大写：人民币贰万叁仟壹佰壹拾玖元贰角柒分，税率为9%。</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具体报价单详见</w:t>
      </w:r>
      <w:r>
        <w:rPr>
          <w:rFonts w:hint="eastAsia" w:ascii="宋体" w:hAnsi="宋体" w:cs="宋体"/>
          <w:b w:val="0"/>
          <w:color w:val="000000" w:themeColor="text1"/>
          <w:spacing w:val="0"/>
          <w:kern w:val="24"/>
          <w:position w:val="0"/>
          <w:sz w:val="24"/>
          <w:szCs w:val="24"/>
          <w:highlight w:val="none"/>
          <w:vertAlign w:val="baseline"/>
          <w:lang w:eastAsia="zh-CN" w:bidi="ar"/>
          <w14:textFill>
            <w14:solidFill>
              <w14:schemeClr w14:val="tx1"/>
            </w14:solidFill>
          </w14:textFill>
        </w:rPr>
        <w:t>合同</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附件</w:t>
      </w:r>
      <w:r>
        <w:rPr>
          <w:rFonts w:hint="eastAsia" w:ascii="宋体" w:hAnsi="宋体" w:cs="宋体"/>
          <w:b w:val="0"/>
          <w:color w:val="000000" w:themeColor="text1"/>
          <w:spacing w:val="0"/>
          <w:kern w:val="24"/>
          <w:position w:val="0"/>
          <w:sz w:val="24"/>
          <w:szCs w:val="24"/>
          <w:highlight w:val="none"/>
          <w:vertAlign w:val="baseline"/>
          <w:lang w:eastAsia="zh-CN" w:bidi="ar"/>
          <w14:textFill>
            <w14:solidFill>
              <w14:schemeClr w14:val="tx1"/>
            </w14:solidFill>
          </w14:textFill>
        </w:rPr>
        <w:t>二</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3）固定合同总价中已包括但不限于承包范围内供配电工程设备和材料的购置、安装、调试、检测、办理送电手续、监理费、验收、送电及取得合格证所需费用、质保期内的系统维护费和保修期内所需的备品备件、免费对甲方技术人员的培训等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eastAsia="zh-CN" w:bidi="ar"/>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w:t>
      </w:r>
      <w:r>
        <w:rPr>
          <w:rFonts w:hint="eastAsia" w:ascii="宋体" w:hAnsi="宋体"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t>4</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）固定合同总价中已包括但不限于完成承包范围内所有供配电工程的</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人工费、材料费、管理费</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、利润、税金、措施费</w:t>
      </w:r>
      <w:r>
        <w:rPr>
          <w:rFonts w:hint="eastAsia" w:ascii="宋体" w:hAnsi="宋体" w:eastAsia="宋体" w:cs="宋体"/>
          <w:b w:val="0"/>
          <w:color w:val="000000" w:themeColor="text1"/>
          <w:spacing w:val="0"/>
          <w:kern w:val="24"/>
          <w:position w:val="0"/>
          <w:sz w:val="24"/>
          <w:szCs w:val="24"/>
          <w:highlight w:val="none"/>
          <w:u w:val="none"/>
          <w:vertAlign w:val="baseline"/>
          <w:lang w:eastAsia="zh-CN"/>
          <w14:textFill>
            <w14:solidFill>
              <w14:schemeClr w14:val="tx1"/>
            </w14:solidFill>
          </w14:textFill>
        </w:rPr>
        <w:t>（包括</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14:textFill>
            <w14:solidFill>
              <w14:schemeClr w14:val="tx1"/>
            </w14:solidFill>
          </w14:textFill>
        </w:rPr>
        <w:t>环境保护费、文明施工费</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lang w:eastAsia="zh-CN"/>
          <w14:textFill>
            <w14:solidFill>
              <w14:schemeClr w14:val="tx1"/>
            </w14:solidFill>
          </w14:textFill>
        </w:rPr>
        <w:t>、</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14:textFill>
            <w14:solidFill>
              <w14:schemeClr w14:val="tx1"/>
            </w14:solidFill>
          </w14:textFill>
        </w:rPr>
        <w:t>安全施工费</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lang w:eastAsia="zh-CN"/>
          <w14:textFill>
            <w14:solidFill>
              <w14:schemeClr w14:val="tx1"/>
            </w14:solidFill>
          </w14:textFill>
        </w:rPr>
        <w:t>、</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14:textFill>
            <w14:solidFill>
              <w14:schemeClr w14:val="tx1"/>
            </w14:solidFill>
          </w14:textFill>
        </w:rPr>
        <w:t>临时设施费</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lang w:eastAsia="zh-CN"/>
          <w14:textFill>
            <w14:solidFill>
              <w14:schemeClr w14:val="tx1"/>
            </w14:solidFill>
          </w14:textFill>
        </w:rPr>
        <w:t>、</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14:textFill>
            <w14:solidFill>
              <w14:schemeClr w14:val="tx1"/>
            </w14:solidFill>
          </w14:textFill>
        </w:rPr>
        <w:t>夜间施工费</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lang w:eastAsia="zh-CN"/>
          <w14:textFill>
            <w14:solidFill>
              <w14:schemeClr w14:val="tx1"/>
            </w14:solidFill>
          </w14:textFill>
        </w:rPr>
        <w:t>、</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14:textFill>
            <w14:solidFill>
              <w14:schemeClr w14:val="tx1"/>
            </w14:solidFill>
          </w14:textFill>
        </w:rPr>
        <w:t>材料二次搬运费</w:t>
      </w:r>
      <w:r>
        <w:rPr>
          <w:rFonts w:hint="eastAsia" w:ascii="宋体" w:hAnsi="宋体" w:eastAsia="宋体" w:cs="宋体"/>
          <w:b w:val="0"/>
          <w:i w:val="0"/>
          <w:iCs w:val="0"/>
          <w:caps w:val="0"/>
          <w:color w:val="000000" w:themeColor="text1"/>
          <w:spacing w:val="0"/>
          <w:kern w:val="24"/>
          <w:position w:val="0"/>
          <w:sz w:val="24"/>
          <w:szCs w:val="24"/>
          <w:highlight w:val="none"/>
          <w:u w:val="none"/>
          <w:shd w:val="clear" w:color="auto" w:fill="auto"/>
          <w:vertAlign w:val="baseline"/>
          <w:lang w:eastAsia="zh-CN"/>
          <w14:textFill>
            <w14:solidFill>
              <w14:schemeClr w14:val="tx1"/>
            </w14:solidFill>
          </w14:textFill>
        </w:rPr>
        <w:t>等</w:t>
      </w:r>
      <w:r>
        <w:rPr>
          <w:rFonts w:hint="eastAsia" w:ascii="宋体" w:hAnsi="宋体" w:eastAsia="宋体" w:cs="宋体"/>
          <w:b w:val="0"/>
          <w:color w:val="000000" w:themeColor="text1"/>
          <w:spacing w:val="0"/>
          <w:kern w:val="24"/>
          <w:position w:val="0"/>
          <w:sz w:val="24"/>
          <w:szCs w:val="24"/>
          <w:highlight w:val="none"/>
          <w:u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规费（专项费用）、扬尘治理费、疫情增加费、</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验收、</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机械进出场费、风险费用</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等与之相关的所有费用</w:t>
      </w:r>
      <w:r>
        <w:rPr>
          <w:rFonts w:hint="eastAsia" w:ascii="宋体" w:hAnsi="宋体" w:eastAsia="宋体" w:cs="宋体"/>
          <w:b w:val="0"/>
          <w:color w:val="000000" w:themeColor="text1"/>
          <w:spacing w:val="0"/>
          <w:kern w:val="24"/>
          <w:position w:val="0"/>
          <w:sz w:val="24"/>
          <w:szCs w:val="24"/>
          <w:highlight w:val="none"/>
          <w:vertAlign w:val="baseline"/>
          <w:lang w:eastAsia="zh-CN" w:bidi="ar"/>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本</w:t>
      </w:r>
      <w:r>
        <w:rPr>
          <w:rFonts w:hint="eastAsia" w:ascii="宋体" w:hAnsi="宋体" w:cs="宋体"/>
          <w:b w:val="0"/>
          <w:color w:val="000000" w:themeColor="text1"/>
          <w:spacing w:val="0"/>
          <w:kern w:val="24"/>
          <w:position w:val="0"/>
          <w:sz w:val="24"/>
          <w:szCs w:val="24"/>
          <w:highlight w:val="none"/>
          <w:vertAlign w:val="baseline"/>
          <w:lang w:eastAsia="zh-CN" w:bidi="ar"/>
          <w14:textFill>
            <w14:solidFill>
              <w14:schemeClr w14:val="tx1"/>
            </w14:solidFill>
          </w14:textFill>
        </w:rPr>
        <w:t>项目供配电（外部临时电源接入）工程</w:t>
      </w:r>
      <w:r>
        <w:rPr>
          <w:rFonts w:hint="eastAsia" w:ascii="宋体" w:hAnsi="宋体"/>
          <w:color w:val="000000" w:themeColor="text1"/>
          <w:sz w:val="24"/>
          <w:highlight w:val="none"/>
          <w:lang w:eastAsia="zh-CN"/>
          <w14:textFill>
            <w14:solidFill>
              <w14:schemeClr w14:val="tx1"/>
            </w14:solidFill>
          </w14:textFill>
        </w:rPr>
        <w:t>方案及施工图设计费、施工报装的费、工程施工所涉及的相关</w:t>
      </w:r>
      <w:r>
        <w:rPr>
          <w:rFonts w:hint="eastAsia" w:ascii="宋体" w:hAnsi="宋体"/>
          <w:color w:val="000000" w:themeColor="text1"/>
          <w:sz w:val="24"/>
          <w:highlight w:val="none"/>
          <w:lang w:val="en-US" w:eastAsia="zh-CN"/>
          <w14:textFill>
            <w14:solidFill>
              <w14:schemeClr w14:val="tx1"/>
            </w14:solidFill>
          </w14:textFill>
        </w:rPr>
        <w:t>的所有费用（含</w:t>
      </w:r>
      <w:r>
        <w:rPr>
          <w:rFonts w:hint="eastAsia" w:ascii="宋体" w:hAnsi="宋体"/>
          <w:color w:val="000000" w:themeColor="text1"/>
          <w:sz w:val="24"/>
          <w:highlight w:val="none"/>
          <w:lang w:eastAsia="zh-CN"/>
          <w14:textFill>
            <w14:solidFill>
              <w14:schemeClr w14:val="tx1"/>
            </w14:solidFill>
          </w14:textFill>
        </w:rPr>
        <w:t>协调费</w:t>
      </w:r>
      <w:r>
        <w:rPr>
          <w:rFonts w:hint="eastAsia" w:ascii="宋体" w:hAnsi="宋体"/>
          <w:color w:val="000000" w:themeColor="text1"/>
          <w:sz w:val="24"/>
          <w:highlight w:val="none"/>
          <w:lang w:val="en-US" w:eastAsia="zh-CN"/>
          <w14:textFill>
            <w14:solidFill>
              <w14:schemeClr w14:val="tx1"/>
            </w14:solidFill>
          </w14:textFill>
        </w:rPr>
        <w:t>等）</w:t>
      </w:r>
      <w:r>
        <w:rPr>
          <w:rFonts w:hint="eastAsia" w:ascii="宋体" w:hAnsi="宋体"/>
          <w:color w:val="000000" w:themeColor="text1"/>
          <w:sz w:val="24"/>
          <w:highlight w:val="none"/>
          <w:lang w:eastAsia="zh-CN"/>
          <w14:textFill>
            <w14:solidFill>
              <w14:schemeClr w14:val="tx1"/>
            </w14:solidFill>
          </w14:textFill>
        </w:rPr>
        <w:t>均已考虑在合同固定总价中</w:t>
      </w:r>
      <w:r>
        <w:rPr>
          <w:rFonts w:hint="eastAsia" w:ascii="宋体" w:hAnsi="宋体"/>
          <w:color w:val="000000" w:themeColor="text1"/>
          <w:sz w:val="24"/>
          <w:highlight w:val="none"/>
          <w:lang w:val="en-US" w:eastAsia="zh-CN"/>
          <w14:textFill>
            <w14:solidFill>
              <w14:schemeClr w14:val="tx1"/>
            </w14:solidFill>
          </w14:textFill>
        </w:rPr>
        <w:t>。</w:t>
      </w:r>
    </w:p>
    <w:p>
      <w:pPr>
        <w:pStyle w:val="1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3、发票开具要求及责任</w:t>
      </w:r>
    </w:p>
    <w:p>
      <w:pPr>
        <w:pStyle w:val="13"/>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t>3.</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1、对发票不合规的约定：</w:t>
      </w:r>
    </w:p>
    <w:p>
      <w:pPr>
        <w:pStyle w:val="13"/>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t>3.</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1.1、乙方提供的发票为增值税专用发票的，因乙方迟延送达、开具错误等原因导致其提供的增值税专用发票没有通过税务部门认证，造成甲方不能抵扣的，甲方有权拒绝接收。</w:t>
      </w:r>
    </w:p>
    <w:p>
      <w:pPr>
        <w:pStyle w:val="13"/>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t>3.</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pStyle w:val="13"/>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t>3.</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pPr>
        <w:pStyle w:val="13"/>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t>3.</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2、其它税务风险的合同约定</w:t>
      </w:r>
    </w:p>
    <w:p>
      <w:pPr>
        <w:pStyle w:val="13"/>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t>3.</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2.1、如果甲方丢失增值税专用发票联和抵扣联，乙方应向甲方提供专用发票记账联复印件，并加盖乙方发票专用章。</w:t>
      </w:r>
    </w:p>
    <w:p>
      <w:pPr>
        <w:pStyle w:val="13"/>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t>3.</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2.2、如果获得开具的汇总专用发票，则乙方应提供其防伪税控系统开具的《销售货物或者提供应税劳务清单》，并加盖发票专用章。</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bCs/>
          <w:color w:val="000000" w:themeColor="text1"/>
          <w:spacing w:val="0"/>
          <w:kern w:val="24"/>
          <w:position w:val="0"/>
          <w:sz w:val="24"/>
          <w:szCs w:val="24"/>
          <w:highlight w:val="none"/>
          <w:vertAlign w:val="baseline"/>
          <w:lang w:bidi="ar"/>
          <w14:textFill>
            <w14:solidFill>
              <w14:schemeClr w14:val="tx1"/>
            </w14:solidFill>
          </w14:textFill>
        </w:rPr>
        <w:t>六、施工技术及体系要求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 技术标准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本次工程内容执行国家现行相关工程建设法律、法规、强制性标准及相关技术规范。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（1）《建筑工程施工质量验收统一标准》GB50300-2013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（2）《建筑装饰装修工程质量验收规范》GB50210-2001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（3）《建筑室内装修设计防火规范》GB50222-2017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（4） 与本工程有关的技术规范和验收标准《电气装置安装工程施工及验收规范》GB50254-96</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其他与本工程有关的现行工程技术、质量评定标准、施工验收标准及规范。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（5）《砌体工程施工质量验收规范》     GB50203--2011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（6）《混凝土工程施工质量验收规范》   GB50204—2015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（7）《钢结构工程施工质量验收规范》   GB50205—2001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（8）《木结构工程施工质量验收规范》   GB50206—2012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（9）《屋面工程质量验收规范》         GB50207—2012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（10）《地下防水工程质量验收规范》    GB50208—2011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（11）《建筑地面工程施工质量验收规范》GB50209--2010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（12）《建筑给水排水及采暖工程施工质量验收规范》GB50242—2002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（13）《电气装置安装工程 低压电器施工及验收规范》  GB50254-2014</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（14）《建筑电气工程施工质量验收规范》GB50303—2015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 xml:space="preserve">（15）《电气装置安装工程 电力交流设备施工及验收规范》GB50255-2014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说明：</w:t>
      </w:r>
      <w:r>
        <w:rPr>
          <w:rFonts w:hint="eastAsia" w:ascii="宋体" w:hAnsi="宋体" w:cs="宋体"/>
          <w:b w:val="0"/>
          <w:color w:val="000000" w:themeColor="text1"/>
          <w:spacing w:val="0"/>
          <w:kern w:val="24"/>
          <w:position w:val="0"/>
          <w:sz w:val="24"/>
          <w:szCs w:val="24"/>
          <w:highlight w:val="none"/>
          <w:vertAlign w:val="baseline"/>
          <w:lang w:eastAsia="zh-CN" w:bidi="ar"/>
          <w14:textFill>
            <w14:solidFill>
              <w14:schemeClr w14:val="tx1"/>
            </w14:solidFill>
          </w14:textFill>
        </w:rPr>
        <w:t>（</w:t>
      </w:r>
      <w:r>
        <w:rPr>
          <w:rFonts w:hint="eastAsia" w:ascii="宋体" w:hAnsi="宋体"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t>1</w:t>
      </w:r>
      <w:r>
        <w:rPr>
          <w:rFonts w:hint="eastAsia" w:ascii="宋体" w:hAnsi="宋体" w:cs="宋体"/>
          <w:b w:val="0"/>
          <w:color w:val="000000" w:themeColor="text1"/>
          <w:spacing w:val="0"/>
          <w:kern w:val="24"/>
          <w:position w:val="0"/>
          <w:sz w:val="24"/>
          <w:szCs w:val="24"/>
          <w:highlight w:val="none"/>
          <w:vertAlign w:val="baseline"/>
          <w:lang w:eastAsia="zh-CN" w:bidi="ar"/>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以上引用标准，如果已有更新标准，则执行新标准。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eastAsia="zh-CN" w:bidi="ar"/>
          <w14:textFill>
            <w14:solidFill>
              <w14:schemeClr w14:val="tx1"/>
            </w14:solidFill>
          </w14:textFill>
        </w:rPr>
        <w:t>（</w:t>
      </w:r>
      <w:r>
        <w:rPr>
          <w:rFonts w:hint="eastAsia" w:ascii="宋体" w:hAnsi="宋体"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t>2</w:t>
      </w:r>
      <w:r>
        <w:rPr>
          <w:rFonts w:hint="eastAsia" w:ascii="宋体" w:hAnsi="宋体" w:cs="宋体"/>
          <w:b w:val="0"/>
          <w:color w:val="000000" w:themeColor="text1"/>
          <w:spacing w:val="0"/>
          <w:kern w:val="24"/>
          <w:position w:val="0"/>
          <w:sz w:val="24"/>
          <w:szCs w:val="24"/>
          <w:highlight w:val="none"/>
          <w:vertAlign w:val="baseline"/>
          <w:lang w:eastAsia="zh-CN" w:bidi="ar"/>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以上只列出一些主要规范、标准，本项目涉及的有关内容按相应规范、标准执行；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eastAsia="zh-CN" w:bidi="ar"/>
          <w14:textFill>
            <w14:solidFill>
              <w14:schemeClr w14:val="tx1"/>
            </w14:solidFill>
          </w14:textFill>
        </w:rPr>
        <w:t>（</w:t>
      </w:r>
      <w:r>
        <w:rPr>
          <w:rFonts w:hint="eastAsia" w:ascii="宋体" w:hAnsi="宋体"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t>3</w:t>
      </w:r>
      <w:r>
        <w:rPr>
          <w:rFonts w:hint="eastAsia" w:ascii="宋体" w:hAnsi="宋体" w:cs="宋体"/>
          <w:b w:val="0"/>
          <w:color w:val="000000" w:themeColor="text1"/>
          <w:spacing w:val="0"/>
          <w:kern w:val="24"/>
          <w:position w:val="0"/>
          <w:sz w:val="24"/>
          <w:szCs w:val="24"/>
          <w:highlight w:val="none"/>
          <w:vertAlign w:val="baseline"/>
          <w:lang w:eastAsia="zh-CN" w:bidi="ar"/>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以上所列的主要技术标准和规范，如未能达到国际或国内最新标准时，投标方应在设计、施工及选用设备和材料时按最近的国际或国内标准执行，并提供采用的国际或国内标准、规范和所应用的最新版本的有关技术依据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2、技术要求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2.</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1、“</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宜阳项目</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供配电工程”项目总建筑面积</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约</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13万</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m2；其中地上部分建筑面积</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10万</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m2、地下部分建筑面积</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3万</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m2。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2.</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2、小区供配电系统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（1）</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住宅配电所、专用配电所: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由住宅配电所10kV段馈出电缆（ZC-YJ</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L</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V22-8.7/10-3x</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240</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）接入住宅配各压器（</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6</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800</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kVA变压器），经低压柜馈出电缆至各个楼</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电缆分接箱</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接至表箱。</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由用户专用配电所10kV段馈出电缆（ZC-YJ</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L</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V22-8.7/10-3x</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240</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）接入用户专用配（</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2</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80</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0 KVA 变压器）经低压柜馈出电缆至公用出线一级配电箱（低压柜至一级配电箱电缆不在设计范围内）。</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（2）</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表箱位置</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 xml:space="preserve">电表箱布置于电井内合适位置。 </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（3）</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低压配电系统接地形式采用TN－S：变压器的接地标准按照国家设计要求不大于4</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object>
          <v:shape id="_x0000_i1025" o:spt="75" type="#_x0000_t75" style="height:12.95pt;width:12.95pt;" o:ole="t" filled="f" stroked="f" coordsize="21600,21600">
            <v:path/>
            <v:fill on="f" focussize="0,0"/>
            <v:stroke on="f"/>
            <v:imagedata r:id="rId6" o:title=""/>
            <o:lock v:ext="edit" grouping="f" rotation="f" text="f" aspectratio="t"/>
            <w10:wrap type="none"/>
            <w10:anchorlock/>
          </v:shape>
          <o:OLEObject Type="Embed" ProgID="Equation.KSEE3" ShapeID="_x0000_i1025" DrawAspect="Content" ObjectID="_1468075725" r:id="rId5">
            <o:LockedField>false</o:LockedField>
          </o:OLEObject>
        </w:objec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。变压器中性点必须可靠接地。</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3、</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配电房设计</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小区设住宅配电所</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2</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座、用户专用配电所</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1</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座。</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1</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小区住宅配电所部分</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#1</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住宅配电所设于</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10#楼西南侧地下一层</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，室内</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新上10KV开关柜（KYN28-12）</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8</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台，单母线不分段接线</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设</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800</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KVA变压器</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3</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台</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GCS低压柜</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13</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面，供</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本期</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住宅</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1#、2#、8#、9#、10#及11#楼</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生活用电。</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#2</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住宅配电所设于</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9#楼东南侧地下一层</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，室内</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新上10KV开关柜（KYN28-12）</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7</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台，单母线不分段接线</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设</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800</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KVA变压器</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3</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台</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GCS低压柜</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13</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面，供</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本期</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住宅</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3#、5#、6#、7#、12#及13#楼</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生活用电。</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2</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小区公用负荷部分</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专用配电所设于</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8#楼东北侧地下一层</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，室内</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新上10KV开关柜（KYN28-12）1</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2</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台，采用单母线分段接线方式</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，设</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800</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KVA变压器</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2</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台</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GCS低压柜</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13</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面</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带</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本小区</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公共用电负荷</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4、</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 xml:space="preserve">土建部分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1</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电缆桥架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本次工程内网部分的电缆在配电室外均通过电缆桥架敷设，电缆桥架选用C型防火电缆桥架。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电缆桥架制作时应满足电缆弯曲半径的要求，方便施工，吊架应安装均匀，受力一致。由于供货方尚未确定，本设计提供的电缆桥架型号及规格、数量仅供参考，施工时应根据现场实测数据和订货厂家要求现场施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2</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照明系统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为满足自用电要求，本次设计内的配电所照明采用混合工作的照明方式，所内照明采用三相五线制供电系统，照明与插座回路分开，且插座回路为单相三线制接线方式，导线采用穿管明（暗)敷，本所考虑了应急照明灯，以满足事故检修之用。</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3</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防雷、接地、电缆敷设</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10kV进出线柜内专设HY5WZ型避雷器，用以防止电气设备内部过电压。该所接地应充分利用建筑基础内的金属构件做自然接地体，以-50x5的镀锌扁钢作为接地带，与大楼的主接地带装置可靠连接，该所重要电气设备均有两点在不同处与接地网连接。沿电缆桥架外侧用-50x5的镀锌扁钢敷设接地带，与大楼的主接地网装置可靠连接。电缆桥架及其支架全场应不小于两处与接地装置可靠连接，总接地电阻不应大于4欧，不能满足时应采取降阻措施。电缆敷设时，务必满足GB50217-</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2007</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《电力工程电缆设计规范》要求。</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4</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通风系统</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配电所内装设事故轴流风机，平时通风由用户统一考虑。</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5</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土建配合资料</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施工时应密切与电气专业配合，核对有关设备的尺寸，确认到货设备尺寸与本设计提供的土建配合资料无误后方可施工。应充分考虑设备搬运通道能否满足要求及设备的动静荷载等问题。</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5、</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电缆穿管直埋时注意事项</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1</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电缆穿管直埋距地面深度不小于0.7米。</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2</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并列电缆管中心距不小于240mm，且电缆管间净距不小于20mm。</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3</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电缆管应置于经平整夯实土层且有足以保持连续平直的垫块上；纵向排水坡度不小于0.2%。</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4</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管孔端口应采取防止电缆损伤的保护措施。</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6、</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施工注意事项</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1</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电缆在电缆沟内敷设时，应打开电缆检查井，以便通风，在原有电缆沟内敷设电缆时，由于电缆沟内已有运行中的电缆，施工时应有安全技术措施。</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2</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电缆敷设时电缆应放置在同一支架上，不得上下交替，以免影响其他电缆的安装，电缆弯曲半径不小于15倍的电缆外径。</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3</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电缆及其保护管、电缆沟穿过不同区域之间的墙、板孔洞处及盘柜底开孔处，应以有效的阻燃性材料严密封堵，以防止小动物进出和防火的要求。</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4</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电缆终端、引入建筑物应有余量，每个中间头亦应有余量。</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5</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穿管电缆与热力管道、煤气管道交叉，相互间净距不得小于0.5米，穿管电缆应位于煤气，热力管路的下方。给水、污水管应位于穿管电缆垫层以下。穿管电缆定位现场确定（应躲开路边石，并与房屋净距大于500，并不得破坏房屋基础及持力层)。</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6</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因对地下设施情况不明，施工时应注意调查地下障碍物，不得破坏原有管线，注意施工安全，如与沟管相交或平行，应与相关部门联系解决。地中穿管距地面距离不应小于0.7米。</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7</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电缆在管内敷设，管口不得有毛刺，电缆弯曲半径不小于15倍的电缆外径。</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8</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工程所用的电缆器材，设备及附件均应符合国际或专业标准的规定，并有产品合格证明。</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9</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在电缆终端头，电缆接头处检查井内的电缆上，应装设标志牌，标注牌上应注明线路名称，字迹应清晰，不易脱落。标志牌的规格宜统一，应能防腐，且挂装一个牢靠。</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1</w:t>
      </w: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0</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电缆标志桩应在电缆转角处设置。</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1</w:t>
      </w: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1</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电缆施工及验收，应遵照GB50168-92《电气装置安装工程电缆线路施工及验收规范》及其他现行有关标准规范的规定执行。</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1</w:t>
      </w: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2</w:t>
      </w:r>
      <w:bookmarkStart w:id="0" w:name="_GoBack"/>
      <w:bookmarkEnd w:id="0"/>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未尽事宜，按现行国家标准和规范执行。</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bCs/>
          <w:color w:val="000000" w:themeColor="text1"/>
          <w:spacing w:val="0"/>
          <w:kern w:val="24"/>
          <w:position w:val="0"/>
          <w:sz w:val="24"/>
          <w:szCs w:val="24"/>
          <w:highlight w:val="none"/>
          <w:vertAlign w:val="baseline"/>
          <w:lang w:bidi="ar"/>
          <w14:textFill>
            <w14:solidFill>
              <w14:schemeClr w14:val="tx1"/>
            </w14:solidFill>
          </w14:textFill>
        </w:rPr>
        <w:t>七、质量要求及验收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1、工程质量达到合格标准。</w:t>
      </w:r>
      <w:r>
        <w:rPr>
          <w:rFonts w:hint="eastAsia" w:ascii="宋体" w:hAnsi="宋体"/>
          <w:color w:val="000000" w:themeColor="text1"/>
          <w:sz w:val="24"/>
          <w:highlight w:val="none"/>
          <w:lang w:val="en-US" w:eastAsia="zh-CN"/>
          <w14:textFill>
            <w14:solidFill>
              <w14:schemeClr w14:val="tx1"/>
            </w14:solidFill>
          </w14:textFill>
        </w:rPr>
        <w:t>工程施工按照移交宜阳当地电业局的标准进行施工，确保后期施工完成，具备移交条件后，顺利移交宜阳当地电业局。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2、适用标准、规范：国家、河南省现行的供配电工程相关施工验收规范、标准。</w:t>
      </w:r>
    </w:p>
    <w:p>
      <w:pPr>
        <w:pStyle w:val="2"/>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color w:val="000000" w:themeColor="text1"/>
          <w:sz w:val="24"/>
          <w:highlight w:val="none"/>
          <w:lang w:val="en-US" w:eastAsia="zh-CN"/>
          <w14:textFill>
            <w14:solidFill>
              <w14:schemeClr w14:val="tx1"/>
            </w14:solidFill>
          </w14:textFill>
        </w:rPr>
        <w:t>保证电力外网提供的电源可确保用于消防验收及项目整体竣工验收，以及交房期间电力使用。消防验收前需与当地电业局协调签订“供电合同”，用于消防验收。</w:t>
      </w:r>
    </w:p>
    <w:p>
      <w:pPr>
        <w:keepNext w:val="0"/>
        <w:keepLines w:val="0"/>
        <w:pageBreakBefore w:val="0"/>
        <w:widowControl w:val="0"/>
        <w:kinsoku/>
        <w:wordWrap/>
        <w:overflowPunct/>
        <w:topLinePunct w:val="0"/>
        <w:autoSpaceDE/>
        <w:autoSpaceDN/>
        <w:bidi w:val="0"/>
        <w:adjustRightInd/>
        <w:snapToGrid/>
        <w:spacing w:before="0"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t>4</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本工程要求一次验收合格率100%，同时满足图纸设计和甲方的要求。因乙方原因导致工程质量达不到工程质量目标，乙方应无条件返工直至达到合格标准，并承担由此造成的一切损失。同时，甲方不予工期顺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t>5</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、施工中，凡出现质量不合格的分部分项工程经甲方、监理或政府相关部门提出进行返工的，乙方必须认真执行，并承担由此发生的全部费用，乙方并不能因此而获得工期顺延。</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t>6</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施工期间，乙方必须认真执行甲方及监理单位对工程施工的管理要求。如乙方不能认真完成相关的管理要求，监理将根据情况对乙方下发《整改通知书》，乙方在接到《整改通知书》后须按要求整改，否则，监理将继续下达《整改通知书》。同一事项从第二次下达《整改通知书》后，每同一事项再下发一次《整改通知书》乙方应补偿甲方500元。</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t>7</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、隐蔽工程由乙方书面通知甲方、监理，由甲方 、监理相关工程技术人员到现场检查验收，经验收合格后并履行隐蔽工程签证手续，乙方可将该部位隐蔽，若甲方验证合格后48小时内未履行签证手续，乙方可视为甲方同意隐蔽。</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t>8</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、分项工程安装完毕，乙方应通过自查自检，认为合格后，通知甲方、监理验收，验收合格后，甲方、监理应及时给予办理验收签证手续。</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t>9</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工程竣工后，乙方通过自检、自查，并进行调试、开通、试运行正常后，认为具备条件时，向甲方及总包单位提交竣工验收报告和完整的竣工资料（含竣工图、变更资料、验收报告、产品使用说明书、联系单、测试报告等）一式二份。</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t>10</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、乙方负责在施工过程中与</w:t>
      </w:r>
      <w:r>
        <w:rPr>
          <w:rFonts w:hint="eastAsia" w:ascii="宋体" w:hAnsi="宋体" w:eastAsia="宋体" w:cs="宋体"/>
          <w:b w:val="0"/>
          <w:color w:val="000000" w:themeColor="text1"/>
          <w:spacing w:val="0"/>
          <w:kern w:val="24"/>
          <w:position w:val="0"/>
          <w:sz w:val="24"/>
          <w:szCs w:val="24"/>
          <w:highlight w:val="none"/>
          <w:u w:val="single"/>
          <w:vertAlign w:val="baseline"/>
          <w:lang w:bidi="ar"/>
          <w14:textFill>
            <w14:solidFill>
              <w14:schemeClr w14:val="tx1"/>
            </w14:solidFill>
          </w14:textFill>
        </w:rPr>
        <w:t>电力</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监督部门进行接洽沟通，并负责施工过程中的政府部门检查与项目资料申报。承包人负责办理送电手续、正式送电、电力监督部门验收手续及负担有关费用，验收合格后，承包人应向发包人提供工程验收合格证书。对于验收中存在的施工问题承包方应无条件进行整改，涉及不同标段相</w:t>
      </w:r>
      <w:r>
        <w:rPr>
          <w:rFonts w:hint="eastAsia" w:ascii="宋体" w:hAnsi="宋体"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t>联</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结的施工问题，承办方应主动进行协调并解决问题。</w:t>
      </w:r>
    </w:p>
    <w:p>
      <w:pPr>
        <w:keepNext w:val="0"/>
        <w:keepLines w:val="0"/>
        <w:pageBreakBefore w:val="0"/>
        <w:widowControl w:val="0"/>
        <w:kinsoku/>
        <w:wordWrap/>
        <w:overflowPunct/>
        <w:topLinePunct w:val="0"/>
        <w:autoSpaceDE/>
        <w:autoSpaceDN/>
        <w:bidi w:val="0"/>
        <w:adjustRightInd/>
        <w:snapToGrid/>
        <w:spacing w:before="0" w:line="360" w:lineRule="auto"/>
        <w:ind w:firstLine="482"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bCs/>
          <w:color w:val="000000" w:themeColor="text1"/>
          <w:spacing w:val="0"/>
          <w:kern w:val="24"/>
          <w:position w:val="0"/>
          <w:sz w:val="24"/>
          <w:szCs w:val="24"/>
          <w:highlight w:val="none"/>
          <w:vertAlign w:val="baseline"/>
          <w14:textFill>
            <w14:solidFill>
              <w14:schemeClr w14:val="tx1"/>
            </w14:solidFill>
          </w14:textFill>
        </w:rPr>
        <w:t>八、竣工结算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1、</w:t>
      </w:r>
      <w:r>
        <w:rPr>
          <w:rFonts w:hint="eastAsia" w:ascii="宋体" w:hAnsi="宋体" w:cs="宋体"/>
          <w:b w:val="0"/>
          <w:color w:val="000000" w:themeColor="text1"/>
          <w:spacing w:val="0"/>
          <w:kern w:val="24"/>
          <w:position w:val="0"/>
          <w:sz w:val="24"/>
          <w:szCs w:val="24"/>
          <w:highlight w:val="none"/>
          <w:vertAlign w:val="baseline"/>
          <w:lang w:eastAsia="zh-CN" w:bidi="ar"/>
          <w14:textFill>
            <w14:solidFill>
              <w14:schemeClr w14:val="tx1"/>
            </w14:solidFill>
          </w14:textFill>
        </w:rPr>
        <w:t>供配电（内网）</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工程</w:t>
      </w:r>
      <w:r>
        <w:rPr>
          <w:rFonts w:hint="eastAsia" w:ascii="宋体" w:hAnsi="宋体" w:eastAsia="宋体" w:cs="宋体"/>
          <w:b w:val="0"/>
          <w:bCs/>
          <w:color w:val="000000" w:themeColor="text1"/>
          <w:spacing w:val="0"/>
          <w:kern w:val="24"/>
          <w:position w:val="0"/>
          <w:sz w:val="24"/>
          <w:szCs w:val="24"/>
          <w:highlight w:val="none"/>
          <w:vertAlign w:val="baseline"/>
          <w14:textFill>
            <w14:solidFill>
              <w14:schemeClr w14:val="tx1"/>
            </w14:solidFill>
          </w14:textFill>
        </w:rPr>
        <w:t>结算价款＝固定合同总价±变更签证造价－应扣费用。</w:t>
      </w:r>
    </w:p>
    <w:p>
      <w:pPr>
        <w:pStyle w:val="13"/>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2、</w:t>
      </w:r>
      <w:r>
        <w:rPr>
          <w:rFonts w:hint="eastAsia" w:ascii="宋体" w:hAnsi="宋体" w:cs="宋体"/>
          <w:b w:val="0"/>
          <w:color w:val="000000" w:themeColor="text1"/>
          <w:spacing w:val="0"/>
          <w:kern w:val="24"/>
          <w:position w:val="0"/>
          <w:sz w:val="24"/>
          <w:szCs w:val="24"/>
          <w:highlight w:val="none"/>
          <w:vertAlign w:val="baseline"/>
          <w:lang w:eastAsia="zh-CN" w:bidi="ar"/>
          <w14:textFill>
            <w14:solidFill>
              <w14:schemeClr w14:val="tx1"/>
            </w14:solidFill>
          </w14:textFill>
        </w:rPr>
        <w:t>供配电（外部临时电源接入）工程</w:t>
      </w:r>
      <w:r>
        <w:rPr>
          <w:rFonts w:hint="eastAsia" w:ascii="宋体" w:hAnsi="宋体" w:eastAsia="宋体" w:cs="宋体"/>
          <w:b w:val="0"/>
          <w:bCs/>
          <w:color w:val="000000" w:themeColor="text1"/>
          <w:spacing w:val="0"/>
          <w:kern w:val="24"/>
          <w:position w:val="0"/>
          <w:sz w:val="24"/>
          <w:szCs w:val="24"/>
          <w:highlight w:val="none"/>
          <w:vertAlign w:val="baseline"/>
          <w14:textFill>
            <w14:solidFill>
              <w14:schemeClr w14:val="tx1"/>
            </w14:solidFill>
          </w14:textFill>
        </w:rPr>
        <w:t>结算价款＝固定合同总价</w:t>
      </w:r>
      <w:r>
        <w:rPr>
          <w:rFonts w:hint="eastAsia" w:ascii="宋体" w:hAnsi="宋体" w:cs="宋体"/>
          <w:b w:val="0"/>
          <w:bCs/>
          <w:color w:val="000000" w:themeColor="text1"/>
          <w:spacing w:val="0"/>
          <w:kern w:val="24"/>
          <w:position w:val="0"/>
          <w:sz w:val="24"/>
          <w:szCs w:val="24"/>
          <w:highlight w:val="none"/>
          <w:vertAlign w:val="baseline"/>
          <w:lang w:eastAsia="zh-CN"/>
          <w14:textFill>
            <w14:solidFill>
              <w14:schemeClr w14:val="tx1"/>
            </w14:solidFill>
          </w14:textFill>
        </w:rPr>
        <w:t>。</w:t>
      </w:r>
    </w:p>
    <w:p>
      <w:pPr>
        <w:pStyle w:val="13"/>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3、</w:t>
      </w:r>
      <w:r>
        <w:rPr>
          <w:rFonts w:hint="eastAsia" w:ascii="宋体" w:hAnsi="宋体" w:cs="宋体"/>
          <w:b w:val="0"/>
          <w:color w:val="000000" w:themeColor="text1"/>
          <w:spacing w:val="0"/>
          <w:kern w:val="24"/>
          <w:position w:val="0"/>
          <w:sz w:val="24"/>
          <w:szCs w:val="24"/>
          <w:highlight w:val="none"/>
          <w:vertAlign w:val="baseline"/>
          <w:lang w:eastAsia="zh-CN" w:bidi="ar"/>
          <w14:textFill>
            <w14:solidFill>
              <w14:schemeClr w14:val="tx1"/>
            </w14:solidFill>
          </w14:textFill>
        </w:rPr>
        <w:t>供配电（内网）</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工程</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对应合同清单工程量偏差及漏项均视为承包人已综合考虑在固定合同总价内，结算时一律不予调整。</w:t>
      </w:r>
    </w:p>
    <w:p>
      <w:pPr>
        <w:pStyle w:val="13"/>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4、</w:t>
      </w:r>
      <w:r>
        <w:rPr>
          <w:rFonts w:hint="eastAsia" w:ascii="宋体" w:hAnsi="宋体" w:cs="宋体"/>
          <w:b w:val="0"/>
          <w:color w:val="000000" w:themeColor="text1"/>
          <w:spacing w:val="0"/>
          <w:kern w:val="24"/>
          <w:position w:val="0"/>
          <w:sz w:val="24"/>
          <w:szCs w:val="24"/>
          <w:highlight w:val="none"/>
          <w:vertAlign w:val="baseline"/>
          <w:lang w:eastAsia="zh-CN" w:bidi="ar"/>
          <w14:textFill>
            <w14:solidFill>
              <w14:schemeClr w14:val="tx1"/>
            </w14:solidFill>
          </w14:textFill>
        </w:rPr>
        <w:t>供配电（外部临时电源接入）工程</w:t>
      </w:r>
      <w:r>
        <w:rPr>
          <w:rFonts w:hint="eastAsia" w:ascii="宋体" w:hAnsi="宋体"/>
          <w:color w:val="000000" w:themeColor="text1"/>
          <w:sz w:val="24"/>
          <w:highlight w:val="none"/>
          <w:lang w:val="en-US" w:eastAsia="zh-CN"/>
          <w14:textFill>
            <w14:solidFill>
              <w14:schemeClr w14:val="tx1"/>
            </w14:solidFill>
          </w14:textFill>
        </w:rPr>
        <w:t>固定总价不因接火点位置及路径的调整而变更，结算时不做调整。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5</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、结算依据：发包人审核签认的施工设计图纸、发包人认可的变更签证、施工合同、补充协议、招标、投标文件等。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注明：技术核定单、洽商单、工作联系单、施工组织设计、会议纪要等不作为结算依据。</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6</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、承包人报送预结算额经核对后，若审减额超过报送金额5%，承包人承担总审减额的3%费用，从结算金额中直接扣除。</w:t>
      </w:r>
    </w:p>
    <w:p>
      <w:pPr>
        <w:keepNext w:val="0"/>
        <w:keepLines w:val="0"/>
        <w:pageBreakBefore w:val="0"/>
        <w:widowControl w:val="0"/>
        <w:kinsoku/>
        <w:wordWrap/>
        <w:overflowPunct/>
        <w:topLinePunct w:val="0"/>
        <w:autoSpaceDE/>
        <w:autoSpaceDN/>
        <w:bidi w:val="0"/>
        <w:adjustRightInd/>
        <w:snapToGrid/>
        <w:spacing w:before="0" w:after="0" w:line="360" w:lineRule="auto"/>
        <w:ind w:left="0" w:firstLine="482" w:firstLineChars="200"/>
        <w:textAlignment w:val="auto"/>
        <w:outlineLvl w:val="9"/>
        <w:rPr>
          <w:rFonts w:hint="eastAsia" w:ascii="宋体" w:hAnsi="宋体" w:eastAsia="宋体" w:cs="宋体"/>
          <w:b/>
          <w:bCs/>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bCs/>
          <w:color w:val="000000" w:themeColor="text1"/>
          <w:spacing w:val="0"/>
          <w:kern w:val="24"/>
          <w:position w:val="0"/>
          <w:sz w:val="24"/>
          <w:szCs w:val="24"/>
          <w:highlight w:val="none"/>
          <w:vertAlign w:val="baseline"/>
          <w14:textFill>
            <w14:solidFill>
              <w14:schemeClr w14:val="tx1"/>
            </w14:solidFill>
          </w14:textFill>
        </w:rPr>
        <w:t>九、工程价款支付</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1、根据工程进度分阶段施工、分阶段付款。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（1）</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第一阶段：土建部分施工完成（包含设备房及值班室的墙面天棚粉刷、防火门供货安装、电缆沟、设备基础及预埋件、照明设施、应急照明、事故照明、接地设施、通风设施、钢制竖井），经甲方确认，付至</w:t>
      </w: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本</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阶段</w:t>
      </w: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已完</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合同额的70%</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（2）</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第二阶段：用户专用配及总的部分的所有设备、线缆供货及安装、安全工具等辅助设施、系统检测及调试等全部完成，经甲方确认，付至</w:t>
      </w: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本</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阶段</w:t>
      </w: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已完</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合同额的70%</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（3）</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第三阶段：正式电送电完成、</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住宅</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用电全部完成移交、经甲方及相关部门验收合格、配合甲方办理结算完成后，付至合同结算金额的95%</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（4）</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第四阶段：自正式电送电完成之日起两年为质保期，质保期内连续运转正常良好，质保期满后甲方在30个工作日内无息付清剩余5%质保金</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（5）</w:t>
      </w:r>
      <w:r>
        <w:rPr>
          <w:rFonts w:hint="eastAsia" w:ascii="宋体"/>
          <w:color w:val="000000" w:themeColor="text1"/>
          <w:sz w:val="24"/>
          <w:szCs w:val="24"/>
          <w:highlight w:val="none"/>
          <w14:textFill>
            <w14:solidFill>
              <w14:schemeClr w14:val="tx1"/>
            </w14:solidFill>
          </w14:textFill>
        </w:rPr>
        <w:t>每笔付款前,乙方</w:t>
      </w:r>
      <w:r>
        <w:rPr>
          <w:rFonts w:hint="eastAsia" w:ascii="宋体"/>
          <w:color w:val="000000" w:themeColor="text1"/>
          <w:sz w:val="24"/>
          <w:szCs w:val="24"/>
          <w:highlight w:val="none"/>
          <w:lang w:eastAsia="zh-CN"/>
          <w14:textFill>
            <w14:solidFill>
              <w14:schemeClr w14:val="tx1"/>
            </w14:solidFill>
          </w14:textFill>
        </w:rPr>
        <w:t>应按甲方要求出具合法有效的增值税【专用】发票，当甲方向乙方累计支付款项至本合同的</w:t>
      </w:r>
      <w:r>
        <w:rPr>
          <w:rFonts w:hint="eastAsia" w:ascii="宋体"/>
          <w:color w:val="000000" w:themeColor="text1"/>
          <w:sz w:val="24"/>
          <w:szCs w:val="24"/>
          <w:highlight w:val="none"/>
          <w:lang w:val="en-US" w:eastAsia="zh-CN"/>
          <w14:textFill>
            <w14:solidFill>
              <w14:schemeClr w14:val="tx1"/>
            </w14:solidFill>
          </w14:textFill>
        </w:rPr>
        <w:t>95%时，乙方须向甲方开具100%的合法有效发票。如乙方未按甲方要求出具相应发票，甲方有权拒绝支付该批次工程款。乙方应在开票之后【5】个工作日内将发票送达甲方，甲方签收发票的日期为发票达到日期</w:t>
      </w:r>
      <w:r>
        <w:rPr>
          <w:rFonts w:hint="eastAsia" w:ascii="宋体"/>
          <w:color w:val="000000" w:themeColor="text1"/>
          <w:sz w:val="24"/>
          <w:szCs w:val="24"/>
          <w:highlight w:val="none"/>
          <w14:textFill>
            <w14:solidFill>
              <w14:schemeClr w14:val="tx1"/>
            </w14:solidFill>
          </w14:textFill>
        </w:rPr>
        <w:t>。</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bCs/>
          <w:color w:val="000000" w:themeColor="text1"/>
          <w:spacing w:val="0"/>
          <w:kern w:val="24"/>
          <w:position w:val="0"/>
          <w:sz w:val="24"/>
          <w:szCs w:val="24"/>
          <w:highlight w:val="none"/>
          <w:vertAlign w:val="baseline"/>
          <w:lang w:bidi="ar"/>
          <w14:textFill>
            <w14:solidFill>
              <w14:schemeClr w14:val="tx1"/>
            </w14:solidFill>
          </w14:textFill>
        </w:rPr>
        <w:t>十、双方责任与义务</w:t>
      </w:r>
    </w:p>
    <w:p>
      <w:pPr>
        <w:keepNext w:val="0"/>
        <w:keepLines w:val="0"/>
        <w:pageBreakBefore w:val="0"/>
        <w:widowControl w:val="0"/>
        <w:tabs>
          <w:tab w:val="left" w:pos="120"/>
        </w:tabs>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1、甲方的责任与义务</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（1）负责向乙方提供施工图纸、设计变更等技术资料，以此作为乙方施工的依据。</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甲方向乙方提供图纸日期和套数：甲方在开工前7天内向乙方提供施工图纸一式贰套。</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（2）负责组织本供配电工程的图纸会审。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（3）甲方指派一名代表：</w:t>
      </w:r>
      <w:r>
        <w:rPr>
          <w:rFonts w:hint="eastAsia" w:ascii="宋体" w:hAnsi="宋体" w:eastAsia="宋体" w:cs="宋体"/>
          <w:b w:val="0"/>
          <w:color w:val="000000" w:themeColor="text1"/>
          <w:spacing w:val="0"/>
          <w:kern w:val="24"/>
          <w:position w:val="0"/>
          <w:sz w:val="24"/>
          <w:szCs w:val="24"/>
          <w:highlight w:val="none"/>
          <w:u w:val="single"/>
          <w:vertAlign w:val="baseline"/>
          <w:lang w:val="en-US" w:eastAsia="zh-CN" w:bidi="ar"/>
          <w14:textFill>
            <w14:solidFill>
              <w14:schemeClr w14:val="tx1"/>
            </w14:solidFill>
          </w14:textFill>
        </w:rPr>
        <w:t xml:space="preserve"> </w:t>
      </w:r>
      <w:r>
        <w:rPr>
          <w:rFonts w:hint="eastAsia" w:ascii="宋体" w:hAnsi="宋体" w:cs="宋体"/>
          <w:b w:val="0"/>
          <w:color w:val="000000" w:themeColor="text1"/>
          <w:spacing w:val="0"/>
          <w:kern w:val="24"/>
          <w:position w:val="0"/>
          <w:sz w:val="24"/>
          <w:szCs w:val="24"/>
          <w:highlight w:val="none"/>
          <w:u w:val="single"/>
          <w:vertAlign w:val="baseline"/>
          <w:lang w:val="en-US" w:eastAsia="zh-CN" w:bidi="ar"/>
          <w14:textFill>
            <w14:solidFill>
              <w14:schemeClr w14:val="tx1"/>
            </w14:solidFill>
          </w14:textFill>
        </w:rPr>
        <w:t>李中伟</w:t>
      </w:r>
      <w:r>
        <w:rPr>
          <w:rFonts w:hint="eastAsia" w:ascii="宋体" w:hAnsi="宋体" w:eastAsia="宋体" w:cs="宋体"/>
          <w:b w:val="0"/>
          <w:color w:val="000000" w:themeColor="text1"/>
          <w:spacing w:val="0"/>
          <w:kern w:val="24"/>
          <w:position w:val="0"/>
          <w:sz w:val="24"/>
          <w:szCs w:val="24"/>
          <w:highlight w:val="none"/>
          <w:u w:val="single"/>
          <w:vertAlign w:val="baseline"/>
          <w:lang w:val="en-US" w:eastAsia="zh-CN" w:bidi="ar"/>
          <w14:textFill>
            <w14:solidFill>
              <w14:schemeClr w14:val="tx1"/>
            </w14:solidFill>
          </w14:textFill>
        </w:rPr>
        <w:t xml:space="preserve"> </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，联系电话：</w:t>
      </w:r>
      <w:r>
        <w:rPr>
          <w:rFonts w:hint="eastAsia" w:ascii="宋体" w:hAnsi="宋体" w:eastAsia="宋体" w:cs="宋体"/>
          <w:b w:val="0"/>
          <w:color w:val="000000" w:themeColor="text1"/>
          <w:spacing w:val="0"/>
          <w:kern w:val="24"/>
          <w:position w:val="0"/>
          <w:sz w:val="24"/>
          <w:szCs w:val="24"/>
          <w:highlight w:val="none"/>
          <w:u w:val="single"/>
          <w:vertAlign w:val="baseline"/>
          <w:lang w:val="en-US" w:eastAsia="zh-CN" w:bidi="ar"/>
          <w14:textFill>
            <w14:solidFill>
              <w14:schemeClr w14:val="tx1"/>
            </w14:solidFill>
          </w14:textFill>
        </w:rPr>
        <w:t xml:space="preserve"> </w:t>
      </w:r>
      <w:r>
        <w:rPr>
          <w:rFonts w:hint="eastAsia" w:ascii="宋体" w:hAnsi="宋体" w:cs="宋体"/>
          <w:b w:val="0"/>
          <w:color w:val="000000" w:themeColor="text1"/>
          <w:spacing w:val="0"/>
          <w:kern w:val="24"/>
          <w:position w:val="0"/>
          <w:sz w:val="24"/>
          <w:szCs w:val="24"/>
          <w:highlight w:val="none"/>
          <w:u w:val="single"/>
          <w:vertAlign w:val="baseline"/>
          <w:lang w:val="en-US" w:eastAsia="zh-CN" w:bidi="ar"/>
          <w14:textFill>
            <w14:solidFill>
              <w14:schemeClr w14:val="tx1"/>
            </w14:solidFill>
          </w14:textFill>
        </w:rPr>
        <w:t>15137930543</w:t>
      </w:r>
      <w:r>
        <w:rPr>
          <w:rFonts w:hint="eastAsia" w:ascii="宋体" w:hAnsi="宋体" w:eastAsia="宋体" w:cs="宋体"/>
          <w:b w:val="0"/>
          <w:color w:val="000000" w:themeColor="text1"/>
          <w:spacing w:val="0"/>
          <w:kern w:val="24"/>
          <w:position w:val="0"/>
          <w:sz w:val="24"/>
          <w:szCs w:val="24"/>
          <w:highlight w:val="none"/>
          <w:u w:val="single"/>
          <w:vertAlign w:val="baseline"/>
          <w:lang w:val="en-US" w:eastAsia="zh-CN" w:bidi="ar"/>
          <w14:textFill>
            <w14:solidFill>
              <w14:schemeClr w14:val="tx1"/>
            </w14:solidFill>
          </w14:textFill>
        </w:rPr>
        <w:t xml:space="preserve"> </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负责本合同项目工程质量及进度的督查。</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（4）对乙方呈送的报告和请示及时做出批示。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（5）负责协调施工用水用电，为施工提供便利条件；费用乙方自理。</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（6）协调解决乙方的办公场所、材料堆放场地等施工必备条件，费用乙方负担。</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（7）协调乙方与主体、装修施工单位的关系。</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（8）履行合同约定的义务。</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（9）甲方应做的其它工作：若发生，双方协商解决。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2、 乙方责任与义务：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（1）指定一名项目经理，负责本项目的组织、管理工作（主要技术负责人和项目经理常驻现场），项目经理：</w:t>
      </w:r>
      <w:r>
        <w:rPr>
          <w:rFonts w:hint="eastAsia" w:ascii="宋体" w:hAnsi="宋体" w:eastAsia="宋体" w:cs="宋体"/>
          <w:b w:val="0"/>
          <w:color w:val="000000" w:themeColor="text1"/>
          <w:spacing w:val="0"/>
          <w:kern w:val="24"/>
          <w:position w:val="0"/>
          <w:sz w:val="24"/>
          <w:szCs w:val="24"/>
          <w:highlight w:val="none"/>
          <w:u w:val="single"/>
          <w:vertAlign w:val="baseline"/>
          <w:lang w:bidi="ar"/>
          <w14:textFill>
            <w14:solidFill>
              <w14:schemeClr w14:val="tx1"/>
            </w14:solidFill>
          </w14:textFill>
        </w:rPr>
        <w:t xml:space="preserve"> </w:t>
      </w:r>
      <w:r>
        <w:rPr>
          <w:rFonts w:hint="eastAsia" w:ascii="宋体" w:hAnsi="宋体" w:cs="宋体"/>
          <w:b w:val="0"/>
          <w:color w:val="000000" w:themeColor="text1"/>
          <w:spacing w:val="0"/>
          <w:kern w:val="24"/>
          <w:position w:val="0"/>
          <w:sz w:val="24"/>
          <w:szCs w:val="24"/>
          <w:highlight w:val="none"/>
          <w:u w:val="single"/>
          <w:vertAlign w:val="baseline"/>
          <w:lang w:val="en-US" w:eastAsia="zh-CN" w:bidi="ar"/>
          <w14:textFill>
            <w14:solidFill>
              <w14:schemeClr w14:val="tx1"/>
            </w14:solidFill>
          </w14:textFill>
        </w:rPr>
        <w:t>高向超</w:t>
      </w:r>
      <w:r>
        <w:rPr>
          <w:rFonts w:hint="eastAsia" w:ascii="宋体" w:hAnsi="宋体" w:eastAsia="宋体" w:cs="宋体"/>
          <w:b w:val="0"/>
          <w:color w:val="000000" w:themeColor="text1"/>
          <w:spacing w:val="0"/>
          <w:kern w:val="24"/>
          <w:position w:val="0"/>
          <w:sz w:val="24"/>
          <w:szCs w:val="24"/>
          <w:highlight w:val="none"/>
          <w:u w:val="single"/>
          <w:vertAlign w:val="baseline"/>
          <w:lang w:val="en-US" w:eastAsia="zh-CN" w:bidi="ar"/>
          <w14:textFill>
            <w14:solidFill>
              <w14:schemeClr w14:val="tx1"/>
            </w14:solidFill>
          </w14:textFill>
        </w:rPr>
        <w:t xml:space="preserve"> </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，联系电话：</w:t>
      </w:r>
      <w:r>
        <w:rPr>
          <w:rFonts w:hint="eastAsia" w:ascii="宋体" w:hAnsi="宋体" w:eastAsia="宋体" w:cs="宋体"/>
          <w:b w:val="0"/>
          <w:color w:val="000000" w:themeColor="text1"/>
          <w:spacing w:val="0"/>
          <w:kern w:val="24"/>
          <w:position w:val="0"/>
          <w:sz w:val="24"/>
          <w:szCs w:val="24"/>
          <w:highlight w:val="none"/>
          <w:u w:val="single"/>
          <w:vertAlign w:val="baseline"/>
          <w:lang w:val="en-US" w:eastAsia="zh-CN" w:bidi="ar"/>
          <w14:textFill>
            <w14:solidFill>
              <w14:schemeClr w14:val="tx1"/>
            </w14:solidFill>
          </w14:textFill>
        </w:rPr>
        <w:t xml:space="preserve"> </w:t>
      </w:r>
      <w:r>
        <w:rPr>
          <w:rFonts w:hint="eastAsia" w:ascii="宋体" w:hAnsi="宋体" w:cs="宋体"/>
          <w:b w:val="0"/>
          <w:color w:val="000000" w:themeColor="text1"/>
          <w:spacing w:val="0"/>
          <w:kern w:val="24"/>
          <w:position w:val="0"/>
          <w:sz w:val="24"/>
          <w:szCs w:val="24"/>
          <w:highlight w:val="none"/>
          <w:u w:val="single"/>
          <w:vertAlign w:val="baseline"/>
          <w:lang w:val="en-US" w:eastAsia="zh-CN" w:bidi="ar"/>
          <w14:textFill>
            <w14:solidFill>
              <w14:schemeClr w14:val="tx1"/>
            </w14:solidFill>
          </w14:textFill>
        </w:rPr>
        <w:t>15978685987</w:t>
      </w:r>
      <w:r>
        <w:rPr>
          <w:rFonts w:hint="eastAsia" w:ascii="宋体" w:hAnsi="宋体" w:eastAsia="宋体" w:cs="宋体"/>
          <w:b w:val="0"/>
          <w:color w:val="000000" w:themeColor="text1"/>
          <w:spacing w:val="0"/>
          <w:kern w:val="24"/>
          <w:position w:val="0"/>
          <w:sz w:val="24"/>
          <w:szCs w:val="24"/>
          <w:highlight w:val="none"/>
          <w:u w:val="single"/>
          <w:vertAlign w:val="baseline"/>
          <w:lang w:bidi="ar"/>
          <w14:textFill>
            <w14:solidFill>
              <w14:schemeClr w14:val="tx1"/>
            </w14:solidFill>
          </w14:textFill>
        </w:rPr>
        <w:t xml:space="preserve"> </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，其余技术管理人员乙方须提交甲方认可。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（2）组织施工人员和材料、机械设备进场。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（3）严格按照经甲方、监理审核的文件及有关技术规范进行施工、保质、按期完成合同所要求的工作内容。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（4）严格作好施工期间的一切劳动安全保护工作，施工过程中因乙方原因造成发生的事故，一切损失和责任均由乙方自行负责。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（5）接受甲方和监理对工程质量和进度的监督和检查，根据甲方、监理的意见，对不符合质量要求的部位认真进行整改，直至符合施工图纸和国家施工规范要求。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 xml:space="preserve"> (6)</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乙方在施工过程中不得擅自停工、退场，如擅自停工，甲方有权向乙方索赔（在履约保证金中每日扣除伍仟元）；如擅自退场，已完合格工程量按其50%支付（不合格工程或部分不合格工程的工程款，甲方不予支付，同时乙方还应无条件清除已完成的不合格工程），退场费用甲方不予认可，并且甲方不予退还履约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（7）提供工程所用设备和材料随机提供的质保书、合格证、3C认证等相关资料，并保证合理使用年限，移交甲方管理。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（8）负责（含装饰装修工程）向电力主管部门和有关监督部门报批和办理供配电工程验收手续 。</w:t>
      </w:r>
    </w:p>
    <w:p>
      <w:pPr>
        <w:pStyle w:val="2"/>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（9）</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若正式电</w:t>
      </w: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送电时间不能满足甲方相关验收及交房时间要求</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w:t>
      </w: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乙方需根据本合同中“供配电（外部临时电源接入）工程”价格进行外部临时电源接入施工，确保满足甲方相关验收及交房时间要求</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t>10</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）提供竣工图纸、竣工资料叁套，电子版壹套。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w:t>
      </w:r>
      <w:r>
        <w:rPr>
          <w:rFonts w:hint="eastAsia" w:ascii="宋体" w:hAnsi="宋体" w:eastAsia="宋体"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t>1</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）履行合同约定的义务。</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outlineLvl w:val="9"/>
        <w:rPr>
          <w:rFonts w:hint="eastAsia" w:ascii="宋体" w:hAnsi="宋体" w:eastAsia="宋体" w:cs="宋体"/>
          <w:b/>
          <w:bCs/>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bCs/>
          <w:color w:val="000000" w:themeColor="text1"/>
          <w:spacing w:val="0"/>
          <w:kern w:val="24"/>
          <w:position w:val="0"/>
          <w:sz w:val="24"/>
          <w:szCs w:val="24"/>
          <w:highlight w:val="none"/>
          <w:vertAlign w:val="baseline"/>
          <w:lang w:bidi="ar"/>
          <w14:textFill>
            <w14:solidFill>
              <w14:schemeClr w14:val="tx1"/>
            </w14:solidFill>
          </w14:textFill>
        </w:rPr>
        <w:t>十一、安全施工</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乙方要确保安全施工，派专人负责具体的安全工作，并经常性地做好安全宣传教育，严防安全隐患，杜绝伤亡事故和火灾的发生。如发生事故，责任由乙方负责，与甲方无关，乙方同时保护现场并及时上报有关部门。</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2、乙方及乙方派驻施工现场的项目经理须向甲方签订责任状，对工程质量、安全做出相应承诺和确定目标值。若上述目标不能达到，自愿向甲方给予经济补偿和承担相应的法律责任。</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3、施工现场用电器具应有接地、接零装置和线路布置规范化，安全防护措施到位。乙方自身职工、与甲方有关的第三方人员在现场发生伤亡事故，其经济责任、法律责任和其它民事责任均</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均由乙方承担全部责任并立即报告甲方，甲方均不承担任何连带责任，如出现因上述情形造成甲方承担相关责任的，甲方有权向乙方追偿。</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4、乙方应加强对职工的教育。施工现场严禁酗酒、打架斗殴、赌博和其它违法违章现象，每发现一次，乙方给予甲方500元/次的经济补偿。</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5、乙方严禁对现场甲方工作人员、与甲方有关第三方人员、监理人员等，进行请客、行贿。甲方发现一次无论何原因将对各方参与人员给予发生数额十倍以上的经济处罚，达到刑事责任时，将依据有关法律追究当事人的刑事责任。</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outlineLvl w:val="9"/>
        <w:rPr>
          <w:rFonts w:hint="eastAsia" w:ascii="宋体" w:hAnsi="宋体" w:eastAsia="宋体" w:cs="宋体"/>
          <w:b/>
          <w:bCs/>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bCs/>
          <w:color w:val="000000" w:themeColor="text1"/>
          <w:spacing w:val="0"/>
          <w:kern w:val="24"/>
          <w:position w:val="0"/>
          <w:sz w:val="24"/>
          <w:szCs w:val="24"/>
          <w:highlight w:val="none"/>
          <w:vertAlign w:val="baseline"/>
          <w:lang w:bidi="ar"/>
          <w14:textFill>
            <w14:solidFill>
              <w14:schemeClr w14:val="tx1"/>
            </w14:solidFill>
          </w14:textFill>
        </w:rPr>
        <w:t>十二、现场文明施工及管理要求</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1、乙方在施工中要服从甲方及监理人员的统一指挥，做好防尘防噪措施，各项措施和管理达到示范工程标准。</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2、乙方应保证施工现场的卫生标准、噪音标准等指标满足国家、地方的有关规定。施工中因乙方违反规定造成的损失和发生的费用（若主管部门罚款）均由乙方承担。</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3、施工过程中如发生扰民或民扰，由乙方与甲方协调解决，费用乙方承担。</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outlineLvl w:val="9"/>
        <w:rPr>
          <w:rFonts w:hint="eastAsia" w:ascii="宋体" w:hAnsi="宋体" w:eastAsia="宋体" w:cs="宋体"/>
          <w:b/>
          <w:bCs/>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bCs/>
          <w:color w:val="000000" w:themeColor="text1"/>
          <w:spacing w:val="0"/>
          <w:kern w:val="24"/>
          <w:position w:val="0"/>
          <w:sz w:val="24"/>
          <w:szCs w:val="24"/>
          <w:highlight w:val="none"/>
          <w:vertAlign w:val="baseline"/>
          <w:lang w:bidi="ar"/>
          <w14:textFill>
            <w14:solidFill>
              <w14:schemeClr w14:val="tx1"/>
            </w14:solidFill>
          </w14:textFill>
        </w:rPr>
        <w:t>十三、设备、材料采购及试验</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1、设备、材料采购由乙方负责。设备、材料品牌、规格型号必须按（附件2）中主材品牌要求进行采购。在施工过程中，对此部分材料甲方始终保留甲供或甲控的主动权。</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2、乙方在购置主要设备及材料时必须经甲方、监理书面认可后方可采购。乙方采购的设备、材料等在进场时要先向甲方和监理方填报《材料、设备进场报验单》，经甲方和监理验收合格书面签证认可后方能进场，且使用前应按有关规定进行检验或试验，不合格的不得使用，检验或试验费用由乙方承担。未经甲方和监理工程师检查认可的设备、材料不得进场。已进场的不合格设备、材料清退出场，由此造成的损失由乙方负责。</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3、本工程承包范围内使用的全部设备、材料及产品必须满足合格品规定，符合当地电力部门和洛阳市质量部门对电气设备、材料及产品的具体要求，坚持三证（</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合格证、检测报告、复试报告等</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）齐全，有规定要求的材料必须检测或复试合格后方可使用。同时因乙方所使用的建筑材料的问题造成建筑物环境污染超过国家允许标准，由乙方承担因此而造成的全部经济损失。</w:t>
      </w:r>
    </w:p>
    <w:p>
      <w:pPr>
        <w:pStyle w:val="10"/>
        <w:keepNext w:val="0"/>
        <w:keepLines w:val="0"/>
        <w:pageBreakBefore w:val="0"/>
        <w:widowControl w:val="0"/>
        <w:tabs>
          <w:tab w:val="left" w:pos="6480"/>
        </w:tabs>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outlineLvl w:val="9"/>
        <w:rPr>
          <w:rFonts w:hint="eastAsia" w:ascii="宋体" w:hAnsi="宋体" w:eastAsia="宋体" w:cs="宋体"/>
          <w:b/>
          <w:bCs/>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bCs/>
          <w:color w:val="000000" w:themeColor="text1"/>
          <w:spacing w:val="0"/>
          <w:kern w:val="24"/>
          <w:position w:val="0"/>
          <w:sz w:val="24"/>
          <w:szCs w:val="24"/>
          <w:highlight w:val="none"/>
          <w:vertAlign w:val="baseline"/>
          <w:lang w:bidi="ar"/>
          <w14:textFill>
            <w14:solidFill>
              <w14:schemeClr w14:val="tx1"/>
            </w14:solidFill>
          </w14:textFill>
        </w:rPr>
        <w:t>十四、工程变更</w:t>
      </w:r>
      <w:r>
        <w:rPr>
          <w:rFonts w:hint="eastAsia" w:ascii="宋体" w:hAnsi="宋体" w:eastAsia="宋体" w:cs="宋体"/>
          <w:b/>
          <w:bCs/>
          <w:color w:val="000000" w:themeColor="text1"/>
          <w:spacing w:val="0"/>
          <w:kern w:val="24"/>
          <w:position w:val="0"/>
          <w:sz w:val="24"/>
          <w:szCs w:val="24"/>
          <w:highlight w:val="none"/>
          <w:vertAlign w:val="baseline"/>
          <w14:textFill>
            <w14:solidFill>
              <w14:schemeClr w14:val="tx1"/>
            </w14:solidFill>
          </w14:textFill>
        </w:rPr>
        <w:t>签证及费用计算办法</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1、乙方应严格按照经甲方核审签认的施工图纸施工，不得随意变更；若确须变更，应按程序报甲方同意后，方可变更施工。否则造成的一切后果均由乙方负责。</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2、施工过程中，若甲方需要增减项目或变更项目应提前以书面形式通知乙方。</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3、施工中承包人不得擅自对原工程设计进行变更。因承包人擅自变更设计发生的费用和由此导致的直接经济损失，由承包人承担，延误的工期不予顺延。</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变更、签证的计价原则：本合同执行期间，合同固定总价不因任何因素而</w:t>
      </w:r>
      <w:r>
        <w:rPr>
          <w:rFonts w:hint="eastAsia"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t>做</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调整。若因甲方设计原因引起的设计变更，由甲方出具设计变更单。因设计变更引起部分分项工程子目的增减，该子项目的综合单价在合同中有相同子目的执行相同子目的单价，合同中有相近子目的按相近子目执行，若合同中无适用或类似于变更、签证工程综合单价的，按照&lt;河南省房屋建筑与装饰工程预算定额（HA 01-31-2016）&gt;&lt;河南省通用安装工程预算定额（HA 02-31-2016）及配套的取费文件执行，材料按照施工时间同期的《河南省建设工程造价信息洛阳专刊》中的平均价格调整差价。整体参与优惠15％，其余一切有关费用不得调整。本工程脚手架及成品保护费等措施费为一次性包干费用，已包含在合同价内，结算时不再调整。</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bCs/>
          <w:color w:val="000000" w:themeColor="text1"/>
          <w:spacing w:val="0"/>
          <w:kern w:val="24"/>
          <w:position w:val="0"/>
          <w:sz w:val="24"/>
          <w:szCs w:val="24"/>
          <w:highlight w:val="none"/>
          <w:vertAlign w:val="baseline"/>
          <w:lang w:bidi="ar"/>
          <w14:textFill>
            <w14:solidFill>
              <w14:schemeClr w14:val="tx1"/>
            </w14:solidFill>
          </w14:textFill>
        </w:rPr>
        <w:t>十五、不可抗力</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1、不可抗力指因战争、</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疫情、</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动乱、空中飞行物坠落或其他非双方责任造成的爆炸、火灾以及9级以上的台风、7级及7级以上的地震等。（以当地行业主管部门的公告为准 ）</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2、不可抗力发生后，乙方应迅速采取措施，尽力减少损失，并在24小时内向甲方通报受害情况，在事件发生后10日内向甲方报告损失情况和清理、修复的费用。</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3、因灾害所需清理修复工作的费用由双方承担：</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（1）人员伤亡由所属单位负责，并承担相应费用；</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（2）造成乙方工程设备、机械的损失等损失由乙方承担；</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（3）所需清理修复工作的责任与费用的承担，双方另行商定。</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outlineLvl w:val="9"/>
        <w:rPr>
          <w:rFonts w:hint="eastAsia" w:ascii="宋体" w:hAnsi="宋体" w:eastAsia="宋体" w:cs="宋体"/>
          <w:b/>
          <w:bCs/>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bCs/>
          <w:color w:val="000000" w:themeColor="text1"/>
          <w:spacing w:val="0"/>
          <w:kern w:val="24"/>
          <w:position w:val="0"/>
          <w:sz w:val="24"/>
          <w:szCs w:val="24"/>
          <w:highlight w:val="none"/>
          <w:vertAlign w:val="baseline"/>
          <w:lang w:bidi="ar"/>
          <w14:textFill>
            <w14:solidFill>
              <w14:schemeClr w14:val="tx1"/>
            </w14:solidFill>
          </w14:textFill>
        </w:rPr>
        <w:t>十六、质保期</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1、质保期限为</w:t>
      </w:r>
      <w:r>
        <w:rPr>
          <w:rFonts w:hint="eastAsia" w:ascii="宋体" w:hAnsi="宋体" w:eastAsia="宋体" w:cs="宋体"/>
          <w:b w:val="0"/>
          <w:color w:val="000000" w:themeColor="text1"/>
          <w:spacing w:val="0"/>
          <w:kern w:val="24"/>
          <w:position w:val="0"/>
          <w:sz w:val="24"/>
          <w:szCs w:val="24"/>
          <w:highlight w:val="none"/>
          <w:u w:val="single"/>
          <w:vertAlign w:val="baseline"/>
          <w:lang w:bidi="ar"/>
          <w14:textFill>
            <w14:solidFill>
              <w14:schemeClr w14:val="tx1"/>
            </w14:solidFill>
          </w14:textFill>
        </w:rPr>
        <w:t>两</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年。</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自正式电送电完成之日起两年为质保期</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，质保期内应保证设备连续运转正常良好。</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2、在质保期内，凡因设备材料质量或安装、调试等问题，由乙方负责免费保修和更换零配件。 乙方拒不到场维修或逾期仍未到场维修，甲方有权委托第三方单位进行维修（维修方案及费用无须通知乙方，且视为乙方已无条件认可），发生费用从质保金中双倍扣除，质保金不足以扣除的，乙方应足额补偿甲方。</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outlineLvl w:val="9"/>
        <w:rPr>
          <w:rFonts w:hint="eastAsia" w:ascii="宋体" w:hAnsi="宋体" w:eastAsia="宋体" w:cs="宋体"/>
          <w:b/>
          <w:bCs/>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bCs/>
          <w:color w:val="000000" w:themeColor="text1"/>
          <w:spacing w:val="0"/>
          <w:kern w:val="24"/>
          <w:position w:val="0"/>
          <w:sz w:val="24"/>
          <w:szCs w:val="24"/>
          <w:highlight w:val="none"/>
          <w:vertAlign w:val="baseline"/>
          <w:lang w:bidi="ar"/>
          <w14:textFill>
            <w14:solidFill>
              <w14:schemeClr w14:val="tx1"/>
            </w14:solidFill>
          </w14:textFill>
        </w:rPr>
        <w:t>十七、售后服务措施</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1、人员培训</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承包人应免费对发包人操作使用人员进行培训，培训内容：</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（1）电气设备的基本原理；</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36"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（2）设备的操作使用和维护并免费提供培训教材及使用手册；</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36"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（3）紧急情况的处理程序和补救措施。</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36" w:lineRule="auto"/>
        <w:ind w:left="0" w:leftChars="0"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2、质保期内，乙方应定期对本工程进行回访，定期对系统进行检查、维护，查看值班人员记录，发现隐患迅速消除并向甲方提供书面报告。</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36" w:lineRule="auto"/>
        <w:ind w:left="0" w:leftChars="0"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 xml:space="preserve">3、质保期内，乙方须每季度一次派技术人员到现场对系统进行检测、保养，发现问题及时解决。 </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36" w:lineRule="auto"/>
        <w:ind w:left="0" w:leftChars="0"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4、保修期内若系统发生故障，乙方接到报修电话后在60分钟内赶到现场，故障修复时间约定为2小时以内，若在规定的时间内不能修复，乙方须提供备用设备以保证系统正常运行。</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36" w:lineRule="auto"/>
        <w:ind w:left="0" w:leftChars="0"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5、免费保修期结束前，乙方须派技术人员对工程整个系统进行一次全面维修和检查，对系统中暴露的问题或隐患及时修复，并以书面形式报告甲方。</w:t>
      </w:r>
    </w:p>
    <w:p>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outlineLvl w:val="9"/>
        <w:rPr>
          <w:rFonts w:hint="eastAsia" w:ascii="宋体" w:hAnsi="宋体" w:eastAsia="宋体" w:cs="宋体"/>
          <w:b/>
          <w:bCs/>
          <w:color w:val="000000" w:themeColor="text1"/>
          <w:spacing w:val="0"/>
          <w:kern w:val="24"/>
          <w:position w:val="0"/>
          <w:sz w:val="24"/>
          <w:szCs w:val="24"/>
          <w:highlight w:val="none"/>
          <w:vertAlign w:val="baseline"/>
          <w:lang w:bidi="ar"/>
          <w14:textFill>
            <w14:solidFill>
              <w14:schemeClr w14:val="tx1"/>
            </w14:solidFill>
          </w14:textFill>
        </w:rPr>
      </w:pPr>
      <w:r>
        <w:rPr>
          <w:rFonts w:hint="eastAsia" w:ascii="宋体" w:hAnsi="宋体" w:eastAsia="宋体" w:cs="宋体"/>
          <w:b/>
          <w:bCs/>
          <w:color w:val="000000" w:themeColor="text1"/>
          <w:spacing w:val="0"/>
          <w:kern w:val="24"/>
          <w:position w:val="0"/>
          <w:sz w:val="24"/>
          <w:szCs w:val="24"/>
          <w:highlight w:val="none"/>
          <w:vertAlign w:val="baseline"/>
          <w:lang w:bidi="ar"/>
          <w14:textFill>
            <w14:solidFill>
              <w14:schemeClr w14:val="tx1"/>
            </w14:solidFill>
          </w14:textFill>
        </w:rPr>
        <w:t>十八、违约责任</w:t>
      </w:r>
    </w:p>
    <w:p>
      <w:pPr>
        <w:keepNext w:val="0"/>
        <w:keepLines w:val="0"/>
        <w:pageBreakBefore w:val="0"/>
        <w:widowControl w:val="0"/>
        <w:kinsoku/>
        <w:wordWrap/>
        <w:overflowPunct/>
        <w:topLinePunct w:val="0"/>
        <w:autoSpaceDE/>
        <w:autoSpaceDN/>
        <w:bidi w:val="0"/>
        <w:adjustRightInd/>
        <w:snapToGrid/>
        <w:spacing w:line="336" w:lineRule="auto"/>
        <w:ind w:left="0"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1、合同签订生效后乙方不得转包本工程，如发现有转包的情况发生，视为乙方根本违约。甲方有权将乙方清除出场，扣除全部合同履约保证金，并由乙方承担由此造成的一切经济损失。</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36" w:lineRule="auto"/>
        <w:ind w:left="0"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2、乙方须按甲方要求节点进度按时竣工，乙方未能按时（已包含甲方下发的工期顺延签证）竣工的，每延迟一天竣工按本合同工期履约保证金的_2_%向甲方支付违约金，延迟竣工_7_天（含7天）以上时间，自第_7_日起按本合同工期履约保证金的10_%向甲方支付违约金，同时甲方还有权解除合同，并要求乙方无条件撤离。</w:t>
      </w:r>
    </w:p>
    <w:p>
      <w:pPr>
        <w:keepNext w:val="0"/>
        <w:keepLines w:val="0"/>
        <w:pageBreakBefore w:val="0"/>
        <w:widowControl w:val="0"/>
        <w:kinsoku/>
        <w:wordWrap/>
        <w:overflowPunct/>
        <w:topLinePunct w:val="0"/>
        <w:autoSpaceDE/>
        <w:autoSpaceDN/>
        <w:bidi w:val="0"/>
        <w:adjustRightInd/>
        <w:snapToGrid/>
        <w:spacing w:line="336" w:lineRule="auto"/>
        <w:ind w:left="0" w:leftChars="0"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3、若乙方达不到工程质量目标，甲方有权拒付工程款，乙方向甲方支付合同价款5%的履约保证金不予退还，并无条件返工直到达到质量目标，所造成的一切损失由乙方承担。</w:t>
      </w:r>
    </w:p>
    <w:p>
      <w:pPr>
        <w:keepNext w:val="0"/>
        <w:keepLines w:val="0"/>
        <w:pageBreakBefore w:val="0"/>
        <w:widowControl w:val="0"/>
        <w:kinsoku/>
        <w:wordWrap/>
        <w:overflowPunct/>
        <w:topLinePunct w:val="0"/>
        <w:autoSpaceDE/>
        <w:autoSpaceDN/>
        <w:bidi w:val="0"/>
        <w:adjustRightInd/>
        <w:snapToGrid/>
        <w:spacing w:line="336" w:lineRule="auto"/>
        <w:ind w:left="0" w:leftChars="0"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 xml:space="preserve">4、若乙方应向甲方支付的违约金不足以弥补甲方经济损失的，还应该向甲方赔偿全部损失。赔偿损失的范围应包括直接损失、间接损失。 </w:t>
      </w:r>
    </w:p>
    <w:p>
      <w:pPr>
        <w:keepNext w:val="0"/>
        <w:keepLines w:val="0"/>
        <w:pageBreakBefore w:val="0"/>
        <w:widowControl w:val="0"/>
        <w:kinsoku/>
        <w:wordWrap/>
        <w:overflowPunct/>
        <w:topLinePunct w:val="0"/>
        <w:autoSpaceDE/>
        <w:autoSpaceDN/>
        <w:bidi w:val="0"/>
        <w:adjustRightInd/>
        <w:snapToGrid/>
        <w:spacing w:line="336" w:lineRule="auto"/>
        <w:ind w:left="0" w:leftChars="0"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5、若因乙方原因未能及时取得送电手续、正式送电以及验收合格证，影响整体工程交付使用，由此造成的一切损失均由乙方负责，甲方的经济损失可从乙方的合同履约保证金中直接扣除，如不够可从未支付工程款中扣除。</w:t>
      </w:r>
    </w:p>
    <w:p>
      <w:pPr>
        <w:keepNext w:val="0"/>
        <w:keepLines w:val="0"/>
        <w:pageBreakBefore w:val="0"/>
        <w:widowControl w:val="0"/>
        <w:kinsoku/>
        <w:wordWrap/>
        <w:overflowPunct/>
        <w:topLinePunct w:val="0"/>
        <w:autoSpaceDE/>
        <w:autoSpaceDN/>
        <w:bidi w:val="0"/>
        <w:adjustRightInd/>
        <w:snapToGrid/>
        <w:spacing w:line="336" w:lineRule="auto"/>
        <w:ind w:left="0"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6、项目经理及主要技术、管理人员，在施工过程中不经甲方同意不得更换，否则按违约处理，每发现一人，乙方向甲方支付_5000元补偿；但对甲方认为不称职者，甲方有权要求更换。乙方应当于甲方提出更换要求之日起_2日内更换到位。</w:t>
      </w:r>
    </w:p>
    <w:p>
      <w:pPr>
        <w:keepNext w:val="0"/>
        <w:keepLines w:val="0"/>
        <w:pageBreakBefore w:val="0"/>
        <w:widowControl w:val="0"/>
        <w:tabs>
          <w:tab w:val="left" w:pos="1520"/>
          <w:tab w:val="center" w:pos="4876"/>
        </w:tabs>
        <w:kinsoku/>
        <w:wordWrap/>
        <w:overflowPunct/>
        <w:topLinePunct w:val="0"/>
        <w:autoSpaceDE/>
        <w:autoSpaceDN/>
        <w:bidi w:val="0"/>
        <w:adjustRightInd/>
        <w:snapToGrid/>
        <w:spacing w:line="336" w:lineRule="auto"/>
        <w:ind w:left="0" w:leftChars="0"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7、</w:t>
      </w:r>
      <w:r>
        <w:rPr>
          <w:rFonts w:hint="eastAsia" w:ascii="宋体" w:hAnsi="宋体" w:eastAsia="宋体" w:cs="宋体"/>
          <w:b w:val="0"/>
          <w:bCs/>
          <w:color w:val="000000" w:themeColor="text1"/>
          <w:sz w:val="24"/>
          <w:szCs w:val="24"/>
          <w:highlight w:val="none"/>
          <w14:textFill>
            <w14:solidFill>
              <w14:schemeClr w14:val="tx1"/>
            </w14:solidFill>
          </w14:textFill>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材料</w:t>
      </w:r>
      <w:r>
        <w:rPr>
          <w:rFonts w:hint="eastAsia" w:ascii="宋体" w:hAnsi="宋体" w:eastAsia="宋体" w:cs="宋体"/>
          <w:b w:val="0"/>
          <w:bCs/>
          <w:color w:val="000000" w:themeColor="text1"/>
          <w:sz w:val="24"/>
          <w:szCs w:val="24"/>
          <w:highlight w:val="none"/>
          <w14:textFill>
            <w14:solidFill>
              <w14:schemeClr w14:val="tx1"/>
            </w14:solidFill>
          </w14:textFill>
        </w:rPr>
        <w:t>费用等损失由乙方自行承担，同时甲方还有权根据本合同</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相关</w:t>
      </w:r>
      <w:r>
        <w:rPr>
          <w:rFonts w:hint="eastAsia" w:ascii="宋体" w:hAnsi="宋体" w:eastAsia="宋体" w:cs="宋体"/>
          <w:b w:val="0"/>
          <w:bCs/>
          <w:color w:val="000000" w:themeColor="text1"/>
          <w:sz w:val="24"/>
          <w:szCs w:val="24"/>
          <w:highlight w:val="none"/>
          <w14:textFill>
            <w14:solidFill>
              <w14:schemeClr w14:val="tx1"/>
            </w14:solidFill>
          </w14:textFill>
        </w:rPr>
        <w:t>条款</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追究乙方的违约责任，并</w:t>
      </w:r>
      <w:r>
        <w:rPr>
          <w:rFonts w:hint="eastAsia" w:ascii="宋体" w:hAnsi="宋体" w:eastAsia="宋体" w:cs="宋体"/>
          <w:b w:val="0"/>
          <w:bCs/>
          <w:color w:val="000000" w:themeColor="text1"/>
          <w:sz w:val="24"/>
          <w:szCs w:val="24"/>
          <w:highlight w:val="none"/>
          <w14:textFill>
            <w14:solidFill>
              <w14:schemeClr w14:val="tx1"/>
            </w14:solidFill>
          </w14:textFill>
        </w:rPr>
        <w:t>向乙方</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主张包括但不限于因</w:t>
      </w:r>
      <w:r>
        <w:rPr>
          <w:rFonts w:hint="eastAsia" w:ascii="宋体" w:hAnsi="宋体" w:eastAsia="宋体" w:cs="宋体"/>
          <w:b w:val="0"/>
          <w:bCs/>
          <w:color w:val="000000" w:themeColor="text1"/>
          <w:sz w:val="24"/>
          <w:szCs w:val="24"/>
          <w:highlight w:val="none"/>
          <w14:textFill>
            <w14:solidFill>
              <w14:schemeClr w14:val="tx1"/>
            </w14:solidFill>
          </w14:textFill>
        </w:rPr>
        <w:t>索赔</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产生的诉讼费、保全费、保全担保费、律师费等</w:t>
      </w:r>
      <w:r>
        <w:rPr>
          <w:rFonts w:hint="eastAsia" w:ascii="宋体" w:hAnsi="宋体" w:eastAsia="宋体" w:cs="宋体"/>
          <w:b w:val="0"/>
          <w:bCs/>
          <w:color w:val="000000" w:themeColor="text1"/>
          <w:sz w:val="24"/>
          <w:szCs w:val="24"/>
          <w:highlight w:val="none"/>
          <w14:textFill>
            <w14:solidFill>
              <w14:schemeClr w14:val="tx1"/>
            </w14:solidFill>
          </w14:textFill>
        </w:rPr>
        <w:t>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该惩罚性赔偿不足伍万元的，按伍万元计）</w:t>
      </w:r>
      <w:r>
        <w:rPr>
          <w:rFonts w:hint="eastAsia" w:ascii="宋体" w:hAnsi="宋体" w:eastAsia="宋体" w:cs="宋体"/>
          <w:b w:val="0"/>
          <w:bCs/>
          <w:color w:val="000000" w:themeColor="text1"/>
          <w:sz w:val="24"/>
          <w:szCs w:val="24"/>
          <w:highlight w:val="none"/>
          <w14:textFill>
            <w14:solidFill>
              <w14:schemeClr w14:val="tx1"/>
            </w14:solidFill>
          </w14:textFill>
        </w:rPr>
        <w:t>。除此之外，乙方应当勤勉尽责的履行工程质量保修义务，并在甲方通知的期限内完成保修事项并经甲方书面认可，乙方按期完成保修事项并经甲方书面认可的，该部分工程量</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在质保期满后</w:t>
      </w:r>
      <w:r>
        <w:rPr>
          <w:rFonts w:hint="eastAsia" w:ascii="宋体" w:hAnsi="宋体" w:eastAsia="宋体" w:cs="宋体"/>
          <w:b w:val="0"/>
          <w:bCs/>
          <w:color w:val="000000" w:themeColor="text1"/>
          <w:sz w:val="24"/>
          <w:szCs w:val="24"/>
          <w:highlight w:val="none"/>
          <w14:textFill>
            <w14:solidFill>
              <w14:schemeClr w14:val="tx1"/>
            </w14:solidFill>
          </w14:textFill>
        </w:rPr>
        <w:t>给予结算100%，乙方拒不履行保修责任或未按期完成保修事项的，该部分工程量甲方不予结算</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36" w:lineRule="auto"/>
        <w:ind w:firstLine="482" w:firstLineChars="200"/>
        <w:jc w:val="both"/>
        <w:textAlignment w:val="auto"/>
        <w:outlineLvl w:val="9"/>
        <w:rPr>
          <w:rFonts w:hint="eastAsia" w:ascii="宋体" w:hAnsi="宋体" w:eastAsia="宋体" w:cs="宋体"/>
          <w:b/>
          <w:bCs/>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bCs/>
          <w:color w:val="000000" w:themeColor="text1"/>
          <w:spacing w:val="0"/>
          <w:kern w:val="24"/>
          <w:position w:val="0"/>
          <w:sz w:val="24"/>
          <w:szCs w:val="24"/>
          <w:highlight w:val="none"/>
          <w:vertAlign w:val="baseline"/>
          <w:lang w:bidi="ar"/>
          <w14:textFill>
            <w14:solidFill>
              <w14:schemeClr w14:val="tx1"/>
            </w14:solidFill>
          </w14:textFill>
        </w:rPr>
        <w:t>二十、争议及纠纷的解决</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发生争议双方应友好协商解决，协商不成的，双方同意由合同签订地（洛阳市洛龙区开元大道1号开元壹号营销中心）人民法院管辖。</w:t>
      </w:r>
    </w:p>
    <w:p>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bCs/>
          <w:color w:val="000000" w:themeColor="text1"/>
          <w:spacing w:val="0"/>
          <w:kern w:val="24"/>
          <w:position w:val="0"/>
          <w:sz w:val="24"/>
          <w:szCs w:val="24"/>
          <w:highlight w:val="none"/>
          <w:vertAlign w:val="baseline"/>
          <w:lang w:bidi="ar"/>
          <w14:textFill>
            <w14:solidFill>
              <w14:schemeClr w14:val="tx1"/>
            </w14:solidFill>
          </w14:textFill>
        </w:rPr>
        <w:t>二十一、合同解约条款</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如发生以下情况甲方有权解除合同：</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如发生以下情况甲方有权解除合同：</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1、</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乙方未经甲方同意停工</w:t>
      </w:r>
      <w:r>
        <w:rPr>
          <w:rFonts w:hint="eastAsia" w:ascii="宋体" w:hAnsi="宋体" w:eastAsia="宋体" w:cs="宋体"/>
          <w:b w:val="0"/>
          <w:color w:val="000000" w:themeColor="text1"/>
          <w:spacing w:val="0"/>
          <w:kern w:val="24"/>
          <w:position w:val="0"/>
          <w:sz w:val="24"/>
          <w:szCs w:val="24"/>
          <w:highlight w:val="none"/>
          <w:u w:val="none"/>
          <w:vertAlign w:val="baseline"/>
          <w:lang w:val="en-US" w:eastAsia="zh-CN"/>
          <w14:textFill>
            <w14:solidFill>
              <w14:schemeClr w14:val="tx1"/>
            </w14:solidFill>
          </w14:textFill>
        </w:rPr>
        <w:t>7</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日（含</w:t>
      </w:r>
      <w:r>
        <w:rPr>
          <w:rFonts w:hint="eastAsia" w:ascii="宋体" w:hAnsi="宋体" w:eastAsia="宋体" w:cs="宋体"/>
          <w:b w:val="0"/>
          <w:color w:val="000000" w:themeColor="text1"/>
          <w:spacing w:val="0"/>
          <w:kern w:val="24"/>
          <w:position w:val="0"/>
          <w:sz w:val="24"/>
          <w:szCs w:val="24"/>
          <w:highlight w:val="none"/>
          <w:u w:val="none"/>
          <w:vertAlign w:val="baseline"/>
          <w:lang w:val="en-US" w:eastAsia="zh-CN"/>
          <w14:textFill>
            <w14:solidFill>
              <w14:schemeClr w14:val="tx1"/>
            </w14:solidFill>
          </w14:textFill>
        </w:rPr>
        <w:t>7</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日）以上。</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2、</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甲方或监理方对同一施工问题连续下发三次整改通知书后乙方无作为或整改问题未</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在整改通知书要求的期限内</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解决。</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3、</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乙方购置不符合合同约定的品牌、厂家、产地、材质、工艺、规格、型号等标准</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的产品或者</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假冒伪劣产品用于本工程。</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依据本条合同解除后，对于乙方已完工部分质量合格的按照实际工程量给予结算70%，对于不合格部分责令整改，整改合格后给予结算工程70%</w:t>
      </w:r>
      <w:r>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t>。</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若乙方拒接整改或无作为，甲方对不合格工程量不予支付费用，并由乙方承担由此产生的拆改、整修等费用，乙方应按甲方要求的日期清理现场撤离。</w:t>
      </w:r>
      <w:r>
        <w:rPr>
          <w:rFonts w:hint="eastAsia" w:ascii="宋体" w:hAnsi="宋体" w:eastAsia="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如果乙方不主动拆改、整修，甲方可自行整改，相关的费用从未付工程款中直接扣除，不足部分甲方另行向乙方追偿。</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如合同解约甲方有权委托其他公司进行施工。</w:t>
      </w:r>
    </w:p>
    <w:p>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outlineLvl w:val="9"/>
        <w:rPr>
          <w:rFonts w:hint="eastAsia" w:ascii="宋体" w:hAnsi="宋体" w:eastAsia="宋体" w:cs="宋体"/>
          <w:b/>
          <w:bCs/>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bCs/>
          <w:color w:val="000000" w:themeColor="text1"/>
          <w:spacing w:val="0"/>
          <w:kern w:val="24"/>
          <w:position w:val="0"/>
          <w:sz w:val="24"/>
          <w:szCs w:val="24"/>
          <w:highlight w:val="none"/>
          <w:vertAlign w:val="baseline"/>
          <w:lang w:bidi="ar"/>
          <w14:textFill>
            <w14:solidFill>
              <w14:schemeClr w14:val="tx1"/>
            </w14:solidFill>
          </w14:textFill>
        </w:rPr>
        <w:t>二十二、其他</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1、本合同签订</w:t>
      </w:r>
      <w:r>
        <w:rPr>
          <w:rFonts w:hint="eastAsia" w:ascii="宋体" w:hAnsi="宋体" w:cs="宋体"/>
          <w:b w:val="0"/>
          <w:color w:val="000000" w:themeColor="text1"/>
          <w:spacing w:val="0"/>
          <w:kern w:val="24"/>
          <w:position w:val="0"/>
          <w:sz w:val="24"/>
          <w:szCs w:val="24"/>
          <w:highlight w:val="none"/>
          <w:vertAlign w:val="baseline"/>
          <w:lang w:eastAsia="zh-CN" w:bidi="ar"/>
          <w14:textFill>
            <w14:solidFill>
              <w14:schemeClr w14:val="tx1"/>
            </w14:solidFill>
          </w14:textFill>
        </w:rPr>
        <w:t>后</w:t>
      </w:r>
      <w:r>
        <w:rPr>
          <w:rFonts w:hint="eastAsia" w:ascii="宋体" w:hAnsi="宋体"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t>5个工作日内</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，乙方以转账形式向招标方交纳合同履约保证金（中标价的5%：其中3%为质量履约保证金，2%为工期履约保证金）</w:t>
      </w: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。工程验收合格后30日内甲方无息退还合同履约保证金。</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2、本合同自双方签字盖章之日起生效。</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36"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3、本合同协议书、投标书及其附件、招标文件、投标答疑、询标记录、国家现行标准规范及有关技术文件、本工程设计施工图纸以及双方有关工程的洽商、变更等书面协议或文件均视为本合同的组成部分。</w:t>
      </w:r>
    </w:p>
    <w:p>
      <w:pPr>
        <w:keepNext w:val="0"/>
        <w:keepLines w:val="0"/>
        <w:pageBreakBefore w:val="0"/>
        <w:widowControl w:val="0"/>
        <w:tabs>
          <w:tab w:val="left" w:pos="55"/>
        </w:tabs>
        <w:kinsoku/>
        <w:wordWrap/>
        <w:overflowPunct/>
        <w:topLinePunct w:val="0"/>
        <w:autoSpaceDE/>
        <w:autoSpaceDN/>
        <w:bidi w:val="0"/>
        <w:adjustRightInd/>
        <w:snapToGrid/>
        <w:spacing w:line="336" w:lineRule="auto"/>
        <w:ind w:right="0" w:rightChars="0"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4、本合同未尽事宜双方另行协商，签订补充协议。</w:t>
      </w:r>
    </w:p>
    <w:p>
      <w:pPr>
        <w:pStyle w:val="2"/>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outlineLvl w:val="9"/>
        <w:rPr>
          <w:rFonts w:hint="eastAsia" w:ascii="宋体" w:hAnsi="宋体" w:eastAsia="宋体" w:cs="宋体"/>
          <w:b/>
          <w:bCs/>
          <w:color w:val="000000" w:themeColor="text1"/>
          <w:spacing w:val="0"/>
          <w:kern w:val="24"/>
          <w:position w:val="0"/>
          <w:sz w:val="24"/>
          <w:szCs w:val="24"/>
          <w:highlight w:val="none"/>
          <w:vertAlign w:val="baseline"/>
          <w:lang w:eastAsia="zh-CN"/>
          <w14:textFill>
            <w14:solidFill>
              <w14:schemeClr w14:val="tx1"/>
            </w14:solidFill>
          </w14:textFill>
        </w:rPr>
      </w:pPr>
      <w:r>
        <w:rPr>
          <w:rFonts w:hint="eastAsia" w:ascii="宋体" w:hAnsi="宋体" w:eastAsia="宋体" w:cs="宋体"/>
          <w:b/>
          <w:bCs/>
          <w:color w:val="000000" w:themeColor="text1"/>
          <w:spacing w:val="0"/>
          <w:kern w:val="24"/>
          <w:position w:val="0"/>
          <w:sz w:val="24"/>
          <w:szCs w:val="24"/>
          <w:highlight w:val="none"/>
          <w:vertAlign w:val="baseline"/>
          <w:lang w:bidi="ar"/>
          <w14:textFill>
            <w14:solidFill>
              <w14:schemeClr w14:val="tx1"/>
            </w14:solidFill>
          </w14:textFill>
        </w:rPr>
        <w:t>二十</w:t>
      </w:r>
      <w:r>
        <w:rPr>
          <w:rFonts w:hint="eastAsia" w:ascii="宋体" w:hAnsi="宋体" w:eastAsia="宋体" w:cs="宋体"/>
          <w:b/>
          <w:bCs/>
          <w:color w:val="000000" w:themeColor="text1"/>
          <w:spacing w:val="0"/>
          <w:kern w:val="24"/>
          <w:position w:val="0"/>
          <w:sz w:val="24"/>
          <w:szCs w:val="24"/>
          <w:highlight w:val="none"/>
          <w:vertAlign w:val="baseline"/>
          <w:lang w:eastAsia="zh-CN" w:bidi="ar"/>
          <w14:textFill>
            <w14:solidFill>
              <w14:schemeClr w14:val="tx1"/>
            </w14:solidFill>
          </w14:textFill>
        </w:rPr>
        <w:t>三、送达条款</w:t>
      </w:r>
    </w:p>
    <w:p>
      <w:pPr>
        <w:keepNext w:val="0"/>
        <w:keepLines w:val="0"/>
        <w:pageBreakBefore w:val="0"/>
        <w:widowControl w:val="0"/>
        <w:tabs>
          <w:tab w:val="left" w:pos="600"/>
        </w:tabs>
        <w:kinsoku/>
        <w:wordWrap/>
        <w:overflowPunct/>
        <w:topLinePunct w:val="0"/>
        <w:autoSpaceDE/>
        <w:autoSpaceDN/>
        <w:bidi w:val="0"/>
        <w:adjustRightInd/>
        <w:snapToGrid/>
        <w:spacing w:line="336"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甲乙双方明确送达信息如下：</w:t>
      </w:r>
    </w:p>
    <w:p>
      <w:pPr>
        <w:keepNext w:val="0"/>
        <w:keepLines w:val="0"/>
        <w:pageBreakBefore w:val="0"/>
        <w:widowControl w:val="0"/>
        <w:tabs>
          <w:tab w:val="left" w:pos="600"/>
        </w:tabs>
        <w:kinsoku/>
        <w:wordWrap/>
        <w:overflowPunct/>
        <w:topLinePunct w:val="0"/>
        <w:autoSpaceDE/>
        <w:autoSpaceDN/>
        <w:bidi w:val="0"/>
        <w:adjustRightInd/>
        <w:snapToGrid/>
        <w:spacing w:line="336"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甲方确认的送达信息为：</w:t>
      </w:r>
    </w:p>
    <w:p>
      <w:pPr>
        <w:keepNext w:val="0"/>
        <w:keepLines w:val="0"/>
        <w:pageBreakBefore w:val="0"/>
        <w:widowControl w:val="0"/>
        <w:tabs>
          <w:tab w:val="left" w:pos="600"/>
        </w:tabs>
        <w:kinsoku/>
        <w:wordWrap/>
        <w:overflowPunct/>
        <w:topLinePunct w:val="0"/>
        <w:autoSpaceDE/>
        <w:autoSpaceDN/>
        <w:bidi w:val="0"/>
        <w:adjustRightInd/>
        <w:snapToGrid/>
        <w:spacing w:line="336" w:lineRule="auto"/>
        <w:ind w:firstLine="480" w:firstLineChars="200"/>
        <w:textAlignment w:val="auto"/>
        <w:outlineLvl w:val="9"/>
        <w:rPr>
          <w:rFonts w:hint="default" w:ascii="宋体" w:hAnsi="宋体" w:eastAsia="宋体" w:cs="宋体"/>
          <w:b w:val="0"/>
          <w:color w:val="000000" w:themeColor="text1"/>
          <w:spacing w:val="0"/>
          <w:kern w:val="24"/>
          <w:position w:val="0"/>
          <w:sz w:val="24"/>
          <w:szCs w:val="24"/>
          <w:highlight w:val="none"/>
          <w:vertAlign w:val="baseline"/>
          <w:lang w:val="en-US" w:eastAsia="zh-CN" w:bidi="ar"/>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送达地址：</w:t>
      </w:r>
      <w:r>
        <w:rPr>
          <w:rFonts w:hint="eastAsia" w:ascii="宋体" w:hAnsi="宋体" w:eastAsia="宋体" w:cs="宋体"/>
          <w:b w:val="0"/>
          <w:color w:val="000000" w:themeColor="text1"/>
          <w:spacing w:val="0"/>
          <w:kern w:val="24"/>
          <w:position w:val="0"/>
          <w:sz w:val="24"/>
          <w:szCs w:val="24"/>
          <w:highlight w:val="none"/>
          <w:u w:val="single"/>
          <w:vertAlign w:val="baseline"/>
          <w:lang w:bidi="ar"/>
          <w14:textFill>
            <w14:solidFill>
              <w14:schemeClr w14:val="tx1"/>
            </w14:solidFill>
          </w14:textFill>
        </w:rPr>
        <w:t>洛阳市洛龙区开元大道</w:t>
      </w:r>
      <w:r>
        <w:rPr>
          <w:rFonts w:hint="eastAsia" w:ascii="宋体" w:hAnsi="宋体" w:cs="宋体"/>
          <w:b w:val="0"/>
          <w:color w:val="000000" w:themeColor="text1"/>
          <w:spacing w:val="0"/>
          <w:kern w:val="24"/>
          <w:position w:val="0"/>
          <w:sz w:val="24"/>
          <w:szCs w:val="24"/>
          <w:highlight w:val="none"/>
          <w:u w:val="single"/>
          <w:vertAlign w:val="baseline"/>
          <w:lang w:eastAsia="zh-CN" w:bidi="ar"/>
          <w14:textFill>
            <w14:solidFill>
              <w14:schemeClr w14:val="tx1"/>
            </w14:solidFill>
          </w14:textFill>
        </w:rPr>
        <w:t>与长夏门街交叉口东</w:t>
      </w:r>
      <w:r>
        <w:rPr>
          <w:rFonts w:hint="eastAsia" w:ascii="宋体" w:hAnsi="宋体" w:cs="宋体"/>
          <w:b w:val="0"/>
          <w:color w:val="000000" w:themeColor="text1"/>
          <w:spacing w:val="0"/>
          <w:kern w:val="24"/>
          <w:position w:val="0"/>
          <w:sz w:val="24"/>
          <w:szCs w:val="24"/>
          <w:highlight w:val="none"/>
          <w:u w:val="single"/>
          <w:vertAlign w:val="baseline"/>
          <w:lang w:val="en-US" w:eastAsia="zh-CN" w:bidi="ar"/>
          <w14:textFill>
            <w14:solidFill>
              <w14:schemeClr w14:val="tx1"/>
            </w14:solidFill>
          </w14:textFill>
        </w:rPr>
        <w:t>100米，开元壹号售楼部</w:t>
      </w:r>
    </w:p>
    <w:p>
      <w:pPr>
        <w:keepNext w:val="0"/>
        <w:keepLines w:val="0"/>
        <w:pageBreakBefore w:val="0"/>
        <w:widowControl w:val="0"/>
        <w:tabs>
          <w:tab w:val="left" w:pos="600"/>
        </w:tabs>
        <w:kinsoku/>
        <w:wordWrap/>
        <w:overflowPunct/>
        <w:topLinePunct w:val="0"/>
        <w:autoSpaceDE/>
        <w:autoSpaceDN/>
        <w:bidi w:val="0"/>
        <w:adjustRightInd/>
        <w:snapToGrid/>
        <w:spacing w:line="336"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联系人及联系方式：</w:t>
      </w:r>
      <w:r>
        <w:rPr>
          <w:rFonts w:hint="eastAsia" w:ascii="宋体" w:hAnsi="宋体" w:eastAsia="宋体" w:cs="宋体"/>
          <w:b w:val="0"/>
          <w:color w:val="000000" w:themeColor="text1"/>
          <w:spacing w:val="0"/>
          <w:kern w:val="24"/>
          <w:position w:val="0"/>
          <w:sz w:val="24"/>
          <w:szCs w:val="24"/>
          <w:highlight w:val="none"/>
          <w:u w:val="single"/>
          <w:vertAlign w:val="baseline"/>
          <w:lang w:bidi="ar"/>
          <w14:textFill>
            <w14:solidFill>
              <w14:schemeClr w14:val="tx1"/>
            </w14:solidFill>
          </w14:textFill>
        </w:rPr>
        <w:t>0379-60198086</w:t>
      </w:r>
    </w:p>
    <w:p>
      <w:pPr>
        <w:keepNext w:val="0"/>
        <w:keepLines w:val="0"/>
        <w:pageBreakBefore w:val="0"/>
        <w:widowControl w:val="0"/>
        <w:tabs>
          <w:tab w:val="left" w:pos="600"/>
        </w:tabs>
        <w:kinsoku/>
        <w:wordWrap/>
        <w:overflowPunct/>
        <w:topLinePunct w:val="0"/>
        <w:autoSpaceDE/>
        <w:autoSpaceDN/>
        <w:bidi w:val="0"/>
        <w:adjustRightInd/>
        <w:snapToGrid/>
        <w:spacing w:line="336"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乙方确认的送达信息为：</w:t>
      </w:r>
    </w:p>
    <w:p>
      <w:pPr>
        <w:keepNext w:val="0"/>
        <w:keepLines w:val="0"/>
        <w:pageBreakBefore w:val="0"/>
        <w:widowControl w:val="0"/>
        <w:tabs>
          <w:tab w:val="left" w:pos="600"/>
        </w:tabs>
        <w:kinsoku/>
        <w:wordWrap/>
        <w:overflowPunct/>
        <w:topLinePunct w:val="0"/>
        <w:autoSpaceDE/>
        <w:autoSpaceDN/>
        <w:bidi w:val="0"/>
        <w:adjustRightInd/>
        <w:snapToGrid/>
        <w:spacing w:line="336"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送达地址：</w:t>
      </w:r>
      <w:r>
        <w:rPr>
          <w:rFonts w:hint="eastAsia" w:ascii="宋体" w:hAnsi="宋体" w:eastAsia="宋体" w:cs="宋体"/>
          <w:b w:val="0"/>
          <w:color w:val="000000" w:themeColor="text1"/>
          <w:spacing w:val="0"/>
          <w:kern w:val="24"/>
          <w:position w:val="0"/>
          <w:sz w:val="24"/>
          <w:szCs w:val="24"/>
          <w:highlight w:val="none"/>
          <w:u w:val="single"/>
          <w:vertAlign w:val="baseline"/>
          <w:lang w:bidi="ar"/>
          <w14:textFill>
            <w14:solidFill>
              <w14:schemeClr w14:val="tx1"/>
            </w14:solidFill>
          </w14:textFill>
        </w:rPr>
        <w:t>洛阳市涧西区南华工业园4号</w:t>
      </w:r>
    </w:p>
    <w:p>
      <w:pPr>
        <w:keepNext w:val="0"/>
        <w:keepLines w:val="0"/>
        <w:pageBreakBefore w:val="0"/>
        <w:widowControl w:val="0"/>
        <w:tabs>
          <w:tab w:val="left" w:pos="600"/>
        </w:tabs>
        <w:kinsoku/>
        <w:wordWrap/>
        <w:overflowPunct/>
        <w:topLinePunct w:val="0"/>
        <w:autoSpaceDE/>
        <w:autoSpaceDN/>
        <w:bidi w:val="0"/>
        <w:adjustRightInd/>
        <w:snapToGrid/>
        <w:spacing w:line="336"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联系人及联系方式：</w:t>
      </w:r>
      <w:r>
        <w:rPr>
          <w:rFonts w:hint="eastAsia" w:ascii="宋体" w:hAnsi="宋体" w:eastAsia="宋体" w:cs="宋体"/>
          <w:b w:val="0"/>
          <w:color w:val="000000" w:themeColor="text1"/>
          <w:spacing w:val="0"/>
          <w:kern w:val="24"/>
          <w:position w:val="0"/>
          <w:sz w:val="24"/>
          <w:szCs w:val="24"/>
          <w:highlight w:val="none"/>
          <w:u w:val="single"/>
          <w:vertAlign w:val="baseline"/>
          <w:lang w:bidi="ar"/>
          <w14:textFill>
            <w14:solidFill>
              <w14:schemeClr w14:val="tx1"/>
            </w14:solidFill>
          </w14:textFill>
        </w:rPr>
        <w:t>0379-62232669</w:t>
      </w:r>
    </w:p>
    <w:p>
      <w:pPr>
        <w:keepNext w:val="0"/>
        <w:keepLines w:val="0"/>
        <w:pageBreakBefore w:val="0"/>
        <w:widowControl w:val="0"/>
        <w:tabs>
          <w:tab w:val="left" w:pos="600"/>
        </w:tabs>
        <w:kinsoku/>
        <w:wordWrap/>
        <w:overflowPunct/>
        <w:topLinePunct w:val="0"/>
        <w:autoSpaceDE/>
        <w:autoSpaceDN/>
        <w:bidi w:val="0"/>
        <w:adjustRightInd/>
        <w:snapToGrid/>
        <w:spacing w:line="336" w:lineRule="auto"/>
        <w:ind w:firstLine="480" w:firstLineChars="200"/>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lang w:bidi="ar"/>
          <w14:textFill>
            <w14:solidFill>
              <w14:schemeClr w14:val="tx1"/>
            </w14:solidFill>
          </w14:textFill>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pStyle w:val="2"/>
        <w:keepNext w:val="0"/>
        <w:keepLines w:val="0"/>
        <w:pageBreakBefore w:val="0"/>
        <w:widowControl w:val="0"/>
        <w:kinsoku/>
        <w:wordWrap/>
        <w:overflowPunct/>
        <w:topLinePunct w:val="0"/>
        <w:autoSpaceDE/>
        <w:autoSpaceDN/>
        <w:bidi w:val="0"/>
        <w:adjustRightInd/>
        <w:snapToGrid/>
        <w:spacing w:line="336" w:lineRule="auto"/>
        <w:ind w:firstLine="482" w:firstLineChars="200"/>
        <w:jc w:val="both"/>
        <w:textAlignment w:val="auto"/>
        <w:outlineLvl w:val="9"/>
        <w:rPr>
          <w:rFonts w:hint="eastAsia" w:ascii="宋体" w:hAnsi="宋体" w:cs="宋体"/>
          <w:b/>
          <w:bCs/>
          <w:color w:val="000000" w:themeColor="text1"/>
          <w:spacing w:val="0"/>
          <w:kern w:val="24"/>
          <w:position w:val="0"/>
          <w:sz w:val="24"/>
          <w:szCs w:val="24"/>
          <w:highlight w:val="none"/>
          <w:vertAlign w:val="baseline"/>
          <w:lang w:eastAsia="zh-CN" w:bidi="ar"/>
          <w14:textFill>
            <w14:solidFill>
              <w14:schemeClr w14:val="tx1"/>
            </w14:solidFill>
          </w14:textFill>
        </w:rPr>
      </w:pPr>
      <w:r>
        <w:rPr>
          <w:rFonts w:hint="eastAsia" w:ascii="宋体" w:hAnsi="宋体" w:eastAsia="宋体" w:cs="宋体"/>
          <w:b/>
          <w:bCs/>
          <w:color w:val="000000" w:themeColor="text1"/>
          <w:spacing w:val="0"/>
          <w:kern w:val="24"/>
          <w:position w:val="0"/>
          <w:sz w:val="24"/>
          <w:szCs w:val="24"/>
          <w:highlight w:val="none"/>
          <w:vertAlign w:val="baseline"/>
          <w:lang w:bidi="ar"/>
          <w14:textFill>
            <w14:solidFill>
              <w14:schemeClr w14:val="tx1"/>
            </w14:solidFill>
          </w14:textFill>
        </w:rPr>
        <w:t>二十</w:t>
      </w:r>
      <w:r>
        <w:rPr>
          <w:rFonts w:hint="eastAsia" w:ascii="宋体" w:hAnsi="宋体" w:cs="宋体"/>
          <w:b/>
          <w:bCs/>
          <w:color w:val="000000" w:themeColor="text1"/>
          <w:spacing w:val="0"/>
          <w:kern w:val="24"/>
          <w:position w:val="0"/>
          <w:sz w:val="24"/>
          <w:szCs w:val="24"/>
          <w:highlight w:val="none"/>
          <w:vertAlign w:val="baseline"/>
          <w:lang w:eastAsia="zh-CN" w:bidi="ar"/>
          <w14:textFill>
            <w14:solidFill>
              <w14:schemeClr w14:val="tx1"/>
            </w14:solidFill>
          </w14:textFill>
        </w:rPr>
        <w:t>四、合同附件</w:t>
      </w:r>
    </w:p>
    <w:p>
      <w:pPr>
        <w:pStyle w:val="3"/>
        <w:keepNext w:val="0"/>
        <w:keepLines w:val="0"/>
        <w:pageBreakBefore w:val="0"/>
        <w:widowControl w:val="0"/>
        <w:kinsoku/>
        <w:wordWrap/>
        <w:overflowPunct/>
        <w:topLinePunct w:val="0"/>
        <w:autoSpaceDE/>
        <w:autoSpaceDN/>
        <w:bidi w:val="0"/>
        <w:adjustRightInd/>
        <w:snapToGrid/>
        <w:spacing w:line="336" w:lineRule="auto"/>
        <w:ind w:firstLine="480" w:firstLineChars="200"/>
        <w:jc w:val="both"/>
        <w:textAlignment w:val="auto"/>
        <w:outlineLvl w:val="9"/>
        <w:rPr>
          <w:rFonts w:hint="default"/>
          <w:b w:val="0"/>
          <w:bCs w:val="0"/>
          <w:color w:val="000000" w:themeColor="text1"/>
          <w:sz w:val="24"/>
          <w:szCs w:val="24"/>
          <w:highlight w:val="none"/>
          <w:lang w:val="en-US" w:eastAsia="zh-CN"/>
          <w14:textFill>
            <w14:solidFill>
              <w14:schemeClr w14:val="tx1"/>
            </w14:solidFill>
          </w14:textFill>
        </w:rPr>
      </w:pPr>
      <w:r>
        <w:rPr>
          <w:rFonts w:hint="eastAsia"/>
          <w:b w:val="0"/>
          <w:bCs w:val="0"/>
          <w:color w:val="000000" w:themeColor="text1"/>
          <w:sz w:val="24"/>
          <w:szCs w:val="24"/>
          <w:highlight w:val="none"/>
          <w:lang w:eastAsia="zh-CN"/>
          <w14:textFill>
            <w14:solidFill>
              <w14:schemeClr w14:val="tx1"/>
            </w14:solidFill>
          </w14:textFill>
        </w:rPr>
        <w:t>附件一：供配电（内网）工程报价清单</w:t>
      </w:r>
    </w:p>
    <w:p>
      <w:pPr>
        <w:pStyle w:val="4"/>
        <w:keepNext w:val="0"/>
        <w:keepLines w:val="0"/>
        <w:pageBreakBefore w:val="0"/>
        <w:widowControl w:val="0"/>
        <w:kinsoku/>
        <w:wordWrap/>
        <w:overflowPunct/>
        <w:topLinePunct w:val="0"/>
        <w:autoSpaceDE/>
        <w:autoSpaceDN/>
        <w:bidi w:val="0"/>
        <w:adjustRightInd/>
        <w:snapToGrid/>
        <w:spacing w:line="336" w:lineRule="auto"/>
        <w:ind w:firstLine="480" w:firstLineChars="200"/>
        <w:jc w:val="both"/>
        <w:textAlignment w:val="auto"/>
        <w:outlineLvl w:val="9"/>
        <w:rPr>
          <w:rFonts w:hint="eastAsia"/>
          <w:b w:val="0"/>
          <w:bCs w:val="0"/>
          <w:color w:val="000000" w:themeColor="text1"/>
          <w:sz w:val="24"/>
          <w:szCs w:val="24"/>
          <w:highlight w:val="none"/>
          <w:lang w:eastAsia="zh-CN"/>
          <w14:textFill>
            <w14:solidFill>
              <w14:schemeClr w14:val="tx1"/>
            </w14:solidFill>
          </w14:textFill>
        </w:rPr>
      </w:pPr>
      <w:r>
        <w:rPr>
          <w:rFonts w:hint="eastAsia"/>
          <w:b w:val="0"/>
          <w:bCs w:val="0"/>
          <w:color w:val="000000" w:themeColor="text1"/>
          <w:sz w:val="24"/>
          <w:szCs w:val="24"/>
          <w:highlight w:val="none"/>
          <w:lang w:eastAsia="zh-CN"/>
          <w14:textFill>
            <w14:solidFill>
              <w14:schemeClr w14:val="tx1"/>
            </w14:solidFill>
          </w14:textFill>
        </w:rPr>
        <w:t>附件二：供配电（外部临时电源接入）工程报价清单</w:t>
      </w:r>
    </w:p>
    <w:p>
      <w:pPr>
        <w:pStyle w:val="5"/>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outlineLvl w:val="9"/>
        <w:rPr>
          <w:rFonts w:hint="eastAsia"/>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附件三：</w:t>
      </w:r>
      <w:r>
        <w:rPr>
          <w:rFonts w:hint="eastAsia"/>
          <w:b w:val="0"/>
          <w:bCs w:val="0"/>
          <w:color w:val="000000" w:themeColor="text1"/>
          <w:sz w:val="24"/>
          <w:szCs w:val="24"/>
          <w:highlight w:val="none"/>
          <w:lang w:eastAsia="zh-CN"/>
          <w14:textFill>
            <w14:solidFill>
              <w14:schemeClr w14:val="tx1"/>
            </w14:solidFill>
          </w14:textFill>
        </w:rPr>
        <w:t>主要设备品牌表</w:t>
      </w:r>
    </w:p>
    <w:p>
      <w:pPr>
        <w:pStyle w:val="2"/>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outlineLvl w:val="9"/>
        <w:rPr>
          <w:rFonts w:hint="eastAsia"/>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附件四：廉政合作协议</w:t>
      </w:r>
    </w:p>
    <w:p>
      <w:pPr>
        <w:keepNext w:val="0"/>
        <w:keepLines w:val="0"/>
        <w:pageBreakBefore w:val="0"/>
        <w:widowControl w:val="0"/>
        <w:tabs>
          <w:tab w:val="left" w:pos="600"/>
        </w:tabs>
        <w:kinsoku/>
        <w:wordWrap/>
        <w:overflowPunct/>
        <w:topLinePunct w:val="0"/>
        <w:autoSpaceDE/>
        <w:autoSpaceDN/>
        <w:bidi w:val="0"/>
        <w:adjustRightInd/>
        <w:snapToGrid/>
        <w:spacing w:line="336" w:lineRule="auto"/>
        <w:ind w:firstLine="480" w:firstLineChars="200"/>
        <w:jc w:val="both"/>
        <w:textAlignment w:val="auto"/>
        <w:outlineLvl w:val="9"/>
        <w:rPr>
          <w:rFonts w:hint="eastAsia" w:ascii="宋体" w:hAnsi="宋体" w:eastAsia="宋体" w:cs="宋体"/>
          <w:b w:val="0"/>
          <w:color w:val="000000" w:themeColor="text1"/>
          <w:spacing w:val="0"/>
          <w:kern w:val="24"/>
          <w:position w:val="0"/>
          <w:sz w:val="24"/>
          <w:szCs w:val="24"/>
          <w:highlight w:val="none"/>
          <w:vertAlign w:val="baseline"/>
          <w:lang w:eastAsia="zh-CN"/>
          <w14:textFill>
            <w14:solidFill>
              <w14:schemeClr w14:val="tx1"/>
            </w14:solidFill>
          </w14:textFill>
        </w:rPr>
      </w:pPr>
      <w:r>
        <w:rPr>
          <w:rFonts w:hint="eastAsia" w:ascii="宋体" w:hAnsi="宋体" w:eastAsia="宋体" w:cs="宋体"/>
          <w:b w:val="0"/>
          <w:bCs w:val="0"/>
          <w:color w:val="000000" w:themeColor="text1"/>
          <w:spacing w:val="0"/>
          <w:kern w:val="24"/>
          <w:position w:val="0"/>
          <w:sz w:val="24"/>
          <w:szCs w:val="24"/>
          <w:highlight w:val="none"/>
          <w:vertAlign w:val="baseline"/>
          <w:lang w:bidi="ar"/>
          <w14:textFill>
            <w14:solidFill>
              <w14:schemeClr w14:val="tx1"/>
            </w14:solidFill>
          </w14:textFill>
        </w:rPr>
        <w:t>（以下无正文）</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 xml:space="preserve">甲方：洛阳莘子园置业有限公司       乙方：洛阳龙羽电气设备有限公司                    </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法定代表人：                       法定代表人：</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委托代理人：                       委托代理人：</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ascii="宋体" w:hAnsi="宋体" w:eastAsia="宋体" w:cs="宋体"/>
          <w:b w:val="0"/>
          <w:color w:val="000000" w:themeColor="text1"/>
          <w:spacing w:val="0"/>
          <w:kern w:val="24"/>
          <w:position w:val="0"/>
          <w:sz w:val="24"/>
          <w:szCs w:val="24"/>
          <w:highlight w:val="none"/>
          <w:u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开户行：</w:t>
      </w:r>
      <w:r>
        <w:rPr>
          <w:rFonts w:hint="eastAsia" w:ascii="宋体" w:hAnsi="宋体" w:cs="宋体"/>
          <w:b w:val="0"/>
          <w:color w:val="000000" w:themeColor="text1"/>
          <w:spacing w:val="0"/>
          <w:kern w:val="24"/>
          <w:position w:val="0"/>
          <w:sz w:val="24"/>
          <w:szCs w:val="24"/>
          <w:highlight w:val="none"/>
          <w:vertAlign w:val="baseline"/>
          <w:lang w:eastAsia="zh-CN"/>
          <w14:textFill>
            <w14:solidFill>
              <w14:schemeClr w14:val="tx1"/>
            </w14:solidFill>
          </w14:textFill>
        </w:rPr>
        <w:t>宜阳农商行文化路支行</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 xml:space="preserve">       开户行：</w:t>
      </w:r>
      <w:r>
        <w:rPr>
          <w:rFonts w:hint="eastAsia" w:ascii="宋体" w:hAnsi="宋体" w:eastAsia="宋体" w:cs="宋体"/>
          <w:b w:val="0"/>
          <w:color w:val="000000" w:themeColor="text1"/>
          <w:spacing w:val="0"/>
          <w:kern w:val="24"/>
          <w:position w:val="0"/>
          <w:sz w:val="24"/>
          <w:szCs w:val="24"/>
          <w:highlight w:val="none"/>
          <w:u w:val="none"/>
          <w:vertAlign w:val="baseline"/>
          <w14:textFill>
            <w14:solidFill>
              <w14:schemeClr w14:val="tx1"/>
            </w14:solidFill>
          </w14:textFill>
        </w:rPr>
        <w:t>中国农业银行股份有限公司洛阳分行</w:t>
      </w:r>
    </w:p>
    <w:p>
      <w:pPr>
        <w:keepNext w:val="0"/>
        <w:keepLines w:val="0"/>
        <w:pageBreakBefore w:val="0"/>
        <w:widowControl w:val="0"/>
        <w:kinsoku/>
        <w:wordWrap/>
        <w:overflowPunct/>
        <w:topLinePunct w:val="0"/>
        <w:autoSpaceDE/>
        <w:autoSpaceDN/>
        <w:bidi w:val="0"/>
        <w:adjustRightInd/>
        <w:snapToGrid/>
        <w:spacing w:line="336" w:lineRule="auto"/>
        <w:jc w:val="both"/>
        <w:textAlignment w:val="auto"/>
        <w:outlineLvl w:val="9"/>
        <w:rPr>
          <w:rFonts w:hint="eastAsia" w:ascii="宋体" w:hAnsi="宋体" w:eastAsia="宋体" w:cs="宋体"/>
          <w:b w:val="0"/>
          <w:color w:val="000000" w:themeColor="text1"/>
          <w:spacing w:val="0"/>
          <w:kern w:val="24"/>
          <w:position w:val="0"/>
          <w:sz w:val="24"/>
          <w:szCs w:val="24"/>
          <w:highlight w:val="none"/>
          <w:u w:val="none"/>
          <w:vertAlign w:val="baseli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u w:val="none"/>
          <w:vertAlign w:val="baseline"/>
          <w14:textFill>
            <w14:solidFill>
              <w14:schemeClr w14:val="tx1"/>
            </w14:solidFill>
          </w14:textFill>
        </w:rPr>
        <w:t>账号：</w:t>
      </w:r>
      <w:r>
        <w:rPr>
          <w:rFonts w:hint="eastAsia" w:ascii="宋体" w:hAnsi="宋体" w:cs="宋体"/>
          <w:b w:val="0"/>
          <w:color w:val="000000" w:themeColor="text1"/>
          <w:spacing w:val="0"/>
          <w:kern w:val="24"/>
          <w:position w:val="0"/>
          <w:sz w:val="24"/>
          <w:szCs w:val="24"/>
          <w:highlight w:val="none"/>
          <w:u w:val="none"/>
          <w:vertAlign w:val="baseline"/>
          <w:lang w:val="en-US" w:eastAsia="zh-CN"/>
          <w14:textFill>
            <w14:solidFill>
              <w14:schemeClr w14:val="tx1"/>
            </w14:solidFill>
          </w14:textFill>
        </w:rPr>
        <w:t>66121011800000498</w:t>
      </w:r>
      <w:r>
        <w:rPr>
          <w:rFonts w:hint="eastAsia" w:ascii="宋体" w:hAnsi="宋体" w:eastAsia="宋体" w:cs="宋体"/>
          <w:b w:val="0"/>
          <w:color w:val="000000" w:themeColor="text1"/>
          <w:spacing w:val="0"/>
          <w:kern w:val="24"/>
          <w:position w:val="0"/>
          <w:sz w:val="24"/>
          <w:szCs w:val="24"/>
          <w:highlight w:val="none"/>
          <w:u w:val="none"/>
          <w:vertAlign w:val="baseline"/>
          <w14:textFill>
            <w14:solidFill>
              <w14:schemeClr w14:val="tx1"/>
            </w14:solidFill>
          </w14:textFill>
        </w:rPr>
        <w:t xml:space="preserve">            账号：1615 5101 0400 3393 7</w:t>
      </w:r>
    </w:p>
    <w:p>
      <w:pPr>
        <w:pStyle w:val="2"/>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default" w:eastAsia="宋体"/>
          <w:color w:val="000000" w:themeColor="text1"/>
          <w:highlight w:val="none"/>
          <w:u w:val="none"/>
          <w:lang w:val="en-US" w:eastAsia="zh-CN"/>
          <w14:textFill>
            <w14:solidFill>
              <w14:schemeClr w14:val="tx1"/>
            </w14:solidFill>
          </w14:textFill>
        </w:rPr>
      </w:pPr>
      <w:r>
        <w:rPr>
          <w:rFonts w:hint="eastAsia" w:ascii="宋体" w:hAnsi="宋体" w:cs="宋体"/>
          <w:b w:val="0"/>
          <w:color w:val="000000" w:themeColor="text1"/>
          <w:spacing w:val="0"/>
          <w:kern w:val="24"/>
          <w:position w:val="0"/>
          <w:sz w:val="24"/>
          <w:szCs w:val="24"/>
          <w:highlight w:val="none"/>
          <w:u w:val="none"/>
          <w:vertAlign w:val="baseline"/>
          <w:lang w:eastAsia="zh-CN"/>
          <w14:textFill>
            <w14:solidFill>
              <w14:schemeClr w14:val="tx1"/>
            </w14:solidFill>
          </w14:textFill>
        </w:rPr>
        <w:t>税号：</w:t>
      </w:r>
      <w:r>
        <w:rPr>
          <w:rFonts w:hint="eastAsia" w:ascii="宋体" w:hAnsi="宋体" w:cs="宋体"/>
          <w:b w:val="0"/>
          <w:color w:val="000000" w:themeColor="text1"/>
          <w:spacing w:val="0"/>
          <w:kern w:val="24"/>
          <w:position w:val="0"/>
          <w:sz w:val="24"/>
          <w:szCs w:val="24"/>
          <w:highlight w:val="none"/>
          <w:u w:val="none"/>
          <w:vertAlign w:val="baseline"/>
          <w:lang w:val="en-US" w:eastAsia="zh-CN"/>
          <w14:textFill>
            <w14:solidFill>
              <w14:schemeClr w14:val="tx1"/>
            </w14:solidFill>
          </w14:textFill>
        </w:rPr>
        <w:t xml:space="preserve">91410327MA46Q3579G           </w:t>
      </w:r>
      <w:r>
        <w:rPr>
          <w:rFonts w:hint="eastAsia" w:ascii="宋体" w:hAnsi="宋体" w:cs="宋体"/>
          <w:b w:val="0"/>
          <w:color w:val="000000" w:themeColor="text1"/>
          <w:spacing w:val="0"/>
          <w:kern w:val="24"/>
          <w:position w:val="0"/>
          <w:sz w:val="24"/>
          <w:szCs w:val="24"/>
          <w:highlight w:val="none"/>
          <w:u w:val="none"/>
          <w:vertAlign w:val="baseline"/>
          <w:lang w:eastAsia="zh-CN"/>
          <w14:textFill>
            <w14:solidFill>
              <w14:schemeClr w14:val="tx1"/>
            </w14:solidFill>
          </w14:textFill>
        </w:rPr>
        <w:t>税号：9141 0300 5672 9686 98</w:t>
      </w:r>
    </w:p>
    <w:p>
      <w:pPr>
        <w:keepNext w:val="0"/>
        <w:keepLines w:val="0"/>
        <w:pageBreakBefore w:val="0"/>
        <w:widowControl w:val="0"/>
        <w:kinsoku/>
        <w:wordWrap/>
        <w:overflowPunct/>
        <w:topLinePunct w:val="0"/>
        <w:autoSpaceDE/>
        <w:autoSpaceDN/>
        <w:bidi w:val="0"/>
        <w:adjustRightInd/>
        <w:snapToGrid/>
        <w:spacing w:line="336" w:lineRule="auto"/>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日期：2021年</w:t>
      </w: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07</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月</w:t>
      </w:r>
      <w:r>
        <w:rPr>
          <w:rFonts w:hint="eastAsia" w:ascii="宋体" w:hAnsi="宋体" w:eastAsia="宋体" w:cs="宋体"/>
          <w:b w:val="0"/>
          <w:color w:val="000000" w:themeColor="text1"/>
          <w:spacing w:val="0"/>
          <w:kern w:val="24"/>
          <w:position w:val="0"/>
          <w:sz w:val="24"/>
          <w:szCs w:val="24"/>
          <w:highlight w:val="none"/>
          <w:u w:val="single"/>
          <w:vertAlign w:val="baseline"/>
          <w14:textFill>
            <w14:solidFill>
              <w14:schemeClr w14:val="tx1"/>
            </w14:solidFill>
          </w14:textFill>
        </w:rPr>
        <w:t xml:space="preserve">   </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日</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ab/>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 xml:space="preserve">           日期：2021年</w:t>
      </w:r>
      <w:r>
        <w:rPr>
          <w:rFonts w:hint="eastAsia" w:ascii="宋体" w:hAnsi="宋体" w:cs="宋体"/>
          <w:b w:val="0"/>
          <w:color w:val="000000" w:themeColor="text1"/>
          <w:spacing w:val="0"/>
          <w:kern w:val="24"/>
          <w:position w:val="0"/>
          <w:sz w:val="24"/>
          <w:szCs w:val="24"/>
          <w:highlight w:val="none"/>
          <w:vertAlign w:val="baseline"/>
          <w:lang w:val="en-US" w:eastAsia="zh-CN"/>
          <w14:textFill>
            <w14:solidFill>
              <w14:schemeClr w14:val="tx1"/>
            </w14:solidFill>
          </w14:textFill>
        </w:rPr>
        <w:t>07</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月</w:t>
      </w:r>
      <w:r>
        <w:rPr>
          <w:rFonts w:hint="eastAsia" w:ascii="宋体" w:hAnsi="宋体" w:eastAsia="宋体" w:cs="宋体"/>
          <w:b w:val="0"/>
          <w:color w:val="000000" w:themeColor="text1"/>
          <w:spacing w:val="0"/>
          <w:kern w:val="24"/>
          <w:position w:val="0"/>
          <w:sz w:val="24"/>
          <w:szCs w:val="24"/>
          <w:highlight w:val="none"/>
          <w:u w:val="single"/>
          <w:vertAlign w:val="baseline"/>
          <w14:textFill>
            <w14:solidFill>
              <w14:schemeClr w14:val="tx1"/>
            </w14:solidFill>
          </w14:textFill>
        </w:rPr>
        <w:t xml:space="preserve">   </w:t>
      </w:r>
      <w:r>
        <w:rPr>
          <w:rFonts w:hint="eastAsia" w:ascii="宋体" w:hAnsi="宋体" w:eastAsia="宋体" w:cs="宋体"/>
          <w:b w:val="0"/>
          <w:color w:val="000000" w:themeColor="text1"/>
          <w:spacing w:val="0"/>
          <w:kern w:val="24"/>
          <w:position w:val="0"/>
          <w:sz w:val="24"/>
          <w:szCs w:val="24"/>
          <w:highlight w:val="none"/>
          <w:vertAlign w:val="baseline"/>
          <w14:textFill>
            <w14:solidFill>
              <w14:schemeClr w14:val="tx1"/>
            </w14:solidFill>
          </w14:textFill>
        </w:rPr>
        <w:t>日</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color w:val="000000" w:themeColor="text1"/>
          <w:sz w:val="24"/>
          <w:szCs w:val="24"/>
          <w:highlight w:val="none"/>
          <w:lang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color w:val="000000" w:themeColor="text1"/>
          <w:sz w:val="24"/>
          <w:szCs w:val="24"/>
          <w:highlight w:val="none"/>
          <w:lang w:eastAsia="zh-CN" w:bidi="ar"/>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附件</w:t>
      </w:r>
      <w:r>
        <w:rPr>
          <w:rFonts w:hint="eastAsia" w:ascii="宋体" w:hAnsi="宋体" w:cs="宋体"/>
          <w:b/>
          <w:color w:val="000000" w:themeColor="text1"/>
          <w:sz w:val="24"/>
          <w:szCs w:val="24"/>
          <w:highlight w:val="none"/>
          <w:lang w:eastAsia="zh-CN" w:bidi="ar"/>
          <w14:textFill>
            <w14:solidFill>
              <w14:schemeClr w14:val="tx1"/>
            </w14:solidFill>
          </w14:textFill>
        </w:rPr>
        <w:t>一</w:t>
      </w:r>
      <w:r>
        <w:rPr>
          <w:rFonts w:hint="eastAsia" w:ascii="宋体" w:hAnsi="宋体" w:eastAsia="宋体" w:cs="宋体"/>
          <w:b/>
          <w:color w:val="000000" w:themeColor="text1"/>
          <w:sz w:val="24"/>
          <w:szCs w:val="24"/>
          <w:highlight w:val="none"/>
          <w:lang w:bidi="ar"/>
          <w14:textFill>
            <w14:solidFill>
              <w14:schemeClr w14:val="tx1"/>
            </w14:solidFill>
          </w14:textFill>
        </w:rPr>
        <w:t>：</w:t>
      </w:r>
      <w:r>
        <w:rPr>
          <w:rFonts w:hint="eastAsia"/>
          <w:b/>
          <w:bCs/>
          <w:color w:val="000000" w:themeColor="text1"/>
          <w:sz w:val="24"/>
          <w:szCs w:val="24"/>
          <w:highlight w:val="none"/>
          <w:lang w:eastAsia="zh-CN"/>
          <w14:textFill>
            <w14:solidFill>
              <w14:schemeClr w14:val="tx1"/>
            </w14:solidFill>
          </w14:textFill>
        </w:rPr>
        <w:t>供配电（内网）工程报价清单</w:t>
      </w:r>
    </w:p>
    <w:tbl>
      <w:tblPr>
        <w:tblStyle w:val="11"/>
        <w:tblW w:w="9615" w:type="dxa"/>
        <w:tblInd w:w="93" w:type="dxa"/>
        <w:shd w:val="clear" w:color="auto" w:fill="auto"/>
        <w:tblLayout w:type="autofit"/>
        <w:tblCellMar>
          <w:top w:w="0" w:type="dxa"/>
          <w:left w:w="108" w:type="dxa"/>
          <w:bottom w:w="0" w:type="dxa"/>
          <w:right w:w="108" w:type="dxa"/>
        </w:tblCellMar>
      </w:tblPr>
      <w:tblGrid>
        <w:gridCol w:w="983"/>
        <w:gridCol w:w="5766"/>
        <w:gridCol w:w="2866"/>
      </w:tblGrid>
      <w:tr>
        <w:tblPrEx>
          <w:shd w:val="clear" w:color="auto" w:fill="auto"/>
          <w:tblCellMar>
            <w:top w:w="0" w:type="dxa"/>
            <w:left w:w="108" w:type="dxa"/>
            <w:bottom w:w="0" w:type="dxa"/>
            <w:right w:w="108" w:type="dxa"/>
          </w:tblCellMar>
        </w:tblPrEx>
        <w:trPr>
          <w:trHeight w:val="552" w:hRule="atLeast"/>
        </w:trPr>
        <w:tc>
          <w:tcPr>
            <w:tcW w:w="962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工程报价汇总表</w:t>
            </w:r>
          </w:p>
        </w:tc>
      </w:tr>
      <w:tr>
        <w:tblPrEx>
          <w:tblCellMar>
            <w:top w:w="0" w:type="dxa"/>
            <w:left w:w="108" w:type="dxa"/>
            <w:bottom w:w="0" w:type="dxa"/>
            <w:right w:w="108" w:type="dxa"/>
          </w:tblCellMar>
        </w:tblPrEx>
        <w:trPr>
          <w:trHeight w:val="456" w:hRule="atLeast"/>
        </w:trPr>
        <w:tc>
          <w:tcPr>
            <w:tcW w:w="9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57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汇 总 内 容</w:t>
            </w:r>
          </w:p>
        </w:tc>
        <w:tc>
          <w:tcPr>
            <w:tcW w:w="28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CellMar>
            <w:top w:w="0" w:type="dxa"/>
            <w:left w:w="108" w:type="dxa"/>
            <w:bottom w:w="0" w:type="dxa"/>
            <w:right w:w="108" w:type="dxa"/>
          </w:tblCellMar>
        </w:tblPrEx>
        <w:trPr>
          <w:trHeight w:val="456" w:hRule="atLeast"/>
        </w:trPr>
        <w:tc>
          <w:tcPr>
            <w:tcW w:w="9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7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分部分项工程</w:t>
            </w:r>
          </w:p>
        </w:tc>
        <w:tc>
          <w:tcPr>
            <w:tcW w:w="28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8300000</w:t>
            </w:r>
          </w:p>
        </w:tc>
      </w:tr>
      <w:tr>
        <w:tblPrEx>
          <w:tblCellMar>
            <w:top w:w="0" w:type="dxa"/>
            <w:left w:w="108" w:type="dxa"/>
            <w:bottom w:w="0" w:type="dxa"/>
            <w:right w:w="108" w:type="dxa"/>
          </w:tblCellMar>
        </w:tblPrEx>
        <w:trPr>
          <w:trHeight w:val="456" w:hRule="atLeast"/>
        </w:trPr>
        <w:tc>
          <w:tcPr>
            <w:tcW w:w="9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57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安装分项</w:t>
            </w:r>
          </w:p>
        </w:tc>
        <w:tc>
          <w:tcPr>
            <w:tcW w:w="28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1880140.31</w:t>
            </w:r>
          </w:p>
        </w:tc>
      </w:tr>
      <w:tr>
        <w:tblPrEx>
          <w:tblCellMar>
            <w:top w:w="0" w:type="dxa"/>
            <w:left w:w="108" w:type="dxa"/>
            <w:bottom w:w="0" w:type="dxa"/>
            <w:right w:w="108" w:type="dxa"/>
          </w:tblCellMar>
        </w:tblPrEx>
        <w:trPr>
          <w:trHeight w:val="456" w:hRule="atLeast"/>
        </w:trPr>
        <w:tc>
          <w:tcPr>
            <w:tcW w:w="9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7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设备类</w:t>
            </w:r>
          </w:p>
        </w:tc>
        <w:tc>
          <w:tcPr>
            <w:tcW w:w="28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5453977.84</w:t>
            </w:r>
          </w:p>
        </w:tc>
      </w:tr>
      <w:tr>
        <w:tblPrEx>
          <w:tblCellMar>
            <w:top w:w="0" w:type="dxa"/>
            <w:left w:w="108" w:type="dxa"/>
            <w:bottom w:w="0" w:type="dxa"/>
            <w:right w:w="108" w:type="dxa"/>
          </w:tblCellMar>
        </w:tblPrEx>
        <w:trPr>
          <w:trHeight w:val="456" w:hRule="atLeast"/>
        </w:trPr>
        <w:tc>
          <w:tcPr>
            <w:tcW w:w="9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57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配套安装</w:t>
            </w:r>
          </w:p>
        </w:tc>
        <w:tc>
          <w:tcPr>
            <w:tcW w:w="28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42254.28</w:t>
            </w:r>
          </w:p>
        </w:tc>
      </w:tr>
      <w:tr>
        <w:tblPrEx>
          <w:tblCellMar>
            <w:top w:w="0" w:type="dxa"/>
            <w:left w:w="108" w:type="dxa"/>
            <w:bottom w:w="0" w:type="dxa"/>
            <w:right w:w="108" w:type="dxa"/>
          </w:tblCellMar>
        </w:tblPrEx>
        <w:trPr>
          <w:trHeight w:val="456" w:hRule="atLeast"/>
        </w:trPr>
        <w:tc>
          <w:tcPr>
            <w:tcW w:w="9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57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公共部分桥架</w:t>
            </w:r>
          </w:p>
        </w:tc>
        <w:tc>
          <w:tcPr>
            <w:tcW w:w="28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378722.63</w:t>
            </w:r>
          </w:p>
        </w:tc>
      </w:tr>
      <w:tr>
        <w:tblPrEx>
          <w:tblCellMar>
            <w:top w:w="0" w:type="dxa"/>
            <w:left w:w="108" w:type="dxa"/>
            <w:bottom w:w="0" w:type="dxa"/>
            <w:right w:w="108" w:type="dxa"/>
          </w:tblCellMar>
        </w:tblPrEx>
        <w:trPr>
          <w:trHeight w:val="456" w:hRule="atLeast"/>
        </w:trPr>
        <w:tc>
          <w:tcPr>
            <w:tcW w:w="9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7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土建部分</w:t>
            </w:r>
          </w:p>
        </w:tc>
        <w:tc>
          <w:tcPr>
            <w:tcW w:w="28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544904.94</w:t>
            </w:r>
          </w:p>
        </w:tc>
      </w:tr>
      <w:tr>
        <w:tblPrEx>
          <w:tblCellMar>
            <w:top w:w="0" w:type="dxa"/>
            <w:left w:w="108" w:type="dxa"/>
            <w:bottom w:w="0" w:type="dxa"/>
            <w:right w:w="108" w:type="dxa"/>
          </w:tblCellMar>
        </w:tblPrEx>
        <w:trPr>
          <w:trHeight w:val="456" w:hRule="atLeast"/>
        </w:trPr>
        <w:tc>
          <w:tcPr>
            <w:tcW w:w="9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7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措施项目</w:t>
            </w:r>
          </w:p>
        </w:tc>
        <w:tc>
          <w:tcPr>
            <w:tcW w:w="28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6" w:hRule="atLeast"/>
        </w:trPr>
        <w:tc>
          <w:tcPr>
            <w:tcW w:w="9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57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单价措施费</w:t>
            </w:r>
          </w:p>
        </w:tc>
        <w:tc>
          <w:tcPr>
            <w:tcW w:w="28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6" w:hRule="atLeast"/>
        </w:trPr>
        <w:tc>
          <w:tcPr>
            <w:tcW w:w="9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7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其他项目</w:t>
            </w:r>
          </w:p>
        </w:tc>
        <w:tc>
          <w:tcPr>
            <w:tcW w:w="28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6" w:hRule="atLeast"/>
        </w:trPr>
        <w:tc>
          <w:tcPr>
            <w:tcW w:w="9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57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其中：1）暂列金额</w:t>
            </w:r>
          </w:p>
        </w:tc>
        <w:tc>
          <w:tcPr>
            <w:tcW w:w="28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6" w:hRule="atLeast"/>
        </w:trPr>
        <w:tc>
          <w:tcPr>
            <w:tcW w:w="9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57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2）专业工程暂估价</w:t>
            </w:r>
          </w:p>
        </w:tc>
        <w:tc>
          <w:tcPr>
            <w:tcW w:w="28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6" w:hRule="atLeast"/>
        </w:trPr>
        <w:tc>
          <w:tcPr>
            <w:tcW w:w="9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57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3）计日工</w:t>
            </w:r>
          </w:p>
        </w:tc>
        <w:tc>
          <w:tcPr>
            <w:tcW w:w="28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6" w:hRule="atLeast"/>
        </w:trPr>
        <w:tc>
          <w:tcPr>
            <w:tcW w:w="9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57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4）总承包服务费</w:t>
            </w:r>
          </w:p>
        </w:tc>
        <w:tc>
          <w:tcPr>
            <w:tcW w:w="28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6" w:hRule="atLeast"/>
        </w:trPr>
        <w:tc>
          <w:tcPr>
            <w:tcW w:w="9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7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w:t>
            </w:r>
          </w:p>
        </w:tc>
        <w:tc>
          <w:tcPr>
            <w:tcW w:w="28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6" w:hRule="atLeast"/>
        </w:trPr>
        <w:tc>
          <w:tcPr>
            <w:tcW w:w="9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7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含税工程造价合计</w:t>
            </w:r>
          </w:p>
        </w:tc>
        <w:tc>
          <w:tcPr>
            <w:tcW w:w="28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8300000</w:t>
            </w:r>
          </w:p>
        </w:tc>
      </w:tr>
    </w:tbl>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color w:val="000000" w:themeColor="text1"/>
          <w:sz w:val="24"/>
          <w:szCs w:val="24"/>
          <w:highlight w:val="none"/>
          <w:lang w:eastAsia="zh-CN"/>
          <w14:textFill>
            <w14:solidFill>
              <w14:schemeClr w14:val="tx1"/>
            </w14:solidFill>
          </w14:textFill>
        </w:rPr>
      </w:pPr>
    </w:p>
    <w:tbl>
      <w:tblPr>
        <w:tblStyle w:val="11"/>
        <w:tblW w:w="10410" w:type="dxa"/>
        <w:jc w:val="center"/>
        <w:shd w:val="clear" w:color="auto" w:fill="auto"/>
        <w:tblLayout w:type="autofit"/>
        <w:tblCellMar>
          <w:top w:w="0" w:type="dxa"/>
          <w:left w:w="108" w:type="dxa"/>
          <w:bottom w:w="0" w:type="dxa"/>
          <w:right w:w="108" w:type="dxa"/>
        </w:tblCellMar>
      </w:tblPr>
      <w:tblGrid>
        <w:gridCol w:w="664"/>
        <w:gridCol w:w="1363"/>
        <w:gridCol w:w="1153"/>
        <w:gridCol w:w="2556"/>
        <w:gridCol w:w="486"/>
        <w:gridCol w:w="917"/>
        <w:gridCol w:w="1074"/>
        <w:gridCol w:w="1213"/>
        <w:gridCol w:w="984"/>
      </w:tblGrid>
      <w:tr>
        <w:tblPrEx>
          <w:shd w:val="clear" w:color="auto" w:fill="auto"/>
          <w:tblCellMar>
            <w:top w:w="0" w:type="dxa"/>
            <w:left w:w="108" w:type="dxa"/>
            <w:bottom w:w="0" w:type="dxa"/>
            <w:right w:w="108" w:type="dxa"/>
          </w:tblCellMar>
        </w:tblPrEx>
        <w:trPr>
          <w:trHeight w:val="792" w:hRule="atLeast"/>
          <w:jc w:val="center"/>
        </w:trPr>
        <w:tc>
          <w:tcPr>
            <w:tcW w:w="10416" w:type="dxa"/>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工程量清单与计价表</w:t>
            </w:r>
          </w:p>
        </w:tc>
      </w:tr>
      <w:tr>
        <w:tblPrEx>
          <w:tblCellMar>
            <w:top w:w="0" w:type="dxa"/>
            <w:left w:w="108" w:type="dxa"/>
            <w:bottom w:w="0" w:type="dxa"/>
            <w:right w:w="108" w:type="dxa"/>
          </w:tblCellMar>
        </w:tblPrEx>
        <w:trPr>
          <w:trHeight w:val="288" w:hRule="atLeast"/>
          <w:jc w:val="center"/>
        </w:trPr>
        <w:tc>
          <w:tcPr>
            <w:tcW w:w="828"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04"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2"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2"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CellMar>
            <w:top w:w="0" w:type="dxa"/>
            <w:left w:w="108" w:type="dxa"/>
            <w:bottom w:w="0" w:type="dxa"/>
            <w:right w:w="108" w:type="dxa"/>
          </w:tblCellMar>
        </w:tblPrEx>
        <w:trPr>
          <w:trHeight w:val="288" w:hRule="atLeast"/>
          <w:jc w:val="center"/>
        </w:trPr>
        <w:tc>
          <w:tcPr>
            <w:tcW w:w="828"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104"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2"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CellMar>
            <w:top w:w="0" w:type="dxa"/>
            <w:left w:w="108" w:type="dxa"/>
            <w:bottom w:w="0" w:type="dxa"/>
            <w:right w:w="108" w:type="dxa"/>
          </w:tblCellMar>
        </w:tblPrEx>
        <w:trPr>
          <w:trHeight w:val="288" w:hRule="atLeast"/>
          <w:jc w:val="center"/>
        </w:trPr>
        <w:tc>
          <w:tcPr>
            <w:tcW w:w="828"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52"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72"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CellMar>
            <w:top w:w="0" w:type="dxa"/>
            <w:left w:w="108" w:type="dxa"/>
            <w:bottom w:w="0" w:type="dxa"/>
            <w:right w:w="108" w:type="dxa"/>
          </w:tblCellMar>
        </w:tblPrEx>
        <w:trPr>
          <w:trHeight w:val="3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安装分项</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1880140.31</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477141.99</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030411003001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1.名称:10kV住宅桥架带护罩（含支架及刷漆等）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2.型号:400*200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3.其它:满足设计及规范相关要求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341.61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290.81</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99343.6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878"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030411003002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1.名称:10KV专用高压桥架带护罩（含支架及刷漆等）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2.型号:400*200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3.其它:满足设计及规范相关要求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261.07</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290.81</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75921.77</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872"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030411003003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1.名称:0.4kV桥架带护罩（含支架及刷漆等）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2.型号:900*150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3.其它:满足设计及规范相关要求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30.6</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598.15</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18303.39</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872"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030411003004</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1.名称:0.4kV桥架带护罩（含支架及刷漆等）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2.型号:800*150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3.其它:满足设计及规范相关要求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14.48</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570.01</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8253.74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872"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030411003005</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1.名称:0.4kV桥架带护罩（含支架及刷漆等）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2.型号:700*150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3.其它:满足设计及规范相关要求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16.93</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527.07</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8923.3</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872"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030411003006</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1.名称:0.4kV桥架带护罩（含支架及刷漆等）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2.型号:600*150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3.其它:满足设计及规范相关要求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65.15</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378.92</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24686.64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872"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030411003007</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1.名称:0.4kV桥架带护罩（含支架及刷漆等）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2.型号:500*150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3.其它:满足设计及规范相关要求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98.87</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352.5</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34851.68</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872"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030411003008</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1.名称:0.4kV桥架带护罩（含支架及刷漆等）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2.型号:400*150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3.其它:满足设计及规范相关要求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141.15</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290.81</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41047.83</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030411003009</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1.名称:0.4kV桥架带护罩（含支架及刷漆等）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2.型号:300*150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3.其它:满足设计及规范相关要求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48.79</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277.6</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13544.1</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872"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030411003010</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1.名称:0.4kV桥架带护罩（含支架及刷漆等）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2.型号:200*150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3.其它:满足设计及规范相关要求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915.61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152265.94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732"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插接箱、电缆分接箱至各集中表箱段电缆</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289691.1</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586"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030408001001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2.型号:NH-YJV-0.6/1-5X10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3.敷设方式、部位:配管敷设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65.79</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2552.65</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536"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030408006001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电力电缆头</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1.名称:电缆终端头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2.型号:5X10,户内冷缩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3.规格:铜芯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4.电压等级（kV):10KV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103.33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826.64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0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030408001002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1.名称:0.4KV电力电缆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2.型号:ZCYJV-0.6/1-3*2.5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3.敷设方式、部位:配管敷设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365</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4427.45</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49"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030408006002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电力电缆头</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1.名称:电缆终端头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2.型号:3*2.5,户内冷缩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3.规格:铜芯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4.电压等级（kV):10KV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119.68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8736.64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77"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030408001003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2.型号:ZCYJV-0.6/1-4X25+1X16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3.敷设方式、部位:沿桥架敷设、沿电缆沟敷设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595.7</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104.25</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62101.73</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52"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030408006003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电力电缆头</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1.名称:电缆终端头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2.型号:4X25+1X16,户内冷缩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3.规格:铜芯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4.电压等级（kV):10KV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224.58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1796.64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5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030408001004</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1.名称:0.4KV电力电缆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2.型号:ZCYJV-0.6/1-4X35+1X16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3.敷设方式、部位:沿桥架敷设、沿电缆沟敷设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521.43</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104.25</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54359.08</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1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030408006004</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电力电缆头</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1.名称:电缆终端头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2.型号:4X35+1X16,户内冷缩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3.规格:铜芯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4.电压等级（kV):10KV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240.93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28911.6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030408001005</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1.名称:0.4KV电力电缆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2.型号:ZCYJV-0.6/1-4X70+1X35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3.敷设方式、部位:沿桥架敷设、沿电缆沟敷设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557.06</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180.78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100705.31</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52"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030408006005</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电力电缆头</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1.名称:电缆终端头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2.型号:4x70+1x35,户内冷缩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3.规格:铜芯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4.电压等级（kV):10KV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451.31</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25273.36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住宅竖井</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1113307.22</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030403007001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始端箱、分线箱</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1.名称:变容节630A/315A</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1228.43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9827.44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081304001001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弹簧支架</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1.名称:弹簧支架</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108.45</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15183</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030403007002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始端箱、分线箱</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1.名称:始端箱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2.型号:630A</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716.97</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5735.76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030403007003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始端箱、分线箱</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1.名称:插接箱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2.型号:100A</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746.66</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746.66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030403007004</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始端箱、分线箱</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1.名称:插接箱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2.型号:125A</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1183.18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4732.72</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030403007005</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始端箱、分线箱</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1.名称:插接箱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2.型号:140A</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1341.23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2682.46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030403007006</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始端箱、分线箱</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1.名称:插接箱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2.型号:160A</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1499.28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61470.48</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030403007007</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始端箱、分线箱</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1.名称:插接箱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2.型号:315A</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1521.03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82135.62</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030403006001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低压封闭式插接母线槽</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1.名称:封闭母线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2.型号:315A</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973.82</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105172.56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030403006002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低压封闭式插接母线槽</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1.名称:封闭母线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2.型号:350A</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1022.87</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110469.96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030403006003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低压封闭式插接母线槽</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1.名称:封闭母线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2.型号:630A</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1364.82</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294801.12</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6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030404017001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1.名称:9表位集中表箱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2.型号:760X990X160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3040.09</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209766.21</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030404017002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1.名称:8表位集中表箱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2.型号:760X990X160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2972.51</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35670.12</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030404017003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1.名称:7表位集中表箱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2.型号:760X990X160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2828.63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5657.26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030404017004</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1.名称:6表位集中表箱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2.型号:600X990X160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2660.77</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10643.08</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030404017005</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1.名称:5表位集中表箱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2.型号:600X990X160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2535.87</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2535.87</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030404017006</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1.名称:1表位单相表箱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811.51</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59240.23</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030404036001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其他电器</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1.名称:单相电度表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760</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59.42</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45159.2</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1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030403007008</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分线箱</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1.名称:住宅低压分接箱（1#楼、5#楼）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2.型号：详见图纸设计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3.施工部位：供各楼西单元、中单元集中电表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3975.19</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7950.38</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030403007009</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分线箱</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1.名称:住宅低压分接箱（1#楼、5#楼）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2.型号：详见图纸设计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3.施工部位：供东单元集中电表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3975.19</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7950.38</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77"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030403007010</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分线箱</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1.名称:住宅低压分接箱（8#楼、12#楼）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2.型号：详见图纸设计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3.施工部位：供各楼西单元、中单元集中电表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3975.19</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7950.38</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030403007011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分线箱</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1.名称:住宅低压分接箱（8#楼、12#楼）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2.型号：详见图纸设计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3.施工部位：供东单元集中电表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3975.19</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7950.38</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030403007012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分线箱</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1.名称:住宅低压分接箱（2#楼、3#楼、11#楼）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2.型号：详见图纸设计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3.施工部位：供各楼东、西单元集中电表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3975.19</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11925.57</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030403007013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分线箱</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1.名称:住宅低压分接箱（7#楼）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2.型号：详见图纸设计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3.施工部位：供东、西单元集中电表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3975.19</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7950.38</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1880140.31</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设备类</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5453977.84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1#住宅配</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1136767.45</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33"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030401002001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干式变压器</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1.名称:干式变压器（1-1B、1-2B、1-3B）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2.型号:SCB11-800/10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3.带保护外壳,下进侧出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4.含相关母线安装及调试，含变电磁锁、变温控器，含10#热镀锌槽钢，含钢板10*300*1300钢板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113912.41</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341737.23</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46"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030402017001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高压成套配电柜</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1.名称:10KV进线柜（AH1）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2.规格:KYN28-12  1250A  25kA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41212.56</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41212.56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83"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030402017002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高压成套配电柜</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1.名称:10KVTV柜（AH2）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2.规格:KYN28-12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31279.26</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31279.26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3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030402017003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高压成套配电柜</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1.名称:10KV馈线柜（AH3~9）</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2.规格:KYN28-12  1250A  25kA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33153.48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232074.36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37"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030402017004</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高压成套配电柜</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1.名称:电源切换柜（QH）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2.规格:内含一套2kVA  4小时/220VUPS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21566.73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21566.73</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030403006004</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10KV铜排</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1.名称:10KV铜排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2.型号:TMY-3*(80*8)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807.55</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4603.04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030403006005</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10KV铜排</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1.名称:高压母线连接桥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2.型号:TMY-3*(80*8)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4510.28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19394.2</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030404003001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自动化柜</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1.名称:自动化柜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030507015001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防火工具</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1.名称:防火工具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2.规格:磷酸二氢铵灭火器（带压力表）满足设计及规范要求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121.67</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973.36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030404003002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信号放大器</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1.名称:信号放大器（4G信号）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237.82</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237.82</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030404003003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模拟板</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1.名称:模拟板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7577.56</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7577.56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030507015002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安全检查设备</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1.名称:安全检查设备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2.规格:含操作工器具、接地线、绝缘手套、绝缘鞋、高压验电器等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20701.25</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41402.5</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030403006006</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0.4KV铜排</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1.名称:0.4KV铜排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2.型号:TMY-4(80*10)+1（60*8）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4483.5</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25555.95</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030404004001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低压开关柜(屏）</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1.名称:0.4kV进线柜（1-1/2/3AL1）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2.规格:GCS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28056.13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84168.39</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46"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030404004002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低压开关柜(屏）</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1.名称:0.4kV电容柜（1-1/2/3AL2）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2.规格:GCS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17387.92</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52163.76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07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030404004003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低压开关柜(屏）</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1.名称:0.4kV馈线柜（1-1/2/3AL3、1-1/2/3AL4）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2.规格:GCS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26524.77</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159148.62</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1"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030404004004</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低压开关柜(屏）</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1.名称:0.4kV联络柜（1-1AL5、1-3AL5）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2.规格:GCS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31706.31</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63412.62</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52"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030404017007</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1.名称:电缆分接箱（FJX）</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4364.32</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4364.32</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030404017008</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1.名称:热交换动力表箱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3016.52</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3016.52</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10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030404017009</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1.名称:系统配电箱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2878.65</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2878.65</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2#住宅配</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1027437.82</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030401002002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干式变压器</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1.名称:干式变压器（2-1B、2-2B、2-3B）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2.型号:SCB11-800/10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3.带保护外壳,下进侧出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4.含相关母线安装及调试，含变电磁锁、变温控器，含10#热镀锌槽钢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113912.41</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341737.23</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896"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030402017005</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高压成套配电柜</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1.名称:10KV进线柜（BH1）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2.规格:KYN28-12  1250A  25kA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42944.82</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42944.82</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59"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030402017006</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高压成套配电柜</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1.名称:10KVTV柜（BH2）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2.规格:KYN28-12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29547</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29547</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809"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030402017007</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高压成套配电柜</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1.名称:10KV馈线柜（BH3~7）</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2.规格:KYN28-12  1250A  25kA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32915.35</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164576.75</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030402017008</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高压成套配电柜</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1.名称:电源切换柜（QH）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2.规格:内含一套2kVA  4小时/220VUPS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21566.73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21566.73</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030403006007</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10KV铜排</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1.名称:10KV铜排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2.型号:TMY-3*(80*8)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807.55</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3876.24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030404003004</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自动化柜</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1.名称:自动化柜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030404003005</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模拟板</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1.名称:模拟板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7577.56</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7577.56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030404003006</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信号放大器</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1.名称:信号放大器（4G信号）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237.82</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237.82</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030507015003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防火工具</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1.名称:防火工具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2.规格:详见图纸要求，满足设计及规范要求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121.67</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486.68</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030507015004</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安全检查设备</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1.名称:安全检查设备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2.规格:含操作工器具、接地线、绝缘手套、绝缘鞋、高压验电器等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20701.25</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41402.5</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030403006008</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0.4KV铜排</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1.名称:0.4KV铜排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2.型号:TMY-4(80*10)+1（60*8）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4152.92</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34053.94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71"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030404004005</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低压开关柜(屏）</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1.名称:0.4kV进线柜（2-1/2/3AL1）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2.规格:GCS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28057.23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84171.69</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030404004006</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低压开关柜(屏）</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1.名称:0.4kV电容柜（2-1/2/3AL2）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2.规格:GCS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17387.92</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52163.76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37"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030404004007</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低压开关柜(屏）</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1.名称:0.4kV馈线柜（2-1/2/3AL3、2-1/2/3AL4）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2.规格:GCS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28057.23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168343.38</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93"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030404004008</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低压开关柜(屏）</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1.名称:0.4kV联络柜（2-1AL5）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2.规格:GCS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31873.07</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31873.07</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030404017010</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1.名称:系统配电箱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2878.65</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2878.65</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专用配</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1100796.21</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030401002003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干式变压器</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1.名称:干式变压器（1T~2T）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2.型号:SCB11-800/10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3.带保护外壳,下进侧出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4.含相关母线安装及调试，含变电磁锁、变温控器，含10#热镀锌槽钢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167547.5</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335095</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149"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030402017009</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高压成套配电柜</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1.名称:10KV进线柜（CH1、CH10）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2.规格:KYN28-12  1250A  25kA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42451.46</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84902.92</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030402017010</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高压成套配电柜</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1.名称:10KV计量柜（CH2、CH9）</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2.规格:KYN28-12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27549.98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55099.96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030402017011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高压成套配电柜</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1.名称:10KVTV柜（CH3、CH8）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2.规格:KYN28-12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29285.8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58571.6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030402017012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高压成套配电柜</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1.名称:10KV馈线柜（CH4、CH7）</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2.规格:KYN28-12  1250A  25kA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39724.5</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79449</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030402017013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高压成套配电柜</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1.名称:10kV分段柜（CH5）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2.规格:KYN28-12  1250A  25kA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33724.01</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33724.01</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030402017014</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高压成套配电柜</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1.名称:10kV隔离柜（CH6）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2.规格:KYN28-12  1250A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27494.49</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27494.49</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030402017015</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高压成套配电柜</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1.名称:电源切换柜（QH）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2.规格:内含一套2kVA  4小时/220VUPS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21566.73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21566.73</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030403006009</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10KV铜排</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1.名称:10KV铜排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2.型号:TMY-3*(80*8)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807.55</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5814.36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030404003007</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模拟板</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1.名称:模拟板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7577.56</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7577.56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030404003008</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信号放大器</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1.名称:信号放大器（4G信号）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237.82</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237.82</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030507015005</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防火工具</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1.名称:防火工具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2.规格:详见图纸要求，满足设计及规范要求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121.67</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243.34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030507015006</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安全检查设备</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1.名称:安全检查设备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2.规格:含操作工器具、接地线、绝缘手套、绝缘鞋、高压验电器等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20701.25</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41402.5</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030403006010</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0.4KV铜排</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1.名称:0.4KV铜排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2.型号:TMY-4(80*10)+1（60*8）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2532.83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26848</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030404004009</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低压开关柜(屏）</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1.名称:0.4kV进线柜（1/2CL1）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2.规格:GCS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29988.22</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59976.44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030404004010</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低压开关柜(屏）</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1.名称:0.4kV电容柜（1/2CL2）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2.规格:GCS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18204.8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36409.6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030404004011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低压开关柜(屏）</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1.名称:0.4kV馈线柜（1/2CL3~6）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2.规格:GCS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23913.04</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191304.32</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030404004012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低压开关柜(屏）</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1.名称:0.4kV联络柜（1CL7）</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2.规格:GCS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32199.91</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32199.91</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030404017011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1.名称:系统配电箱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2.其它:含相关调试、附件安装，满足设计及规范要求，含10#热镀锌槽钢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2878.65</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2878.65</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0.4KV电缆</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2069018.41</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030408001006</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1.名称:0.4KV电力电缆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2.型号:ZCYJV-0.6/1-4x120+1x70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3.敷设方式、部位:沿桥架敷设、沿电缆沟敷设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5108.46</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333.37</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1703007.31</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27"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030408006006</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电力电缆头</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1.名称:电缆终端头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2.型号:4x120+1x70,户内冷缩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3.规格:铜芯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4.电压等级（kV):0.4KV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547.57</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37234.76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92"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030408001007</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1.名称:0.4KV电力电缆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2.型号:ZCYJV-0.6/1-4X185+1X95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3.敷设方式、部位:沿桥架敷设、沿电缆沟敷设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446.12</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2453.66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27"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030408006007</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电力电缆头</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1.名称:电缆终端头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2.型号:4X185+1X95,户内冷缩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3.规格:铜芯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4.电压等级（kV):0.4KV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817.88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1635.76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030408001008</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1.名称:0.4KV电力电缆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2.型号:ZCYJV-0.6/1-4X240+1X120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3.敷设方式、部位:沿桥架敷设、沿电缆沟敷设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513</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599.64</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307615.32</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030408006008</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电力电缆头</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1.名称:电缆终端头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2.型号:4X240+1X120,户内冷缩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3.规格:铜芯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4.电压等级（kV):0.4KV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853.58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17071.6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10KV电缆</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119957.95</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67"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030408001009</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1.名称:10KV电力电缆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2.型号:ZC-YJLV22-8.7/10-3X240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3.敷设方式、部位:沿桥架敷设、沿电缆沟敷设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516.86</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200.27</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103511.55</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11"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030408006009</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电力电缆头</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1.名称:电缆终端头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2.型号:3X240,户内冷缩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3.规格:铝芯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4.电压等级（kV):10KV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5.其它:含相关调试、附件安装，满足设计及规范要求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822.32</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16446.4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5453977.84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配套安装</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42254.28</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用户专用配</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42254.28</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416"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030411003011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1.名称:10kV钢制垂直竖井（含支架及刷漆等）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2.型号:800*800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3.其它:满足设计及规范相关要求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2.95</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1113.86</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3285.89</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416"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030411003012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1.名称:0.4kV钢制垂直竖井（含支架及刷漆等）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2.型号:800*800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3.其它:满足设计及规范相关要求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1113.86</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6571.77</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621"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030409001001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临时接地端子</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1.名称:临时接地端子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2.做法:做法详见图纸设计，包括但不限于：水泥钉(Ⅱ)型、射钉(I)型、蝶形螺母带垫螺栓、接地板Ⅱ型、水平接地极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3、满足设计及规范相关要求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13.85</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138.5</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030409002001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接地母线</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1.名称:接地网、设备电气、基础槽钢接地引线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2.材质:50*5mm热镀锌扁钢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3.其它:含刷漆，满足设计及规范相关要求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146.25</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43.56</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6370.65</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030414011001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接地装置</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1.名称:接地网调试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2.其它:满足设计及规范相关要求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1504.01</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1504.01</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普通灯具</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1.名称:吸顶灯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2.型号:HD3239 1*60W附带声光控节能开关</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113.13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226.26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732"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普通灯具</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1.名称:单光荧光灯（壁装）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2.型号:1*40W</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77.38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1238.08</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732"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普通灯具</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1.名称:双管荧光灯（吊杆式）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2.型号:2x36W</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141.59</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1557.49</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030404034001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照明开关</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1.名称:暗装三极双控开关</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22.86</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91.44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030404034002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照明开关</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1.名称:暗装单极开关</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732"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030404035001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1.名称:应急灯插座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2.型号:250V 15A</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24.21</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145.26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732"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030404035002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1.名称:单相双联二、三极插座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2.型号:250V 16A</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39.76</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238.56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1.名称:配管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2.型号:PVC25</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136.56</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16.49</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2251.87</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1.名称:配管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2.型号:PVC15</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323.81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13.82</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4475.05</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1.名称:照明配线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2.型号:BV2.5</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619.48</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5.37</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3326.61</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1.名称:照明配线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2.型号:BV4</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397.48</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6.89</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2738.64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1.名称:照明配线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2.型号:BV6</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356.15</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6.14</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2186.76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030108003001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轴流通风机</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1.名称:通风机</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971.91</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3887.64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030404017012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1、照明配电箱</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1982.8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1982.8</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42254.28</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公共部分桥架</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378722.63</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2#住宅配</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190937.68</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416"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030411003013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1.名称:10kV钢制垂直竖井（含支架及刷漆等）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2.型号:800*800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3.其它:满足设计及规范相关要求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1113.86</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6571.77</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416"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030411003014</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1.名称:0.4kV钢制垂直竖井（含支架及刷漆等）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2.型号:1000*600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3.其它:满足设计及规范相关要求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1113.86</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6571.77</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030409001002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临时接地端子</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1.名称:临时接地端子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2.做法:做法详见图纸设计，包括但不限于：水泥钉(Ⅱ)型、射钉(I)型、蝶形螺母带垫螺栓、接地板Ⅱ型、水平接地极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3、满足设计及规范相关要求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13.85</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152.35</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030409002002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接地母线</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1.名称:接地网、设备电气、基础槽钢接地引线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2.材质:50*5mm热镀锌扁钢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3.其它:含刷漆，满足设计及规范相关要求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129.05</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43.56</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5621.42</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030414011002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接地装置</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1.名称:接地网调试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2.其它:满足设计及规范相关要求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1504.01</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1504.01</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7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030412001004</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普通灯具</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1.名称:吸顶灯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2.型号:HD3239 1*60W附带声光控节能开关</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113.13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226.26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030412001005</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普通灯具</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1.名称:单光荧光灯（壁装）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2.型号:1*40W</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77.38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1005.94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030412001006</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普通灯具</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1.名称:双管荧光灯（吊杆式）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2.型号:2x36W</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141.59</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1415.9</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030404034003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照明开关</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1.名称:暗装三极双控开关</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22.86</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91.44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030404034004</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照明开关</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1.名称:暗装单极开关</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030404035003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1.名称:应急灯插座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2.型号:250V 15A</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24.21</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169.47</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030404035004</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1.名称:单相双联二、三极插座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2.型号:250V 16A</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39.76</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278.32</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1.名称:配管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2.型号:PVC25</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163.54</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16.49</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2696.77</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030411001004</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1.名称:配管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2.型号:PVC15</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62.56</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13.82</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864.58</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030411004004</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1.名称:照明配线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2.型号:BV2.5</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319.1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5.37</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1713.57</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030411004005</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1.名称:照明配线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2.型号:BV4</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182.88</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6.89</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1260.04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030411004006</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1.名称:照明配线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2.型号:BV6</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145.09</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6.14</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890.85</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030108003002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轴流通风机</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1.名称:通风机</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971.91</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3887.64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030404017013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1、照明配电箱</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1982.8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1982.8</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13"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030404003009</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环境监测系统</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1.名称:环境监测系统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2.规格:含水泵、水位超限开关、塑料绝缘线、积水探测器、水位探测器、烟雾探测器、测温转发模块、电缆接头测温模块、网路球型摄像机、门状态检测器、智能门锁、移动探测器、温湿度传感器、辅助监控屏柜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3.其它:含设备间的接线以及相关调试、附件安装，满足设计及规范要求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153995.78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153995.78</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1#住宅配</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187784.95</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416"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030411003015</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1.名称:10kV钢制垂直竖井（含支架及刷漆等）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2.型号:800*800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3.其它:满足设计及规范相关要求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2.95</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1113.86</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3285.89</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416"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030411003016</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1.名称:0.4kV钢制垂直竖井（含支架及刷漆等）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2.型号:800*800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3.其它:满足设计及规范相关要求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1113.86</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6571.77</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030409001003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临时接地端子</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1.名称:临时接地端子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2.做法:做法详见图纸设计，包括但不限于：水泥钉(Ⅱ)型、射钉(I)型、蝶形螺母带垫螺栓、接地板Ⅱ型、水平接地极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3、满足设计及规范相关要求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13.85</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152.35</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030409002003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接地母线</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1.名称:接地网、设备电气、基础槽钢接地引线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2.材质:50*5mm热镀锌扁钢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3.其它:含刷漆，满足设计及规范相关要求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129.76</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43.56</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5652.35</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030414011003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接地装置</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1.名称:接地网调试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2.其它:满足设计及规范相关要求</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1504.01</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1504.01</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030412001007</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普通灯具</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1.名称:吸顶灯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2.型号:HD3239 1*60W附带声光控节能开关</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113.13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226.26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732"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030412001008</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普通灯具</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1.名称:单光荧光灯（壁装）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2.型号:1*40W</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77.38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1005.94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732"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030412001009</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普通灯具</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1.名称:双管荧光灯（吊杆式）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2.型号:2x36W</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141.59</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1415.9</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030412001010</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普通灯具</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1.名称:事故照明灯（壁装）</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78.58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707.22</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030404034005</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照明开关</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1.名称:暗装三极双控开关</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22.86</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91.44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030404034006</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照明开关</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1.名称:暗装单极开关</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2"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030404035005</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1.名称:应急灯插座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2.型号:250V 15A</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24.21</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169.47</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030404035006</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1.名称:单相双联二、三极插座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2.型号:250V 16A</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39.76</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278.32</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030411001005</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1.名称:配管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2.型号:PVC25</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136.54</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16.49</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2251.54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030411001006</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1.名称:配管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2.型号:PVC15</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63.08</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13.82</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871.77</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030411004007</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1.名称:照明配线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2.型号:BV2.5</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261.79</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5.37</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1405.81</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030411004008</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1.名称:照明配线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2.型号:BV4</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163.98</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6.89</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1129.82</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030411004009</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1.名称:照明配线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2.型号:BV6</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189.23</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6.14</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1161.87</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030108003003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轴流通风机</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1.名称:通风机</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971.91</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3887.64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030404017014</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1、照明配电箱</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1982.8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1982.8</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7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030404003010</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环境监测系统</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1.名称:环境监测系统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2.规格:含水泵、水位超限开关、塑料绝缘线、积水探测器、水位探测器、烟雾探测器、测温转发模块、电缆接头测温模块、网路球型摄像机、门状态检测器、智能门锁、移动探测器、温湿度传感器、辅助监控屏柜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3.其它:含设备间的接线以及相关调试、附件安装，满足设计及规范要求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4.含与之相关的一切费用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153995.78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153995.78</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378722.63</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土建部分</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544904.94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土建部分（专用配电所室内电缆沟、支架、室内装修）</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152125.13</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010507003001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电缆沟、地沟</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2.MU20煤矸石烧结普通砖，M10水泥砂浆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3.8mm厚花纹钢板盖板并采取防腐处理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4.L63*6+L50*5电缆支架(热镀锌)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5.L50*5角钢包边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6.C25混凝土梁240mm*240mm、C25砼GL1、C25砼GL2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7.20厚干混抹灰砂浆DP M10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71.87</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1400.08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100623.75</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011101003001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细石混凝土楼地面</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2.150厚C20混凝土地面,地面采用高标号水泥抹面压光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3.部位：配电间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110.24</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161.46</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17799.35</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812"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011201001001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墙面一般抹灰</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2.内墙面一般抹灰20mm厚，刷白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3.部位：配电间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178.22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36.24</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6458.69</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011202001001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柱面一般抹灰</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1.柱面一般抹灰20mm厚，刷白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2.部位：配电间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571.83</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011301001001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天棚抹灰</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2.天棚面打磨两遍，装饰白水泥批白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3.部位：配电间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201.53</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57.94</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11676.65</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011101003002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细石混凝土楼地面</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2.150厚C20混凝土地面,地面采用高标号水泥抹面压光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3.部位：值班室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12.24</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161.46</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1976.27</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872"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011201001002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墙面一般抹灰</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2.内墙面一般抹灰20mm厚，刷白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3.部位：值班室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41.4</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36.24</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1500.34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802"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011301001002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天棚抹灰</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2.天棚面打磨两遍，装饰白水泥批白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3.部位：值班室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12.24</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58.85</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720.32</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3"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010802003001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钢质防火门</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2.钢质防火门详见12YJ4-2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9.06</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652.63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5912.83</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2"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010103001001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回填方</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2.部位：电缆沟以外，配电间室内回填土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93.7</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2429.64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010103001002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回填方</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2.部位：值班室室内回填土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269.67</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59"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010507004001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台阶</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2.台阶做法见12YJ1图集台阶1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245.53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883.91</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09"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011107004001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水泥砂浆台阶面</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2.台阶面层做法见12YJ1图集台阶1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51.68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186.05</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011503001001</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金属栏杆</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2.台阶栏杆详见图纸设计12YJ9-1图集107页,节点2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293.64</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1115.83</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土建部分（2#住宅配室内电缆沟、支架、室内装修）</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123612.63</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685"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010507003002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电缆沟、地沟</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2.MU20煤矸石烧结普通砖，M10水泥砂浆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3.8mm厚花纹钢板盖板并采取防腐处理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4.L63*6+L50*5电缆支架(热镀锌)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5.L50*5角钢包边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6.C25混凝土梁240mm*240mm、C25砼GL1、C25砼GL2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7.20厚干混抹灰砂浆DP M10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63.34</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1400.08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88681.07</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011101003003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细石混凝土楼地面</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2.150厚C20混凝土地面,地面采用高标号水泥抹面压光。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161.46</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11641.27</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011201001003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墙面一般抹灰</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2.内墙面一般抹灰20mm厚，刷白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144.91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36.24</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5251.54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011202001002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柱面一般抹灰</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1.柱面一般抹灰20mm厚，刷白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6.96</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285.92</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99"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011301001003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天棚抹灰</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2.天棚面打磨两遍，装饰白水泥批白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156.12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58.85</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9187.66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010802003002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钢质防火门</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2.钢质防火门详见12YJ4-2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6.96</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652.63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4542.3</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010103001003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回填方</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2.部位：电缆沟以外，室内回填土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61.29</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1589.25</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3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010507004002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台阶</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2.台阶做法见12YJ1图集台阶1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3.94</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245.53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967.39</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011107004002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水泥砂浆台阶面</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2.台阶面层做法见12YJ1图集台阶1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3.94</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51.68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203.62</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011503001002</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金属栏杆</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2.台阶栏杆详见图纸设计12YJ9-1图集107页,节点2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293.63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1262.61</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土建部分（1#住宅配室内电缆沟、支架、室内装修）</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269167.18</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010507003003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电缆沟、地沟</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2.MU20煤矸石烧结普通砖，M10水泥砂浆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3.8mm厚花纹钢板盖板并采取防腐处理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4.L63*6+L50*5电缆支架(热镀锌)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5.L50*5角钢包边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6.C25混凝土梁240mm*240mm、C25砼GL1、C25砼GL2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7.20厚干混抹灰砂浆DP M10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58.48</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1400.08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81876.68</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803"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011101003004</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细石混凝土楼地面</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2.150厚C20混凝土地面,地面采用高标号水泥抹面压光。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51.43</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161.46</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8303.89</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97"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011201001004</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墙面一般抹灰</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2.内墙面一般抹灰20mm厚，刷白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148.5</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36.24</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5381.64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12"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011301001004</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天棚抹灰</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2.天棚面打磨两遍，装饰白水泥批白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124.6</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58.85</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7332.71</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010802003003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钢质防火门</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2.钢质防火门详见12YJ4-2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7.38</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652.63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4816.41</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47"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010103001004</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回填方</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2.部位：电缆沟以外，室内回填土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43.72</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1133.66</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84"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010507004003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台阶</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2.台阶做法见12YJ1图集台阶1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4.78</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245.53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1173.63</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9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011107004003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水泥砂浆台阶面</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2.台阶面层做法见12YJ1图集台阶1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4.78</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51.68</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247.03</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37"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011503001003</w:t>
            </w: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金属栏杆</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1.具体做法详见图纸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2.台阶栏杆详见图纸设计12YJ9-1图集107页,节点2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3.清单中已考虑与此项工作相关的一切费用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293.63</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851.53</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732"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监理费（因要求全费用清单，自行补充费用）</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158050</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158050</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60" w:hRule="atLeast"/>
          <w:jc w:val="center"/>
        </w:trPr>
        <w:tc>
          <w:tcPr>
            <w:tcW w:w="82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0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544904.94</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7800" w:type="dxa"/>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127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8300000.00 </w:t>
            </w:r>
          </w:p>
        </w:tc>
        <w:tc>
          <w:tcPr>
            <w:tcW w:w="13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4" w:hRule="atLeast"/>
          <w:jc w:val="center"/>
        </w:trPr>
        <w:tc>
          <w:tcPr>
            <w:tcW w:w="10416" w:type="dxa"/>
            <w:gridSpan w:val="9"/>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注：综合单价包括且不限于人工、材料、机械、措施、检验检测、规费、管理费、利润、税金(增值税专用发票)、赶工措施、安全防护、现场文明施工措施、风险等全部费用。</w:t>
            </w:r>
          </w:p>
        </w:tc>
      </w:tr>
    </w:tbl>
    <w:p>
      <w:pPr>
        <w:pStyle w:val="3"/>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color w:val="000000" w:themeColor="text1"/>
          <w:sz w:val="24"/>
          <w:szCs w:val="24"/>
          <w:highlight w:val="none"/>
          <w:lang w:bidi="ar"/>
          <w14:textFill>
            <w14:solidFill>
              <w14:schemeClr w14:val="tx1"/>
            </w14:solidFill>
          </w14:textFill>
        </w:rPr>
      </w:pPr>
    </w:p>
    <w:tbl>
      <w:tblPr>
        <w:tblStyle w:val="11"/>
        <w:tblW w:w="10155" w:type="dxa"/>
        <w:jc w:val="center"/>
        <w:shd w:val="clear" w:color="auto" w:fill="auto"/>
        <w:tblLayout w:type="autofit"/>
        <w:tblCellMar>
          <w:top w:w="0" w:type="dxa"/>
          <w:left w:w="108" w:type="dxa"/>
          <w:bottom w:w="0" w:type="dxa"/>
          <w:right w:w="108" w:type="dxa"/>
        </w:tblCellMar>
      </w:tblPr>
      <w:tblGrid>
        <w:gridCol w:w="591"/>
        <w:gridCol w:w="1220"/>
        <w:gridCol w:w="2023"/>
        <w:gridCol w:w="2286"/>
        <w:gridCol w:w="563"/>
        <w:gridCol w:w="1133"/>
        <w:gridCol w:w="1186"/>
        <w:gridCol w:w="1153"/>
      </w:tblGrid>
      <w:tr>
        <w:tblPrEx>
          <w:shd w:val="clear" w:color="auto" w:fill="auto"/>
          <w:tblCellMar>
            <w:top w:w="0" w:type="dxa"/>
            <w:left w:w="108" w:type="dxa"/>
            <w:bottom w:w="0" w:type="dxa"/>
            <w:right w:w="108" w:type="dxa"/>
          </w:tblCellMar>
        </w:tblPrEx>
        <w:trPr>
          <w:trHeight w:val="792" w:hRule="atLeast"/>
          <w:jc w:val="center"/>
        </w:trPr>
        <w:tc>
          <w:tcPr>
            <w:tcW w:w="10164"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工程主要材料价格表</w:t>
            </w:r>
          </w:p>
        </w:tc>
      </w:tr>
      <w:tr>
        <w:tblPrEx>
          <w:tblCellMar>
            <w:top w:w="0" w:type="dxa"/>
            <w:left w:w="108" w:type="dxa"/>
            <w:bottom w:w="0" w:type="dxa"/>
            <w:right w:w="108" w:type="dxa"/>
          </w:tblCellMar>
        </w:tblPrEx>
        <w:trPr>
          <w:trHeight w:val="504"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材料编码</w:t>
            </w:r>
          </w:p>
        </w:tc>
        <w:tc>
          <w:tcPr>
            <w:tcW w:w="21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材料名称</w:t>
            </w:r>
          </w:p>
        </w:tc>
        <w:tc>
          <w:tcPr>
            <w:tcW w:w="1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等特殊要求</w:t>
            </w:r>
          </w:p>
        </w:tc>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 量</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 价</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r>
      <w:tr>
        <w:trPr>
          <w:trHeight w:val="3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BCCLF16</w:t>
            </w:r>
          </w:p>
        </w:tc>
        <w:tc>
          <w:tcPr>
            <w:tcW w:w="21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监理费</w:t>
            </w:r>
          </w:p>
        </w:tc>
        <w:tc>
          <w:tcPr>
            <w:tcW w:w="1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145000</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145000</w:t>
            </w:r>
          </w:p>
        </w:tc>
      </w:tr>
      <w:tr>
        <w:tblPrEx>
          <w:tblCellMar>
            <w:top w:w="0" w:type="dxa"/>
            <w:left w:w="108" w:type="dxa"/>
            <w:bottom w:w="0" w:type="dxa"/>
            <w:right w:w="108" w:type="dxa"/>
          </w:tblCellMar>
        </w:tblPrEx>
        <w:trPr>
          <w:trHeight w:val="504"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28110000@5</w:t>
            </w:r>
          </w:p>
        </w:tc>
        <w:tc>
          <w:tcPr>
            <w:tcW w:w="21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ZCYJV-0.6/1-4X70+1X35</w:t>
            </w:r>
          </w:p>
        </w:tc>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562.6306</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146.79</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82588.55</w:t>
            </w:r>
          </w:p>
        </w:tc>
      </w:tr>
      <w:tr>
        <w:tblPrEx>
          <w:tblCellMar>
            <w:top w:w="0" w:type="dxa"/>
            <w:left w:w="108" w:type="dxa"/>
            <w:bottom w:w="0" w:type="dxa"/>
            <w:right w:w="108" w:type="dxa"/>
          </w:tblCellMar>
        </w:tblPrEx>
        <w:trPr>
          <w:trHeight w:val="504"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28110000@6</w:t>
            </w:r>
          </w:p>
        </w:tc>
        <w:tc>
          <w:tcPr>
            <w:tcW w:w="21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ZCYJV-0.6/1-4x120+1x70</w:t>
            </w:r>
          </w:p>
        </w:tc>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5159.5446</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1449832.03</w:t>
            </w:r>
          </w:p>
        </w:tc>
      </w:tr>
      <w:tr>
        <w:tblPrEx>
          <w:tblCellMar>
            <w:top w:w="0" w:type="dxa"/>
            <w:left w:w="108" w:type="dxa"/>
            <w:bottom w:w="0" w:type="dxa"/>
            <w:right w:w="108" w:type="dxa"/>
          </w:tblCellMar>
        </w:tblPrEx>
        <w:trPr>
          <w:trHeight w:val="504"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28110000@8</w:t>
            </w:r>
          </w:p>
        </w:tc>
        <w:tc>
          <w:tcPr>
            <w:tcW w:w="21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ZCYJV-0.6/1-4X240+1X120</w:t>
            </w:r>
          </w:p>
        </w:tc>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518.13</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513.76</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266194.47</w:t>
            </w:r>
          </w:p>
        </w:tc>
      </w:tr>
      <w:tr>
        <w:tblPrEx>
          <w:tblCellMar>
            <w:top w:w="0" w:type="dxa"/>
            <w:left w:w="108" w:type="dxa"/>
            <w:bottom w:w="0" w:type="dxa"/>
            <w:right w:w="108" w:type="dxa"/>
          </w:tblCellMar>
        </w:tblPrEx>
        <w:trPr>
          <w:trHeight w:val="3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29050106@1</w:t>
            </w:r>
          </w:p>
        </w:tc>
        <w:tc>
          <w:tcPr>
            <w:tcW w:w="21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封闭母线</w:t>
            </w:r>
          </w:p>
        </w:tc>
        <w:tc>
          <w:tcPr>
            <w:tcW w:w="1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315A</w:t>
            </w:r>
          </w:p>
        </w:tc>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835</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90180</w:t>
            </w:r>
          </w:p>
        </w:tc>
      </w:tr>
      <w:tr>
        <w:tblPrEx>
          <w:tblCellMar>
            <w:top w:w="0" w:type="dxa"/>
            <w:left w:w="108" w:type="dxa"/>
            <w:bottom w:w="0" w:type="dxa"/>
            <w:right w:w="108" w:type="dxa"/>
          </w:tblCellMar>
        </w:tblPrEx>
        <w:trPr>
          <w:trHeight w:val="3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29050106@3</w:t>
            </w:r>
          </w:p>
        </w:tc>
        <w:tc>
          <w:tcPr>
            <w:tcW w:w="21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封闭母线</w:t>
            </w:r>
          </w:p>
        </w:tc>
        <w:tc>
          <w:tcPr>
            <w:tcW w:w="1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630A</w:t>
            </w:r>
          </w:p>
        </w:tc>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1180</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254880</w:t>
            </w:r>
          </w:p>
        </w:tc>
      </w:tr>
      <w:tr>
        <w:tblPrEx>
          <w:tblCellMar>
            <w:top w:w="0" w:type="dxa"/>
            <w:left w:w="108" w:type="dxa"/>
            <w:bottom w:w="0" w:type="dxa"/>
            <w:right w:w="108" w:type="dxa"/>
          </w:tblCellMar>
        </w:tblPrEx>
        <w:trPr>
          <w:trHeight w:val="3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29050106@6</w:t>
            </w:r>
          </w:p>
        </w:tc>
        <w:tc>
          <w:tcPr>
            <w:tcW w:w="21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封闭母线</w:t>
            </w:r>
          </w:p>
        </w:tc>
        <w:tc>
          <w:tcPr>
            <w:tcW w:w="1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350A</w:t>
            </w:r>
          </w:p>
        </w:tc>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880</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95040</w:t>
            </w:r>
          </w:p>
        </w:tc>
      </w:tr>
      <w:tr>
        <w:tblPrEx>
          <w:tblCellMar>
            <w:top w:w="0" w:type="dxa"/>
            <w:left w:w="108" w:type="dxa"/>
            <w:bottom w:w="0" w:type="dxa"/>
            <w:right w:w="108" w:type="dxa"/>
          </w:tblCellMar>
        </w:tblPrEx>
        <w:trPr>
          <w:trHeight w:val="3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29110147@12</w:t>
            </w:r>
          </w:p>
        </w:tc>
        <w:tc>
          <w:tcPr>
            <w:tcW w:w="21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插接箱</w:t>
            </w:r>
          </w:p>
        </w:tc>
        <w:tc>
          <w:tcPr>
            <w:tcW w:w="1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315A</w:t>
            </w:r>
          </w:p>
        </w:tc>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64800</w:t>
            </w:r>
          </w:p>
        </w:tc>
      </w:tr>
      <w:tr>
        <w:tblPrEx>
          <w:tblCellMar>
            <w:top w:w="0" w:type="dxa"/>
            <w:left w:w="108" w:type="dxa"/>
            <w:bottom w:w="0" w:type="dxa"/>
            <w:right w:w="108" w:type="dxa"/>
          </w:tblCellMar>
        </w:tblPrEx>
        <w:trPr>
          <w:trHeight w:val="3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补充主材001</w:t>
            </w:r>
          </w:p>
        </w:tc>
        <w:tc>
          <w:tcPr>
            <w:tcW w:w="21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9表位集中表箱</w:t>
            </w:r>
          </w:p>
        </w:tc>
        <w:tc>
          <w:tcPr>
            <w:tcW w:w="1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760X990X160</w:t>
            </w:r>
          </w:p>
        </w:tc>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2629</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181401</w:t>
            </w:r>
          </w:p>
        </w:tc>
      </w:tr>
      <w:tr>
        <w:tblPrEx>
          <w:tblCellMar>
            <w:top w:w="0" w:type="dxa"/>
            <w:left w:w="108" w:type="dxa"/>
            <w:bottom w:w="0" w:type="dxa"/>
            <w:right w:w="108" w:type="dxa"/>
          </w:tblCellMar>
        </w:tblPrEx>
        <w:trPr>
          <w:trHeight w:val="504"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补充主材003@10</w:t>
            </w:r>
          </w:p>
        </w:tc>
        <w:tc>
          <w:tcPr>
            <w:tcW w:w="21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干式变压器（2-1B、2-2B、2-3B）</w:t>
            </w:r>
          </w:p>
        </w:tc>
        <w:tc>
          <w:tcPr>
            <w:tcW w:w="1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SCB11-800/10</w:t>
            </w:r>
          </w:p>
        </w:tc>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98413</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295239</w:t>
            </w:r>
          </w:p>
        </w:tc>
      </w:tr>
      <w:tr>
        <w:tblPrEx>
          <w:tblCellMar>
            <w:top w:w="0" w:type="dxa"/>
            <w:left w:w="108" w:type="dxa"/>
            <w:bottom w:w="0" w:type="dxa"/>
            <w:right w:w="108" w:type="dxa"/>
          </w:tblCellMar>
        </w:tblPrEx>
        <w:trPr>
          <w:trHeight w:val="504"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补充主材003@11</w:t>
            </w:r>
          </w:p>
        </w:tc>
        <w:tc>
          <w:tcPr>
            <w:tcW w:w="21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10KV馈线柜（AH3~8）</w:t>
            </w:r>
          </w:p>
        </w:tc>
        <w:tc>
          <w:tcPr>
            <w:tcW w:w="1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KYN28-12  1250A  25kA</w:t>
            </w:r>
          </w:p>
        </w:tc>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23830.26</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142981.56</w:t>
            </w:r>
          </w:p>
        </w:tc>
      </w:tr>
      <w:tr>
        <w:tblPrEx>
          <w:tblCellMar>
            <w:top w:w="0" w:type="dxa"/>
            <w:left w:w="108" w:type="dxa"/>
            <w:bottom w:w="0" w:type="dxa"/>
            <w:right w:w="108" w:type="dxa"/>
          </w:tblCellMar>
        </w:tblPrEx>
        <w:trPr>
          <w:trHeight w:val="504"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补充主材003@12</w:t>
            </w:r>
          </w:p>
        </w:tc>
        <w:tc>
          <w:tcPr>
            <w:tcW w:w="21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10KV馈线柜（BH3~6）</w:t>
            </w:r>
          </w:p>
        </w:tc>
        <w:tc>
          <w:tcPr>
            <w:tcW w:w="1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KYN28-12  1250A  25kA</w:t>
            </w:r>
          </w:p>
        </w:tc>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23830.26</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95321.04</w:t>
            </w:r>
          </w:p>
        </w:tc>
      </w:tr>
      <w:tr>
        <w:tblPrEx>
          <w:tblCellMar>
            <w:top w:w="0" w:type="dxa"/>
            <w:left w:w="108" w:type="dxa"/>
            <w:bottom w:w="0" w:type="dxa"/>
            <w:right w:w="108" w:type="dxa"/>
          </w:tblCellMar>
        </w:tblPrEx>
        <w:trPr>
          <w:trHeight w:val="504"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补充主材003@2</w:t>
            </w:r>
          </w:p>
        </w:tc>
        <w:tc>
          <w:tcPr>
            <w:tcW w:w="21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干式变压器（1-1B、1-2B、1-3B）</w:t>
            </w:r>
          </w:p>
        </w:tc>
        <w:tc>
          <w:tcPr>
            <w:tcW w:w="1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SCB11-800/10</w:t>
            </w:r>
          </w:p>
        </w:tc>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98413</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295239</w:t>
            </w:r>
          </w:p>
        </w:tc>
      </w:tr>
      <w:tr>
        <w:tblPrEx>
          <w:tblCellMar>
            <w:top w:w="0" w:type="dxa"/>
            <w:left w:w="108" w:type="dxa"/>
            <w:bottom w:w="0" w:type="dxa"/>
            <w:right w:w="108" w:type="dxa"/>
          </w:tblCellMar>
        </w:tblPrEx>
        <w:trPr>
          <w:trHeight w:val="504"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补充主材003@7</w:t>
            </w:r>
          </w:p>
        </w:tc>
        <w:tc>
          <w:tcPr>
            <w:tcW w:w="21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干式变压器（1-1B、1-2B、1-3B）</w:t>
            </w:r>
          </w:p>
        </w:tc>
        <w:tc>
          <w:tcPr>
            <w:tcW w:w="1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SCB11-800/10</w:t>
            </w:r>
          </w:p>
        </w:tc>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98413</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295239</w:t>
            </w:r>
          </w:p>
        </w:tc>
      </w:tr>
      <w:tr>
        <w:tblPrEx>
          <w:tblCellMar>
            <w:top w:w="0" w:type="dxa"/>
            <w:left w:w="108" w:type="dxa"/>
            <w:bottom w:w="0" w:type="dxa"/>
            <w:right w:w="108" w:type="dxa"/>
          </w:tblCellMar>
        </w:tblPrEx>
        <w:trPr>
          <w:trHeight w:val="36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补充主材011</w:t>
            </w:r>
          </w:p>
        </w:tc>
        <w:tc>
          <w:tcPr>
            <w:tcW w:w="21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环境监测系统</w:t>
            </w:r>
          </w:p>
        </w:tc>
        <w:tc>
          <w:tcPr>
            <w:tcW w:w="1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140000</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280000</w:t>
            </w:r>
          </w:p>
        </w:tc>
      </w:tr>
      <w:tr>
        <w:tblPrEx>
          <w:tblCellMar>
            <w:top w:w="0" w:type="dxa"/>
            <w:left w:w="108" w:type="dxa"/>
            <w:bottom w:w="0" w:type="dxa"/>
            <w:right w:w="108" w:type="dxa"/>
          </w:tblCellMar>
        </w:tblPrEx>
        <w:trPr>
          <w:trHeight w:val="504"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补充主材016@10</w:t>
            </w:r>
          </w:p>
        </w:tc>
        <w:tc>
          <w:tcPr>
            <w:tcW w:w="21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0.4kV进线柜（2-1/2/3AL1）</w:t>
            </w:r>
          </w:p>
        </w:tc>
        <w:tc>
          <w:tcPr>
            <w:tcW w:w="1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23758.23</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71274.69</w:t>
            </w:r>
          </w:p>
        </w:tc>
      </w:tr>
      <w:tr>
        <w:tblPrEx>
          <w:tblCellMar>
            <w:top w:w="0" w:type="dxa"/>
            <w:left w:w="108" w:type="dxa"/>
            <w:bottom w:w="0" w:type="dxa"/>
            <w:right w:w="108" w:type="dxa"/>
          </w:tblCellMar>
        </w:tblPrEx>
        <w:trPr>
          <w:trHeight w:val="73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补充主材016@11</w:t>
            </w:r>
          </w:p>
        </w:tc>
        <w:tc>
          <w:tcPr>
            <w:tcW w:w="21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0.4kV馈线柜（2-1/2/3AL3、2-1/2/3AL4）</w:t>
            </w:r>
          </w:p>
        </w:tc>
        <w:tc>
          <w:tcPr>
            <w:tcW w:w="1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23758.23</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142549.38</w:t>
            </w:r>
          </w:p>
        </w:tc>
      </w:tr>
      <w:tr>
        <w:tblPrEx>
          <w:tblCellMar>
            <w:top w:w="0" w:type="dxa"/>
            <w:left w:w="108" w:type="dxa"/>
            <w:bottom w:w="0" w:type="dxa"/>
            <w:right w:w="108" w:type="dxa"/>
          </w:tblCellMar>
        </w:tblPrEx>
        <w:trPr>
          <w:trHeight w:val="504"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补充主材016@4</w:t>
            </w:r>
          </w:p>
        </w:tc>
        <w:tc>
          <w:tcPr>
            <w:tcW w:w="21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0.4kV进线柜（1-1/2/3AL1）</w:t>
            </w:r>
          </w:p>
        </w:tc>
        <w:tc>
          <w:tcPr>
            <w:tcW w:w="1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23757.22</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71271.66</w:t>
            </w:r>
          </w:p>
        </w:tc>
      </w:tr>
      <w:tr>
        <w:tblPrEx>
          <w:tblCellMar>
            <w:top w:w="0" w:type="dxa"/>
            <w:left w:w="108" w:type="dxa"/>
            <w:bottom w:w="0" w:type="dxa"/>
            <w:right w:w="108" w:type="dxa"/>
          </w:tblCellMar>
        </w:tblPrEx>
        <w:trPr>
          <w:trHeight w:val="732"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补充主材016@5</w:t>
            </w:r>
          </w:p>
        </w:tc>
        <w:tc>
          <w:tcPr>
            <w:tcW w:w="21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0.4kV馈线柜（1-1/2/3AL3、1-1/2/3AL4）</w:t>
            </w:r>
          </w:p>
        </w:tc>
        <w:tc>
          <w:tcPr>
            <w:tcW w:w="1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22352.31</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134113.86</w:t>
            </w:r>
          </w:p>
        </w:tc>
      </w:tr>
      <w:tr>
        <w:tblPrEx>
          <w:tblCellMar>
            <w:top w:w="0" w:type="dxa"/>
            <w:left w:w="108" w:type="dxa"/>
            <w:bottom w:w="0" w:type="dxa"/>
            <w:right w:w="108" w:type="dxa"/>
          </w:tblCellMar>
        </w:tblPrEx>
        <w:trPr>
          <w:trHeight w:val="504"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补充主材016@8</w:t>
            </w:r>
          </w:p>
        </w:tc>
        <w:tc>
          <w:tcPr>
            <w:tcW w:w="218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0.4kV馈线柜（1/2CL3~6）</w:t>
            </w:r>
          </w:p>
        </w:tc>
        <w:tc>
          <w:tcPr>
            <w:tcW w:w="19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19956.22</w:t>
            </w:r>
          </w:p>
        </w:tc>
        <w:tc>
          <w:tcPr>
            <w:tcW w:w="11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159649.76</w:t>
            </w:r>
          </w:p>
        </w:tc>
      </w:tr>
    </w:tbl>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sz w:val="24"/>
          <w:szCs w:val="24"/>
        </w:rPr>
      </w:pPr>
    </w:p>
    <w:p>
      <w:pPr>
        <w:pStyle w:val="3"/>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附件</w:t>
      </w:r>
      <w:r>
        <w:rPr>
          <w:rFonts w:hint="eastAsia" w:hAnsi="宋体" w:cs="宋体"/>
          <w:b/>
          <w:color w:val="000000" w:themeColor="text1"/>
          <w:sz w:val="24"/>
          <w:szCs w:val="24"/>
          <w:highlight w:val="none"/>
          <w:lang w:eastAsia="zh-CN" w:bidi="ar"/>
          <w14:textFill>
            <w14:solidFill>
              <w14:schemeClr w14:val="tx1"/>
            </w14:solidFill>
          </w14:textFill>
        </w:rPr>
        <w:t>二</w:t>
      </w:r>
      <w:r>
        <w:rPr>
          <w:rFonts w:hint="eastAsia" w:ascii="宋体" w:hAnsi="宋体" w:eastAsia="宋体" w:cs="宋体"/>
          <w:b/>
          <w:color w:val="000000" w:themeColor="text1"/>
          <w:sz w:val="24"/>
          <w:szCs w:val="24"/>
          <w:highlight w:val="none"/>
          <w:lang w:bidi="ar"/>
          <w14:textFill>
            <w14:solidFill>
              <w14:schemeClr w14:val="tx1"/>
            </w14:solidFill>
          </w14:textFill>
        </w:rPr>
        <w:t>：</w:t>
      </w:r>
      <w:r>
        <w:rPr>
          <w:rFonts w:hint="eastAsia"/>
          <w:b/>
          <w:bCs/>
          <w:color w:val="000000" w:themeColor="text1"/>
          <w:sz w:val="24"/>
          <w:szCs w:val="24"/>
          <w:highlight w:val="none"/>
          <w:lang w:eastAsia="zh-CN"/>
          <w14:textFill>
            <w14:solidFill>
              <w14:schemeClr w14:val="tx1"/>
            </w14:solidFill>
          </w14:textFill>
        </w:rPr>
        <w:t>供配电（外部临时电源接入）工程报价清单</w:t>
      </w:r>
    </w:p>
    <w:tbl>
      <w:tblPr>
        <w:tblStyle w:val="11"/>
        <w:tblW w:w="8655" w:type="dxa"/>
        <w:jc w:val="center"/>
        <w:shd w:val="clear" w:color="auto" w:fill="auto"/>
        <w:tblLayout w:type="autofit"/>
        <w:tblCellMar>
          <w:top w:w="0" w:type="dxa"/>
          <w:left w:w="108" w:type="dxa"/>
          <w:bottom w:w="0" w:type="dxa"/>
          <w:right w:w="108" w:type="dxa"/>
        </w:tblCellMar>
      </w:tblPr>
      <w:tblGrid>
        <w:gridCol w:w="1635"/>
        <w:gridCol w:w="3300"/>
        <w:gridCol w:w="3720"/>
      </w:tblGrid>
      <w:tr>
        <w:tblPrEx>
          <w:shd w:val="clear" w:color="auto" w:fill="auto"/>
          <w:tblCellMar>
            <w:top w:w="0" w:type="dxa"/>
            <w:left w:w="108" w:type="dxa"/>
            <w:bottom w:w="0" w:type="dxa"/>
            <w:right w:w="108" w:type="dxa"/>
          </w:tblCellMar>
        </w:tblPrEx>
        <w:trPr>
          <w:trHeight w:val="585" w:hRule="atLeast"/>
          <w:jc w:val="center"/>
        </w:trPr>
        <w:tc>
          <w:tcPr>
            <w:tcW w:w="865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工程汇总表</w:t>
            </w:r>
          </w:p>
        </w:tc>
      </w:tr>
      <w:tr>
        <w:tblPrEx>
          <w:tblCellMar>
            <w:top w:w="0" w:type="dxa"/>
            <w:left w:w="108" w:type="dxa"/>
            <w:bottom w:w="0" w:type="dxa"/>
            <w:right w:w="108" w:type="dxa"/>
          </w:tblCellMar>
        </w:tblPrEx>
        <w:trPr>
          <w:trHeight w:val="285"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费用名称</w:t>
            </w:r>
          </w:p>
        </w:tc>
        <w:tc>
          <w:tcPr>
            <w:tcW w:w="3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CellMar>
            <w:top w:w="0" w:type="dxa"/>
            <w:left w:w="108" w:type="dxa"/>
            <w:bottom w:w="0" w:type="dxa"/>
            <w:right w:w="108" w:type="dxa"/>
          </w:tblCellMar>
        </w:tblPrEx>
        <w:trPr>
          <w:trHeight w:val="285"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分部分项工程费</w:t>
            </w:r>
          </w:p>
        </w:tc>
        <w:tc>
          <w:tcPr>
            <w:tcW w:w="3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250590.36</w:t>
            </w:r>
          </w:p>
        </w:tc>
      </w:tr>
      <w:tr>
        <w:tblPrEx>
          <w:tblCellMar>
            <w:top w:w="0" w:type="dxa"/>
            <w:left w:w="108" w:type="dxa"/>
            <w:bottom w:w="0" w:type="dxa"/>
            <w:right w:w="108" w:type="dxa"/>
          </w:tblCellMar>
        </w:tblPrEx>
        <w:trPr>
          <w:trHeight w:val="285"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其中：综合工日</w:t>
            </w:r>
          </w:p>
        </w:tc>
        <w:tc>
          <w:tcPr>
            <w:tcW w:w="3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261.86</w:t>
            </w:r>
          </w:p>
        </w:tc>
      </w:tr>
      <w:tr>
        <w:tblPrEx>
          <w:tblCellMar>
            <w:top w:w="0" w:type="dxa"/>
            <w:left w:w="108" w:type="dxa"/>
            <w:bottom w:w="0" w:type="dxa"/>
            <w:right w:w="108" w:type="dxa"/>
          </w:tblCellMar>
        </w:tblPrEx>
        <w:trPr>
          <w:trHeight w:val="285"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定额人工费</w:t>
            </w:r>
          </w:p>
        </w:tc>
        <w:tc>
          <w:tcPr>
            <w:tcW w:w="3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23326.19</w:t>
            </w:r>
          </w:p>
        </w:tc>
      </w:tr>
      <w:tr>
        <w:tblPrEx>
          <w:tblCellMar>
            <w:top w:w="0" w:type="dxa"/>
            <w:left w:w="108" w:type="dxa"/>
            <w:bottom w:w="0" w:type="dxa"/>
            <w:right w:w="108" w:type="dxa"/>
          </w:tblCellMar>
        </w:tblPrEx>
        <w:trPr>
          <w:trHeight w:val="285"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定额材料费</w:t>
            </w:r>
          </w:p>
        </w:tc>
        <w:tc>
          <w:tcPr>
            <w:tcW w:w="3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82856</w:t>
            </w:r>
          </w:p>
        </w:tc>
      </w:tr>
      <w:tr>
        <w:tblPrEx>
          <w:tblCellMar>
            <w:top w:w="0" w:type="dxa"/>
            <w:left w:w="108" w:type="dxa"/>
            <w:bottom w:w="0" w:type="dxa"/>
            <w:right w:w="108" w:type="dxa"/>
          </w:tblCellMar>
        </w:tblPrEx>
        <w:trPr>
          <w:trHeight w:val="285"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定额机械费</w:t>
            </w:r>
          </w:p>
        </w:tc>
        <w:tc>
          <w:tcPr>
            <w:tcW w:w="3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50694.23</w:t>
            </w:r>
          </w:p>
        </w:tc>
      </w:tr>
      <w:tr>
        <w:tblPrEx>
          <w:tblCellMar>
            <w:top w:w="0" w:type="dxa"/>
            <w:left w:w="108" w:type="dxa"/>
            <w:bottom w:w="0" w:type="dxa"/>
            <w:right w:w="108" w:type="dxa"/>
          </w:tblCellMar>
        </w:tblPrEx>
        <w:trPr>
          <w:trHeight w:val="285"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定额管理费</w:t>
            </w:r>
          </w:p>
        </w:tc>
        <w:tc>
          <w:tcPr>
            <w:tcW w:w="3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6794.1</w:t>
            </w:r>
          </w:p>
        </w:tc>
      </w:tr>
      <w:tr>
        <w:tblPrEx>
          <w:tblCellMar>
            <w:top w:w="0" w:type="dxa"/>
            <w:left w:w="108" w:type="dxa"/>
            <w:bottom w:w="0" w:type="dxa"/>
            <w:right w:w="108" w:type="dxa"/>
          </w:tblCellMar>
        </w:tblPrEx>
        <w:trPr>
          <w:trHeight w:val="285"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定额利润</w:t>
            </w:r>
          </w:p>
        </w:tc>
        <w:tc>
          <w:tcPr>
            <w:tcW w:w="3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3491.96</w:t>
            </w:r>
          </w:p>
        </w:tc>
      </w:tr>
      <w:tr>
        <w:tblPrEx>
          <w:tblCellMar>
            <w:top w:w="0" w:type="dxa"/>
            <w:left w:w="108" w:type="dxa"/>
            <w:bottom w:w="0" w:type="dxa"/>
            <w:right w:w="108" w:type="dxa"/>
          </w:tblCellMar>
        </w:tblPrEx>
        <w:trPr>
          <w:trHeight w:val="285"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调差：</w:t>
            </w:r>
          </w:p>
        </w:tc>
        <w:tc>
          <w:tcPr>
            <w:tcW w:w="3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83427.88</w:t>
            </w:r>
          </w:p>
        </w:tc>
      </w:tr>
      <w:tr>
        <w:tblPrEx>
          <w:tblCellMar>
            <w:top w:w="0" w:type="dxa"/>
            <w:left w:w="108" w:type="dxa"/>
            <w:bottom w:w="0" w:type="dxa"/>
            <w:right w:w="108" w:type="dxa"/>
          </w:tblCellMar>
        </w:tblPrEx>
        <w:trPr>
          <w:trHeight w:val="285"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人工费差价</w:t>
            </w:r>
          </w:p>
        </w:tc>
        <w:tc>
          <w:tcPr>
            <w:tcW w:w="3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-1576.19</w:t>
            </w:r>
          </w:p>
        </w:tc>
      </w:tr>
      <w:tr>
        <w:tblPrEx>
          <w:tblCellMar>
            <w:top w:w="0" w:type="dxa"/>
            <w:left w:w="108" w:type="dxa"/>
            <w:bottom w:w="0" w:type="dxa"/>
            <w:right w:w="108" w:type="dxa"/>
          </w:tblCellMar>
        </w:tblPrEx>
        <w:trPr>
          <w:trHeight w:val="285"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材料费差价</w:t>
            </w:r>
          </w:p>
        </w:tc>
        <w:tc>
          <w:tcPr>
            <w:tcW w:w="3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83462.95</w:t>
            </w:r>
          </w:p>
        </w:tc>
      </w:tr>
      <w:tr>
        <w:tblPrEx>
          <w:tblCellMar>
            <w:top w:w="0" w:type="dxa"/>
            <w:left w:w="108" w:type="dxa"/>
            <w:bottom w:w="0" w:type="dxa"/>
            <w:right w:w="108" w:type="dxa"/>
          </w:tblCellMar>
        </w:tblPrEx>
        <w:trPr>
          <w:trHeight w:val="285"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机械费差价</w:t>
            </w:r>
          </w:p>
        </w:tc>
        <w:tc>
          <w:tcPr>
            <w:tcW w:w="3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1174.1</w:t>
            </w:r>
          </w:p>
        </w:tc>
      </w:tr>
      <w:tr>
        <w:tblPrEx>
          <w:tblCellMar>
            <w:top w:w="0" w:type="dxa"/>
            <w:left w:w="108" w:type="dxa"/>
            <w:bottom w:w="0" w:type="dxa"/>
            <w:right w:w="108" w:type="dxa"/>
          </w:tblCellMar>
        </w:tblPrEx>
        <w:trPr>
          <w:trHeight w:val="285"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管理费差价</w:t>
            </w:r>
          </w:p>
        </w:tc>
        <w:tc>
          <w:tcPr>
            <w:tcW w:w="3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367.02</w:t>
            </w:r>
          </w:p>
        </w:tc>
      </w:tr>
      <w:tr>
        <w:tblPrEx>
          <w:tblCellMar>
            <w:top w:w="0" w:type="dxa"/>
            <w:left w:w="108" w:type="dxa"/>
            <w:bottom w:w="0" w:type="dxa"/>
            <w:right w:w="108" w:type="dxa"/>
          </w:tblCellMar>
        </w:tblPrEx>
        <w:trPr>
          <w:trHeight w:val="285"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安全文明施工费</w:t>
            </w:r>
          </w:p>
        </w:tc>
        <w:tc>
          <w:tcPr>
            <w:tcW w:w="3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2755.61</w:t>
            </w:r>
          </w:p>
        </w:tc>
      </w:tr>
      <w:tr>
        <w:tblPrEx>
          <w:tblCellMar>
            <w:top w:w="0" w:type="dxa"/>
            <w:left w:w="108" w:type="dxa"/>
            <w:bottom w:w="0" w:type="dxa"/>
            <w:right w:w="108" w:type="dxa"/>
          </w:tblCellMar>
        </w:tblPrEx>
        <w:trPr>
          <w:trHeight w:val="285"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规费</w:t>
            </w:r>
          </w:p>
        </w:tc>
        <w:tc>
          <w:tcPr>
            <w:tcW w:w="3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3585.29</w:t>
            </w:r>
          </w:p>
        </w:tc>
      </w:tr>
      <w:tr>
        <w:tblPrEx>
          <w:tblCellMar>
            <w:top w:w="0" w:type="dxa"/>
            <w:left w:w="108" w:type="dxa"/>
            <w:bottom w:w="0" w:type="dxa"/>
            <w:right w:w="108" w:type="dxa"/>
          </w:tblCellMar>
        </w:tblPrEx>
        <w:trPr>
          <w:trHeight w:val="285"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定额规费</w:t>
            </w:r>
          </w:p>
        </w:tc>
        <w:tc>
          <w:tcPr>
            <w:tcW w:w="3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3585.29</w:t>
            </w:r>
          </w:p>
        </w:tc>
      </w:tr>
      <w:tr>
        <w:tblPrEx>
          <w:tblCellMar>
            <w:top w:w="0" w:type="dxa"/>
            <w:left w:w="108" w:type="dxa"/>
            <w:bottom w:w="0" w:type="dxa"/>
            <w:right w:w="108" w:type="dxa"/>
          </w:tblCellMar>
        </w:tblPrEx>
        <w:trPr>
          <w:trHeight w:val="285"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不含税工程造价</w:t>
            </w:r>
          </w:p>
        </w:tc>
        <w:tc>
          <w:tcPr>
            <w:tcW w:w="3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256931.26</w:t>
            </w:r>
          </w:p>
        </w:tc>
      </w:tr>
      <w:tr>
        <w:tblPrEx>
          <w:tblCellMar>
            <w:top w:w="0" w:type="dxa"/>
            <w:left w:w="108" w:type="dxa"/>
            <w:bottom w:w="0" w:type="dxa"/>
            <w:right w:w="108" w:type="dxa"/>
          </w:tblCellMar>
        </w:tblPrEx>
        <w:trPr>
          <w:trHeight w:val="285"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w:t>
            </w:r>
          </w:p>
        </w:tc>
        <w:tc>
          <w:tcPr>
            <w:tcW w:w="3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23123.81</w:t>
            </w:r>
          </w:p>
        </w:tc>
      </w:tr>
      <w:tr>
        <w:tblPrEx>
          <w:tblCellMar>
            <w:top w:w="0" w:type="dxa"/>
            <w:left w:w="108" w:type="dxa"/>
            <w:bottom w:w="0" w:type="dxa"/>
            <w:right w:w="108" w:type="dxa"/>
          </w:tblCellMar>
        </w:tblPrEx>
        <w:trPr>
          <w:trHeight w:val="285"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含税工程造价</w:t>
            </w:r>
          </w:p>
        </w:tc>
        <w:tc>
          <w:tcPr>
            <w:tcW w:w="3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280055.07</w:t>
            </w:r>
          </w:p>
        </w:tc>
      </w:tr>
      <w:tr>
        <w:tblPrEx>
          <w:tblCellMar>
            <w:top w:w="0" w:type="dxa"/>
            <w:left w:w="108" w:type="dxa"/>
            <w:bottom w:w="0" w:type="dxa"/>
            <w:right w:w="108" w:type="dxa"/>
          </w:tblCellMar>
        </w:tblPrEx>
        <w:trPr>
          <w:trHeight w:val="270" w:hRule="atLeast"/>
          <w:jc w:val="center"/>
        </w:trPr>
        <w:tc>
          <w:tcPr>
            <w:tcW w:w="16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33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最终优惠工程总造价</w:t>
            </w:r>
          </w:p>
        </w:tc>
        <w:tc>
          <w:tcPr>
            <w:tcW w:w="37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280000.00 </w:t>
            </w:r>
          </w:p>
        </w:tc>
      </w:tr>
    </w:tbl>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sz w:val="24"/>
          <w:szCs w:val="24"/>
          <w:lang w:eastAsia="zh-CN"/>
        </w:rPr>
        <w:sectPr>
          <w:footerReference r:id="rId3" w:type="default"/>
          <w:pgSz w:w="11906" w:h="16838"/>
          <w:pgMar w:top="1304" w:right="1304" w:bottom="1304" w:left="1304" w:header="851" w:footer="992" w:gutter="0"/>
          <w:pgNumType w:fmt="decimal" w:start="1"/>
          <w:cols w:space="425" w:num="1"/>
          <w:docGrid w:type="lines" w:linePitch="312" w:charSpace="0"/>
        </w:sectPr>
      </w:pPr>
    </w:p>
    <w:tbl>
      <w:tblPr>
        <w:tblStyle w:val="11"/>
        <w:tblW w:w="15120" w:type="dxa"/>
        <w:jc w:val="center"/>
        <w:shd w:val="clear" w:color="auto" w:fill="auto"/>
        <w:tblLayout w:type="autofit"/>
        <w:tblCellMar>
          <w:top w:w="0" w:type="dxa"/>
          <w:left w:w="108" w:type="dxa"/>
          <w:bottom w:w="0" w:type="dxa"/>
          <w:right w:w="108" w:type="dxa"/>
        </w:tblCellMar>
      </w:tblPr>
      <w:tblGrid>
        <w:gridCol w:w="462"/>
        <w:gridCol w:w="936"/>
        <w:gridCol w:w="1889"/>
        <w:gridCol w:w="585"/>
        <w:gridCol w:w="683"/>
        <w:gridCol w:w="846"/>
        <w:gridCol w:w="1026"/>
        <w:gridCol w:w="936"/>
        <w:gridCol w:w="1026"/>
        <w:gridCol w:w="936"/>
        <w:gridCol w:w="846"/>
        <w:gridCol w:w="846"/>
        <w:gridCol w:w="846"/>
        <w:gridCol w:w="894"/>
        <w:gridCol w:w="846"/>
        <w:gridCol w:w="671"/>
        <w:gridCol w:w="846"/>
      </w:tblGrid>
      <w:tr>
        <w:tblPrEx>
          <w:shd w:val="clear" w:color="auto" w:fill="auto"/>
          <w:tblCellMar>
            <w:top w:w="0" w:type="dxa"/>
            <w:left w:w="108" w:type="dxa"/>
            <w:bottom w:w="0" w:type="dxa"/>
            <w:right w:w="108" w:type="dxa"/>
          </w:tblCellMar>
        </w:tblPrEx>
        <w:trPr>
          <w:trHeight w:val="600" w:hRule="atLeast"/>
          <w:jc w:val="center"/>
        </w:trPr>
        <w:tc>
          <w:tcPr>
            <w:tcW w:w="15120" w:type="dxa"/>
            <w:gridSpan w:val="1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工程预算表</w:t>
            </w:r>
          </w:p>
        </w:tc>
      </w:tr>
      <w:tr>
        <w:tblPrEx>
          <w:tblCellMar>
            <w:top w:w="0" w:type="dxa"/>
            <w:left w:w="108" w:type="dxa"/>
            <w:bottom w:w="0" w:type="dxa"/>
            <w:right w:w="108" w:type="dxa"/>
          </w:tblCellMar>
        </w:tblPrEx>
        <w:trPr>
          <w:trHeight w:val="285" w:hRule="atLeast"/>
          <w:jc w:val="center"/>
        </w:trPr>
        <w:tc>
          <w:tcPr>
            <w:tcW w:w="52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825" w:type="dxa"/>
            <w:vMerge w:val="restart"/>
            <w:tcBorders>
              <w:top w:val="single" w:color="000000" w:sz="8" w:space="0"/>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编号</w:t>
            </w:r>
          </w:p>
        </w:tc>
        <w:tc>
          <w:tcPr>
            <w:tcW w:w="2925" w:type="dxa"/>
            <w:vMerge w:val="restart"/>
            <w:tcBorders>
              <w:top w:val="single" w:color="000000" w:sz="8" w:space="0"/>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w:t>
            </w:r>
          </w:p>
        </w:tc>
        <w:tc>
          <w:tcPr>
            <w:tcW w:w="675" w:type="dxa"/>
            <w:vMerge w:val="restart"/>
            <w:tcBorders>
              <w:top w:val="single" w:color="000000" w:sz="8" w:space="0"/>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780" w:type="dxa"/>
            <w:vMerge w:val="restart"/>
            <w:tcBorders>
              <w:top w:val="single" w:color="000000" w:sz="8" w:space="0"/>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795" w:type="dxa"/>
            <w:vMerge w:val="restart"/>
            <w:tcBorders>
              <w:top w:val="single" w:color="000000" w:sz="8" w:space="0"/>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w:t>
            </w:r>
          </w:p>
        </w:tc>
        <w:tc>
          <w:tcPr>
            <w:tcW w:w="780" w:type="dxa"/>
            <w:vMerge w:val="restart"/>
            <w:tcBorders>
              <w:top w:val="single" w:color="000000" w:sz="8" w:space="0"/>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c>
          <w:tcPr>
            <w:tcW w:w="6435" w:type="dxa"/>
            <w:gridSpan w:val="8"/>
            <w:tcBorders>
              <w:top w:val="single" w:color="000000" w:sz="8" w:space="0"/>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w:t>
            </w:r>
          </w:p>
        </w:tc>
        <w:tc>
          <w:tcPr>
            <w:tcW w:w="1380" w:type="dxa"/>
            <w:gridSpan w:val="2"/>
            <w:tcBorders>
              <w:top w:val="single" w:color="000000" w:sz="8" w:space="0"/>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综合工日</w:t>
            </w:r>
          </w:p>
        </w:tc>
      </w:tr>
      <w:tr>
        <w:tblPrEx>
          <w:tblCellMar>
            <w:top w:w="0" w:type="dxa"/>
            <w:left w:w="108" w:type="dxa"/>
            <w:bottom w:w="0" w:type="dxa"/>
            <w:right w:w="108" w:type="dxa"/>
          </w:tblCellMar>
        </w:tblPrEx>
        <w:trPr>
          <w:trHeight w:val="585" w:hRule="atLeast"/>
          <w:jc w:val="center"/>
        </w:trPr>
        <w:tc>
          <w:tcPr>
            <w:tcW w:w="52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25" w:type="dxa"/>
            <w:vMerge w:val="continue"/>
            <w:tcBorders>
              <w:top w:val="single" w:color="000000" w:sz="8"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925" w:type="dxa"/>
            <w:vMerge w:val="continue"/>
            <w:tcBorders>
              <w:top w:val="single" w:color="000000" w:sz="8"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75" w:type="dxa"/>
            <w:vMerge w:val="continue"/>
            <w:tcBorders>
              <w:top w:val="single" w:color="000000" w:sz="8"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80" w:type="dxa"/>
            <w:vMerge w:val="continue"/>
            <w:tcBorders>
              <w:top w:val="single" w:color="000000" w:sz="8"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95" w:type="dxa"/>
            <w:vMerge w:val="continue"/>
            <w:tcBorders>
              <w:top w:val="single" w:color="000000" w:sz="8"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80" w:type="dxa"/>
            <w:vMerge w:val="continue"/>
            <w:tcBorders>
              <w:top w:val="single" w:color="000000" w:sz="8"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80"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人工合价</w:t>
            </w:r>
          </w:p>
        </w:tc>
        <w:tc>
          <w:tcPr>
            <w:tcW w:w="780"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合价</w:t>
            </w:r>
          </w:p>
        </w:tc>
        <w:tc>
          <w:tcPr>
            <w:tcW w:w="79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合价</w:t>
            </w:r>
          </w:p>
        </w:tc>
        <w:tc>
          <w:tcPr>
            <w:tcW w:w="780"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合价</w:t>
            </w:r>
          </w:p>
        </w:tc>
        <w:tc>
          <w:tcPr>
            <w:tcW w:w="76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利润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合价</w:t>
            </w:r>
          </w:p>
        </w:tc>
        <w:tc>
          <w:tcPr>
            <w:tcW w:w="780"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安文费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合价</w:t>
            </w:r>
          </w:p>
        </w:tc>
        <w:tc>
          <w:tcPr>
            <w:tcW w:w="1020"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其他措施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合价</w:t>
            </w:r>
          </w:p>
        </w:tc>
        <w:tc>
          <w:tcPr>
            <w:tcW w:w="73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合价</w:t>
            </w:r>
          </w:p>
        </w:tc>
        <w:tc>
          <w:tcPr>
            <w:tcW w:w="67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含量</w:t>
            </w:r>
          </w:p>
        </w:tc>
        <w:tc>
          <w:tcPr>
            <w:tcW w:w="705" w:type="dxa"/>
            <w:tcBorders>
              <w:top w:val="nil"/>
              <w:left w:val="nil"/>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r>
      <w:tr>
        <w:tblPrEx>
          <w:tblCellMar>
            <w:top w:w="0" w:type="dxa"/>
            <w:left w:w="108" w:type="dxa"/>
            <w:bottom w:w="0" w:type="dxa"/>
            <w:right w:w="108" w:type="dxa"/>
          </w:tblCellMar>
        </w:tblPrEx>
        <w:trPr>
          <w:trHeight w:val="510" w:hRule="atLeast"/>
          <w:jc w:val="center"/>
        </w:trPr>
        <w:tc>
          <w:tcPr>
            <w:tcW w:w="52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2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4-9-158</w:t>
            </w:r>
          </w:p>
        </w:tc>
        <w:tc>
          <w:tcPr>
            <w:tcW w:w="292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室内敷设电力电缆 铝芯电力电缆敷设 电缆截面≤400mm2</w:t>
            </w:r>
          </w:p>
        </w:tc>
        <w:tc>
          <w:tcPr>
            <w:tcW w:w="67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95"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2189.59</w:t>
            </w:r>
          </w:p>
        </w:tc>
        <w:tc>
          <w:tcPr>
            <w:tcW w:w="780"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65687.7</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4131.9</w:t>
            </w:r>
          </w:p>
        </w:tc>
        <w:tc>
          <w:tcPr>
            <w:tcW w:w="780"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57564</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1262.7</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1066.5</w:t>
            </w:r>
          </w:p>
        </w:tc>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520.2</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410.4</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534</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70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r>
      <w:tr>
        <w:tblPrEx>
          <w:tblCellMar>
            <w:top w:w="0" w:type="dxa"/>
            <w:left w:w="108" w:type="dxa"/>
            <w:bottom w:w="0" w:type="dxa"/>
            <w:right w:w="108" w:type="dxa"/>
          </w:tblCellMar>
        </w:tblPrEx>
        <w:trPr>
          <w:trHeight w:val="285" w:hRule="atLeast"/>
          <w:jc w:val="center"/>
        </w:trPr>
        <w:tc>
          <w:tcPr>
            <w:tcW w:w="52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2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4-17-199</w:t>
            </w:r>
          </w:p>
        </w:tc>
        <w:tc>
          <w:tcPr>
            <w:tcW w:w="292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电缆故障点测试</w:t>
            </w:r>
          </w:p>
        </w:tc>
        <w:tc>
          <w:tcPr>
            <w:tcW w:w="67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95"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3085.08</w:t>
            </w:r>
          </w:p>
        </w:tc>
        <w:tc>
          <w:tcPr>
            <w:tcW w:w="780"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6170.16</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3737.68</w:t>
            </w:r>
          </w:p>
        </w:tc>
        <w:tc>
          <w:tcPr>
            <w:tcW w:w="780"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8.52</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628.38</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701.72</w:t>
            </w:r>
          </w:p>
        </w:tc>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342.18</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270.02</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130.36</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351.3</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12.83</w:t>
            </w:r>
          </w:p>
        </w:tc>
        <w:tc>
          <w:tcPr>
            <w:tcW w:w="70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25.66</w:t>
            </w:r>
          </w:p>
        </w:tc>
      </w:tr>
      <w:tr>
        <w:tblPrEx>
          <w:tblCellMar>
            <w:top w:w="0" w:type="dxa"/>
            <w:left w:w="108" w:type="dxa"/>
            <w:bottom w:w="0" w:type="dxa"/>
            <w:right w:w="108" w:type="dxa"/>
          </w:tblCellMar>
        </w:tblPrEx>
        <w:trPr>
          <w:trHeight w:val="735" w:hRule="atLeast"/>
          <w:jc w:val="center"/>
        </w:trPr>
        <w:tc>
          <w:tcPr>
            <w:tcW w:w="52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2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4-9-273</w:t>
            </w:r>
          </w:p>
        </w:tc>
        <w:tc>
          <w:tcPr>
            <w:tcW w:w="292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电力电缆终端头制作安装 1kV室内热(冷)缩式铜芯电力电缆 电缆截面≤400mm2</w:t>
            </w:r>
          </w:p>
        </w:tc>
        <w:tc>
          <w:tcPr>
            <w:tcW w:w="67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95"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1117.41</w:t>
            </w:r>
          </w:p>
        </w:tc>
        <w:tc>
          <w:tcPr>
            <w:tcW w:w="780"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4469.64</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695.88</w:t>
            </w:r>
          </w:p>
        </w:tc>
        <w:tc>
          <w:tcPr>
            <w:tcW w:w="780"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3393.08</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148.76</w:t>
            </w:r>
          </w:p>
        </w:tc>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72.56</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57.24</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27.64</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74.48</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70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5.44</w:t>
            </w:r>
          </w:p>
        </w:tc>
      </w:tr>
      <w:tr>
        <w:tblPrEx>
          <w:tblCellMar>
            <w:top w:w="0" w:type="dxa"/>
            <w:left w:w="108" w:type="dxa"/>
            <w:bottom w:w="0" w:type="dxa"/>
            <w:right w:w="108" w:type="dxa"/>
          </w:tblCellMar>
        </w:tblPrEx>
        <w:trPr>
          <w:trHeight w:val="510" w:hRule="atLeast"/>
          <w:jc w:val="center"/>
        </w:trPr>
        <w:tc>
          <w:tcPr>
            <w:tcW w:w="52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2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11-2-115 换</w:t>
            </w:r>
          </w:p>
        </w:tc>
        <w:tc>
          <w:tcPr>
            <w:tcW w:w="292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地下定向钻孔敷管 孔径φ240mm以下 30m以下</w:t>
            </w:r>
          </w:p>
        </w:tc>
        <w:tc>
          <w:tcPr>
            <w:tcW w:w="67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95"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9335.37</w:t>
            </w:r>
          </w:p>
        </w:tc>
        <w:tc>
          <w:tcPr>
            <w:tcW w:w="780"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18670.74</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2656.1</w:t>
            </w:r>
          </w:p>
        </w:tc>
        <w:tc>
          <w:tcPr>
            <w:tcW w:w="780"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3300</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10019.2</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1053.4</w:t>
            </w:r>
          </w:p>
        </w:tc>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513.66</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405.34</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195.68</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527.36</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19.26</w:t>
            </w:r>
          </w:p>
        </w:tc>
        <w:tc>
          <w:tcPr>
            <w:tcW w:w="70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38.52</w:t>
            </w:r>
          </w:p>
        </w:tc>
      </w:tr>
      <w:tr>
        <w:tblPrEx>
          <w:tblCellMar>
            <w:top w:w="0" w:type="dxa"/>
            <w:left w:w="108" w:type="dxa"/>
            <w:bottom w:w="0" w:type="dxa"/>
            <w:right w:w="108" w:type="dxa"/>
          </w:tblCellMar>
        </w:tblPrEx>
        <w:trPr>
          <w:trHeight w:val="510" w:hRule="atLeast"/>
          <w:jc w:val="center"/>
        </w:trPr>
        <w:tc>
          <w:tcPr>
            <w:tcW w:w="52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2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11-2-116 换</w:t>
            </w:r>
          </w:p>
        </w:tc>
        <w:tc>
          <w:tcPr>
            <w:tcW w:w="292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地下定向钻孔敷管 孔径φ240mm以下 每增加10m</w:t>
            </w:r>
          </w:p>
        </w:tc>
        <w:tc>
          <w:tcPr>
            <w:tcW w:w="67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39.7</w:t>
            </w:r>
          </w:p>
        </w:tc>
        <w:tc>
          <w:tcPr>
            <w:tcW w:w="795"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2097.31</w:t>
            </w:r>
          </w:p>
        </w:tc>
        <w:tc>
          <w:tcPr>
            <w:tcW w:w="780"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83263.21</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10528.44</w:t>
            </w:r>
          </w:p>
        </w:tc>
        <w:tc>
          <w:tcPr>
            <w:tcW w:w="780"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22053.35</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39958.05</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4190.73</w:t>
            </w:r>
          </w:p>
        </w:tc>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2043.36</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1612.61</w:t>
            </w: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778.52</w:t>
            </w: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2098.15</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3.86</w:t>
            </w:r>
          </w:p>
        </w:tc>
        <w:tc>
          <w:tcPr>
            <w:tcW w:w="70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153.242</w:t>
            </w:r>
          </w:p>
        </w:tc>
      </w:tr>
      <w:tr>
        <w:tblPrEx>
          <w:tblCellMar>
            <w:top w:w="0" w:type="dxa"/>
            <w:left w:w="108" w:type="dxa"/>
            <w:bottom w:w="0" w:type="dxa"/>
            <w:right w:w="108" w:type="dxa"/>
          </w:tblCellMar>
        </w:tblPrEx>
        <w:trPr>
          <w:trHeight w:val="510" w:hRule="atLeast"/>
          <w:jc w:val="center"/>
        </w:trPr>
        <w:tc>
          <w:tcPr>
            <w:tcW w:w="52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2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补子目1</w:t>
            </w:r>
          </w:p>
        </w:tc>
        <w:tc>
          <w:tcPr>
            <w:tcW w:w="292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协调费</w:t>
            </w:r>
          </w:p>
        </w:tc>
        <w:tc>
          <w:tcPr>
            <w:tcW w:w="67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95"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w:t>
            </w:r>
          </w:p>
        </w:tc>
        <w:tc>
          <w:tcPr>
            <w:tcW w:w="780"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85" w:hRule="atLeast"/>
          <w:jc w:val="center"/>
        </w:trPr>
        <w:tc>
          <w:tcPr>
            <w:tcW w:w="52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82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补子目2</w:t>
            </w:r>
          </w:p>
        </w:tc>
        <w:tc>
          <w:tcPr>
            <w:tcW w:w="292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MPPΦ200顶管(含顶管井)</w:t>
            </w:r>
          </w:p>
        </w:tc>
        <w:tc>
          <w:tcPr>
            <w:tcW w:w="67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780" w:type="dxa"/>
            <w:tcBorders>
              <w:top w:val="single" w:color="000000" w:sz="4" w:space="0"/>
              <w:left w:val="nil"/>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nil"/>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10" w:hRule="atLeast"/>
          <w:jc w:val="center"/>
        </w:trPr>
        <w:tc>
          <w:tcPr>
            <w:tcW w:w="525" w:type="dxa"/>
            <w:tcBorders>
              <w:top w:val="nil"/>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2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补子目2</w:t>
            </w:r>
          </w:p>
        </w:tc>
        <w:tc>
          <w:tcPr>
            <w:tcW w:w="292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顶管井</w:t>
            </w:r>
          </w:p>
        </w:tc>
        <w:tc>
          <w:tcPr>
            <w:tcW w:w="67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95"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7500</w:t>
            </w:r>
          </w:p>
        </w:tc>
        <w:tc>
          <w:tcPr>
            <w:tcW w:w="780"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10" w:hRule="atLeast"/>
          <w:jc w:val="center"/>
        </w:trPr>
        <w:tc>
          <w:tcPr>
            <w:tcW w:w="525" w:type="dxa"/>
            <w:tcBorders>
              <w:top w:val="nil"/>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25" w:type="dxa"/>
            <w:tcBorders>
              <w:top w:val="nil"/>
              <w:left w:val="nil"/>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925" w:type="dxa"/>
            <w:tcBorders>
              <w:top w:val="nil"/>
              <w:left w:val="nil"/>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675" w:type="dxa"/>
            <w:tcBorders>
              <w:top w:val="nil"/>
              <w:left w:val="nil"/>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80" w:type="dxa"/>
            <w:tcBorders>
              <w:top w:val="nil"/>
              <w:left w:val="nil"/>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95" w:type="dxa"/>
            <w:tcBorders>
              <w:top w:val="nil"/>
              <w:left w:val="nil"/>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nil"/>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258261.45</w:t>
            </w:r>
          </w:p>
        </w:tc>
        <w:tc>
          <w:tcPr>
            <w:tcW w:w="78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21750</w:t>
            </w:r>
          </w:p>
        </w:tc>
        <w:tc>
          <w:tcPr>
            <w:tcW w:w="780" w:type="dxa"/>
            <w:tcBorders>
              <w:top w:val="single" w:color="000000" w:sz="4" w:space="0"/>
              <w:left w:val="nil"/>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166318.95</w:t>
            </w:r>
          </w:p>
        </w:tc>
        <w:tc>
          <w:tcPr>
            <w:tcW w:w="79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51868.33</w:t>
            </w:r>
          </w:p>
        </w:tc>
        <w:tc>
          <w:tcPr>
            <w:tcW w:w="78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7161.11</w:t>
            </w:r>
          </w:p>
        </w:tc>
        <w:tc>
          <w:tcPr>
            <w:tcW w:w="76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3491.96</w:t>
            </w:r>
          </w:p>
        </w:tc>
        <w:tc>
          <w:tcPr>
            <w:tcW w:w="78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2755.61</w:t>
            </w:r>
          </w:p>
        </w:tc>
        <w:tc>
          <w:tcPr>
            <w:tcW w:w="102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1330.2</w:t>
            </w:r>
          </w:p>
        </w:tc>
        <w:tc>
          <w:tcPr>
            <w:tcW w:w="73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3585.29</w:t>
            </w:r>
          </w:p>
        </w:tc>
        <w:tc>
          <w:tcPr>
            <w:tcW w:w="675" w:type="dxa"/>
            <w:tcBorders>
              <w:top w:val="nil"/>
              <w:left w:val="nil"/>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nil"/>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261.862</w:t>
            </w:r>
          </w:p>
        </w:tc>
      </w:tr>
    </w:tbl>
    <w:p>
      <w:pPr>
        <w:pStyle w:val="5"/>
        <w:rPr>
          <w:rFonts w:hint="eastAsia"/>
          <w:sz w:val="24"/>
          <w:szCs w:val="24"/>
          <w:lang w:eastAsia="zh-CN"/>
        </w:rPr>
        <w:sectPr>
          <w:pgSz w:w="16838" w:h="11906" w:orient="landscape"/>
          <w:pgMar w:top="1304" w:right="1304" w:bottom="1304" w:left="1304" w:header="851" w:footer="992" w:gutter="0"/>
          <w:pgNumType w:fmt="decimal"/>
          <w:cols w:space="0" w:num="1"/>
          <w:rtlGutter w:val="0"/>
          <w:docGrid w:type="lines" w:linePitch="320" w:charSpace="0"/>
        </w:sectPr>
      </w:pPr>
    </w:p>
    <w:tbl>
      <w:tblPr>
        <w:tblStyle w:val="11"/>
        <w:tblW w:w="10185" w:type="dxa"/>
        <w:jc w:val="center"/>
        <w:shd w:val="clear" w:color="auto" w:fill="auto"/>
        <w:tblLayout w:type="autofit"/>
        <w:tblCellMar>
          <w:top w:w="0" w:type="dxa"/>
          <w:left w:w="108" w:type="dxa"/>
          <w:bottom w:w="0" w:type="dxa"/>
          <w:right w:w="108" w:type="dxa"/>
        </w:tblCellMar>
      </w:tblPr>
      <w:tblGrid>
        <w:gridCol w:w="596"/>
        <w:gridCol w:w="1296"/>
        <w:gridCol w:w="1066"/>
        <w:gridCol w:w="3042"/>
        <w:gridCol w:w="610"/>
        <w:gridCol w:w="1161"/>
        <w:gridCol w:w="1249"/>
        <w:gridCol w:w="1165"/>
      </w:tblGrid>
      <w:tr>
        <w:tblPrEx>
          <w:shd w:val="clear" w:color="auto" w:fill="auto"/>
          <w:tblCellMar>
            <w:top w:w="0" w:type="dxa"/>
            <w:left w:w="108" w:type="dxa"/>
            <w:bottom w:w="0" w:type="dxa"/>
            <w:right w:w="108" w:type="dxa"/>
          </w:tblCellMar>
        </w:tblPrEx>
        <w:trPr>
          <w:trHeight w:val="675" w:hRule="atLeast"/>
          <w:jc w:val="center"/>
        </w:trPr>
        <w:tc>
          <w:tcPr>
            <w:tcW w:w="10185" w:type="dxa"/>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工程主要材料价格表</w:t>
            </w:r>
          </w:p>
        </w:tc>
      </w:tr>
      <w:tr>
        <w:tblPrEx>
          <w:tblCellMar>
            <w:top w:w="0" w:type="dxa"/>
            <w:left w:w="108" w:type="dxa"/>
            <w:bottom w:w="0" w:type="dxa"/>
            <w:right w:w="108" w:type="dxa"/>
          </w:tblCellMar>
        </w:tblPrEx>
        <w:trPr>
          <w:trHeight w:val="315"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编码</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名称</w:t>
            </w:r>
          </w:p>
        </w:tc>
        <w:tc>
          <w:tcPr>
            <w:tcW w:w="30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r>
      <w:tr>
        <w:tblPrEx>
          <w:tblCellMar>
            <w:top w:w="0" w:type="dxa"/>
            <w:left w:w="108" w:type="dxa"/>
            <w:bottom w:w="0" w:type="dxa"/>
            <w:right w:w="108" w:type="dxa"/>
          </w:tblCellMar>
        </w:tblPrEx>
        <w:trPr>
          <w:trHeight w:val="315"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17000107-1@4</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管材</w:t>
            </w:r>
          </w:p>
        </w:tc>
        <w:tc>
          <w:tcPr>
            <w:tcW w:w="30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MPPφ200</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460.97</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25353.35</w:t>
            </w:r>
          </w:p>
        </w:tc>
      </w:tr>
      <w:tr>
        <w:tblPrEx>
          <w:tblCellMar>
            <w:top w:w="0" w:type="dxa"/>
            <w:left w:w="108" w:type="dxa"/>
            <w:bottom w:w="0" w:type="dxa"/>
            <w:right w:w="108" w:type="dxa"/>
          </w:tblCellMar>
        </w:tblPrEx>
        <w:trPr>
          <w:trHeight w:val="315"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28110000@2</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30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ZC-YJLV22-8.7/10-3X400</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185.18</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56109.54</w:t>
            </w:r>
          </w:p>
        </w:tc>
      </w:tr>
      <w:tr>
        <w:tblPrEx>
          <w:tblCellMar>
            <w:top w:w="0" w:type="dxa"/>
            <w:left w:w="108" w:type="dxa"/>
            <w:bottom w:w="0" w:type="dxa"/>
            <w:right w:w="108" w:type="dxa"/>
          </w:tblCellMar>
        </w:tblPrEx>
        <w:trPr>
          <w:trHeight w:val="510"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29070211</w:t>
            </w:r>
          </w:p>
        </w:tc>
        <w:tc>
          <w:tcPr>
            <w:tcW w:w="10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户内热缩式电缆终端头</w:t>
            </w:r>
          </w:p>
        </w:tc>
        <w:tc>
          <w:tcPr>
            <w:tcW w:w="30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截面≤400mm2</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r>
    </w:tbl>
    <w:p>
      <w:pPr>
        <w:keepNext w:val="0"/>
        <w:keepLines w:val="0"/>
        <w:pageBreakBefore w:val="0"/>
        <w:widowControl w:val="0"/>
        <w:tabs>
          <w:tab w:val="left" w:pos="5145"/>
        </w:tabs>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color w:val="000000" w:themeColor="text1"/>
          <w:sz w:val="24"/>
          <w:szCs w:val="24"/>
          <w:highlight w:val="none"/>
          <w:lang w:bidi="ar"/>
          <w14:textFill>
            <w14:solidFill>
              <w14:schemeClr w14:val="tx1"/>
            </w14:solidFill>
          </w14:textFill>
        </w:rPr>
      </w:pPr>
    </w:p>
    <w:p>
      <w:pPr>
        <w:keepNext w:val="0"/>
        <w:keepLines w:val="0"/>
        <w:pageBreakBefore w:val="0"/>
        <w:widowControl w:val="0"/>
        <w:tabs>
          <w:tab w:val="left" w:pos="5145"/>
        </w:tabs>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bidi="ar"/>
          <w14:textFill>
            <w14:solidFill>
              <w14:schemeClr w14:val="tx1"/>
            </w14:solidFill>
          </w14:textFill>
        </w:rPr>
        <w:t>附件</w:t>
      </w:r>
      <w:r>
        <w:rPr>
          <w:rFonts w:hint="eastAsia" w:ascii="宋体" w:hAnsi="宋体" w:cs="宋体"/>
          <w:b/>
          <w:color w:val="000000" w:themeColor="text1"/>
          <w:sz w:val="24"/>
          <w:szCs w:val="24"/>
          <w:highlight w:val="none"/>
          <w:lang w:eastAsia="zh-CN" w:bidi="ar"/>
          <w14:textFill>
            <w14:solidFill>
              <w14:schemeClr w14:val="tx1"/>
            </w14:solidFill>
          </w14:textFill>
        </w:rPr>
        <w:t>三</w:t>
      </w:r>
      <w:r>
        <w:rPr>
          <w:rFonts w:hint="eastAsia" w:ascii="宋体" w:hAnsi="宋体" w:eastAsia="宋体" w:cs="宋体"/>
          <w:b/>
          <w:color w:val="000000" w:themeColor="text1"/>
          <w:sz w:val="24"/>
          <w:szCs w:val="24"/>
          <w:highlight w:val="none"/>
          <w:lang w:bidi="ar"/>
          <w14:textFill>
            <w14:solidFill>
              <w14:schemeClr w14:val="tx1"/>
            </w14:solidFill>
          </w14:textFill>
        </w:rPr>
        <w:t>：主要设备品牌表</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对于本工程中的材料做如下要求：</w:t>
      </w:r>
    </w:p>
    <w:tbl>
      <w:tblPr>
        <w:tblStyle w:val="11"/>
        <w:tblW w:w="0" w:type="auto"/>
        <w:tblInd w:w="638" w:type="dxa"/>
        <w:tblLayout w:type="fixed"/>
        <w:tblCellMar>
          <w:top w:w="0" w:type="dxa"/>
          <w:left w:w="108" w:type="dxa"/>
          <w:bottom w:w="0" w:type="dxa"/>
          <w:right w:w="108" w:type="dxa"/>
        </w:tblCellMar>
      </w:tblPr>
      <w:tblGrid>
        <w:gridCol w:w="2305"/>
        <w:gridCol w:w="5880"/>
      </w:tblGrid>
      <w:tr>
        <w:tblPrEx>
          <w:tblCellMar>
            <w:top w:w="0" w:type="dxa"/>
            <w:left w:w="108" w:type="dxa"/>
            <w:bottom w:w="0" w:type="dxa"/>
            <w:right w:w="108" w:type="dxa"/>
          </w:tblCellMar>
        </w:tblPrEx>
        <w:trPr>
          <w:trHeight w:val="440" w:hRule="atLeast"/>
        </w:trPr>
        <w:tc>
          <w:tcPr>
            <w:tcW w:w="23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themeColor="text1"/>
                <w:kern w:val="1"/>
                <w:sz w:val="24"/>
                <w:szCs w:val="24"/>
                <w:highlight w:val="none"/>
                <w14:textFill>
                  <w14:solidFill>
                    <w14:schemeClr w14:val="tx1"/>
                  </w14:solidFill>
                </w14:textFill>
              </w:rPr>
            </w:pPr>
            <w:r>
              <w:rPr>
                <w:rFonts w:hint="eastAsia" w:ascii="宋体" w:hAnsi="宋体" w:eastAsia="宋体" w:cs="宋体"/>
                <w:color w:val="000000" w:themeColor="text1"/>
                <w:kern w:val="1"/>
                <w:sz w:val="24"/>
                <w:szCs w:val="24"/>
                <w:highlight w:val="none"/>
                <w14:textFill>
                  <w14:solidFill>
                    <w14:schemeClr w14:val="tx1"/>
                  </w14:solidFill>
                </w14:textFill>
              </w:rPr>
              <w:t>名 称</w:t>
            </w:r>
          </w:p>
        </w:tc>
        <w:tc>
          <w:tcPr>
            <w:tcW w:w="5880" w:type="dxa"/>
            <w:tcBorders>
              <w:top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themeColor="text1"/>
                <w:kern w:val="1"/>
                <w:sz w:val="24"/>
                <w:szCs w:val="24"/>
                <w:highlight w:val="none"/>
                <w14:textFill>
                  <w14:solidFill>
                    <w14:schemeClr w14:val="tx1"/>
                  </w14:solidFill>
                </w14:textFill>
              </w:rPr>
            </w:pPr>
            <w:r>
              <w:rPr>
                <w:rFonts w:hint="eastAsia" w:ascii="宋体" w:hAnsi="宋体" w:eastAsia="宋体" w:cs="宋体"/>
                <w:color w:val="000000" w:themeColor="text1"/>
                <w:kern w:val="1"/>
                <w:sz w:val="24"/>
                <w:szCs w:val="24"/>
                <w:highlight w:val="none"/>
                <w14:textFill>
                  <w14:solidFill>
                    <w14:schemeClr w14:val="tx1"/>
                  </w14:solidFill>
                </w14:textFill>
              </w:rPr>
              <w:t>厂家或品牌</w:t>
            </w:r>
          </w:p>
        </w:tc>
      </w:tr>
      <w:tr>
        <w:tblPrEx>
          <w:tblCellMar>
            <w:top w:w="0" w:type="dxa"/>
            <w:left w:w="108" w:type="dxa"/>
            <w:bottom w:w="0" w:type="dxa"/>
            <w:right w:w="108" w:type="dxa"/>
          </w:tblCellMar>
        </w:tblPrEx>
        <w:trPr>
          <w:trHeight w:val="459" w:hRule="atLeast"/>
        </w:trPr>
        <w:tc>
          <w:tcPr>
            <w:tcW w:w="2305"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themeColor="text1"/>
                <w:kern w:val="1"/>
                <w:sz w:val="24"/>
                <w:szCs w:val="24"/>
                <w:highlight w:val="none"/>
                <w14:textFill>
                  <w14:solidFill>
                    <w14:schemeClr w14:val="tx1"/>
                  </w14:solidFill>
                </w14:textFill>
              </w:rPr>
            </w:pPr>
            <w:r>
              <w:rPr>
                <w:rFonts w:hint="eastAsia" w:ascii="宋体" w:hAnsi="宋体" w:eastAsia="宋体" w:cs="宋体"/>
                <w:color w:val="000000" w:themeColor="text1"/>
                <w:kern w:val="1"/>
                <w:sz w:val="24"/>
                <w:szCs w:val="24"/>
                <w:highlight w:val="none"/>
                <w14:textFill>
                  <w14:solidFill>
                    <w14:schemeClr w14:val="tx1"/>
                  </w14:solidFill>
                </w14:textFill>
              </w:rPr>
              <w:t>高压真空断路器</w:t>
            </w:r>
          </w:p>
        </w:tc>
        <w:tc>
          <w:tcPr>
            <w:tcW w:w="5880" w:type="dxa"/>
            <w:tcBorders>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themeColor="text1"/>
                <w:kern w:val="1"/>
                <w:sz w:val="24"/>
                <w:szCs w:val="24"/>
                <w:highlight w:val="none"/>
                <w:lang w:eastAsia="zh-CN"/>
                <w14:textFill>
                  <w14:solidFill>
                    <w14:schemeClr w14:val="tx1"/>
                  </w14:solidFill>
                </w14:textFill>
              </w:rPr>
            </w:pPr>
            <w:r>
              <w:rPr>
                <w:rFonts w:hint="eastAsia" w:ascii="宋体" w:hAnsi="宋体" w:cs="宋体"/>
                <w:color w:val="000000" w:themeColor="text1"/>
                <w:kern w:val="1"/>
                <w:sz w:val="24"/>
                <w:szCs w:val="24"/>
                <w:highlight w:val="none"/>
                <w:lang w:eastAsia="zh-CN"/>
                <w14:textFill>
                  <w14:solidFill>
                    <w14:schemeClr w14:val="tx1"/>
                  </w14:solidFill>
                </w14:textFill>
              </w:rPr>
              <w:t>陕西宝光（合资）、河南长征</w:t>
            </w:r>
          </w:p>
        </w:tc>
      </w:tr>
      <w:tr>
        <w:tblPrEx>
          <w:tblCellMar>
            <w:top w:w="0" w:type="dxa"/>
            <w:left w:w="108" w:type="dxa"/>
            <w:bottom w:w="0" w:type="dxa"/>
            <w:right w:w="108" w:type="dxa"/>
          </w:tblCellMar>
        </w:tblPrEx>
        <w:trPr>
          <w:trHeight w:val="397" w:hRule="atLeast"/>
        </w:trPr>
        <w:tc>
          <w:tcPr>
            <w:tcW w:w="2305" w:type="dxa"/>
            <w:tcBorders>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themeColor="text1"/>
                <w:kern w:val="1"/>
                <w:sz w:val="24"/>
                <w:szCs w:val="24"/>
                <w:highlight w:val="none"/>
                <w14:textFill>
                  <w14:solidFill>
                    <w14:schemeClr w14:val="tx1"/>
                  </w14:solidFill>
                </w14:textFill>
              </w:rPr>
            </w:pPr>
            <w:r>
              <w:rPr>
                <w:rFonts w:hint="eastAsia" w:ascii="宋体" w:hAnsi="宋体" w:eastAsia="宋体" w:cs="宋体"/>
                <w:color w:val="000000" w:themeColor="text1"/>
                <w:kern w:val="1"/>
                <w:sz w:val="24"/>
                <w:szCs w:val="24"/>
                <w:highlight w:val="none"/>
                <w14:textFill>
                  <w14:solidFill>
                    <w14:schemeClr w14:val="tx1"/>
                  </w14:solidFill>
                </w14:textFill>
              </w:rPr>
              <w:t>变压器</w:t>
            </w:r>
          </w:p>
        </w:tc>
        <w:tc>
          <w:tcPr>
            <w:tcW w:w="5880" w:type="dxa"/>
            <w:tcBorders>
              <w:top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themeColor="text1"/>
                <w:kern w:val="1"/>
                <w:sz w:val="24"/>
                <w:szCs w:val="24"/>
                <w:highlight w:val="none"/>
                <w:lang w:eastAsia="zh-CN"/>
                <w14:textFill>
                  <w14:solidFill>
                    <w14:schemeClr w14:val="tx1"/>
                  </w14:solidFill>
                </w14:textFill>
              </w:rPr>
            </w:pPr>
            <w:r>
              <w:rPr>
                <w:rFonts w:hint="eastAsia" w:ascii="宋体" w:hAnsi="宋体" w:cs="宋体"/>
                <w:color w:val="000000" w:themeColor="text1"/>
                <w:kern w:val="1"/>
                <w:sz w:val="24"/>
                <w:szCs w:val="24"/>
                <w:highlight w:val="none"/>
                <w:lang w:eastAsia="zh-CN"/>
                <w14:textFill>
                  <w14:solidFill>
                    <w14:schemeClr w14:val="tx1"/>
                  </w14:solidFill>
                </w14:textFill>
              </w:rPr>
              <w:t>许继电气、天力纯铜</w:t>
            </w:r>
          </w:p>
        </w:tc>
      </w:tr>
      <w:tr>
        <w:tblPrEx>
          <w:tblCellMar>
            <w:top w:w="0" w:type="dxa"/>
            <w:left w:w="108" w:type="dxa"/>
            <w:bottom w:w="0" w:type="dxa"/>
            <w:right w:w="108" w:type="dxa"/>
          </w:tblCellMar>
        </w:tblPrEx>
        <w:trPr>
          <w:trHeight w:val="397" w:hRule="atLeast"/>
        </w:trPr>
        <w:tc>
          <w:tcPr>
            <w:tcW w:w="2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themeColor="text1"/>
                <w:kern w:val="1"/>
                <w:sz w:val="24"/>
                <w:szCs w:val="24"/>
                <w:highlight w:val="none"/>
                <w14:textFill>
                  <w14:solidFill>
                    <w14:schemeClr w14:val="tx1"/>
                  </w14:solidFill>
                </w14:textFill>
              </w:rPr>
            </w:pPr>
            <w:r>
              <w:rPr>
                <w:rFonts w:hint="eastAsia" w:ascii="宋体" w:hAnsi="宋体" w:eastAsia="宋体" w:cs="宋体"/>
                <w:color w:val="000000" w:themeColor="text1"/>
                <w:kern w:val="1"/>
                <w:sz w:val="24"/>
                <w:szCs w:val="24"/>
                <w:highlight w:val="none"/>
                <w14:textFill>
                  <w14:solidFill>
                    <w14:schemeClr w14:val="tx1"/>
                  </w14:solidFill>
                </w14:textFill>
              </w:rPr>
              <w:t>继电保护</w:t>
            </w:r>
          </w:p>
        </w:tc>
        <w:tc>
          <w:tcPr>
            <w:tcW w:w="5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themeColor="text1"/>
                <w:kern w:val="1"/>
                <w:sz w:val="24"/>
                <w:szCs w:val="24"/>
                <w:highlight w:val="none"/>
                <w:lang w:eastAsia="zh-CN"/>
                <w14:textFill>
                  <w14:solidFill>
                    <w14:schemeClr w14:val="tx1"/>
                  </w14:solidFill>
                </w14:textFill>
              </w:rPr>
            </w:pPr>
            <w:r>
              <w:rPr>
                <w:rFonts w:hint="eastAsia" w:ascii="宋体" w:hAnsi="宋体" w:cs="宋体"/>
                <w:color w:val="000000" w:themeColor="text1"/>
                <w:kern w:val="1"/>
                <w:sz w:val="24"/>
                <w:szCs w:val="24"/>
                <w:highlight w:val="none"/>
                <w:lang w:eastAsia="zh-CN"/>
                <w14:textFill>
                  <w14:solidFill>
                    <w14:schemeClr w14:val="tx1"/>
                  </w14:solidFill>
                </w14:textFill>
              </w:rPr>
              <w:t>许继电气、南自</w:t>
            </w:r>
          </w:p>
        </w:tc>
      </w:tr>
      <w:tr>
        <w:tblPrEx>
          <w:tblCellMar>
            <w:top w:w="0" w:type="dxa"/>
            <w:left w:w="108" w:type="dxa"/>
            <w:bottom w:w="0" w:type="dxa"/>
            <w:right w:w="108" w:type="dxa"/>
          </w:tblCellMar>
        </w:tblPrEx>
        <w:trPr>
          <w:trHeight w:val="445" w:hRule="atLeast"/>
        </w:trPr>
        <w:tc>
          <w:tcPr>
            <w:tcW w:w="2305" w:type="dxa"/>
            <w:tcBorders>
              <w:top w:val="single" w:color="auto"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themeColor="text1"/>
                <w:kern w:val="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1"/>
                <w:sz w:val="24"/>
                <w:szCs w:val="24"/>
                <w:highlight w:val="none"/>
                <w14:textFill>
                  <w14:solidFill>
                    <w14:schemeClr w14:val="tx1"/>
                  </w14:solidFill>
                </w14:textFill>
              </w:rPr>
              <w:t xml:space="preserve">互感器      </w:t>
            </w:r>
          </w:p>
        </w:tc>
        <w:tc>
          <w:tcPr>
            <w:tcW w:w="5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themeColor="text1"/>
                <w:kern w:val="1"/>
                <w:sz w:val="24"/>
                <w:szCs w:val="24"/>
                <w:highlight w:val="none"/>
                <w:lang w:eastAsia="zh-CN"/>
                <w14:textFill>
                  <w14:solidFill>
                    <w14:schemeClr w14:val="tx1"/>
                  </w14:solidFill>
                </w14:textFill>
              </w:rPr>
            </w:pPr>
            <w:r>
              <w:rPr>
                <w:rFonts w:hint="eastAsia" w:ascii="宋体" w:hAnsi="宋体" w:cs="宋体"/>
                <w:color w:val="000000" w:themeColor="text1"/>
                <w:kern w:val="1"/>
                <w:sz w:val="24"/>
                <w:szCs w:val="24"/>
                <w:highlight w:val="none"/>
                <w:lang w:eastAsia="zh-CN"/>
                <w14:textFill>
                  <w14:solidFill>
                    <w14:schemeClr w14:val="tx1"/>
                  </w14:solidFill>
                </w14:textFill>
              </w:rPr>
              <w:t>济源高新</w:t>
            </w:r>
          </w:p>
        </w:tc>
      </w:tr>
      <w:tr>
        <w:tblPrEx>
          <w:tblCellMar>
            <w:top w:w="0" w:type="dxa"/>
            <w:left w:w="108" w:type="dxa"/>
            <w:bottom w:w="0" w:type="dxa"/>
            <w:right w:w="108" w:type="dxa"/>
          </w:tblCellMar>
        </w:tblPrEx>
        <w:trPr>
          <w:trHeight w:val="397" w:hRule="atLeast"/>
        </w:trPr>
        <w:tc>
          <w:tcPr>
            <w:tcW w:w="230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themeColor="text1"/>
                <w:kern w:val="1"/>
                <w:sz w:val="24"/>
                <w:szCs w:val="24"/>
                <w:highlight w:val="none"/>
                <w:shd w:val="clear" w:color="auto" w:fill="FFFFFF"/>
                <w14:textFill>
                  <w14:solidFill>
                    <w14:schemeClr w14:val="tx1"/>
                  </w14:solidFill>
                </w14:textFill>
              </w:rPr>
            </w:pPr>
            <w:r>
              <w:rPr>
                <w:rFonts w:hint="eastAsia" w:ascii="宋体" w:hAnsi="宋体" w:eastAsia="宋体" w:cs="宋体"/>
                <w:color w:val="000000" w:themeColor="text1"/>
                <w:kern w:val="1"/>
                <w:sz w:val="24"/>
                <w:szCs w:val="24"/>
                <w:highlight w:val="none"/>
                <w:shd w:val="clear" w:color="auto" w:fill="FFFFFF"/>
                <w14:textFill>
                  <w14:solidFill>
                    <w14:schemeClr w14:val="tx1"/>
                  </w14:solidFill>
                </w14:textFill>
              </w:rPr>
              <w:t xml:space="preserve">避雷器 </w:t>
            </w:r>
          </w:p>
        </w:tc>
        <w:tc>
          <w:tcPr>
            <w:tcW w:w="5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themeColor="text1"/>
                <w:kern w:val="1"/>
                <w:sz w:val="24"/>
                <w:szCs w:val="24"/>
                <w:highlight w:val="none"/>
                <w:lang w:eastAsia="zh-CN"/>
                <w14:textFill>
                  <w14:solidFill>
                    <w14:schemeClr w14:val="tx1"/>
                  </w14:solidFill>
                </w14:textFill>
              </w:rPr>
            </w:pPr>
            <w:r>
              <w:rPr>
                <w:rFonts w:hint="eastAsia" w:ascii="宋体" w:hAnsi="宋体" w:cs="宋体"/>
                <w:color w:val="000000" w:themeColor="text1"/>
                <w:kern w:val="1"/>
                <w:sz w:val="24"/>
                <w:szCs w:val="24"/>
                <w:highlight w:val="none"/>
                <w:lang w:eastAsia="zh-CN"/>
                <w14:textFill>
                  <w14:solidFill>
                    <w14:schemeClr w14:val="tx1"/>
                  </w14:solidFill>
                </w14:textFill>
              </w:rPr>
              <w:t>福一</w:t>
            </w:r>
          </w:p>
        </w:tc>
      </w:tr>
      <w:tr>
        <w:tblPrEx>
          <w:tblCellMar>
            <w:top w:w="0" w:type="dxa"/>
            <w:left w:w="108" w:type="dxa"/>
            <w:bottom w:w="0" w:type="dxa"/>
            <w:right w:w="108" w:type="dxa"/>
          </w:tblCellMar>
        </w:tblPrEx>
        <w:trPr>
          <w:trHeight w:val="483" w:hRule="atLeast"/>
        </w:trPr>
        <w:tc>
          <w:tcPr>
            <w:tcW w:w="230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themeColor="text1"/>
                <w:kern w:val="1"/>
                <w:sz w:val="24"/>
                <w:szCs w:val="24"/>
                <w:highlight w:val="none"/>
                <w14:textFill>
                  <w14:solidFill>
                    <w14:schemeClr w14:val="tx1"/>
                  </w14:solidFill>
                </w14:textFill>
              </w:rPr>
            </w:pPr>
            <w:r>
              <w:rPr>
                <w:rFonts w:hint="eastAsia" w:ascii="宋体" w:hAnsi="宋体" w:eastAsia="宋体" w:cs="宋体"/>
                <w:color w:val="000000" w:themeColor="text1"/>
                <w:kern w:val="1"/>
                <w:sz w:val="24"/>
                <w:szCs w:val="24"/>
                <w:highlight w:val="none"/>
                <w14:textFill>
                  <w14:solidFill>
                    <w14:schemeClr w14:val="tx1"/>
                  </w14:solidFill>
                </w14:textFill>
              </w:rPr>
              <w:t>低压断路器</w:t>
            </w:r>
          </w:p>
        </w:tc>
        <w:tc>
          <w:tcPr>
            <w:tcW w:w="5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themeColor="text1"/>
                <w:kern w:val="1"/>
                <w:sz w:val="24"/>
                <w:szCs w:val="24"/>
                <w:highlight w:val="none"/>
                <w:lang w:eastAsia="zh-CN"/>
                <w14:textFill>
                  <w14:solidFill>
                    <w14:schemeClr w14:val="tx1"/>
                  </w14:solidFill>
                </w14:textFill>
              </w:rPr>
            </w:pPr>
            <w:r>
              <w:rPr>
                <w:rFonts w:hint="eastAsia" w:ascii="宋体" w:hAnsi="宋体" w:cs="宋体"/>
                <w:color w:val="000000" w:themeColor="text1"/>
                <w:kern w:val="1"/>
                <w:sz w:val="24"/>
                <w:szCs w:val="24"/>
                <w:highlight w:val="none"/>
                <w:lang w:eastAsia="zh-CN"/>
                <w14:textFill>
                  <w14:solidFill>
                    <w14:schemeClr w14:val="tx1"/>
                  </w14:solidFill>
                </w14:textFill>
              </w:rPr>
              <w:t>中国人民、正泰、德力西</w:t>
            </w:r>
          </w:p>
        </w:tc>
      </w:tr>
      <w:tr>
        <w:tblPrEx>
          <w:tblCellMar>
            <w:top w:w="0" w:type="dxa"/>
            <w:left w:w="108" w:type="dxa"/>
            <w:bottom w:w="0" w:type="dxa"/>
            <w:right w:w="108" w:type="dxa"/>
          </w:tblCellMar>
        </w:tblPrEx>
        <w:trPr>
          <w:trHeight w:val="397" w:hRule="atLeast"/>
        </w:trPr>
        <w:tc>
          <w:tcPr>
            <w:tcW w:w="230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themeColor="text1"/>
                <w:kern w:val="1"/>
                <w:sz w:val="24"/>
                <w:szCs w:val="24"/>
                <w:highlight w:val="none"/>
                <w14:textFill>
                  <w14:solidFill>
                    <w14:schemeClr w14:val="tx1"/>
                  </w14:solidFill>
                </w14:textFill>
              </w:rPr>
            </w:pPr>
            <w:r>
              <w:rPr>
                <w:rFonts w:hint="eastAsia" w:ascii="宋体" w:hAnsi="宋体" w:eastAsia="宋体" w:cs="宋体"/>
                <w:color w:val="000000" w:themeColor="text1"/>
                <w:kern w:val="1"/>
                <w:sz w:val="24"/>
                <w:szCs w:val="24"/>
                <w:highlight w:val="none"/>
                <w14:textFill>
                  <w14:solidFill>
                    <w14:schemeClr w14:val="tx1"/>
                  </w14:solidFill>
                </w14:textFill>
              </w:rPr>
              <w:t>电缆（国标）</w:t>
            </w:r>
          </w:p>
        </w:tc>
        <w:tc>
          <w:tcPr>
            <w:tcW w:w="58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themeColor="text1"/>
                <w:kern w:val="1"/>
                <w:sz w:val="24"/>
                <w:szCs w:val="24"/>
                <w:highlight w:val="none"/>
                <w14:textFill>
                  <w14:solidFill>
                    <w14:schemeClr w14:val="tx1"/>
                  </w14:solidFill>
                </w14:textFill>
              </w:rPr>
            </w:pPr>
            <w:r>
              <w:rPr>
                <w:rFonts w:hint="eastAsia" w:ascii="宋体" w:hAnsi="宋体" w:eastAsia="宋体" w:cs="宋体"/>
                <w:color w:val="000000" w:themeColor="text1"/>
                <w:kern w:val="1"/>
                <w:sz w:val="24"/>
                <w:szCs w:val="24"/>
                <w:highlight w:val="none"/>
                <w14:textFill>
                  <w14:solidFill>
                    <w14:schemeClr w14:val="tx1"/>
                  </w14:solidFill>
                </w14:textFill>
              </w:rPr>
              <w:t>天津远洋、齐鲁电缆，东方交联电力电缆、宁联电缆</w:t>
            </w:r>
          </w:p>
        </w:tc>
      </w:tr>
    </w:tbl>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themeColor="text1"/>
          <w:kern w:val="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   </w:t>
      </w:r>
      <w:r>
        <w:rPr>
          <w:rFonts w:hint="eastAsia" w:ascii="宋体" w:hAnsi="宋体" w:eastAsia="宋体" w:cs="宋体"/>
          <w:color w:val="000000" w:themeColor="text1"/>
          <w:kern w:val="1"/>
          <w:sz w:val="24"/>
          <w:szCs w:val="24"/>
          <w:highlight w:val="none"/>
          <w:lang w:bidi="ar"/>
          <w14:textFill>
            <w14:solidFill>
              <w14:schemeClr w14:val="tx1"/>
            </w14:solidFill>
          </w14:textFill>
        </w:rPr>
        <w:t>1.主要材料以供电局能够通过验收为前提，乙方严格参照表格中要求产品品牌进行采购。</w:t>
      </w:r>
    </w:p>
    <w:p>
      <w:pPr>
        <w:pStyle w:val="2"/>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color w:val="000000" w:themeColor="text1"/>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 xml:space="preserve">   2.甲方及现场监理将以此标准来进行验收，如进场材料或已安装的材料非以上要求，甲方有权不结算材料款。</w:t>
      </w:r>
    </w:p>
    <w:p>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color w:val="000000" w:themeColor="text1"/>
          <w:sz w:val="24"/>
          <w:szCs w:val="24"/>
          <w:highlight w:val="none"/>
          <w14:textFill>
            <w14:solidFill>
              <w14:schemeClr w14:val="tx1"/>
            </w14:solidFill>
          </w14:textFill>
        </w:rPr>
      </w:pPr>
    </w:p>
    <w:p>
      <w:pPr>
        <w:pStyle w:val="5"/>
        <w:rPr>
          <w:rFonts w:hint="eastAsia"/>
          <w:color w:val="000000" w:themeColor="text1"/>
          <w:sz w:val="24"/>
          <w:szCs w:val="24"/>
          <w:highlight w:val="none"/>
          <w14:textFill>
            <w14:solidFill>
              <w14:schemeClr w14:val="tx1"/>
            </w14:solidFill>
          </w14:textFill>
        </w:rPr>
      </w:pPr>
    </w:p>
    <w:p>
      <w:pPr>
        <w:pStyle w:val="2"/>
        <w:rPr>
          <w:rFonts w:hint="eastAsia"/>
          <w:color w:val="000000" w:themeColor="text1"/>
          <w:sz w:val="24"/>
          <w:szCs w:val="24"/>
          <w:highlight w:val="none"/>
          <w14:textFill>
            <w14:solidFill>
              <w14:schemeClr w14:val="tx1"/>
            </w14:solidFill>
          </w14:textFill>
        </w:rPr>
      </w:pPr>
    </w:p>
    <w:p>
      <w:pPr>
        <w:pStyle w:val="3"/>
        <w:rPr>
          <w:rFonts w:hint="eastAsia"/>
          <w:color w:val="000000" w:themeColor="text1"/>
          <w:sz w:val="24"/>
          <w:szCs w:val="24"/>
          <w:highlight w:val="none"/>
          <w14:textFill>
            <w14:solidFill>
              <w14:schemeClr w14:val="tx1"/>
            </w14:solidFill>
          </w14:textFill>
        </w:rPr>
      </w:pPr>
    </w:p>
    <w:p>
      <w:pPr>
        <w:pStyle w:val="4"/>
        <w:rPr>
          <w:rFonts w:hint="eastAsia"/>
          <w:color w:val="000000" w:themeColor="text1"/>
          <w:sz w:val="24"/>
          <w:szCs w:val="24"/>
          <w:highlight w:val="none"/>
          <w14:textFill>
            <w14:solidFill>
              <w14:schemeClr w14:val="tx1"/>
            </w14:solidFill>
          </w14:textFill>
        </w:rPr>
      </w:pPr>
    </w:p>
    <w:p>
      <w:pPr>
        <w:pStyle w:val="5"/>
        <w:rPr>
          <w:rFonts w:hint="eastAsia"/>
          <w:color w:val="000000" w:themeColor="text1"/>
          <w:sz w:val="24"/>
          <w:szCs w:val="24"/>
          <w:highlight w:val="none"/>
          <w14:textFill>
            <w14:solidFill>
              <w14:schemeClr w14:val="tx1"/>
            </w14:solidFill>
          </w14:textFill>
        </w:rPr>
      </w:pPr>
    </w:p>
    <w:p>
      <w:pPr>
        <w:pStyle w:val="2"/>
        <w:rPr>
          <w:rFonts w:hint="eastAsia"/>
          <w:color w:val="000000" w:themeColor="text1"/>
          <w:sz w:val="24"/>
          <w:szCs w:val="24"/>
          <w:highlight w:val="none"/>
          <w14:textFill>
            <w14:solidFill>
              <w14:schemeClr w14:val="tx1"/>
            </w14:solidFill>
          </w14:textFill>
        </w:rPr>
      </w:pPr>
    </w:p>
    <w:p>
      <w:pPr>
        <w:pStyle w:val="3"/>
        <w:rPr>
          <w:rFonts w:hint="eastAsia"/>
          <w:color w:val="000000" w:themeColor="text1"/>
          <w:sz w:val="24"/>
          <w:szCs w:val="24"/>
          <w:highlight w:val="none"/>
          <w14:textFill>
            <w14:solidFill>
              <w14:schemeClr w14:val="tx1"/>
            </w14:solidFill>
          </w14:textFill>
        </w:rPr>
      </w:pPr>
    </w:p>
    <w:p>
      <w:pPr>
        <w:pStyle w:val="4"/>
        <w:rPr>
          <w:rFonts w:hint="eastAsia"/>
          <w:color w:val="000000" w:themeColor="text1"/>
          <w:sz w:val="24"/>
          <w:szCs w:val="24"/>
          <w:highlight w:val="none"/>
          <w14:textFill>
            <w14:solidFill>
              <w14:schemeClr w14:val="tx1"/>
            </w14:solidFill>
          </w14:textFill>
        </w:rPr>
      </w:pPr>
    </w:p>
    <w:p>
      <w:pPr>
        <w:pStyle w:val="5"/>
        <w:rPr>
          <w:rFonts w:hint="eastAsia"/>
          <w:color w:val="000000" w:themeColor="text1"/>
          <w:sz w:val="24"/>
          <w:szCs w:val="24"/>
          <w:highlight w:val="none"/>
          <w14:textFill>
            <w14:solidFill>
              <w14:schemeClr w14:val="tx1"/>
            </w14:solidFill>
          </w14:textFill>
        </w:rPr>
      </w:pPr>
    </w:p>
    <w:p>
      <w:pPr>
        <w:pStyle w:val="2"/>
        <w:rPr>
          <w:rFonts w:hint="eastAsia"/>
          <w:color w:val="000000" w:themeColor="text1"/>
          <w:sz w:val="24"/>
          <w:szCs w:val="24"/>
          <w:highlight w:val="none"/>
          <w14:textFill>
            <w14:solidFill>
              <w14:schemeClr w14:val="tx1"/>
            </w14:solidFill>
          </w14:textFill>
        </w:rPr>
      </w:pPr>
    </w:p>
    <w:p>
      <w:pPr>
        <w:pStyle w:val="13"/>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color w:val="000000" w:themeColor="text1"/>
          <w:kern w:val="1"/>
          <w:sz w:val="28"/>
          <w:szCs w:val="28"/>
          <w:highlight w:val="none"/>
          <w14:textFill>
            <w14:solidFill>
              <w14:schemeClr w14:val="tx1"/>
            </w14:solidFill>
          </w14:textFill>
        </w:rPr>
      </w:pPr>
      <w:r>
        <w:rPr>
          <w:rFonts w:hint="eastAsia" w:ascii="宋体" w:hAnsi="宋体" w:eastAsia="宋体" w:cs="宋体"/>
          <w:b/>
          <w:color w:val="000000" w:themeColor="text1"/>
          <w:kern w:val="1"/>
          <w:sz w:val="24"/>
          <w:szCs w:val="24"/>
          <w:highlight w:val="none"/>
          <w14:textFill>
            <w14:solidFill>
              <w14:schemeClr w14:val="tx1"/>
            </w14:solidFill>
          </w14:textFill>
        </w:rPr>
        <w:t>附件</w:t>
      </w:r>
      <w:r>
        <w:rPr>
          <w:rFonts w:hint="eastAsia" w:ascii="宋体" w:hAnsi="宋体" w:cs="宋体"/>
          <w:b/>
          <w:color w:val="000000" w:themeColor="text1"/>
          <w:kern w:val="1"/>
          <w:sz w:val="24"/>
          <w:szCs w:val="24"/>
          <w:highlight w:val="none"/>
          <w:lang w:eastAsia="zh-CN"/>
          <w14:textFill>
            <w14:solidFill>
              <w14:schemeClr w14:val="tx1"/>
            </w14:solidFill>
          </w14:textFill>
        </w:rPr>
        <w:t>四</w:t>
      </w:r>
      <w:r>
        <w:rPr>
          <w:rFonts w:hint="eastAsia" w:ascii="宋体" w:hAnsi="宋体" w:eastAsia="宋体" w:cs="宋体"/>
          <w:b/>
          <w:color w:val="000000" w:themeColor="text1"/>
          <w:kern w:val="1"/>
          <w:sz w:val="24"/>
          <w:szCs w:val="24"/>
          <w:highlight w:val="none"/>
          <w14:textFill>
            <w14:solidFill>
              <w14:schemeClr w14:val="tx1"/>
            </w14:solidFill>
          </w14:textFill>
        </w:rPr>
        <w:t>：</w:t>
      </w:r>
    </w:p>
    <w:p>
      <w:pPr>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廉政合作协议</w:t>
      </w:r>
    </w:p>
    <w:p>
      <w:pPr>
        <w:spacing w:line="360" w:lineRule="auto"/>
        <w:ind w:firstLine="0" w:firstLineChars="0"/>
        <w:rPr>
          <w:rFonts w:hint="eastAsia" w:ascii="宋体" w:hAnsi="宋体" w:eastAsia="宋体" w:cs="宋体"/>
          <w:b w:val="0"/>
          <w:color w:val="000000" w:themeColor="text1"/>
          <w:kern w:val="24"/>
          <w:sz w:val="24"/>
          <w:szCs w:val="24"/>
          <w:highlight w:val="none"/>
          <w:u w:val="singl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甲方：</w:t>
      </w:r>
      <w:r>
        <w:rPr>
          <w:rFonts w:hint="eastAsia" w:ascii="宋体" w:hAnsi="宋体" w:cs="宋体"/>
          <w:b w:val="0"/>
          <w:color w:val="000000" w:themeColor="text1"/>
          <w:kern w:val="24"/>
          <w:sz w:val="24"/>
          <w:szCs w:val="24"/>
          <w:highlight w:val="none"/>
          <w:u w:val="single"/>
          <w:lang w:val="en-US" w:eastAsia="zh-CN"/>
          <w14:textFill>
            <w14:solidFill>
              <w14:schemeClr w14:val="tx1"/>
            </w14:solidFill>
          </w14:textFill>
        </w:rPr>
        <w:t xml:space="preserve"> </w:t>
      </w:r>
      <w:r>
        <w:rPr>
          <w:rFonts w:hint="eastAsia" w:ascii="宋体" w:hAnsi="宋体" w:eastAsia="宋体" w:cs="宋体"/>
          <w:b w:val="0"/>
          <w:color w:val="000000" w:themeColor="text1"/>
          <w:kern w:val="24"/>
          <w:sz w:val="24"/>
          <w:szCs w:val="24"/>
          <w:highlight w:val="none"/>
          <w:u w:val="single"/>
          <w14:textFill>
            <w14:solidFill>
              <w14:schemeClr w14:val="tx1"/>
            </w14:solidFill>
          </w14:textFill>
        </w:rPr>
        <w:t xml:space="preserve">洛阳莘子园置业有限公司 </w:t>
      </w:r>
    </w:p>
    <w:p>
      <w:pPr>
        <w:spacing w:line="360" w:lineRule="auto"/>
        <w:ind w:firstLine="0" w:firstLineChars="0"/>
        <w:rPr>
          <w:rFonts w:hint="eastAsia" w:ascii="宋体" w:hAnsi="宋体" w:eastAsia="宋体" w:cs="宋体"/>
          <w:b w:val="0"/>
          <w:color w:val="000000" w:themeColor="text1"/>
          <w:kern w:val="24"/>
          <w:sz w:val="24"/>
          <w:szCs w:val="24"/>
          <w:highlight w:val="none"/>
          <w:u w:val="singl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乙方：</w:t>
      </w:r>
      <w:r>
        <w:rPr>
          <w:rFonts w:hint="eastAsia" w:ascii="宋体" w:hAnsi="宋体" w:eastAsia="宋体" w:cs="宋体"/>
          <w:b w:val="0"/>
          <w:bCs/>
          <w:color w:val="000000" w:themeColor="text1"/>
          <w:kern w:val="24"/>
          <w:sz w:val="24"/>
          <w:szCs w:val="24"/>
          <w:highlight w:val="none"/>
          <w:u w:val="single"/>
          <w14:textFill>
            <w14:solidFill>
              <w14:schemeClr w14:val="tx1"/>
            </w14:solidFill>
          </w14:textFill>
        </w:rPr>
        <w:t>洛阳龙羽电气设备有限公司</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为加强工程项目建设期间的廉政管理，确保项目高效优质按期竣工，甲、乙双方经协商签定本协议并</w:t>
      </w:r>
      <w:r>
        <w:rPr>
          <w:rFonts w:hint="eastAsia" w:ascii="宋体" w:hAnsi="宋体" w:cs="宋体"/>
          <w:b w:val="0"/>
          <w:color w:val="000000" w:themeColor="text1"/>
          <w:kern w:val="24"/>
          <w:sz w:val="24"/>
          <w:szCs w:val="24"/>
          <w:highlight w:val="none"/>
          <w:lang w:val="en-US" w:eastAsia="zh-CN"/>
          <w14:textFill>
            <w14:solidFill>
              <w14:schemeClr w14:val="tx1"/>
            </w14:solidFill>
          </w14:textFill>
        </w:rPr>
        <w:t>作</w:t>
      </w:r>
      <w:r>
        <w:rPr>
          <w:rFonts w:hint="eastAsia" w:ascii="宋体" w:hAnsi="宋体" w:eastAsia="宋体" w:cs="宋体"/>
          <w:b w:val="0"/>
          <w:color w:val="000000" w:themeColor="text1"/>
          <w:kern w:val="24"/>
          <w:sz w:val="24"/>
          <w:szCs w:val="24"/>
          <w:highlight w:val="none"/>
          <w14:textFill>
            <w14:solidFill>
              <w14:schemeClr w14:val="tx1"/>
            </w14:solidFill>
          </w14:textFill>
        </w:rPr>
        <w:t>为双方共同遵守的廉政行为准则。</w:t>
      </w:r>
    </w:p>
    <w:p>
      <w:pPr>
        <w:spacing w:line="360" w:lineRule="auto"/>
        <w:ind w:firstLine="480" w:firstLineChars="200"/>
        <w:rPr>
          <w:rFonts w:hint="eastAsia" w:ascii="宋体" w:hAnsi="宋体" w:eastAsia="宋体" w:cs="宋体"/>
          <w:b w:val="0"/>
          <w:bCs/>
          <w:color w:val="000000" w:themeColor="text1"/>
          <w:kern w:val="24"/>
          <w:sz w:val="24"/>
          <w:szCs w:val="24"/>
          <w:highlight w:val="none"/>
          <w14:textFill>
            <w14:solidFill>
              <w14:schemeClr w14:val="tx1"/>
            </w14:solidFill>
          </w14:textFill>
        </w:rPr>
      </w:pPr>
      <w:r>
        <w:rPr>
          <w:rFonts w:hint="eastAsia" w:ascii="宋体" w:hAnsi="宋体" w:eastAsia="宋体" w:cs="宋体"/>
          <w:b w:val="0"/>
          <w:bCs/>
          <w:color w:val="000000" w:themeColor="text1"/>
          <w:kern w:val="24"/>
          <w:sz w:val="24"/>
          <w:szCs w:val="24"/>
          <w:highlight w:val="none"/>
          <w14:textFill>
            <w14:solidFill>
              <w14:schemeClr w14:val="tx1"/>
            </w14:solidFill>
          </w14:textFill>
        </w:rPr>
        <w:t>一、甲方责任</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1．甲方有责任向乙方介绍本单位有关廉政管理的各项制度和规定。</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2．甲方有责任对本单位项目管理人员进行廉政教育。</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3．甲方人员应严格遵守本单位有关廉政管理的规定，不得接受乙方的宴请，不得接受任何形式的实物、现金或礼券。</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4．甲方在项目建设期间发现甲方人员任何形式的索贿受贿行为，均应及时采取措施予以制止，并及时通报乙方单位领导。</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5．甲方人员如违反廉政管理制度及本协议规定，甲方应视情节轻重、影响大小给予处罚。</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6．对于乙方举报甲方人员违反廉政规定的情况，甲方应及时进行调查，根据调查情况进行处理。</w:t>
      </w:r>
    </w:p>
    <w:p>
      <w:pPr>
        <w:spacing w:line="360" w:lineRule="auto"/>
        <w:ind w:firstLine="480" w:firstLineChars="200"/>
        <w:rPr>
          <w:rFonts w:hint="eastAsia" w:ascii="宋体" w:hAnsi="宋体" w:eastAsia="宋体" w:cs="宋体"/>
          <w:b w:val="0"/>
          <w:bCs/>
          <w:color w:val="000000" w:themeColor="text1"/>
          <w:kern w:val="24"/>
          <w:sz w:val="24"/>
          <w:szCs w:val="24"/>
          <w:highlight w:val="none"/>
          <w14:textFill>
            <w14:solidFill>
              <w14:schemeClr w14:val="tx1"/>
            </w14:solidFill>
          </w14:textFill>
        </w:rPr>
      </w:pPr>
      <w:r>
        <w:rPr>
          <w:rFonts w:hint="eastAsia" w:ascii="宋体" w:hAnsi="宋体" w:eastAsia="宋体" w:cs="宋体"/>
          <w:b w:val="0"/>
          <w:bCs/>
          <w:color w:val="000000" w:themeColor="text1"/>
          <w:kern w:val="24"/>
          <w:sz w:val="24"/>
          <w:szCs w:val="24"/>
          <w:highlight w:val="none"/>
          <w14:textFill>
            <w14:solidFill>
              <w14:schemeClr w14:val="tx1"/>
            </w14:solidFill>
          </w14:textFill>
        </w:rPr>
        <w:t>二、乙方责任</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1．乙方应保证乙方有关人员了解甲方有关廉政管理的各项制度及本协议的规定，并遵照执行。</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2．乙方不得宴请甲方人员，不得以任何形式赠送实物、现金或礼券。</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3．乙方在项目建设期间发现乙方人员任何向甲方人员行贿行为，均应及时采取措施予以制止，并及时通报甲方单位领导。</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4．乙方有责任接受甲方对乙方在项目建设期间廉政管理执行情况的监督。</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6．如因乙方或其人员在项目建设期间贿赂甲方人员，被</w:t>
      </w:r>
      <w:r>
        <w:rPr>
          <w:rFonts w:hint="eastAsia" w:ascii="宋体" w:hAnsi="宋体" w:cs="宋体"/>
          <w:b w:val="0"/>
          <w:color w:val="000000" w:themeColor="text1"/>
          <w:kern w:val="24"/>
          <w:sz w:val="24"/>
          <w:szCs w:val="24"/>
          <w:highlight w:val="none"/>
          <w:lang w:val="en-US" w:eastAsia="zh-CN"/>
          <w14:textFill>
            <w14:solidFill>
              <w14:schemeClr w14:val="tx1"/>
            </w14:solidFill>
          </w14:textFill>
        </w:rPr>
        <w:t>检察</w:t>
      </w:r>
      <w:r>
        <w:rPr>
          <w:rFonts w:hint="eastAsia" w:ascii="宋体" w:hAnsi="宋体" w:eastAsia="宋体" w:cs="宋体"/>
          <w:b w:val="0"/>
          <w:color w:val="000000" w:themeColor="text1"/>
          <w:kern w:val="24"/>
          <w:sz w:val="24"/>
          <w:szCs w:val="24"/>
          <w:highlight w:val="none"/>
          <w14:textFill>
            <w14:solidFill>
              <w14:schemeClr w14:val="tx1"/>
            </w14:solidFill>
          </w14:textFill>
        </w:rPr>
        <w:t>机关立案查处的，甲方有权中止合同履行或解除合同，由此给甲方造成的损失，均由乙方负责赔偿。</w:t>
      </w:r>
    </w:p>
    <w:p>
      <w:pPr>
        <w:spacing w:line="360" w:lineRule="auto"/>
        <w:ind w:firstLine="480" w:firstLineChars="200"/>
        <w:rPr>
          <w:rFonts w:hint="eastAsia" w:ascii="宋体" w:hAnsi="宋体" w:eastAsia="宋体" w:cs="宋体"/>
          <w:b w:val="0"/>
          <w:bCs/>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highlight w:val="none"/>
          <w14:textFill>
            <w14:solidFill>
              <w14:schemeClr w14:val="tx1"/>
            </w14:solidFill>
          </w14:textFill>
        </w:rPr>
        <w:drawing>
          <wp:anchor distT="0" distB="0" distL="114300" distR="114300" simplePos="0" relativeHeight="251660288" behindDoc="0" locked="0" layoutInCell="1" allowOverlap="1">
            <wp:simplePos x="0" y="0"/>
            <wp:positionH relativeFrom="column">
              <wp:posOffset>4116070</wp:posOffset>
            </wp:positionH>
            <wp:positionV relativeFrom="paragraph">
              <wp:posOffset>535940</wp:posOffset>
            </wp:positionV>
            <wp:extent cx="1272540" cy="1272540"/>
            <wp:effectExtent l="0" t="0" r="3810" b="3810"/>
            <wp:wrapNone/>
            <wp:docPr id="1" name="图片 3"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32dc313b898daf07a491037a11ba2c8"/>
                    <pic:cNvPicPr>
                      <a:picLocks noChangeAspect="1"/>
                    </pic:cNvPicPr>
                  </pic:nvPicPr>
                  <pic:blipFill>
                    <a:blip r:embed="rId7"/>
                    <a:stretch>
                      <a:fillRect/>
                    </a:stretch>
                  </pic:blipFill>
                  <pic:spPr>
                    <a:xfrm>
                      <a:off x="0" y="0"/>
                      <a:ext cx="1272540" cy="1272540"/>
                    </a:xfrm>
                    <a:prstGeom prst="rect">
                      <a:avLst/>
                    </a:prstGeom>
                    <a:noFill/>
                    <a:ln>
                      <a:noFill/>
                    </a:ln>
                  </pic:spPr>
                </pic:pic>
              </a:graphicData>
            </a:graphic>
          </wp:anchor>
        </w:drawing>
      </w:r>
      <w:r>
        <w:rPr>
          <w:rFonts w:hint="eastAsia" w:ascii="宋体" w:hAnsi="宋体" w:eastAsia="宋体" w:cs="宋体"/>
          <w:b w:val="0"/>
          <w:bCs/>
          <w:color w:val="000000" w:themeColor="text1"/>
          <w:kern w:val="24"/>
          <w:sz w:val="24"/>
          <w:szCs w:val="24"/>
          <w:highlight w:val="none"/>
          <w14:textFill>
            <w14:solidFill>
              <w14:schemeClr w14:val="tx1"/>
            </w14:solidFill>
          </w14:textFill>
        </w:rPr>
        <w:t>三、为维护甲乙双方的合法利益，营造良好的商务环境，甲方建立多种举报渠道（如下）。甲方审计监察人员将恪守职业道德，严格履行保密义务！</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（1）电话：王先生：18638357973</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（2）电话：杨先生：15670305910</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（3）邮箱：hddcfkb@Foxmail.com</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（4）直接和审计监察人员约定场所当面举报。</w:t>
      </w:r>
    </w:p>
    <w:p>
      <w:pPr>
        <w:spacing w:line="360" w:lineRule="auto"/>
        <w:ind w:firstLine="480" w:firstLineChars="200"/>
        <w:rPr>
          <w:rFonts w:hint="eastAsia" w:ascii="宋体" w:hAnsi="宋体" w:eastAsia="宋体" w:cs="宋体"/>
          <w:b w:val="0"/>
          <w:bCs/>
          <w:color w:val="000000" w:themeColor="text1"/>
          <w:kern w:val="24"/>
          <w:sz w:val="24"/>
          <w:szCs w:val="24"/>
          <w:highlight w:val="none"/>
          <w14:textFill>
            <w14:solidFill>
              <w14:schemeClr w14:val="tx1"/>
            </w14:solidFill>
          </w14:textFill>
        </w:rPr>
      </w:pPr>
      <w:r>
        <w:rPr>
          <w:rFonts w:hint="eastAsia" w:ascii="宋体" w:hAnsi="宋体" w:eastAsia="宋体" w:cs="宋体"/>
          <w:b w:val="0"/>
          <w:bCs/>
          <w:color w:val="000000" w:themeColor="text1"/>
          <w:kern w:val="24"/>
          <w:sz w:val="24"/>
          <w:szCs w:val="24"/>
          <w:highlight w:val="none"/>
          <w14:textFill>
            <w14:solidFill>
              <w14:schemeClr w14:val="tx1"/>
            </w14:solidFill>
          </w14:textFill>
        </w:rPr>
        <w:t>四、甲乙双方发现对方工作人员有下列行为之一的，可通过第三条约定的渠道进行举报：</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1.推诿扯皮、有责不负、处事消极、渎职失职、弄虚作假等行为。</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2.以权谋私、滥用职权、处事不公、隐瞒事故、违章指挥造成公司严重事故隐患的行为。</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3.贪污、受贿、盗窃、欺上瞒下等违法乱纪行为。</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4.出卖、泄露公司商业机密等危害公司行为。</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5.重大经济活动未按公司制度、流程执行的违规违纪行为。</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6.利用职权，任人唯亲，拉帮结派，搞小利益团体或对同事正当行使权利进行打击报复的行为。</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7.故意涂改公司文件或以公司名义谋私利，损害公司荣誉和利益的行为。</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8.私自侵占、挪用公司财物，损坏公司重要设备或资产的行为。</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9.破坏团队和谐，故意挑拨员工之间关系，对同事恶意侮辱、陷害、制造事端的行为。</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10.妄议集团经营、管理、决策部署、会议决议，对正当行使职权的执法部门、员工进行设置障碍、诋毁、恶意侮辱的行为。</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11.其它违反法律或者招标人公司相关制度的行为。</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（以下无正文）</w:t>
      </w:r>
    </w:p>
    <w:p>
      <w:pPr>
        <w:spacing w:line="360" w:lineRule="auto"/>
        <w:ind w:firstLine="480" w:firstLineChars="200"/>
        <w:rPr>
          <w:rFonts w:hint="eastAsia" w:ascii="宋体" w:hAnsi="宋体" w:eastAsia="宋体" w:cs="宋体"/>
          <w:b w:val="0"/>
          <w:color w:val="000000" w:themeColor="text1"/>
          <w:kern w:val="24"/>
          <w:sz w:val="24"/>
          <w:szCs w:val="24"/>
          <w:highlight w:val="none"/>
          <w14:textFill>
            <w14:solidFill>
              <w14:schemeClr w14:val="tx1"/>
            </w14:solidFill>
          </w14:textFill>
        </w:rPr>
      </w:pPr>
    </w:p>
    <w:p>
      <w:pPr>
        <w:spacing w:line="360" w:lineRule="auto"/>
        <w:rPr>
          <w:rFonts w:hint="eastAsia" w:ascii="宋体" w:hAnsi="宋体" w:eastAsia="宋体" w:cs="宋体"/>
          <w:b w:val="0"/>
          <w:color w:val="000000" w:themeColor="text1"/>
          <w:kern w:val="24"/>
          <w:sz w:val="24"/>
          <w:szCs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 xml:space="preserve">甲方：洛阳莘子园置业有限公司         乙方：洛阳龙羽电气设备有限公司 </w:t>
      </w:r>
    </w:p>
    <w:p>
      <w:pPr>
        <w:pStyle w:val="3"/>
        <w:rPr>
          <w:rFonts w:hint="eastAsia" w:ascii="宋体" w:hAnsi="宋体" w:eastAsia="宋体" w:cs="宋体"/>
          <w:color w:val="000000" w:themeColor="text1"/>
          <w:kern w:val="24"/>
          <w:sz w:val="24"/>
          <w:highlight w:val="none"/>
          <w14:textFill>
            <w14:solidFill>
              <w14:schemeClr w14:val="tx1"/>
            </w14:solidFill>
          </w14:textFill>
        </w:rPr>
      </w:pPr>
      <w:r>
        <w:rPr>
          <w:rFonts w:hint="eastAsia" w:ascii="宋体" w:hAnsi="宋体" w:eastAsia="宋体" w:cs="宋体"/>
          <w:b w:val="0"/>
          <w:color w:val="000000" w:themeColor="text1"/>
          <w:kern w:val="24"/>
          <w:sz w:val="24"/>
          <w:szCs w:val="24"/>
          <w:highlight w:val="none"/>
          <w14:textFill>
            <w14:solidFill>
              <w14:schemeClr w14:val="tx1"/>
            </w14:solidFill>
          </w14:textFill>
        </w:rPr>
        <w:t>签署日期：2021年</w:t>
      </w:r>
      <w:r>
        <w:rPr>
          <w:rFonts w:hint="eastAsia" w:hAnsi="宋体" w:cs="宋体"/>
          <w:b w:val="0"/>
          <w:color w:val="000000" w:themeColor="text1"/>
          <w:kern w:val="24"/>
          <w:sz w:val="24"/>
          <w:szCs w:val="24"/>
          <w:highlight w:val="none"/>
          <w:lang w:val="en-US" w:eastAsia="zh-CN"/>
          <w14:textFill>
            <w14:solidFill>
              <w14:schemeClr w14:val="tx1"/>
            </w14:solidFill>
          </w14:textFill>
        </w:rPr>
        <w:t>07</w:t>
      </w:r>
      <w:r>
        <w:rPr>
          <w:rFonts w:hint="eastAsia" w:ascii="宋体" w:hAnsi="宋体" w:eastAsia="宋体" w:cs="宋体"/>
          <w:b w:val="0"/>
          <w:color w:val="000000" w:themeColor="text1"/>
          <w:kern w:val="24"/>
          <w:sz w:val="24"/>
          <w:szCs w:val="24"/>
          <w:highlight w:val="none"/>
          <w14:textFill>
            <w14:solidFill>
              <w14:schemeClr w14:val="tx1"/>
            </w14:solidFill>
          </w14:textFill>
        </w:rPr>
        <w:t>月</w:t>
      </w:r>
      <w:r>
        <w:rPr>
          <w:rFonts w:hint="eastAsia" w:hAnsi="宋体" w:cs="宋体"/>
          <w:b w:val="0"/>
          <w:color w:val="000000" w:themeColor="text1"/>
          <w:kern w:val="24"/>
          <w:sz w:val="24"/>
          <w:szCs w:val="24"/>
          <w:highlight w:val="none"/>
          <w:lang w:val="en-US" w:eastAsia="zh-CN"/>
          <w14:textFill>
            <w14:solidFill>
              <w14:schemeClr w14:val="tx1"/>
            </w14:solidFill>
          </w14:textFill>
        </w:rPr>
        <w:t xml:space="preserve">  </w:t>
      </w:r>
      <w:r>
        <w:rPr>
          <w:rFonts w:hint="eastAsia" w:ascii="宋体" w:hAnsi="宋体" w:eastAsia="宋体" w:cs="宋体"/>
          <w:b w:val="0"/>
          <w:color w:val="000000" w:themeColor="text1"/>
          <w:kern w:val="24"/>
          <w:sz w:val="24"/>
          <w:szCs w:val="24"/>
          <w:highlight w:val="none"/>
          <w14:textFill>
            <w14:solidFill>
              <w14:schemeClr w14:val="tx1"/>
            </w14:solidFill>
          </w14:textFill>
        </w:rPr>
        <w:t xml:space="preserve">日           </w:t>
      </w:r>
      <w:r>
        <w:rPr>
          <w:rFonts w:hint="eastAsia" w:hAnsi="宋体" w:cs="宋体"/>
          <w:b w:val="0"/>
          <w:color w:val="000000" w:themeColor="text1"/>
          <w:kern w:val="24"/>
          <w:sz w:val="24"/>
          <w:szCs w:val="24"/>
          <w:highlight w:val="none"/>
          <w:lang w:val="en-US" w:eastAsia="zh-CN"/>
          <w14:textFill>
            <w14:solidFill>
              <w14:schemeClr w14:val="tx1"/>
            </w14:solidFill>
          </w14:textFill>
        </w:rPr>
        <w:t xml:space="preserve">  </w:t>
      </w:r>
      <w:r>
        <w:rPr>
          <w:rFonts w:hint="eastAsia" w:ascii="宋体" w:hAnsi="宋体" w:eastAsia="宋体" w:cs="宋体"/>
          <w:b w:val="0"/>
          <w:color w:val="000000" w:themeColor="text1"/>
          <w:kern w:val="24"/>
          <w:sz w:val="24"/>
          <w:szCs w:val="24"/>
          <w:highlight w:val="none"/>
          <w14:textFill>
            <w14:solidFill>
              <w14:schemeClr w14:val="tx1"/>
            </w14:solidFill>
          </w14:textFill>
        </w:rPr>
        <w:t>签署日期：2021年</w:t>
      </w:r>
      <w:r>
        <w:rPr>
          <w:rFonts w:hint="eastAsia" w:hAnsi="宋体" w:cs="宋体"/>
          <w:b w:val="0"/>
          <w:color w:val="000000" w:themeColor="text1"/>
          <w:kern w:val="24"/>
          <w:sz w:val="24"/>
          <w:szCs w:val="24"/>
          <w:highlight w:val="none"/>
          <w:lang w:val="en-US" w:eastAsia="zh-CN"/>
          <w14:textFill>
            <w14:solidFill>
              <w14:schemeClr w14:val="tx1"/>
            </w14:solidFill>
          </w14:textFill>
        </w:rPr>
        <w:t>07</w:t>
      </w:r>
      <w:r>
        <w:rPr>
          <w:rFonts w:hint="eastAsia" w:ascii="宋体" w:hAnsi="宋体" w:eastAsia="宋体" w:cs="宋体"/>
          <w:b w:val="0"/>
          <w:color w:val="000000" w:themeColor="text1"/>
          <w:kern w:val="24"/>
          <w:sz w:val="24"/>
          <w:szCs w:val="24"/>
          <w:highlight w:val="none"/>
          <w14:textFill>
            <w14:solidFill>
              <w14:schemeClr w14:val="tx1"/>
            </w14:solidFill>
          </w14:textFill>
        </w:rPr>
        <w:t>月</w:t>
      </w:r>
      <w:r>
        <w:rPr>
          <w:rFonts w:hint="eastAsia" w:hAnsi="宋体" w:cs="宋体"/>
          <w:b w:val="0"/>
          <w:color w:val="000000" w:themeColor="text1"/>
          <w:kern w:val="24"/>
          <w:sz w:val="24"/>
          <w:szCs w:val="24"/>
          <w:highlight w:val="none"/>
          <w:lang w:val="en-US" w:eastAsia="zh-CN"/>
          <w14:textFill>
            <w14:solidFill>
              <w14:schemeClr w14:val="tx1"/>
            </w14:solidFill>
          </w14:textFill>
        </w:rPr>
        <w:t xml:space="preserve">  </w:t>
      </w:r>
      <w:r>
        <w:rPr>
          <w:rFonts w:hint="eastAsia" w:ascii="宋体" w:hAnsi="宋体" w:eastAsia="宋体" w:cs="宋体"/>
          <w:b w:val="0"/>
          <w:color w:val="000000" w:themeColor="text1"/>
          <w:kern w:val="24"/>
          <w:sz w:val="24"/>
          <w:szCs w:val="24"/>
          <w:highlight w:val="none"/>
          <w14:textFill>
            <w14:solidFill>
              <w14:schemeClr w14:val="tx1"/>
            </w14:solidFill>
          </w14:textFill>
        </w:rPr>
        <w:t>日</w:t>
      </w:r>
    </w:p>
    <w:sectPr>
      <w:pgSz w:w="11906" w:h="16838"/>
      <w:pgMar w:top="1304" w:right="1304" w:bottom="1304" w:left="1304" w:header="851" w:footer="850" w:gutter="0"/>
      <w:pgNumType w:fmt="decimal"/>
      <w:cols w:space="0" w:num="1"/>
      <w:rtlGutter w:val="0"/>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45</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45</w:t>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BD5757"/>
    <w:multiLevelType w:val="multilevel"/>
    <w:tmpl w:val="57BD5757"/>
    <w:lvl w:ilvl="0" w:tentative="0">
      <w:start w:val="0"/>
      <w:numFmt w:val="decimal"/>
      <w:lvlText w:val=""/>
      <w:lvlJc w:val="left"/>
    </w:lvl>
    <w:lvl w:ilvl="1" w:tentative="0">
      <w:start w:val="0"/>
      <w:numFmt w:val="decimal"/>
      <w:pStyle w:val="7"/>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45634F"/>
    <w:rsid w:val="01732154"/>
    <w:rsid w:val="07163076"/>
    <w:rsid w:val="0F3F137B"/>
    <w:rsid w:val="11F70B47"/>
    <w:rsid w:val="15925893"/>
    <w:rsid w:val="175B3852"/>
    <w:rsid w:val="1B114691"/>
    <w:rsid w:val="1B93391F"/>
    <w:rsid w:val="1F3736BD"/>
    <w:rsid w:val="27A4484C"/>
    <w:rsid w:val="28C85F82"/>
    <w:rsid w:val="2C44096C"/>
    <w:rsid w:val="2F924B0B"/>
    <w:rsid w:val="330938B2"/>
    <w:rsid w:val="33533EA4"/>
    <w:rsid w:val="387D3871"/>
    <w:rsid w:val="3C0D3CDD"/>
    <w:rsid w:val="3CF069D1"/>
    <w:rsid w:val="472A6009"/>
    <w:rsid w:val="490B60FF"/>
    <w:rsid w:val="4C857EE4"/>
    <w:rsid w:val="4CAA175D"/>
    <w:rsid w:val="4CF8594F"/>
    <w:rsid w:val="532B3CD3"/>
    <w:rsid w:val="5345634F"/>
    <w:rsid w:val="53BA412D"/>
    <w:rsid w:val="59327700"/>
    <w:rsid w:val="5BF16006"/>
    <w:rsid w:val="61647FA9"/>
    <w:rsid w:val="62C86023"/>
    <w:rsid w:val="652503CA"/>
    <w:rsid w:val="6B8039B1"/>
    <w:rsid w:val="70F72CDF"/>
    <w:rsid w:val="737F7EE8"/>
    <w:rsid w:val="75BC3CA0"/>
    <w:rsid w:val="78C30BB9"/>
    <w:rsid w:val="78F20BAF"/>
    <w:rsid w:val="795C3FE6"/>
    <w:rsid w:val="799B5127"/>
    <w:rsid w:val="7AFC7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nhideWhenUsed="0" w:uiPriority="6"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6"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6" w:semiHidden="0" w:name="Body Text"/>
    <w:lsdException w:qFormat="1" w:unhideWhenUsed="0" w:uiPriority="6"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7"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7"/>
    <w:pPr>
      <w:widowControl w:val="0"/>
      <w:jc w:val="both"/>
    </w:pPr>
    <w:rPr>
      <w:rFonts w:ascii="Times New Roman" w:hAnsi="Times New Roman" w:eastAsia="宋体" w:cs="Calibri"/>
      <w:color w:val="000000"/>
      <w:sz w:val="21"/>
      <w:szCs w:val="22"/>
      <w:lang w:val="en-US" w:eastAsia="zh-CN" w:bidi="ar-SA"/>
    </w:rPr>
  </w:style>
  <w:style w:type="paragraph" w:styleId="7">
    <w:name w:val="heading 2"/>
    <w:basedOn w:val="1"/>
    <w:next w:val="1"/>
    <w:qFormat/>
    <w:uiPriority w:val="6"/>
    <w:pPr>
      <w:keepNext/>
      <w:keepLines/>
      <w:numPr>
        <w:ilvl w:val="1"/>
        <w:numId w:val="1"/>
      </w:numPr>
      <w:spacing w:before="160" w:after="160" w:line="160" w:lineRule="atLeast"/>
      <w:ind w:left="851" w:hanging="284"/>
      <w:outlineLvl w:val="1"/>
    </w:pPr>
    <w:rPr>
      <w:rFonts w:ascii="黑体" w:hAnsi="黑体" w:eastAsia="黑体"/>
      <w:sz w:val="28"/>
      <w:szCs w:val="20"/>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6"/>
    <w:pPr>
      <w:spacing w:line="360" w:lineRule="auto"/>
    </w:pPr>
    <w:rPr>
      <w:rFonts w:ascii="Times New Roman" w:hAnsi="Times New Roman" w:cs="Times New Roman"/>
      <w:kern w:val="1"/>
      <w:sz w:val="24"/>
      <w:szCs w:val="20"/>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qFormat/>
    <w:uiPriority w:val="0"/>
    <w:pPr>
      <w:ind w:left="0" w:leftChars="0" w:firstLine="0" w:firstLineChars="0"/>
    </w:pPr>
  </w:style>
  <w:style w:type="paragraph" w:styleId="6">
    <w:name w:val="Body Text Indent"/>
    <w:basedOn w:val="1"/>
    <w:next w:val="2"/>
    <w:qFormat/>
    <w:uiPriority w:val="6"/>
    <w:pPr>
      <w:ind w:firstLine="645"/>
    </w:pPr>
    <w:rPr>
      <w:rFonts w:ascii="宋体" w:hAnsi="宋体"/>
      <w:kern w:val="1"/>
      <w:sz w:val="32"/>
      <w:szCs w:val="20"/>
    </w:rPr>
  </w:style>
  <w:style w:type="paragraph" w:styleId="8">
    <w:name w:val="footer"/>
    <w:basedOn w:val="1"/>
    <w:qFormat/>
    <w:uiPriority w:val="99"/>
    <w:pPr>
      <w:tabs>
        <w:tab w:val="center" w:pos="4153"/>
        <w:tab w:val="right" w:pos="8306"/>
      </w:tabs>
      <w:jc w:val="left"/>
    </w:pPr>
    <w:rPr>
      <w:kern w:val="1"/>
      <w:sz w:val="18"/>
      <w:szCs w:val="18"/>
    </w:rPr>
  </w:style>
  <w:style w:type="paragraph" w:styleId="9">
    <w:name w:val="header"/>
    <w:basedOn w:val="1"/>
    <w:qFormat/>
    <w:uiPriority w:val="6"/>
    <w:pPr>
      <w:pBdr>
        <w:bottom w:val="single" w:color="000000" w:sz="6" w:space="1"/>
      </w:pBdr>
      <w:tabs>
        <w:tab w:val="center" w:pos="4153"/>
        <w:tab w:val="right" w:pos="8306"/>
      </w:tabs>
      <w:jc w:val="center"/>
    </w:pPr>
    <w:rPr>
      <w:kern w:val="1"/>
      <w:sz w:val="18"/>
      <w:szCs w:val="18"/>
    </w:rPr>
  </w:style>
  <w:style w:type="paragraph" w:styleId="10">
    <w:name w:val="Normal (Web)"/>
    <w:basedOn w:val="1"/>
    <w:qFormat/>
    <w:uiPriority w:val="7"/>
    <w:pPr>
      <w:widowControl/>
      <w:spacing w:before="100" w:beforeAutospacing="1" w:after="100" w:afterAutospacing="1"/>
      <w:jc w:val="left"/>
    </w:pPr>
    <w:rPr>
      <w:rFonts w:ascii="宋体" w:hAnsi="宋体"/>
      <w:sz w:val="24"/>
      <w:szCs w:val="24"/>
    </w:rPr>
  </w:style>
  <w:style w:type="paragraph" w:customStyle="1" w:styleId="13">
    <w:name w:val="正文1"/>
    <w:basedOn w:val="1"/>
    <w:qFormat/>
    <w:uiPriority w:val="0"/>
    <w:pPr>
      <w:ind w:firstLine="200" w:firstLineChars="200"/>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2021-07-13T11:17:00Z</dcterms:created>
  <dc:creator>Administrator</dc:creator>
  <cp:lastModifiedBy>Administrator</cp:lastModifiedBy>
  <dcterms:modified xsi:type="dcterms:W3CDTF">2021-07-18T22:34:24Z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42F554C3578E4D62B30FA0B4C102F2E1</vt:lpwstr>
  </property>
</Properties>
</file>