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 w:val="28"/>
          <w:szCs w:val="28"/>
          <w:highlight w:val="none"/>
          <w14:textFill>
            <w14:solidFill>
              <w14:schemeClr w14:val="tx1"/>
            </w14:solidFill>
          </w14:textFill>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Style w:val="13"/>
          <w:rFonts w:ascii="宋体" w:hAnsi="宋体"/>
          <w:b/>
          <w:bCs/>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宋体" w:hAnsi="宋体" w:cs="宋体"/>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lang w:eastAsia="zh-CN"/>
          <w14:textFill>
            <w14:solidFill>
              <w14:schemeClr w14:val="tx1"/>
            </w14:solidFill>
          </w14:textFill>
        </w:rPr>
        <w:t>开元壹号</w:t>
      </w:r>
      <w:r>
        <w:rPr>
          <w:rFonts w:hint="eastAsia" w:ascii="宋体" w:hAnsi="宋体" w:cs="宋体"/>
          <w:b/>
          <w:bCs/>
          <w:color w:val="000000" w:themeColor="text1"/>
          <w:sz w:val="44"/>
          <w:szCs w:val="44"/>
          <w:highlight w:val="none"/>
          <w:lang w:val="en-US" w:eastAsia="zh-CN"/>
          <w14:textFill>
            <w14:solidFill>
              <w14:schemeClr w14:val="tx1"/>
            </w14:solidFill>
          </w14:textFill>
        </w:rPr>
        <w:t>62#地块一期</w:t>
      </w:r>
      <w:r>
        <w:rPr>
          <w:rFonts w:hint="eastAsia" w:ascii="宋体" w:hAnsi="宋体" w:cs="宋体"/>
          <w:b/>
          <w:bCs/>
          <w:color w:val="000000" w:themeColor="text1"/>
          <w:sz w:val="44"/>
          <w:szCs w:val="44"/>
          <w:highlight w:val="none"/>
          <w14:textFill>
            <w14:solidFill>
              <w14:schemeClr w14:val="tx1"/>
            </w14:solidFill>
          </w14:textFill>
        </w:rPr>
        <w:t>栏杆百叶制作及安装工程</w:t>
      </w:r>
      <w:r>
        <w:rPr>
          <w:rFonts w:hint="eastAsia" w:ascii="宋体" w:hAnsi="宋体" w:cs="宋体"/>
          <w:b/>
          <w:bCs/>
          <w:color w:val="000000" w:themeColor="text1"/>
          <w:sz w:val="44"/>
          <w:highlight w:val="none"/>
          <w14:textFill>
            <w14:solidFill>
              <w14:schemeClr w14:val="tx1"/>
            </w14:solidFill>
          </w14:textFill>
        </w:rPr>
        <w:t>施工合同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b/>
          <w:bCs/>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bCs/>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b/>
          <w:color w:val="000000" w:themeColor="text1"/>
          <w:szCs w:val="24"/>
          <w:highlight w:val="none"/>
          <w14:textFill>
            <w14:solidFill>
              <w14:schemeClr w14:val="tx1"/>
            </w14:solidFill>
          </w14:textFill>
        </w:rPr>
      </w:pPr>
    </w:p>
    <w:p>
      <w:pPr>
        <w:pStyle w:val="2"/>
        <w:rPr>
          <w:rFonts w:ascii="宋体" w:hAnsi="宋体" w:cs="宋体"/>
          <w:b/>
          <w:color w:val="000000" w:themeColor="text1"/>
          <w:szCs w:val="24"/>
          <w:highlight w:val="none"/>
          <w14:textFill>
            <w14:solidFill>
              <w14:schemeClr w14:val="tx1"/>
            </w14:solidFill>
          </w14:textFill>
        </w:rPr>
      </w:pPr>
    </w:p>
    <w:p>
      <w:pPr>
        <w:pStyle w:val="2"/>
        <w:rPr>
          <w:rFonts w:ascii="宋体" w:hAnsi="宋体" w:cs="宋体"/>
          <w:b/>
          <w:color w:val="000000" w:themeColor="text1"/>
          <w:szCs w:val="24"/>
          <w:highlight w:val="none"/>
          <w14:textFill>
            <w14:solidFill>
              <w14:schemeClr w14:val="tx1"/>
            </w14:solidFill>
          </w14:textFill>
        </w:rPr>
      </w:pPr>
    </w:p>
    <w:p>
      <w:pPr>
        <w:pStyle w:val="2"/>
        <w:rPr>
          <w:rFonts w:ascii="宋体" w:hAnsi="宋体" w:cs="宋体"/>
          <w:b/>
          <w:color w:val="000000" w:themeColor="text1"/>
          <w:szCs w:val="24"/>
          <w:highlight w:val="none"/>
          <w14:textFill>
            <w14:solidFill>
              <w14:schemeClr w14:val="tx1"/>
            </w14:solidFill>
          </w14:textFill>
        </w:rPr>
      </w:pPr>
    </w:p>
    <w:p>
      <w:pPr>
        <w:pStyle w:val="2"/>
        <w:rPr>
          <w:rFonts w:ascii="宋体" w:hAnsi="宋体" w:cs="宋体"/>
          <w:b/>
          <w:color w:val="000000" w:themeColor="text1"/>
          <w:szCs w:val="24"/>
          <w:highlight w:val="none"/>
          <w14:textFill>
            <w14:solidFill>
              <w14:schemeClr w14:val="tx1"/>
            </w14:solidFill>
          </w14:textFill>
        </w:rPr>
      </w:pPr>
    </w:p>
    <w:p>
      <w:pPr>
        <w:pStyle w:val="2"/>
        <w:rPr>
          <w:rFonts w:ascii="宋体" w:hAnsi="宋体" w:cs="宋体"/>
          <w:b/>
          <w:color w:val="000000" w:themeColor="text1"/>
          <w:szCs w:val="24"/>
          <w:highlight w:val="none"/>
          <w14:textFill>
            <w14:solidFill>
              <w14:schemeClr w14:val="tx1"/>
            </w14:solidFill>
          </w14:textFill>
        </w:rPr>
      </w:pPr>
    </w:p>
    <w:p>
      <w:pPr>
        <w:pStyle w:val="2"/>
        <w:rPr>
          <w:rFonts w:ascii="宋体" w:hAnsi="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2100" w:firstLineChars="700"/>
        <w:jc w:val="both"/>
        <w:textAlignment w:val="auto"/>
        <w:outlineLvl w:val="9"/>
        <w:rPr>
          <w:rFonts w:hint="default"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成本代码：</w:t>
      </w:r>
      <w:r>
        <w:rPr>
          <w:rFonts w:hint="eastAsia" w:ascii="宋体" w:hAnsi="宋体" w:cs="宋体"/>
          <w:color w:val="000000" w:themeColor="text1"/>
          <w:sz w:val="30"/>
          <w:szCs w:val="30"/>
          <w:highlight w:val="none"/>
          <w:lang w:val="en-US" w:eastAsia="zh-CN"/>
          <w14:textFill>
            <w14:solidFill>
              <w14:schemeClr w14:val="tx1"/>
            </w14:solidFill>
          </w14:textFill>
        </w:rPr>
        <w:t>3.2.1.10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00" w:firstLineChars="700"/>
        <w:jc w:val="both"/>
        <w:textAlignment w:val="auto"/>
        <w:outlineLvl w:val="9"/>
        <w:rPr>
          <w:rFonts w:hint="default"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合同编号：</w:t>
      </w:r>
      <w:r>
        <w:rPr>
          <w:rFonts w:hint="eastAsia" w:ascii="宋体" w:hAnsi="宋体" w:cs="宋体"/>
          <w:color w:val="000000" w:themeColor="text1"/>
          <w:sz w:val="30"/>
          <w:szCs w:val="30"/>
          <w:highlight w:val="none"/>
          <w:lang w:val="en-US" w:eastAsia="zh-CN"/>
          <w14:textFill>
            <w14:solidFill>
              <w14:schemeClr w14:val="tx1"/>
            </w14:solidFill>
          </w14:textFill>
        </w:rPr>
        <w:t>KYYH.62-JA-096</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00" w:firstLineChars="700"/>
        <w:jc w:val="both"/>
        <w:textAlignment w:val="auto"/>
        <w:outlineLvl w:val="9"/>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甲方</w:t>
      </w:r>
      <w:r>
        <w:rPr>
          <w:rFonts w:hint="eastAsia" w:ascii="宋体" w:hAnsi="宋体" w:cs="宋体"/>
          <w:color w:val="000000" w:themeColor="text1"/>
          <w:sz w:val="30"/>
          <w:szCs w:val="30"/>
          <w:highlight w:val="none"/>
          <w:lang w:eastAsia="zh-CN"/>
          <w14:textFill>
            <w14:solidFill>
              <w14:schemeClr w14:val="tx1"/>
            </w14:solidFill>
          </w14:textFill>
        </w:rPr>
        <w:t>：</w:t>
      </w:r>
      <w:r>
        <w:rPr>
          <w:rFonts w:hint="eastAsia" w:ascii="宋体" w:hAnsi="宋体" w:cs="宋体"/>
          <w:color w:val="000000" w:themeColor="text1"/>
          <w:sz w:val="30"/>
          <w:szCs w:val="30"/>
          <w:highlight w:val="none"/>
          <w:u w:val="single"/>
          <w:lang w:val="en-US" w:eastAsia="zh-CN"/>
          <w14:textFill>
            <w14:solidFill>
              <w14:schemeClr w14:val="tx1"/>
            </w14:solidFill>
          </w14:textFill>
        </w:rPr>
        <w:t xml:space="preserve"> </w:t>
      </w:r>
      <w:r>
        <w:rPr>
          <w:rFonts w:hint="eastAsia" w:ascii="宋体" w:hAnsi="宋体" w:cs="宋体"/>
          <w:color w:val="000000" w:themeColor="text1"/>
          <w:sz w:val="30"/>
          <w:szCs w:val="30"/>
          <w:highlight w:val="none"/>
          <w:u w:val="single"/>
          <w14:textFill>
            <w14:solidFill>
              <w14:schemeClr w14:val="tx1"/>
            </w14:solidFill>
          </w14:textFill>
        </w:rPr>
        <w:t>洛阳浩德鑫置地有限公司</w:t>
      </w:r>
      <w:r>
        <w:rPr>
          <w:rFonts w:hint="eastAsia" w:ascii="宋体" w:hAnsi="宋体" w:cs="宋体"/>
          <w:color w:val="000000" w:themeColor="text1"/>
          <w:sz w:val="30"/>
          <w:szCs w:val="30"/>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00" w:firstLineChars="700"/>
        <w:jc w:val="both"/>
        <w:textAlignment w:val="auto"/>
        <w:outlineLvl w:val="9"/>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乙方</w:t>
      </w:r>
      <w:r>
        <w:rPr>
          <w:rFonts w:hint="eastAsia" w:ascii="宋体" w:hAnsi="宋体" w:cs="宋体"/>
          <w:color w:val="000000" w:themeColor="text1"/>
          <w:sz w:val="30"/>
          <w:szCs w:val="30"/>
          <w:highlight w:val="none"/>
          <w:lang w:eastAsia="zh-CN"/>
          <w14:textFill>
            <w14:solidFill>
              <w14:schemeClr w14:val="tx1"/>
            </w14:solidFill>
          </w14:textFill>
        </w:rPr>
        <w:t>：</w:t>
      </w:r>
      <w:r>
        <w:rPr>
          <w:rFonts w:hint="eastAsia" w:ascii="宋体" w:hAnsi="宋体" w:cs="宋体"/>
          <w:color w:val="000000" w:themeColor="text1"/>
          <w:sz w:val="30"/>
          <w:szCs w:val="30"/>
          <w:highlight w:val="none"/>
          <w:u w:val="single"/>
          <w:lang w:eastAsia="zh-CN"/>
          <w14:textFill>
            <w14:solidFill>
              <w14:schemeClr w14:val="tx1"/>
            </w14:solidFill>
          </w14:textFill>
        </w:rPr>
        <w:t>河南安华金属制品有限公司</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00" w:firstLineChars="700"/>
        <w:jc w:val="both"/>
        <w:textAlignment w:val="auto"/>
        <w:outlineLvl w:val="9"/>
        <w:rPr>
          <w:rFonts w:hint="default" w:eastAsia="宋体"/>
          <w:b w:val="0"/>
          <w:bCs/>
          <w:color w:val="000000" w:themeColor="text1"/>
          <w:sz w:val="30"/>
          <w:szCs w:val="30"/>
          <w:highlight w:val="none"/>
          <w:u w:val="single"/>
          <w:lang w:val="en-US" w:eastAsia="zh-CN"/>
          <w14:textFill>
            <w14:solidFill>
              <w14:schemeClr w14:val="tx1"/>
            </w14:solidFill>
          </w14:textFill>
        </w:rPr>
      </w:pPr>
      <w:r>
        <w:rPr>
          <w:rFonts w:hint="eastAsia"/>
          <w:b w:val="0"/>
          <w:bCs/>
          <w:color w:val="000000" w:themeColor="text1"/>
          <w:sz w:val="30"/>
          <w:szCs w:val="30"/>
          <w:highlight w:val="none"/>
          <w14:textFill>
            <w14:solidFill>
              <w14:schemeClr w14:val="tx1"/>
            </w14:solidFill>
          </w14:textFill>
        </w:rPr>
        <w:t>签订时间：</w:t>
      </w:r>
      <w:r>
        <w:rPr>
          <w:rFonts w:hint="eastAsia"/>
          <w:b w:val="0"/>
          <w:bCs/>
          <w:color w:val="000000" w:themeColor="text1"/>
          <w:sz w:val="30"/>
          <w:szCs w:val="30"/>
          <w:highlight w:val="none"/>
          <w:u w:val="single"/>
          <w:lang w:val="en-US" w:eastAsia="zh-CN"/>
          <w14:textFill>
            <w14:solidFill>
              <w14:schemeClr w14:val="tx1"/>
            </w14:solidFill>
          </w14:textFill>
        </w:rPr>
        <w:t xml:space="preserve">  2021年08月  日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cs="宋体"/>
          <w:color w:val="000000" w:themeColor="text1"/>
          <w:szCs w:val="24"/>
          <w:highlight w:val="none"/>
          <w14:textFill>
            <w14:solidFill>
              <w14:schemeClr w14:val="tx1"/>
            </w14:solidFill>
          </w14:textFill>
        </w:rPr>
      </w:pPr>
    </w:p>
    <w:p>
      <w:pPr>
        <w:widowControl/>
        <w:spacing w:line="360" w:lineRule="auto"/>
        <w:jc w:val="center"/>
        <w:rPr>
          <w:rFonts w:hint="eastAsia" w:ascii="宋体" w:hAnsi="宋体" w:cs="宋体"/>
          <w:b/>
          <w:bCs/>
          <w:color w:val="000000" w:themeColor="text1"/>
          <w:sz w:val="32"/>
          <w:szCs w:val="32"/>
          <w:highlight w:val="none"/>
          <w14:textFill>
            <w14:solidFill>
              <w14:schemeClr w14:val="tx1"/>
            </w14:solidFill>
          </w14:textFill>
        </w:rPr>
        <w:sectPr>
          <w:headerReference r:id="rId3" w:type="default"/>
          <w:pgSz w:w="11906" w:h="16838"/>
          <w:pgMar w:top="1304" w:right="1304" w:bottom="1304" w:left="1304" w:header="851" w:footer="850" w:gutter="0"/>
          <w:cols w:space="425" w:num="1"/>
          <w:docGrid w:type="lines" w:linePitch="312" w:charSpace="0"/>
        </w:sectPr>
      </w:pPr>
    </w:p>
    <w:p>
      <w:pPr>
        <w:widowControl/>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开元壹号62#地块一期栏杆百叶制作及安装工程施工合同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spacing w:val="0"/>
          <w:kern w:val="24"/>
          <w:sz w:val="24"/>
          <w:szCs w:val="24"/>
          <w:highlight w:val="none"/>
          <w:lang w:val="en-US" w:eastAsia="zh-CN"/>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甲方（全称）：</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pacing w:val="0"/>
          <w:kern w:val="24"/>
          <w:sz w:val="24"/>
          <w:szCs w:val="24"/>
          <w:highlight w:val="none"/>
          <w:u w:val="single"/>
          <w14:textFill>
            <w14:solidFill>
              <w14:schemeClr w14:val="tx1"/>
            </w14:solidFill>
          </w14:textFill>
        </w:rPr>
        <w:t>洛阳浩德鑫置地有限公司</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cs="宋体"/>
          <w:color w:val="000000" w:themeColor="text1"/>
          <w:spacing w:val="0"/>
          <w:kern w:val="24"/>
          <w:sz w:val="24"/>
          <w:szCs w:val="24"/>
          <w:highlight w:val="none"/>
          <w:u w:val="singl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乙方（全称）：</w:t>
      </w:r>
      <w:r>
        <w:rPr>
          <w:rFonts w:hint="eastAsia" w:ascii="宋体" w:hAnsi="宋体" w:cs="宋体"/>
          <w:color w:val="000000" w:themeColor="text1"/>
          <w:spacing w:val="0"/>
          <w:kern w:val="24"/>
          <w:sz w:val="24"/>
          <w:szCs w:val="24"/>
          <w:highlight w:val="none"/>
          <w:u w:val="single"/>
          <w:lang w:eastAsia="zh-CN"/>
          <w14:textFill>
            <w14:solidFill>
              <w14:schemeClr w14:val="tx1"/>
            </w14:solidFill>
          </w14:textFill>
        </w:rPr>
        <w:t>河南安华金属制品有限公司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依照《中华人民共和国</w:t>
      </w:r>
      <w:r>
        <w:rPr>
          <w:rFonts w:hint="eastAsia" w:ascii="宋体" w:hAnsi="宋体" w:cs="宋体"/>
          <w:color w:val="000000" w:themeColor="text1"/>
          <w:spacing w:val="0"/>
          <w:kern w:val="24"/>
          <w:sz w:val="24"/>
          <w:szCs w:val="24"/>
          <w:highlight w:val="none"/>
          <w:lang w:eastAsia="zh-CN"/>
          <w14:textFill>
            <w14:solidFill>
              <w14:schemeClr w14:val="tx1"/>
            </w14:solidFill>
          </w14:textFill>
        </w:rPr>
        <w:t>民法典</w:t>
      </w:r>
      <w:r>
        <w:rPr>
          <w:rFonts w:hint="eastAsia" w:ascii="宋体" w:hAnsi="宋体" w:cs="宋体"/>
          <w:color w:val="000000" w:themeColor="text1"/>
          <w:spacing w:val="0"/>
          <w:kern w:val="24"/>
          <w:sz w:val="24"/>
          <w:szCs w:val="24"/>
          <w:highlight w:val="none"/>
          <w14:textFill>
            <w14:solidFill>
              <w14:schemeClr w14:val="tx1"/>
            </w14:solidFill>
          </w14:textFill>
        </w:rPr>
        <w:t>》、《中华人民共和国建筑法》及其他有关法律、行政法规，遵循平等、自愿、公平和诚实信用的原则，双方就本工程施工事项协商一致，订立本合同。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color w:val="000000" w:themeColor="text1"/>
          <w:spacing w:val="0"/>
          <w:kern w:val="24"/>
          <w:sz w:val="24"/>
          <w:szCs w:val="24"/>
          <w:highlight w:val="none"/>
          <w14:textFill>
            <w14:solidFill>
              <w14:schemeClr w14:val="tx1"/>
            </w14:solidFill>
          </w14:textFill>
        </w:rPr>
      </w:pPr>
      <w:r>
        <w:rPr>
          <w:rFonts w:hint="eastAsia" w:ascii="宋体" w:hAnsi="宋体" w:cs="宋体"/>
          <w:b/>
          <w:color w:val="000000" w:themeColor="text1"/>
          <w:spacing w:val="0"/>
          <w:kern w:val="24"/>
          <w:sz w:val="24"/>
          <w:szCs w:val="24"/>
          <w:highlight w:val="none"/>
          <w14:textFill>
            <w14:solidFill>
              <w14:schemeClr w14:val="tx1"/>
            </w14:solidFill>
          </w14:textFill>
        </w:rPr>
        <w:t>一、工程概况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工程名称：开元壹号6</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2</w:t>
      </w:r>
      <w:r>
        <w:rPr>
          <w:rFonts w:hint="eastAsia" w:ascii="宋体" w:hAnsi="宋体" w:cs="宋体"/>
          <w:color w:val="000000" w:themeColor="text1"/>
          <w:spacing w:val="0"/>
          <w:kern w:val="24"/>
          <w:sz w:val="24"/>
          <w:szCs w:val="24"/>
          <w:highlight w:val="none"/>
          <w14:textFill>
            <w14:solidFill>
              <w14:schemeClr w14:val="tx1"/>
            </w14:solidFill>
          </w14:textFill>
        </w:rPr>
        <w:t>#地块栏杆百叶制作安装工程。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工程地点：洛阳市</w:t>
      </w:r>
      <w:r>
        <w:rPr>
          <w:rFonts w:hint="eastAsia" w:ascii="宋体" w:hAnsi="宋体" w:cs="宋体"/>
          <w:color w:val="000000" w:themeColor="text1"/>
          <w:spacing w:val="0"/>
          <w:kern w:val="24"/>
          <w:sz w:val="24"/>
          <w:szCs w:val="24"/>
          <w:highlight w:val="none"/>
          <w:lang w:eastAsia="zh-CN"/>
          <w14:textFill>
            <w14:solidFill>
              <w14:schemeClr w14:val="tx1"/>
            </w14:solidFill>
          </w14:textFill>
        </w:rPr>
        <w:t>洛龙区钱江路与蔡伦路交叉口东北角</w:t>
      </w:r>
      <w:r>
        <w:rPr>
          <w:rFonts w:hint="eastAsia" w:ascii="宋体" w:hAnsi="宋体" w:cs="宋体"/>
          <w:color w:val="000000" w:themeColor="text1"/>
          <w:spacing w:val="0"/>
          <w:kern w:val="24"/>
          <w:sz w:val="24"/>
          <w:szCs w:val="24"/>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2" w:firstLineChars="200"/>
        <w:jc w:val="both"/>
        <w:textAlignment w:val="auto"/>
        <w:outlineLvl w:val="9"/>
        <w:rPr>
          <w:rFonts w:ascii="宋体" w:hAnsi="宋体" w:cs="宋体"/>
          <w:b/>
          <w:color w:val="000000" w:themeColor="text1"/>
          <w:spacing w:val="0"/>
          <w:kern w:val="24"/>
          <w:sz w:val="24"/>
          <w:szCs w:val="24"/>
          <w:highlight w:val="none"/>
          <w14:textFill>
            <w14:solidFill>
              <w14:schemeClr w14:val="tx1"/>
            </w14:solidFill>
          </w14:textFill>
        </w:rPr>
      </w:pPr>
      <w:r>
        <w:rPr>
          <w:rFonts w:hint="eastAsia" w:ascii="宋体" w:hAnsi="宋体" w:cs="宋体"/>
          <w:b/>
          <w:color w:val="000000" w:themeColor="text1"/>
          <w:spacing w:val="0"/>
          <w:kern w:val="24"/>
          <w:sz w:val="24"/>
          <w:szCs w:val="24"/>
          <w:highlight w:val="none"/>
          <w:lang w:eastAsia="zh-CN"/>
          <w14:textFill>
            <w14:solidFill>
              <w14:schemeClr w14:val="tx1"/>
            </w14:solidFill>
          </w14:textFill>
        </w:rPr>
        <w:t>二、</w:t>
      </w:r>
      <w:r>
        <w:rPr>
          <w:rFonts w:hint="eastAsia" w:ascii="宋体" w:hAnsi="宋体" w:cs="宋体"/>
          <w:b/>
          <w:color w:val="000000" w:themeColor="text1"/>
          <w:spacing w:val="0"/>
          <w:kern w:val="24"/>
          <w:sz w:val="24"/>
          <w:szCs w:val="24"/>
          <w:highlight w:val="none"/>
          <w14:textFill>
            <w14:solidFill>
              <w14:schemeClr w14:val="tx1"/>
            </w14:solidFill>
          </w14:textFill>
        </w:rPr>
        <w:t>工程承包范围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b/>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开元壹号6</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2#</w:t>
      </w:r>
      <w:r>
        <w:rPr>
          <w:rFonts w:hint="eastAsia" w:ascii="宋体" w:hAnsi="宋体" w:cs="宋体"/>
          <w:color w:val="000000" w:themeColor="text1"/>
          <w:spacing w:val="0"/>
          <w:kern w:val="24"/>
          <w:sz w:val="24"/>
          <w:szCs w:val="24"/>
          <w:highlight w:val="none"/>
          <w14:textFill>
            <w14:solidFill>
              <w14:schemeClr w14:val="tx1"/>
            </w14:solidFill>
          </w14:textFill>
        </w:rPr>
        <w:t>地</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块一期</w:t>
      </w:r>
      <w:r>
        <w:rPr>
          <w:rFonts w:hint="eastAsia" w:ascii="宋体" w:hAnsi="宋体" w:cs="宋体"/>
          <w:color w:val="000000" w:themeColor="text1"/>
          <w:spacing w:val="0"/>
          <w:kern w:val="24"/>
          <w:sz w:val="24"/>
          <w:szCs w:val="24"/>
          <w:highlight w:val="none"/>
          <w14:textFill>
            <w14:solidFill>
              <w14:schemeClr w14:val="tx1"/>
            </w14:solidFill>
          </w14:textFill>
        </w:rPr>
        <w:t>栏杆百叶制作安装。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三、</w:t>
      </w:r>
      <w:r>
        <w:rPr>
          <w:rFonts w:hint="eastAsia" w:ascii="宋体" w:hAnsi="宋体" w:cs="宋体"/>
          <w:b/>
          <w:bCs/>
          <w:color w:val="000000" w:themeColor="text1"/>
          <w:spacing w:val="0"/>
          <w:kern w:val="24"/>
          <w:sz w:val="24"/>
          <w:szCs w:val="24"/>
          <w:highlight w:val="none"/>
          <w14:textFill>
            <w14:solidFill>
              <w14:schemeClr w14:val="tx1"/>
            </w14:solidFill>
          </w14:textFill>
        </w:rPr>
        <w:t>承包方式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本工程包工包料、包质量、包工期、包安全、包通过验收直至交付使用。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cs="宋体"/>
          <w:b/>
          <w:color w:val="000000" w:themeColor="text1"/>
          <w:spacing w:val="0"/>
          <w:kern w:val="24"/>
          <w:sz w:val="24"/>
          <w:szCs w:val="24"/>
          <w:highlight w:val="none"/>
          <w14:textFill>
            <w14:solidFill>
              <w14:schemeClr w14:val="tx1"/>
            </w14:solidFill>
          </w14:textFill>
        </w:rPr>
      </w:pPr>
      <w:r>
        <w:rPr>
          <w:rFonts w:hint="eastAsia" w:ascii="宋体" w:hAnsi="宋体" w:cs="宋体"/>
          <w:b/>
          <w:color w:val="000000" w:themeColor="text1"/>
          <w:spacing w:val="0"/>
          <w:kern w:val="24"/>
          <w:sz w:val="24"/>
          <w:szCs w:val="24"/>
          <w:highlight w:val="none"/>
          <w14:textFill>
            <w14:solidFill>
              <w14:schemeClr w14:val="tx1"/>
            </w14:solidFill>
          </w14:textFill>
        </w:rPr>
        <w:t>四、工期要求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bCs/>
          <w:color w:val="000000" w:themeColor="text1"/>
          <w:spacing w:val="0"/>
          <w:kern w:val="24"/>
          <w:sz w:val="24"/>
          <w:szCs w:val="24"/>
          <w:highlight w:val="none"/>
          <w14:textFill>
            <w14:solidFill>
              <w14:schemeClr w14:val="tx1"/>
            </w14:solidFill>
          </w14:textFill>
        </w:rPr>
        <w:t>总工期为</w:t>
      </w:r>
      <w:r>
        <w:rPr>
          <w:rFonts w:hint="eastAsia" w:ascii="宋体" w:hAnsi="宋体" w:cs="宋体"/>
          <w:bCs/>
          <w:color w:val="000000" w:themeColor="text1"/>
          <w:spacing w:val="0"/>
          <w:kern w:val="24"/>
          <w:sz w:val="24"/>
          <w:szCs w:val="24"/>
          <w:highlight w:val="none"/>
          <w:u w:val="single"/>
          <w14:textFill>
            <w14:solidFill>
              <w14:schemeClr w14:val="tx1"/>
            </w14:solidFill>
          </w14:textFill>
        </w:rPr>
        <w:t xml:space="preserve"> </w:t>
      </w:r>
      <w:r>
        <w:rPr>
          <w:rFonts w:hint="eastAsia" w:ascii="宋体" w:hAnsi="宋体" w:cs="宋体"/>
          <w:bCs/>
          <w:color w:val="000000" w:themeColor="text1"/>
          <w:spacing w:val="0"/>
          <w:kern w:val="24"/>
          <w:sz w:val="24"/>
          <w:szCs w:val="24"/>
          <w:highlight w:val="none"/>
          <w:u w:val="single"/>
          <w:lang w:val="en-US" w:eastAsia="zh-CN"/>
          <w14:textFill>
            <w14:solidFill>
              <w14:schemeClr w14:val="tx1"/>
            </w14:solidFill>
          </w14:textFill>
        </w:rPr>
        <w:t>60</w:t>
      </w:r>
      <w:r>
        <w:rPr>
          <w:rFonts w:hint="eastAsia" w:ascii="宋体" w:hAnsi="宋体" w:cs="宋体"/>
          <w:bCs/>
          <w:color w:val="000000" w:themeColor="text1"/>
          <w:spacing w:val="0"/>
          <w:kern w:val="24"/>
          <w:sz w:val="24"/>
          <w:szCs w:val="24"/>
          <w:highlight w:val="none"/>
          <w:u w:val="single"/>
          <w14:textFill>
            <w14:solidFill>
              <w14:schemeClr w14:val="tx1"/>
            </w14:solidFill>
          </w14:textFill>
        </w:rPr>
        <w:t xml:space="preserve"> </w:t>
      </w:r>
      <w:r>
        <w:rPr>
          <w:rFonts w:hint="eastAsia" w:ascii="宋体" w:hAnsi="宋体" w:cs="宋体"/>
          <w:bCs/>
          <w:color w:val="000000" w:themeColor="text1"/>
          <w:spacing w:val="0"/>
          <w:kern w:val="24"/>
          <w:sz w:val="24"/>
          <w:szCs w:val="24"/>
          <w:highlight w:val="none"/>
          <w14:textFill>
            <w14:solidFill>
              <w14:schemeClr w14:val="tx1"/>
            </w14:solidFill>
          </w14:textFill>
        </w:rPr>
        <w:t>日历天，</w:t>
      </w:r>
      <w:r>
        <w:rPr>
          <w:rFonts w:hint="eastAsia" w:ascii="宋体" w:hAnsi="宋体" w:cs="宋体"/>
          <w:bCs/>
          <w:color w:val="000000" w:themeColor="text1"/>
          <w:spacing w:val="0"/>
          <w:kern w:val="24"/>
          <w:sz w:val="24"/>
          <w:szCs w:val="24"/>
          <w:highlight w:val="none"/>
          <w:lang w:eastAsia="zh-CN"/>
          <w14:textFill>
            <w14:solidFill>
              <w14:schemeClr w14:val="tx1"/>
            </w14:solidFill>
          </w14:textFill>
        </w:rPr>
        <w:t>每栋楼</w:t>
      </w:r>
      <w:r>
        <w:rPr>
          <w:rFonts w:hint="eastAsia" w:ascii="宋体" w:hAnsi="宋体" w:cs="宋体"/>
          <w:color w:val="000000" w:themeColor="text1"/>
          <w:spacing w:val="0"/>
          <w:kern w:val="24"/>
          <w:sz w:val="24"/>
          <w:szCs w:val="24"/>
          <w:highlight w:val="none"/>
          <w14:textFill>
            <w14:solidFill>
              <w14:schemeClr w14:val="tx1"/>
            </w14:solidFill>
          </w14:textFill>
        </w:rPr>
        <w:t>具体开工时间以甲方</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工程师</w:t>
      </w:r>
      <w:r>
        <w:rPr>
          <w:rFonts w:hint="eastAsia" w:ascii="宋体" w:hAnsi="宋体" w:cs="宋体"/>
          <w:color w:val="000000" w:themeColor="text1"/>
          <w:spacing w:val="0"/>
          <w:kern w:val="24"/>
          <w:sz w:val="24"/>
          <w:szCs w:val="24"/>
          <w:highlight w:val="none"/>
          <w14:textFill>
            <w14:solidFill>
              <w14:schemeClr w14:val="tx1"/>
            </w14:solidFill>
          </w14:textFill>
        </w:rPr>
        <w:t>书面通知为准。</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五、合同方式及价格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olor w:val="000000" w:themeColor="text1"/>
          <w:sz w:val="24"/>
          <w:lang w:val="en-US" w:eastAsia="zh-CN"/>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1、合同方式：采用</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全费用</w:t>
      </w:r>
      <w:r>
        <w:rPr>
          <w:rFonts w:hint="eastAsia" w:ascii="宋体" w:hAnsi="宋体" w:cs="宋体"/>
          <w:color w:val="000000" w:themeColor="text1"/>
          <w:spacing w:val="0"/>
          <w:kern w:val="24"/>
          <w:sz w:val="24"/>
          <w:szCs w:val="24"/>
          <w:highlight w:val="none"/>
          <w14:textFill>
            <w14:solidFill>
              <w14:schemeClr w14:val="tx1"/>
            </w14:solidFill>
          </w14:textFill>
        </w:rPr>
        <w:t>综合单价暂定总价形式。</w:t>
      </w:r>
      <w:r>
        <w:rPr>
          <w:rFonts w:hint="eastAsia" w:ascii="宋体" w:hAnsi="宋体"/>
          <w:color w:val="000000" w:themeColor="text1"/>
          <w:sz w:val="24"/>
          <w:lang w:val="en-US" w:eastAsia="zh-CN"/>
          <w14:textFill>
            <w14:solidFill>
              <w14:schemeClr w14:val="tx1"/>
            </w14:solidFill>
          </w14:textFill>
        </w:rPr>
        <w:t>栏杆百叶主材材料调差，具体内容如下：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1.1、栏杆全费用综合单价仅对型钢管材材料调差：按照型钢管材料价</w:t>
      </w:r>
      <w:r>
        <w:rPr>
          <w:rFonts w:hint="eastAsia" w:ascii="宋体" w:hAnsi="宋体"/>
          <w:color w:val="000000" w:themeColor="text1"/>
          <w:sz w:val="24"/>
          <w:u w:val="single"/>
          <w:lang w:val="en-US" w:eastAsia="zh-CN"/>
          <w14:textFill>
            <w14:solidFill>
              <w14:schemeClr w14:val="tx1"/>
            </w14:solidFill>
          </w14:textFill>
        </w:rPr>
        <w:t>7,330.00元/吨</w:t>
      </w:r>
      <w:r>
        <w:rPr>
          <w:rFonts w:hint="eastAsia" w:ascii="宋体" w:hAnsi="宋体"/>
          <w:color w:val="000000" w:themeColor="text1"/>
          <w:sz w:val="24"/>
          <w:u w:val="none"/>
          <w:lang w:val="en-US" w:eastAsia="zh-CN"/>
          <w14:textFill>
            <w14:solidFill>
              <w14:schemeClr w14:val="tx1"/>
            </w14:solidFill>
          </w14:textFill>
        </w:rPr>
        <w:t>为基准价，</w:t>
      </w:r>
      <w:r>
        <w:rPr>
          <w:rFonts w:hint="eastAsia" w:ascii="宋体" w:hAnsi="宋体" w:cs="宋体"/>
          <w:color w:val="000000" w:themeColor="text1"/>
          <w:szCs w:val="24"/>
          <w14:textFill>
            <w14:solidFill>
              <w14:schemeClr w14:val="tx1"/>
            </w14:solidFill>
          </w14:textFill>
        </w:rPr>
        <w:t>根据甲方发出的书面实际供货通知之日</w:t>
      </w:r>
      <w:r>
        <w:rPr>
          <w:rFonts w:hint="eastAsia" w:ascii="宋体" w:hAnsi="宋体"/>
          <w:color w:val="000000" w:themeColor="text1"/>
          <w:sz w:val="24"/>
          <w:lang w:val="en-US" w:eastAsia="zh-CN"/>
          <w14:textFill>
            <w14:solidFill>
              <w14:schemeClr w14:val="tx1"/>
            </w14:solidFill>
          </w14:textFill>
        </w:rPr>
        <w:t>“我的钢铁网”型钢管材价格与上述基准价对比，涨跌幅</w:t>
      </w:r>
      <w:r>
        <w:rPr>
          <w:rFonts w:hint="eastAsia" w:ascii="宋体" w:hAnsi="宋体" w:cs="宋体"/>
          <w:color w:val="000000" w:themeColor="text1"/>
          <w:szCs w:val="24"/>
          <w14:textFill>
            <w14:solidFill>
              <w14:schemeClr w14:val="tx1"/>
            </w14:solidFill>
          </w14:textFill>
        </w:rPr>
        <w:t>≤</w:t>
      </w:r>
      <w:r>
        <w:rPr>
          <w:rFonts w:hint="eastAsia" w:ascii="宋体" w:hAnsi="宋体"/>
          <w:color w:val="000000" w:themeColor="text1"/>
          <w:sz w:val="24"/>
          <w:u w:val="single"/>
          <w:lang w:val="en-US" w:eastAsia="zh-CN"/>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（含3%）的，全费用综合单价中型钢管材价格不作调整，</w:t>
      </w:r>
      <w:r>
        <w:rPr>
          <w:rFonts w:hint="eastAsia" w:ascii="宋体" w:hAnsi="宋体" w:cs="宋体"/>
          <w:color w:val="000000" w:themeColor="text1"/>
          <w:szCs w:val="24"/>
          <w14:textFill>
            <w14:solidFill>
              <w14:schemeClr w14:val="tx1"/>
            </w14:solidFill>
          </w14:textFill>
        </w:rPr>
        <w:t>涨跌幅＞</w:t>
      </w:r>
      <w:r>
        <w:rPr>
          <w:rFonts w:hint="eastAsia" w:ascii="宋体" w:hAnsi="宋体" w:cs="宋体"/>
          <w:color w:val="000000" w:themeColor="text1"/>
          <w:szCs w:val="24"/>
          <w:u w:val="single"/>
          <w14:textFill>
            <w14:solidFill>
              <w14:schemeClr w14:val="tx1"/>
            </w14:solidFill>
          </w14:textFill>
        </w:rPr>
        <w:t>3%</w:t>
      </w:r>
      <w:r>
        <w:rPr>
          <w:rFonts w:hint="eastAsia" w:ascii="宋体" w:hAnsi="宋体" w:cs="宋体"/>
          <w:color w:val="000000" w:themeColor="text1"/>
          <w:szCs w:val="24"/>
          <w14:textFill>
            <w14:solidFill>
              <w14:schemeClr w14:val="tx1"/>
            </w14:solidFill>
          </w14:textFill>
        </w:rPr>
        <w:t>的</w:t>
      </w:r>
      <w:r>
        <w:rPr>
          <w:rFonts w:hint="eastAsia" w:ascii="宋体" w:hAnsi="宋体"/>
          <w:color w:val="000000" w:themeColor="text1"/>
          <w:sz w:val="24"/>
          <w:lang w:val="en-US" w:eastAsia="zh-CN"/>
          <w14:textFill>
            <w14:solidFill>
              <w14:schemeClr w14:val="tx1"/>
            </w14:solidFill>
          </w14:textFill>
        </w:rPr>
        <w:t>，根据超出</w:t>
      </w:r>
      <w:r>
        <w:rPr>
          <w:rFonts w:hint="eastAsia" w:ascii="宋体" w:hAnsi="宋体" w:cs="宋体"/>
          <w:color w:val="000000" w:themeColor="text1"/>
          <w:szCs w:val="24"/>
          <w14:textFill>
            <w14:solidFill>
              <w14:schemeClr w14:val="tx1"/>
            </w14:solidFill>
          </w14:textFill>
        </w:rPr>
        <w:t>基准价的价格</w:t>
      </w:r>
      <w:r>
        <w:rPr>
          <w:rFonts w:hint="eastAsia" w:ascii="宋体" w:hAnsi="宋体"/>
          <w:color w:val="000000" w:themeColor="text1"/>
          <w:sz w:val="24"/>
          <w:lang w:val="en-US" w:eastAsia="zh-CN"/>
          <w14:textFill>
            <w14:solidFill>
              <w14:schemeClr w14:val="tx1"/>
            </w14:solidFill>
          </w14:textFill>
        </w:rPr>
        <w:t>调整全费用综合单价中型钢管材价格。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1.2、百叶全费用综合单价仅对铝型材材料调差：按照铝锭原材料价</w:t>
      </w:r>
      <w:r>
        <w:rPr>
          <w:rFonts w:hint="eastAsia" w:ascii="宋体" w:hAnsi="宋体"/>
          <w:color w:val="000000" w:themeColor="text1"/>
          <w:sz w:val="24"/>
          <w:u w:val="single"/>
          <w:lang w:val="en-US" w:eastAsia="zh-CN"/>
          <w14:textFill>
            <w14:solidFill>
              <w14:schemeClr w14:val="tx1"/>
            </w14:solidFill>
          </w14:textFill>
        </w:rPr>
        <w:t>20,080.00元/吨</w:t>
      </w:r>
      <w:r>
        <w:rPr>
          <w:rFonts w:hint="eastAsia" w:ascii="宋体" w:hAnsi="宋体"/>
          <w:color w:val="000000" w:themeColor="text1"/>
          <w:sz w:val="24"/>
          <w:u w:val="none"/>
          <w:lang w:val="en-US" w:eastAsia="zh-CN"/>
          <w14:textFill>
            <w14:solidFill>
              <w14:schemeClr w14:val="tx1"/>
            </w14:solidFill>
          </w14:textFill>
        </w:rPr>
        <w:t>为基准价，</w:t>
      </w:r>
      <w:r>
        <w:rPr>
          <w:rFonts w:hint="eastAsia" w:ascii="宋体" w:hAnsi="宋体" w:cs="宋体"/>
          <w:color w:val="000000" w:themeColor="text1"/>
          <w:szCs w:val="24"/>
          <w14:textFill>
            <w14:solidFill>
              <w14:schemeClr w14:val="tx1"/>
            </w14:solidFill>
          </w14:textFill>
        </w:rPr>
        <w:t>根据甲方发出的书面实际供货通知之日</w:t>
      </w:r>
      <w:r>
        <w:rPr>
          <w:rFonts w:hint="eastAsia" w:ascii="宋体" w:hAnsi="宋体"/>
          <w:color w:val="000000" w:themeColor="text1"/>
          <w:sz w:val="24"/>
          <w:lang w:val="en-US" w:eastAsia="zh-CN"/>
          <w14:textFill>
            <w14:solidFill>
              <w14:schemeClr w14:val="tx1"/>
            </w14:solidFill>
          </w14:textFill>
        </w:rPr>
        <w:t>“南海灵通”</w:t>
      </w:r>
      <w:r>
        <w:rPr>
          <w:rFonts w:hint="eastAsia" w:ascii="宋体" w:hAnsi="宋体" w:cs="宋体"/>
          <w:color w:val="000000" w:themeColor="text1"/>
          <w:szCs w:val="24"/>
          <w14:textFill>
            <w14:solidFill>
              <w14:schemeClr w14:val="tx1"/>
            </w14:solidFill>
          </w14:textFill>
        </w:rPr>
        <w:t>铝锭期货价格</w:t>
      </w:r>
      <w:r>
        <w:rPr>
          <w:rFonts w:hint="eastAsia" w:ascii="宋体" w:hAnsi="宋体"/>
          <w:color w:val="000000" w:themeColor="text1"/>
          <w:sz w:val="24"/>
          <w:lang w:val="en-US" w:eastAsia="zh-CN"/>
          <w14:textFill>
            <w14:solidFill>
              <w14:schemeClr w14:val="tx1"/>
            </w14:solidFill>
          </w14:textFill>
        </w:rPr>
        <w:t>与上述基准价对比，涨跌幅</w:t>
      </w:r>
      <w:r>
        <w:rPr>
          <w:rFonts w:hint="eastAsia" w:ascii="宋体" w:hAnsi="宋体" w:cs="宋体"/>
          <w:color w:val="000000" w:themeColor="text1"/>
          <w:szCs w:val="24"/>
          <w14:textFill>
            <w14:solidFill>
              <w14:schemeClr w14:val="tx1"/>
            </w14:solidFill>
          </w14:textFill>
        </w:rPr>
        <w:t>≤</w:t>
      </w:r>
      <w:r>
        <w:rPr>
          <w:rFonts w:hint="eastAsia" w:ascii="宋体" w:hAnsi="宋体"/>
          <w:color w:val="000000" w:themeColor="text1"/>
          <w:sz w:val="24"/>
          <w:u w:val="single"/>
          <w:lang w:val="en-US" w:eastAsia="zh-CN"/>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（含3%）的，全费用综合单价中型钢管材价格不作调整，</w:t>
      </w:r>
      <w:r>
        <w:rPr>
          <w:rFonts w:hint="eastAsia" w:ascii="宋体" w:hAnsi="宋体" w:cs="宋体"/>
          <w:color w:val="000000" w:themeColor="text1"/>
          <w:szCs w:val="24"/>
          <w14:textFill>
            <w14:solidFill>
              <w14:schemeClr w14:val="tx1"/>
            </w14:solidFill>
          </w14:textFill>
        </w:rPr>
        <w:t>涨跌幅＞</w:t>
      </w:r>
      <w:r>
        <w:rPr>
          <w:rFonts w:hint="eastAsia" w:ascii="宋体" w:hAnsi="宋体" w:cs="宋体"/>
          <w:color w:val="000000" w:themeColor="text1"/>
          <w:szCs w:val="24"/>
          <w:u w:val="single"/>
          <w14:textFill>
            <w14:solidFill>
              <w14:schemeClr w14:val="tx1"/>
            </w14:solidFill>
          </w14:textFill>
        </w:rPr>
        <w:t>3%</w:t>
      </w:r>
      <w:r>
        <w:rPr>
          <w:rFonts w:hint="eastAsia" w:ascii="宋体" w:hAnsi="宋体" w:cs="宋体"/>
          <w:color w:val="000000" w:themeColor="text1"/>
          <w:szCs w:val="24"/>
          <w14:textFill>
            <w14:solidFill>
              <w14:schemeClr w14:val="tx1"/>
            </w14:solidFill>
          </w14:textFill>
        </w:rPr>
        <w:t>的</w:t>
      </w:r>
      <w:r>
        <w:rPr>
          <w:rFonts w:hint="eastAsia" w:ascii="宋体" w:hAnsi="宋体"/>
          <w:color w:val="000000" w:themeColor="text1"/>
          <w:sz w:val="24"/>
          <w:lang w:val="en-US" w:eastAsia="zh-CN"/>
          <w14:textFill>
            <w14:solidFill>
              <w14:schemeClr w14:val="tx1"/>
            </w14:solidFill>
          </w14:textFill>
        </w:rPr>
        <w:t>，根据超出</w:t>
      </w:r>
      <w:r>
        <w:rPr>
          <w:rFonts w:hint="eastAsia" w:ascii="宋体" w:hAnsi="宋体" w:cs="宋体"/>
          <w:color w:val="000000" w:themeColor="text1"/>
          <w:szCs w:val="24"/>
          <w14:textFill>
            <w14:solidFill>
              <w14:schemeClr w14:val="tx1"/>
            </w14:solidFill>
          </w14:textFill>
        </w:rPr>
        <w:t>基准价的价格</w:t>
      </w:r>
      <w:r>
        <w:rPr>
          <w:rFonts w:hint="eastAsia" w:ascii="宋体" w:hAnsi="宋体"/>
          <w:color w:val="000000" w:themeColor="text1"/>
          <w:sz w:val="24"/>
          <w:lang w:val="en-US" w:eastAsia="zh-CN"/>
          <w14:textFill>
            <w14:solidFill>
              <w14:schemeClr w14:val="tx1"/>
            </w14:solidFill>
          </w14:textFill>
        </w:rPr>
        <w:t>调整全费用综合单价中</w:t>
      </w:r>
      <w:r>
        <w:rPr>
          <w:rFonts w:hint="eastAsia" w:ascii="宋体" w:hAnsi="宋体" w:cs="宋体"/>
          <w:color w:val="000000" w:themeColor="text1"/>
          <w:szCs w:val="24"/>
          <w14:textFill>
            <w14:solidFill>
              <w14:schemeClr w14:val="tx1"/>
            </w14:solidFill>
          </w14:textFill>
        </w:rPr>
        <w:t>铝型材</w:t>
      </w:r>
      <w:r>
        <w:rPr>
          <w:rFonts w:hint="eastAsia" w:ascii="宋体" w:hAnsi="宋体"/>
          <w:color w:val="000000" w:themeColor="text1"/>
          <w:sz w:val="24"/>
          <w:lang w:val="en-US" w:eastAsia="zh-CN"/>
          <w14:textFill>
            <w14:solidFill>
              <w14:schemeClr w14:val="tx1"/>
            </w14:solidFill>
          </w14:textFill>
        </w:rPr>
        <w:t>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 合同价格：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pacing w:val="0"/>
          <w:kern w:val="24"/>
          <w:sz w:val="24"/>
          <w:szCs w:val="24"/>
          <w:highlight w:val="none"/>
          <w:lang w:eastAsia="zh-CN"/>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2.1、本合同暂定总价</w:t>
      </w:r>
      <w:r>
        <w:rPr>
          <w:rFonts w:hint="eastAsia" w:ascii="宋体" w:hAnsi="宋体" w:cs="宋体"/>
          <w:color w:val="000000" w:themeColor="text1"/>
          <w:spacing w:val="0"/>
          <w:kern w:val="24"/>
          <w:sz w:val="24"/>
          <w:szCs w:val="24"/>
          <w:highlight w:val="none"/>
          <w:lang w:eastAsia="zh-CN"/>
          <w14:textFill>
            <w14:solidFill>
              <w14:schemeClr w14:val="tx1"/>
            </w14:solidFill>
          </w14:textFill>
        </w:rPr>
        <w:t>为小写</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¥3,666,600.00元，大写：人民币叁佰陆拾陆万陆仟陆佰元整，其中不含税价款为小写¥3,363,853.21元，大写：人民币叁佰叁拾陆万叁仟捌佰伍拾叁元贰角壹分，税金为小写¥302,746.79元，大写：人民币叁拾万零贰仟柒佰肆拾陆元柒角玖分，税率为9%</w:t>
      </w:r>
      <w:r>
        <w:rPr>
          <w:rFonts w:hint="eastAsia" w:ascii="宋体" w:hAnsi="宋体" w:cs="宋体"/>
          <w:color w:val="000000" w:themeColor="text1"/>
          <w:spacing w:val="0"/>
          <w:kern w:val="24"/>
          <w:sz w:val="24"/>
          <w:szCs w:val="24"/>
          <w:highlight w:val="none"/>
          <w14:textFill>
            <w14:solidFill>
              <w14:schemeClr w14:val="tx1"/>
            </w14:solidFill>
          </w14:textFill>
        </w:rPr>
        <w:t>。</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工程量清单及报价详见合同附件一。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2.2、</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全费用综合</w:t>
      </w:r>
      <w:r>
        <w:rPr>
          <w:rFonts w:hint="eastAsia" w:ascii="宋体" w:hAnsi="宋体" w:cs="宋体"/>
          <w:color w:val="000000" w:themeColor="text1"/>
          <w:spacing w:val="0"/>
          <w:kern w:val="24"/>
          <w:sz w:val="24"/>
          <w:szCs w:val="24"/>
          <w:highlight w:val="none"/>
          <w14:textFill>
            <w14:solidFill>
              <w14:schemeClr w14:val="tx1"/>
            </w14:solidFill>
          </w14:textFill>
        </w:rPr>
        <w:t>单价中已包括但不限于承包范围内制作及安装工程设备和材料的购置、安装、调试、检测、办理验收手续及取得合格证所需费用、质保期内的维修费和保修期内所需的备品备件</w:t>
      </w:r>
      <w:r>
        <w:rPr>
          <w:rFonts w:hint="eastAsia" w:ascii="宋体" w:hAnsi="宋体" w:cs="宋体"/>
          <w:color w:val="000000" w:themeColor="text1"/>
          <w:spacing w:val="0"/>
          <w:kern w:val="24"/>
          <w:sz w:val="24"/>
          <w:szCs w:val="24"/>
          <w:highlight w:val="none"/>
          <w:lang w:eastAsia="zh-CN"/>
          <w14:textFill>
            <w14:solidFill>
              <w14:schemeClr w14:val="tx1"/>
            </w14:solidFill>
          </w14:textFill>
        </w:rPr>
        <w:t>费</w:t>
      </w:r>
      <w:r>
        <w:rPr>
          <w:rFonts w:hint="eastAsia" w:ascii="宋体" w:hAnsi="宋体" w:cs="宋体"/>
          <w:color w:val="000000" w:themeColor="text1"/>
          <w:spacing w:val="0"/>
          <w:kern w:val="24"/>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2.3、</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全费用综合</w:t>
      </w:r>
      <w:r>
        <w:rPr>
          <w:rFonts w:hint="eastAsia" w:ascii="宋体" w:hAnsi="宋体" w:cs="宋体"/>
          <w:color w:val="000000" w:themeColor="text1"/>
          <w:spacing w:val="0"/>
          <w:kern w:val="24"/>
          <w:sz w:val="24"/>
          <w:szCs w:val="24"/>
          <w:highlight w:val="none"/>
          <w14:textFill>
            <w14:solidFill>
              <w14:schemeClr w14:val="tx1"/>
            </w14:solidFill>
          </w14:textFill>
        </w:rPr>
        <w:t>单价中已包括但不限于完成承包范围内所有制作及安装工程的成本、利润、税金、措施费、规费（专项费用）、验收、风险费用等与之相关的所有费用。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六、施工技术及体系要求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 技术标准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本次工程内容执行国家现行相关工程建设法律、法规、强制性标准及相关技术规范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1.1、《建筑工程施工质量验收统一标准》GB50300-2013</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1.2、《建筑装饰装修工程质量验收规范》GB50210-2013</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1.3、《钢结构工程施工质量验收规范》GB50205-2001</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其他与本工程有关的现行工程技术、质量评定标准、施工验收标准及规范。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说明：（1）以上引用标准，如果已有更新标准，则执行新标准。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（2）以上只列出一些主要规范、标准，本项目涉及的有关内容按相应规范、标准执行。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以上所列的主要技术标准和规范，如未能达到国际或国内最新标准时，投标方应在设计、施工及选用设备和材料时按最近的国际或国内标准执行，并提供采用的国际或国内标准、规范和所应用的最新版本的有关技术依据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 xml:space="preserve">2、技术要求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（1）扶手杆与两端墙体应设置锚固脚，进行锚固。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（2）护窗栏杆、栏板栏杆竖向立杆间距小于等于110mm。</w:t>
      </w:r>
      <w:r>
        <w:rPr>
          <w:rFonts w:hint="eastAsia" w:ascii="宋体" w:hAnsi="宋体"/>
          <w:color w:val="000000" w:themeColor="text1"/>
          <w:spacing w:val="0"/>
          <w:kern w:val="24"/>
          <w:sz w:val="24"/>
          <w:szCs w:val="24"/>
          <w:highlight w:val="none"/>
          <w:lang w:val="en-US" w:eastAsia="zh-CN"/>
          <w14:textFill>
            <w14:solidFill>
              <w14:schemeClr w14:val="tx1"/>
            </w14:solidFill>
          </w14:textFill>
        </w:rPr>
        <w:t>所有立柱净间距应小于等于1200</w:t>
      </w:r>
      <w:r>
        <w:rPr>
          <w:rFonts w:hint="eastAsia" w:ascii="宋体" w:hAnsi="宋体"/>
          <w:color w:val="000000" w:themeColor="text1"/>
          <w:spacing w:val="0"/>
          <w:kern w:val="24"/>
          <w:sz w:val="24"/>
          <w:szCs w:val="24"/>
          <w:highlight w:val="none"/>
          <w14:textFill>
            <w14:solidFill>
              <w14:schemeClr w14:val="tx1"/>
            </w14:solidFill>
          </w14:textFill>
        </w:rPr>
        <w:t>mm</w:t>
      </w:r>
      <w:r>
        <w:rPr>
          <w:rFonts w:hint="eastAsia" w:ascii="宋体" w:hAnsi="宋体"/>
          <w:color w:val="000000" w:themeColor="text1"/>
          <w:spacing w:val="0"/>
          <w:kern w:val="24"/>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（3）所有焊口处均应使用二氧化碳保护焊。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（4）</w:t>
      </w:r>
      <w:r>
        <w:rPr>
          <w:rFonts w:ascii="宋体" w:hAnsi="宋体"/>
          <w:color w:val="000000" w:themeColor="text1"/>
          <w:spacing w:val="0"/>
          <w:kern w:val="24"/>
          <w:sz w:val="24"/>
          <w:highlight w:val="none"/>
          <w14:textFill>
            <w14:solidFill>
              <w14:schemeClr w14:val="tx1"/>
            </w14:solidFill>
          </w14:textFill>
        </w:rPr>
        <w:t>栏杆安装过程中包含防雷接地工作内容，防雷预埋不包含在施工内容中，与防雷预埋</w:t>
      </w:r>
      <w:r>
        <w:rPr>
          <w:rFonts w:hint="eastAsia" w:ascii="宋体" w:hAnsi="宋体"/>
          <w:color w:val="000000" w:themeColor="text1"/>
          <w:spacing w:val="0"/>
          <w:kern w:val="24"/>
          <w:sz w:val="24"/>
          <w:highlight w:val="none"/>
          <w14:textFill>
            <w14:solidFill>
              <w14:schemeClr w14:val="tx1"/>
            </w14:solidFill>
          </w14:textFill>
        </w:rPr>
        <w:t>连接相关的施工工程（包括但不限于材料费、安装费、人工费等一切费用）全部</w:t>
      </w:r>
      <w:r>
        <w:rPr>
          <w:rFonts w:ascii="宋体" w:hAnsi="宋体"/>
          <w:color w:val="000000" w:themeColor="text1"/>
          <w:spacing w:val="0"/>
          <w:kern w:val="24"/>
          <w:sz w:val="24"/>
          <w:highlight w:val="none"/>
          <w14:textFill>
            <w14:solidFill>
              <w14:schemeClr w14:val="tx1"/>
            </w14:solidFill>
          </w14:textFill>
        </w:rPr>
        <w:t>包含在</w:t>
      </w:r>
      <w:r>
        <w:rPr>
          <w:rFonts w:hint="eastAsia" w:ascii="宋体" w:hAnsi="宋体"/>
          <w:color w:val="000000" w:themeColor="text1"/>
          <w:spacing w:val="0"/>
          <w:kern w:val="24"/>
          <w:sz w:val="24"/>
          <w:highlight w:val="none"/>
          <w14:textFill>
            <w14:solidFill>
              <w14:schemeClr w14:val="tx1"/>
            </w14:solidFill>
          </w14:textFill>
        </w:rPr>
        <w:t>本合同</w:t>
      </w:r>
      <w:r>
        <w:rPr>
          <w:rFonts w:ascii="宋体" w:hAnsi="宋体"/>
          <w:color w:val="000000" w:themeColor="text1"/>
          <w:spacing w:val="0"/>
          <w:kern w:val="24"/>
          <w:sz w:val="24"/>
          <w:highlight w:val="none"/>
          <w14:textFill>
            <w14:solidFill>
              <w14:schemeClr w14:val="tx1"/>
            </w14:solidFill>
          </w14:textFill>
        </w:rPr>
        <w:t>总价中。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（5）栏杆底部、侧面与墙柱接触点处都应加装装饰盖板。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（6）铝合金百叶叶片净距不小于</w:t>
      </w:r>
      <w:r>
        <w:rPr>
          <w:rFonts w:hint="eastAsia" w:ascii="宋体" w:hAnsi="宋体"/>
          <w:color w:val="000000" w:themeColor="text1"/>
          <w:spacing w:val="0"/>
          <w:kern w:val="24"/>
          <w:sz w:val="24"/>
          <w:szCs w:val="24"/>
          <w:highlight w:val="none"/>
          <w:lang w:val="en-US" w:eastAsia="zh-CN"/>
          <w14:textFill>
            <w14:solidFill>
              <w14:schemeClr w14:val="tx1"/>
            </w14:solidFill>
          </w14:textFill>
        </w:rPr>
        <w:t>5</w:t>
      </w:r>
      <w:r>
        <w:rPr>
          <w:rFonts w:hint="eastAsia" w:ascii="宋体" w:hAnsi="宋体"/>
          <w:color w:val="000000" w:themeColor="text1"/>
          <w:spacing w:val="0"/>
          <w:kern w:val="24"/>
          <w:sz w:val="24"/>
          <w:szCs w:val="24"/>
          <w:highlight w:val="none"/>
          <w14:textFill>
            <w14:solidFill>
              <w14:schemeClr w14:val="tx1"/>
            </w14:solidFill>
          </w14:textFill>
        </w:rPr>
        <w:t>0mm，百叶同为</w:t>
      </w:r>
      <w:r>
        <w:rPr>
          <w:rFonts w:hint="eastAsia" w:ascii="宋体" w:hAnsi="宋体"/>
          <w:color w:val="000000" w:themeColor="text1"/>
          <w:spacing w:val="0"/>
          <w:kern w:val="24"/>
          <w:sz w:val="24"/>
          <w:szCs w:val="24"/>
          <w:highlight w:val="none"/>
          <w:lang w:eastAsia="zh-CN"/>
          <w14:textFill>
            <w14:solidFill>
              <w14:schemeClr w14:val="tx1"/>
            </w14:solidFill>
          </w14:textFill>
        </w:rPr>
        <w:t>褐色静电喷涂</w:t>
      </w:r>
      <w:r>
        <w:rPr>
          <w:rFonts w:hint="eastAsia" w:ascii="宋体" w:hAnsi="宋体"/>
          <w:color w:val="000000" w:themeColor="text1"/>
          <w:spacing w:val="0"/>
          <w:kern w:val="24"/>
          <w:sz w:val="24"/>
          <w:szCs w:val="24"/>
          <w:highlight w:val="none"/>
          <w14:textFill>
            <w14:solidFill>
              <w14:schemeClr w14:val="tx1"/>
            </w14:solidFill>
          </w14:textFill>
        </w:rPr>
        <w:t>铝合金片。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（7）空调格栅板安装方式及锚固节点应遵照图册05J624-1《百叶窗（一）》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（8）安装过程中如破坏粉刷层或污染墙面应修复破坏部分并恢复原状，产生垃圾自行清理。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lang w:val="en-US" w:eastAsia="zh-CN"/>
          <w14:textFill>
            <w14:solidFill>
              <w14:schemeClr w14:val="tx1"/>
            </w14:solidFill>
          </w14:textFill>
        </w:rPr>
        <w:t>3、</w:t>
      </w:r>
      <w:r>
        <w:rPr>
          <w:rFonts w:hint="eastAsia" w:ascii="宋体" w:hAnsi="宋体"/>
          <w:color w:val="000000" w:themeColor="text1"/>
          <w:spacing w:val="0"/>
          <w:kern w:val="24"/>
          <w:sz w:val="24"/>
          <w:szCs w:val="24"/>
          <w:highlight w:val="none"/>
          <w14:textFill>
            <w14:solidFill>
              <w14:schemeClr w14:val="tx1"/>
            </w14:solidFill>
          </w14:textFill>
        </w:rPr>
        <w:t>防锈措施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（1）对于栏杆所有焊接处，需做抛磨去毛刺处理。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（2）喷涂表面应使用静电喷涂法，在喷涂之前，管材必须进行磷化处理。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（3）在进行喷涂工艺之前应对管材已发生锈斑部分及油污部位进行打磨清除，并刷防锈漆。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lang w:val="en-US" w:eastAsia="zh-CN"/>
          <w14:textFill>
            <w14:solidFill>
              <w14:schemeClr w14:val="tx1"/>
            </w14:solidFill>
          </w14:textFill>
        </w:rPr>
        <w:t>4、</w:t>
      </w:r>
      <w:r>
        <w:rPr>
          <w:rFonts w:hint="eastAsia" w:ascii="宋体" w:hAnsi="宋体"/>
          <w:color w:val="000000" w:themeColor="text1"/>
          <w:spacing w:val="0"/>
          <w:kern w:val="24"/>
          <w:sz w:val="24"/>
          <w:szCs w:val="24"/>
          <w:highlight w:val="none"/>
          <w14:textFill>
            <w14:solidFill>
              <w14:schemeClr w14:val="tx1"/>
            </w14:solidFill>
          </w14:textFill>
        </w:rPr>
        <w:t>材质要求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（1）所用钢管为镀锌焊缝钢管，钢管内、外壁镀锌。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（2）钢管标注尺寸中厚度均</w:t>
      </w:r>
      <w:r>
        <w:rPr>
          <w:rFonts w:hint="eastAsia" w:ascii="宋体" w:hAnsi="宋体"/>
          <w:color w:val="000000" w:themeColor="text1"/>
          <w:spacing w:val="0"/>
          <w:kern w:val="24"/>
          <w:sz w:val="24"/>
          <w:szCs w:val="24"/>
          <w:highlight w:val="none"/>
          <w:lang w:eastAsia="zh-CN"/>
          <w14:textFill>
            <w14:solidFill>
              <w14:schemeClr w14:val="tx1"/>
            </w14:solidFill>
          </w14:textFill>
        </w:rPr>
        <w:t>应满足国家相关规范要求厚度尺寸偏差要求</w:t>
      </w:r>
      <w:r>
        <w:rPr>
          <w:rFonts w:hint="eastAsia" w:ascii="宋体" w:hAnsi="宋体"/>
          <w:color w:val="000000" w:themeColor="text1"/>
          <w:spacing w:val="0"/>
          <w:kern w:val="24"/>
          <w:sz w:val="24"/>
          <w:szCs w:val="24"/>
          <w:highlight w:val="none"/>
          <w14:textFill>
            <w14:solidFill>
              <w14:schemeClr w14:val="tx1"/>
            </w14:solidFill>
          </w14:textFill>
        </w:rPr>
        <w:t>，禁止使用下差管、扩口管。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（3）固定膨胀螺栓必须使用</w:t>
      </w:r>
      <w:r>
        <w:rPr>
          <w:rFonts w:hint="eastAsia" w:ascii="宋体" w:hAnsi="宋体"/>
          <w:color w:val="000000" w:themeColor="text1"/>
          <w:spacing w:val="0"/>
          <w:kern w:val="24"/>
          <w:sz w:val="24"/>
          <w:szCs w:val="24"/>
          <w:highlight w:val="none"/>
          <w:lang w:eastAsia="zh-CN"/>
          <w14:textFill>
            <w14:solidFill>
              <w14:schemeClr w14:val="tx1"/>
            </w14:solidFill>
          </w14:textFill>
        </w:rPr>
        <w:t>镀锌螺栓</w:t>
      </w:r>
      <w:r>
        <w:rPr>
          <w:rFonts w:hint="eastAsia" w:ascii="宋体" w:hAnsi="宋体"/>
          <w:color w:val="000000" w:themeColor="text1"/>
          <w:spacing w:val="0"/>
          <w:kern w:val="24"/>
          <w:sz w:val="24"/>
          <w:szCs w:val="24"/>
          <w:highlight w:val="none"/>
          <w14:textFill>
            <w14:solidFill>
              <w14:schemeClr w14:val="tx1"/>
            </w14:solidFill>
          </w14:textFill>
        </w:rPr>
        <w:t>，M8*80及更大规格型号,为沉头型（安装后外部仅露一个帽）。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（4）锚固脚所用钢板厚度不得小于3mm，并做防腐</w:t>
      </w:r>
      <w:r>
        <w:rPr>
          <w:rFonts w:hint="eastAsia" w:ascii="宋体" w:hAnsi="宋体"/>
          <w:color w:val="000000" w:themeColor="text1"/>
          <w:spacing w:val="0"/>
          <w:kern w:val="24"/>
          <w:sz w:val="24"/>
          <w:szCs w:val="24"/>
          <w:highlight w:val="none"/>
          <w:lang w:eastAsia="zh-CN"/>
          <w14:textFill>
            <w14:solidFill>
              <w14:schemeClr w14:val="tx1"/>
            </w14:solidFill>
          </w14:textFill>
        </w:rPr>
        <w:t>、防锈</w:t>
      </w:r>
      <w:r>
        <w:rPr>
          <w:rFonts w:hint="eastAsia" w:ascii="宋体" w:hAnsi="宋体"/>
          <w:color w:val="000000" w:themeColor="text1"/>
          <w:spacing w:val="0"/>
          <w:kern w:val="24"/>
          <w:sz w:val="24"/>
          <w:szCs w:val="24"/>
          <w:highlight w:val="none"/>
          <w14:textFill>
            <w14:solidFill>
              <w14:schemeClr w14:val="tx1"/>
            </w14:solidFill>
          </w14:textFill>
        </w:rPr>
        <w:t>处理，颜色同栏杆。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（5）栏杆喷涂采用阿克苏塑粉，颜色为黑色。</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color w:val="000000" w:themeColor="text1"/>
          <w:spacing w:val="0"/>
          <w:kern w:val="24"/>
          <w:sz w:val="24"/>
          <w:highlight w:val="none"/>
          <w14:textFill>
            <w14:solidFill>
              <w14:schemeClr w14:val="tx1"/>
            </w14:solidFill>
          </w14:textFill>
        </w:rPr>
      </w:pPr>
      <w:r>
        <w:rPr>
          <w:rFonts w:hint="eastAsia" w:ascii="宋体" w:hAnsi="宋体"/>
          <w:color w:val="000000" w:themeColor="text1"/>
          <w:spacing w:val="0"/>
          <w:kern w:val="24"/>
          <w:sz w:val="24"/>
          <w:szCs w:val="24"/>
          <w:highlight w:val="none"/>
          <w14:textFill>
            <w14:solidFill>
              <w14:schemeClr w14:val="tx1"/>
            </w14:solidFill>
          </w14:textFill>
        </w:rPr>
        <w:t>（6）</w:t>
      </w:r>
      <w:r>
        <w:rPr>
          <w:rFonts w:hint="eastAsia" w:ascii="宋体" w:hAnsi="宋体"/>
          <w:color w:val="000000" w:themeColor="text1"/>
          <w:spacing w:val="0"/>
          <w:kern w:val="24"/>
          <w:sz w:val="24"/>
          <w:szCs w:val="24"/>
          <w:highlight w:val="none"/>
          <w:lang w:eastAsia="zh-CN"/>
          <w14:textFill>
            <w14:solidFill>
              <w14:schemeClr w14:val="tx1"/>
            </w14:solidFill>
          </w14:textFill>
        </w:rPr>
        <w:t>进场后需按招标图纸提供深化图纸，经</w:t>
      </w:r>
      <w:r>
        <w:rPr>
          <w:rFonts w:hint="eastAsia" w:ascii="宋体" w:hAnsi="宋体"/>
          <w:color w:val="000000" w:themeColor="text1"/>
          <w:spacing w:val="0"/>
          <w:kern w:val="24"/>
          <w:sz w:val="24"/>
          <w:szCs w:val="24"/>
          <w:highlight w:val="none"/>
          <w14:textFill>
            <w14:solidFill>
              <w14:schemeClr w14:val="tx1"/>
            </w14:solidFill>
          </w14:textFill>
        </w:rPr>
        <w:t>甲方</w:t>
      </w:r>
      <w:r>
        <w:rPr>
          <w:rFonts w:hint="eastAsia" w:ascii="宋体" w:hAnsi="宋体"/>
          <w:color w:val="000000" w:themeColor="text1"/>
          <w:spacing w:val="0"/>
          <w:kern w:val="24"/>
          <w:sz w:val="24"/>
          <w:szCs w:val="24"/>
          <w:highlight w:val="none"/>
          <w:lang w:eastAsia="zh-CN"/>
          <w14:textFill>
            <w14:solidFill>
              <w14:schemeClr w14:val="tx1"/>
            </w14:solidFill>
          </w14:textFill>
        </w:rPr>
        <w:t>设计部门</w:t>
      </w:r>
      <w:r>
        <w:rPr>
          <w:rFonts w:hint="eastAsia" w:ascii="宋体" w:hAnsi="宋体"/>
          <w:color w:val="000000" w:themeColor="text1"/>
          <w:spacing w:val="0"/>
          <w:kern w:val="24"/>
          <w:sz w:val="24"/>
          <w:szCs w:val="24"/>
          <w:highlight w:val="none"/>
          <w14:textFill>
            <w14:solidFill>
              <w14:schemeClr w14:val="tx1"/>
            </w14:solidFill>
          </w14:textFill>
        </w:rPr>
        <w:t>签字确定</w:t>
      </w:r>
      <w:r>
        <w:rPr>
          <w:rFonts w:hint="eastAsia" w:ascii="宋体" w:hAnsi="宋体"/>
          <w:color w:val="000000" w:themeColor="text1"/>
          <w:spacing w:val="0"/>
          <w:kern w:val="24"/>
          <w:sz w:val="24"/>
          <w:szCs w:val="24"/>
          <w:highlight w:val="none"/>
          <w:lang w:eastAsia="zh-CN"/>
          <w14:textFill>
            <w14:solidFill>
              <w14:schemeClr w14:val="tx1"/>
            </w14:solidFill>
          </w14:textFill>
        </w:rPr>
        <w:t>后方可施工</w:t>
      </w:r>
      <w:r>
        <w:rPr>
          <w:rFonts w:hint="eastAsia" w:ascii="宋体" w:hAnsi="宋体"/>
          <w:color w:val="000000" w:themeColor="text1"/>
          <w:spacing w:val="0"/>
          <w:kern w:val="24"/>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七、质量要求及验收</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1、工程质量目标为达到图纸及相关规范要求的合格标准。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2、适用标准、规范：国家、河南省现行的钢构安装工程相关施工验收规范、标准。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本工程要求一次验收合格率100%，同时满足图纸设计和甲方的要求。因乙方原因导致工程质量达不到工程质量目标，乙方应无条件返工直至达到合格标准，并承担由此造成的一切损失。同时，甲方不予工期顺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4、材料进场时，通知甲方、监理同时进行验收，如发现有不合格材料应立即退场并进行调整，合格后方可加工，同时现场封样处理。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5、施工中，凡出现质量不合格或不符合相关规范要求的工程经甲方、监理或政府相关部门提出进行返工的，乙方必须认真执行，并承担由此发生的全部费用，乙方并不能因此而获得工期顺延。</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6、</w:t>
      </w:r>
      <w:r>
        <w:rPr>
          <w:rFonts w:hint="eastAsia" w:ascii="宋体" w:hAnsi="宋体" w:cs="宋体"/>
          <w:color w:val="000000" w:themeColor="text1"/>
          <w:spacing w:val="0"/>
          <w:kern w:val="24"/>
          <w:sz w:val="24"/>
          <w:szCs w:val="24"/>
          <w:highlight w:val="none"/>
          <w:lang w:eastAsia="zh-CN"/>
          <w14:textFill>
            <w14:solidFill>
              <w14:schemeClr w14:val="tx1"/>
            </w14:solidFill>
          </w14:textFill>
        </w:rPr>
        <w:t>进场后</w:t>
      </w:r>
      <w:r>
        <w:rPr>
          <w:rFonts w:hint="eastAsia" w:ascii="宋体" w:hAnsi="宋体" w:cs="宋体"/>
          <w:color w:val="000000" w:themeColor="text1"/>
          <w:spacing w:val="0"/>
          <w:kern w:val="24"/>
          <w:sz w:val="24"/>
          <w:szCs w:val="24"/>
          <w:highlight w:val="none"/>
          <w14:textFill>
            <w14:solidFill>
              <w14:schemeClr w14:val="tx1"/>
            </w14:solidFill>
          </w14:textFill>
        </w:rPr>
        <w:t>，乙方必须认真执</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《开元壹号</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62#地块现场管理条例》</w:t>
      </w:r>
      <w:r>
        <w:rPr>
          <w:rFonts w:hint="eastAsia" w:ascii="宋体" w:hAnsi="宋体" w:cs="宋体"/>
          <w:color w:val="000000" w:themeColor="text1"/>
          <w:spacing w:val="0"/>
          <w:kern w:val="24"/>
          <w:sz w:val="24"/>
          <w:szCs w:val="24"/>
          <w:highlight w:val="none"/>
          <w14:textFill>
            <w14:solidFill>
              <w14:schemeClr w14:val="tx1"/>
            </w14:solidFill>
          </w14:textFill>
        </w:rPr>
        <w:t>。如乙方不能认真完成相关的管理要求，监理将根据情况对乙方下发《整改通知</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单</w:t>
      </w:r>
      <w:r>
        <w:rPr>
          <w:rFonts w:hint="eastAsia" w:ascii="宋体" w:hAnsi="宋体" w:cs="宋体"/>
          <w:color w:val="000000" w:themeColor="text1"/>
          <w:spacing w:val="0"/>
          <w:kern w:val="24"/>
          <w:sz w:val="24"/>
          <w:szCs w:val="24"/>
          <w:highlight w:val="none"/>
          <w14:textFill>
            <w14:solidFill>
              <w14:schemeClr w14:val="tx1"/>
            </w14:solidFill>
          </w14:textFill>
        </w:rPr>
        <w:t>》，乙方在接到《整改通知</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单</w:t>
      </w:r>
      <w:r>
        <w:rPr>
          <w:rFonts w:hint="eastAsia" w:ascii="宋体" w:hAnsi="宋体" w:cs="宋体"/>
          <w:color w:val="000000" w:themeColor="text1"/>
          <w:spacing w:val="0"/>
          <w:kern w:val="24"/>
          <w:sz w:val="24"/>
          <w:szCs w:val="24"/>
          <w:highlight w:val="none"/>
          <w14:textFill>
            <w14:solidFill>
              <w14:schemeClr w14:val="tx1"/>
            </w14:solidFill>
          </w14:textFill>
        </w:rPr>
        <w:t>》后须按要求整改，否则，监理将</w:t>
      </w:r>
      <w:r>
        <w:rPr>
          <w:rFonts w:hint="eastAsia" w:ascii="宋体" w:hAnsi="宋体" w:cs="宋体"/>
          <w:color w:val="000000" w:themeColor="text1"/>
          <w:spacing w:val="0"/>
          <w:kern w:val="24"/>
          <w:sz w:val="24"/>
          <w:szCs w:val="24"/>
          <w:highlight w:val="none"/>
          <w:lang w:eastAsia="zh-CN"/>
          <w14:textFill>
            <w14:solidFill>
              <w14:schemeClr w14:val="tx1"/>
            </w14:solidFill>
          </w14:textFill>
        </w:rPr>
        <w:t>按照</w:t>
      </w:r>
      <w:r>
        <w:rPr>
          <w:rFonts w:hint="eastAsia" w:ascii="宋体" w:hAnsi="宋体" w:cs="宋体"/>
          <w:color w:val="000000" w:themeColor="text1"/>
          <w:spacing w:val="0"/>
          <w:kern w:val="24"/>
          <w:sz w:val="24"/>
          <w:szCs w:val="24"/>
          <w:highlight w:val="none"/>
          <w14:textFill>
            <w14:solidFill>
              <w14:schemeClr w14:val="tx1"/>
            </w14:solidFill>
          </w14:textFill>
        </w:rPr>
        <w:t>《</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开元壹号</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62#地块</w:t>
      </w:r>
      <w:r>
        <w:rPr>
          <w:rFonts w:hint="eastAsia" w:ascii="宋体" w:hAnsi="宋体" w:cs="宋体"/>
          <w:color w:val="000000" w:themeColor="text1"/>
          <w:spacing w:val="0"/>
          <w:kern w:val="24"/>
          <w:sz w:val="24"/>
          <w:szCs w:val="24"/>
          <w:highlight w:val="none"/>
          <w:lang w:eastAsia="zh-CN"/>
          <w14:textFill>
            <w14:solidFill>
              <w14:schemeClr w14:val="tx1"/>
            </w14:solidFill>
          </w14:textFill>
        </w:rPr>
        <w:t>现场管理条例</w:t>
      </w:r>
      <w:r>
        <w:rPr>
          <w:rFonts w:hint="eastAsia" w:ascii="宋体" w:hAnsi="宋体" w:cs="宋体"/>
          <w:color w:val="000000" w:themeColor="text1"/>
          <w:spacing w:val="0"/>
          <w:kern w:val="24"/>
          <w:sz w:val="24"/>
          <w:szCs w:val="24"/>
          <w:highlight w:val="none"/>
          <w14:textFill>
            <w14:solidFill>
              <w14:schemeClr w14:val="tx1"/>
            </w14:solidFill>
          </w14:textFill>
        </w:rPr>
        <w:t>》</w:t>
      </w:r>
      <w:r>
        <w:rPr>
          <w:rFonts w:hint="eastAsia" w:ascii="宋体" w:hAnsi="宋体" w:cs="宋体"/>
          <w:color w:val="000000" w:themeColor="text1"/>
          <w:spacing w:val="0"/>
          <w:kern w:val="24"/>
          <w:sz w:val="24"/>
          <w:szCs w:val="24"/>
          <w:highlight w:val="none"/>
          <w:lang w:eastAsia="zh-CN"/>
          <w14:textFill>
            <w14:solidFill>
              <w14:schemeClr w14:val="tx1"/>
            </w14:solidFill>
          </w14:textFill>
        </w:rPr>
        <w:t>进场考核</w:t>
      </w:r>
      <w:r>
        <w:rPr>
          <w:rFonts w:hint="eastAsia" w:ascii="宋体" w:hAnsi="宋体" w:cs="宋体"/>
          <w:color w:val="000000" w:themeColor="text1"/>
          <w:spacing w:val="0"/>
          <w:kern w:val="24"/>
          <w:sz w:val="24"/>
          <w:szCs w:val="24"/>
          <w:highlight w:val="none"/>
          <w14:textFill>
            <w14:solidFill>
              <w14:schemeClr w14:val="tx1"/>
            </w14:solidFill>
          </w14:textFill>
        </w:rPr>
        <w:t>，</w:t>
      </w:r>
      <w:r>
        <w:rPr>
          <w:rFonts w:hint="eastAsia" w:ascii="宋体" w:hAnsi="宋体" w:cs="宋体"/>
          <w:color w:val="000000" w:themeColor="text1"/>
          <w:spacing w:val="0"/>
          <w:kern w:val="24"/>
          <w:sz w:val="24"/>
          <w:szCs w:val="24"/>
          <w:highlight w:val="none"/>
          <w:lang w:eastAsia="zh-CN"/>
          <w14:textFill>
            <w14:solidFill>
              <w14:schemeClr w14:val="tx1"/>
            </w14:solidFill>
          </w14:textFill>
        </w:rPr>
        <w:t>乙方</w:t>
      </w:r>
      <w:r>
        <w:rPr>
          <w:rFonts w:hint="eastAsia" w:ascii="宋体" w:hAnsi="宋体" w:cs="宋体"/>
          <w:color w:val="000000" w:themeColor="text1"/>
          <w:spacing w:val="0"/>
          <w:kern w:val="24"/>
          <w:sz w:val="24"/>
          <w:szCs w:val="24"/>
          <w:highlight w:val="none"/>
          <w14:textFill>
            <w14:solidFill>
              <w14:schemeClr w14:val="tx1"/>
            </w14:solidFill>
          </w14:textFill>
        </w:rPr>
        <w:t>并承担甲方因此所造成的一切损失。</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7、隐蔽工程由乙方书面通知甲方、监理，由甲方 、监理相关工程技术人员到现场检查验收，经验收合格后并履行隐蔽工程签证手续，乙方可将该部位隐蔽，若甲方验证合格后48小时内未履行签证手续，乙方可视为甲方同意隐蔽。</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8、分项工程安装完毕，乙方应通过自查自检，认为合格后，通知甲方、监理验收，验收合格后，甲方、监理应及时给予办理验收签证手续。</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9、关于栏杆避雷有关规定，乙方严格满足避雷连接要求，同时并对避雷连接部分进行隐蔽、美化处理。</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b/>
          <w:bCs/>
          <w:color w:val="000000" w:themeColor="text1"/>
          <w:spacing w:val="0"/>
          <w:kern w:val="24"/>
          <w:sz w:val="24"/>
          <w:szCs w:val="28"/>
          <w:highlight w:val="none"/>
          <w14:textFill>
            <w14:solidFill>
              <w14:schemeClr w14:val="tx1"/>
            </w14:solidFill>
          </w14:textFill>
        </w:rPr>
      </w:pPr>
      <w:r>
        <w:rPr>
          <w:rFonts w:hint="eastAsia" w:ascii="宋体" w:hAnsi="宋体"/>
          <w:b/>
          <w:bCs/>
          <w:color w:val="000000" w:themeColor="text1"/>
          <w:spacing w:val="0"/>
          <w:kern w:val="24"/>
          <w:sz w:val="24"/>
          <w:szCs w:val="28"/>
          <w:highlight w:val="none"/>
          <w:lang w:eastAsia="zh-CN"/>
          <w14:textFill>
            <w14:solidFill>
              <w14:schemeClr w14:val="tx1"/>
            </w14:solidFill>
          </w14:textFill>
        </w:rPr>
        <w:t>八、</w:t>
      </w:r>
      <w:r>
        <w:rPr>
          <w:rFonts w:hint="eastAsia" w:ascii="宋体" w:hAnsi="宋体"/>
          <w:b/>
          <w:bCs/>
          <w:color w:val="000000" w:themeColor="text1"/>
          <w:spacing w:val="0"/>
          <w:kern w:val="24"/>
          <w:sz w:val="24"/>
          <w:szCs w:val="28"/>
          <w:highlight w:val="none"/>
          <w14:textFill>
            <w14:solidFill>
              <w14:schemeClr w14:val="tx1"/>
            </w14:solidFill>
          </w14:textFill>
        </w:rPr>
        <w:t>工期说明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1、乙方按合同中约定的工期按时竣工。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2、乙方必须服从甲方管理和进度要求，确保工程按期完成。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3、因以下原因造成工期延误经甲方书面确认后工期相应顺延：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3.1甲方不能按约定提供开工条件。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3.2设计变更和工程量增加。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3.3甲方同意相应顺延的其他情况。</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4、由于乙方原因逾期竣工的，每逾期一天，乙方支付甲方合同金额0.5％的违约金。逾期满十天的，乙方除按前述约定承担逾期竣工违约金外，甲方还有权将乙方所承包工程另行发包，乙方应在甲方通知的期限内无条件及时退场（乙方逾期退场的，每逾期一日向甲方支付逾期退场违约金人民币伍万元），甲方按乙方所完工程量的70%进行结算</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九</w:t>
      </w:r>
      <w:r>
        <w:rPr>
          <w:rFonts w:hint="eastAsia" w:ascii="宋体" w:hAnsi="宋体" w:cs="宋体"/>
          <w:b/>
          <w:bCs/>
          <w:color w:val="000000" w:themeColor="text1"/>
          <w:spacing w:val="0"/>
          <w:kern w:val="24"/>
          <w:sz w:val="24"/>
          <w:szCs w:val="24"/>
          <w:highlight w:val="none"/>
          <w14:textFill>
            <w14:solidFill>
              <w14:schemeClr w14:val="tx1"/>
            </w14:solidFill>
          </w14:textFill>
        </w:rPr>
        <w:t>、竣工结算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1、结算依据：甲方审核签认的施工设计图纸、甲方认可的变更签证、施工合同、补充协议、招标、投标文件等。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w:t>
      </w:r>
      <w:r>
        <w:rPr>
          <w:rFonts w:hint="eastAsia" w:ascii="宋体" w:hAnsi="宋体" w:cs="宋体"/>
          <w:b/>
          <w:bCs/>
          <w:color w:val="000000" w:themeColor="text1"/>
          <w:spacing w:val="0"/>
          <w:kern w:val="24"/>
          <w:sz w:val="24"/>
          <w:szCs w:val="24"/>
          <w:highlight w:val="none"/>
          <w14:textFill>
            <w14:solidFill>
              <w14:schemeClr w14:val="tx1"/>
            </w14:solidFill>
          </w14:textFill>
        </w:rPr>
        <w:t>结算价款＝现场</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验收合格</w:t>
      </w:r>
      <w:r>
        <w:rPr>
          <w:rFonts w:hint="eastAsia" w:ascii="宋体" w:hAnsi="宋体" w:cs="宋体"/>
          <w:b/>
          <w:bCs/>
          <w:color w:val="000000" w:themeColor="text1"/>
          <w:spacing w:val="0"/>
          <w:kern w:val="24"/>
          <w:sz w:val="24"/>
          <w:highlight w:val="none"/>
          <w14:textFill>
            <w14:solidFill>
              <w14:schemeClr w14:val="tx1"/>
            </w14:solidFill>
          </w14:textFill>
        </w:rPr>
        <w:t>工程量*</w:t>
      </w:r>
      <w:r>
        <w:rPr>
          <w:rFonts w:hint="eastAsia" w:ascii="宋体" w:hAnsi="宋体" w:cs="宋体"/>
          <w:b/>
          <w:bCs/>
          <w:color w:val="000000" w:themeColor="text1"/>
          <w:spacing w:val="0"/>
          <w:kern w:val="24"/>
          <w:sz w:val="24"/>
          <w:highlight w:val="none"/>
          <w:lang w:eastAsia="zh-CN"/>
          <w14:textFill>
            <w14:solidFill>
              <w14:schemeClr w14:val="tx1"/>
            </w14:solidFill>
          </w14:textFill>
        </w:rPr>
        <w:t>全费用综合</w:t>
      </w:r>
      <w:r>
        <w:rPr>
          <w:rFonts w:hint="eastAsia" w:ascii="宋体" w:hAnsi="宋体" w:cs="宋体"/>
          <w:b/>
          <w:bCs/>
          <w:color w:val="000000" w:themeColor="text1"/>
          <w:spacing w:val="0"/>
          <w:kern w:val="24"/>
          <w:sz w:val="24"/>
          <w:highlight w:val="none"/>
          <w14:textFill>
            <w14:solidFill>
              <w14:schemeClr w14:val="tx1"/>
            </w14:solidFill>
          </w14:textFill>
        </w:rPr>
        <w:t>单价</w:t>
      </w:r>
      <w:r>
        <w:rPr>
          <w:rFonts w:hint="eastAsia" w:ascii="宋体" w:hAnsi="宋体" w:cs="宋体"/>
          <w:b/>
          <w:bCs/>
          <w:color w:val="000000" w:themeColor="text1"/>
          <w:spacing w:val="0"/>
          <w:kern w:val="24"/>
          <w:sz w:val="24"/>
          <w:szCs w:val="24"/>
          <w:highlight w:val="none"/>
          <w14:textFill>
            <w14:solidFill>
              <w14:schemeClr w14:val="tx1"/>
            </w14:solidFill>
          </w14:textFill>
        </w:rPr>
        <w:t>±变更、签证造价－其他应扣费用。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3、办理竣工验收、合格证、检测费用等由承包方自行承担。</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十</w:t>
      </w:r>
      <w:r>
        <w:rPr>
          <w:rFonts w:hint="eastAsia" w:ascii="宋体" w:hAnsi="宋体" w:cs="宋体"/>
          <w:b/>
          <w:bCs/>
          <w:color w:val="000000" w:themeColor="text1"/>
          <w:spacing w:val="0"/>
          <w:kern w:val="24"/>
          <w:sz w:val="24"/>
          <w:szCs w:val="24"/>
          <w:highlight w:val="none"/>
          <w14:textFill>
            <w14:solidFill>
              <w14:schemeClr w14:val="tx1"/>
            </w14:solidFill>
          </w14:textFill>
        </w:rPr>
        <w:t xml:space="preserve">、工程价款支付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1、本工程无预付款；</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2、每单栋楼工程施工完成工程量50%，</w:t>
      </w:r>
      <w:r>
        <w:rPr>
          <w:rFonts w:hint="eastAsia" w:ascii="宋体" w:hAnsi="宋体" w:cs="宋体"/>
          <w:color w:val="000000" w:themeColor="text1"/>
          <w:szCs w:val="24"/>
          <w:highlight w:val="none"/>
          <w14:textFill>
            <w14:solidFill>
              <w14:schemeClr w14:val="tx1"/>
            </w14:solidFill>
          </w14:textFill>
        </w:rPr>
        <w:t>十五日内</w:t>
      </w:r>
      <w:r>
        <w:rPr>
          <w:rFonts w:hint="eastAsia" w:ascii="宋体" w:hAnsi="宋体" w:cs="宋体"/>
          <w:color w:val="000000" w:themeColor="text1"/>
          <w:spacing w:val="0"/>
          <w:kern w:val="24"/>
          <w:sz w:val="24"/>
          <w:szCs w:val="24"/>
          <w:highlight w:val="none"/>
          <w14:textFill>
            <w14:solidFill>
              <w14:schemeClr w14:val="tx1"/>
            </w14:solidFill>
          </w14:textFill>
        </w:rPr>
        <w:t>支付</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已完成工程量</w:t>
      </w:r>
      <w:r>
        <w:rPr>
          <w:rFonts w:hint="eastAsia" w:ascii="宋体" w:hAnsi="宋体" w:cs="宋体"/>
          <w:color w:val="000000" w:themeColor="text1"/>
          <w:spacing w:val="0"/>
          <w:kern w:val="24"/>
          <w:sz w:val="24"/>
          <w:szCs w:val="24"/>
          <w:highlight w:val="none"/>
          <w14:textFill>
            <w14:solidFill>
              <w14:schemeClr w14:val="tx1"/>
            </w14:solidFill>
          </w14:textFill>
        </w:rPr>
        <w:t>的</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8</w:t>
      </w:r>
      <w:r>
        <w:rPr>
          <w:rFonts w:hint="eastAsia" w:ascii="宋体" w:hAnsi="宋体" w:cs="宋体"/>
          <w:color w:val="000000" w:themeColor="text1"/>
          <w:spacing w:val="0"/>
          <w:kern w:val="24"/>
          <w:sz w:val="24"/>
          <w:szCs w:val="24"/>
          <w:highlight w:val="none"/>
          <w14:textFill>
            <w14:solidFill>
              <w14:schemeClr w14:val="tx1"/>
            </w14:solidFill>
          </w14:textFill>
        </w:rPr>
        <w:t>0%工程款；</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3、每单栋楼工程安装完毕后，经甲方及监理验收合格后，</w:t>
      </w:r>
      <w:r>
        <w:rPr>
          <w:rFonts w:hint="eastAsia" w:ascii="宋体" w:hAnsi="宋体" w:cs="宋体"/>
          <w:color w:val="000000" w:themeColor="text1"/>
          <w:szCs w:val="24"/>
          <w:highlight w:val="none"/>
          <w14:textFill>
            <w14:solidFill>
              <w14:schemeClr w14:val="tx1"/>
            </w14:solidFill>
          </w14:textFill>
        </w:rPr>
        <w:t>十五日内</w:t>
      </w:r>
      <w:r>
        <w:rPr>
          <w:rFonts w:hint="eastAsia" w:ascii="宋体" w:hAnsi="宋体" w:cs="宋体"/>
          <w:color w:val="000000" w:themeColor="text1"/>
          <w:spacing w:val="0"/>
          <w:kern w:val="24"/>
          <w:sz w:val="24"/>
          <w:szCs w:val="24"/>
          <w:highlight w:val="none"/>
          <w14:textFill>
            <w14:solidFill>
              <w14:schemeClr w14:val="tx1"/>
            </w14:solidFill>
          </w14:textFill>
        </w:rPr>
        <w:t>支付至每单栋楼</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已完成工程量</w:t>
      </w:r>
      <w:r>
        <w:rPr>
          <w:rFonts w:hint="eastAsia" w:ascii="宋体" w:hAnsi="宋体" w:cs="宋体"/>
          <w:color w:val="000000" w:themeColor="text1"/>
          <w:spacing w:val="0"/>
          <w:kern w:val="24"/>
          <w:sz w:val="24"/>
          <w:szCs w:val="24"/>
          <w:highlight w:val="none"/>
          <w14:textFill>
            <w14:solidFill>
              <w14:schemeClr w14:val="tx1"/>
            </w14:solidFill>
          </w14:textFill>
        </w:rPr>
        <w:t>的80%；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4、</w:t>
      </w:r>
      <w:r>
        <w:rPr>
          <w:rFonts w:hint="eastAsia" w:ascii="宋体" w:hAnsi="宋体" w:cs="宋体"/>
          <w:color w:val="000000" w:themeColor="text1"/>
          <w:szCs w:val="24"/>
          <w:highlight w:val="none"/>
          <w14:textFill>
            <w14:solidFill>
              <w14:schemeClr w14:val="tx1"/>
            </w14:solidFill>
          </w14:textFill>
        </w:rPr>
        <w:t>本栏杆百叶工程</w:t>
      </w:r>
      <w:r>
        <w:rPr>
          <w:rFonts w:hint="eastAsia" w:ascii="宋体" w:hAnsi="宋体" w:cs="宋体"/>
          <w:color w:val="000000" w:themeColor="text1"/>
          <w:spacing w:val="0"/>
          <w:kern w:val="24"/>
          <w:sz w:val="24"/>
          <w:szCs w:val="24"/>
          <w:highlight w:val="none"/>
          <w14:textFill>
            <w14:solidFill>
              <w14:schemeClr w14:val="tx1"/>
            </w14:solidFill>
          </w14:textFill>
        </w:rPr>
        <w:t>竣工结算完毕，支付至合同双方认定工程结算价款的9</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5</w:t>
      </w:r>
      <w:r>
        <w:rPr>
          <w:rFonts w:hint="eastAsia" w:ascii="宋体" w:hAnsi="宋体" w:cs="宋体"/>
          <w:color w:val="000000" w:themeColor="text1"/>
          <w:spacing w:val="0"/>
          <w:kern w:val="24"/>
          <w:sz w:val="24"/>
          <w:szCs w:val="24"/>
          <w:highlight w:val="none"/>
          <w14:textFill>
            <w14:solidFill>
              <w14:schemeClr w14:val="tx1"/>
            </w14:solidFill>
          </w14:textFill>
        </w:rPr>
        <w:t>%，剩余</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5</w:t>
      </w:r>
      <w:r>
        <w:rPr>
          <w:rFonts w:hint="eastAsia" w:ascii="宋体" w:hAnsi="宋体" w:cs="宋体"/>
          <w:color w:val="000000" w:themeColor="text1"/>
          <w:spacing w:val="0"/>
          <w:kern w:val="24"/>
          <w:sz w:val="24"/>
          <w:szCs w:val="24"/>
          <w:highlight w:val="none"/>
          <w14:textFill>
            <w14:solidFill>
              <w14:schemeClr w14:val="tx1"/>
            </w14:solidFill>
          </w14:textFill>
        </w:rPr>
        <w:t>%工程款待质保期满后</w:t>
      </w:r>
      <w:r>
        <w:rPr>
          <w:rFonts w:hint="eastAsia" w:ascii="宋体" w:hAnsi="宋体" w:cs="宋体"/>
          <w:color w:val="000000" w:themeColor="text1"/>
          <w:spacing w:val="0"/>
          <w:kern w:val="24"/>
          <w:sz w:val="24"/>
          <w:szCs w:val="24"/>
          <w:highlight w:val="none"/>
          <w:lang w:eastAsia="zh-CN"/>
          <w14:textFill>
            <w14:solidFill>
              <w14:schemeClr w14:val="tx1"/>
            </w14:solidFill>
          </w14:textFill>
        </w:rPr>
        <w:t>且无质量问题</w:t>
      </w:r>
      <w:r>
        <w:rPr>
          <w:rFonts w:hint="eastAsia" w:ascii="宋体" w:hAnsi="宋体" w:cs="宋体"/>
          <w:color w:val="000000" w:themeColor="text1"/>
          <w:spacing w:val="0"/>
          <w:kern w:val="24"/>
          <w:sz w:val="24"/>
          <w:szCs w:val="24"/>
          <w:highlight w:val="none"/>
          <w14:textFill>
            <w14:solidFill>
              <w14:schemeClr w14:val="tx1"/>
            </w14:solidFill>
          </w14:textFill>
        </w:rPr>
        <w:t>30个工作日内</w:t>
      </w:r>
      <w:r>
        <w:rPr>
          <w:rFonts w:hint="eastAsia" w:ascii="宋体" w:hAnsi="宋体" w:cs="宋体"/>
          <w:color w:val="000000" w:themeColor="text1"/>
          <w:spacing w:val="0"/>
          <w:kern w:val="24"/>
          <w:sz w:val="24"/>
          <w:szCs w:val="24"/>
          <w:highlight w:val="none"/>
          <w:lang w:eastAsia="zh-CN"/>
          <w14:textFill>
            <w14:solidFill>
              <w14:schemeClr w14:val="tx1"/>
            </w14:solidFill>
          </w14:textFill>
        </w:rPr>
        <w:t>一次性</w:t>
      </w:r>
      <w:r>
        <w:rPr>
          <w:rFonts w:hint="eastAsia" w:ascii="宋体" w:hAnsi="宋体" w:cs="宋体"/>
          <w:color w:val="000000" w:themeColor="text1"/>
          <w:spacing w:val="0"/>
          <w:kern w:val="24"/>
          <w:sz w:val="24"/>
          <w:szCs w:val="24"/>
          <w:highlight w:val="none"/>
          <w14:textFill>
            <w14:solidFill>
              <w14:schemeClr w14:val="tx1"/>
            </w14:solidFill>
          </w14:textFill>
        </w:rPr>
        <w:t>无息付清。</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b w:val="0"/>
          <w:bCs w:val="0"/>
          <w:color w:val="000000" w:themeColor="text1"/>
          <w:spacing w:val="0"/>
          <w:kern w:val="24"/>
          <w:sz w:val="24"/>
          <w:szCs w:val="24"/>
          <w:highlight w:val="none"/>
          <w:lang w:eastAsia="zh-CN"/>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5、</w:t>
      </w:r>
      <w:r>
        <w:rPr>
          <w:rFonts w:hint="eastAsia" w:ascii="宋体" w:hAnsi="宋体"/>
          <w:color w:val="000000" w:themeColor="text1"/>
          <w:spacing w:val="0"/>
          <w:kern w:val="24"/>
          <w:sz w:val="24"/>
          <w:highlight w:val="none"/>
          <w14:textFill>
            <w14:solidFill>
              <w14:schemeClr w14:val="tx1"/>
            </w14:solidFill>
          </w14:textFill>
        </w:rPr>
        <w:t>付款前乙方应按甲方要求提供正规全额有效增值税专用发票。当甲方向乙方累计支付款项至本合同结算值的95％时，乙方须向甲方开具结算值100％的合法有效的发票，否则甲方除扣留质保金外，有权拒绝支付最后一笔工程款。</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一</w:t>
      </w:r>
      <w:r>
        <w:rPr>
          <w:rFonts w:hint="eastAsia" w:ascii="宋体" w:hAnsi="宋体" w:cs="宋体"/>
          <w:b/>
          <w:bCs/>
          <w:color w:val="000000" w:themeColor="text1"/>
          <w:spacing w:val="0"/>
          <w:kern w:val="24"/>
          <w:sz w:val="24"/>
          <w:szCs w:val="24"/>
          <w:highlight w:val="none"/>
          <w14:textFill>
            <w14:solidFill>
              <w14:schemeClr w14:val="tx1"/>
            </w14:solidFill>
          </w14:textFill>
        </w:rPr>
        <w:t xml:space="preserve">、双方责任与义务 </w:t>
      </w:r>
    </w:p>
    <w:p>
      <w:pPr>
        <w:keepNext w:val="0"/>
        <w:keepLines w:val="0"/>
        <w:pageBreakBefore w:val="0"/>
        <w:widowControl w:val="0"/>
        <w:tabs>
          <w:tab w:val="left" w:pos="12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1、甲方的责任与义务</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1.1、负责向乙方提供施工图纸、设计变更等技术资料，以此作为乙方施工的依据。</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甲方向乙方提供图纸日期和套数：甲方在开工前7天内向乙方提供施工图纸一式贰套。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1.2、负责组织本安装工程的图纸会审。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1.3、甲方指派一名甲方代表，甲方代表:</w:t>
      </w:r>
      <w:r>
        <w:rPr>
          <w:rFonts w:hint="eastAsia" w:ascii="宋体" w:hAnsi="宋体" w:cs="宋体"/>
          <w:color w:val="000000" w:themeColor="text1"/>
          <w:spacing w:val="0"/>
          <w:kern w:val="24"/>
          <w:sz w:val="24"/>
          <w:szCs w:val="24"/>
          <w:highlight w:val="none"/>
          <w:u w:val="single"/>
          <w14:textFill>
            <w14:solidFill>
              <w14:schemeClr w14:val="tx1"/>
            </w14:solidFill>
          </w14:textFill>
        </w:rPr>
        <w:t xml:space="preserve"> </w:t>
      </w:r>
      <w:r>
        <w:rPr>
          <w:rFonts w:hint="eastAsia" w:ascii="宋体" w:hAnsi="宋体" w:cs="宋体"/>
          <w:color w:val="000000" w:themeColor="text1"/>
          <w:spacing w:val="0"/>
          <w:kern w:val="24"/>
          <w:sz w:val="24"/>
          <w:szCs w:val="24"/>
          <w:highlight w:val="none"/>
          <w:u w:val="single"/>
          <w:lang w:eastAsia="zh-CN"/>
          <w14:textFill>
            <w14:solidFill>
              <w14:schemeClr w14:val="tx1"/>
            </w14:solidFill>
          </w14:textFill>
        </w:rPr>
        <w:t>文金廷</w:t>
      </w:r>
      <w:r>
        <w:rPr>
          <w:rFonts w:hint="eastAsia" w:ascii="宋体" w:hAnsi="宋体" w:cs="宋体"/>
          <w:color w:val="000000" w:themeColor="text1"/>
          <w:spacing w:val="0"/>
          <w:kern w:val="24"/>
          <w:sz w:val="24"/>
          <w:szCs w:val="24"/>
          <w:highlight w:val="none"/>
          <w:u w:val="single"/>
          <w14:textFill>
            <w14:solidFill>
              <w14:schemeClr w14:val="tx1"/>
            </w14:solidFill>
          </w14:textFill>
        </w:rPr>
        <w:t xml:space="preserve"> </w:t>
      </w:r>
      <w:r>
        <w:rPr>
          <w:rFonts w:hint="eastAsia" w:ascii="宋体" w:hAnsi="宋体" w:cs="宋体"/>
          <w:color w:val="000000" w:themeColor="text1"/>
          <w:spacing w:val="0"/>
          <w:kern w:val="24"/>
          <w:sz w:val="24"/>
          <w:szCs w:val="24"/>
          <w:highlight w:val="none"/>
          <w:u w:val="none"/>
          <w:lang w:eastAsia="zh-CN"/>
          <w14:textFill>
            <w14:solidFill>
              <w14:schemeClr w14:val="tx1"/>
            </w14:solidFill>
          </w14:textFill>
        </w:rPr>
        <w:t>电话：</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 xml:space="preserve"> 13683791319 </w:t>
      </w:r>
      <w:r>
        <w:rPr>
          <w:rFonts w:hint="eastAsia" w:ascii="宋体" w:hAnsi="宋体" w:cs="宋体"/>
          <w:color w:val="000000" w:themeColor="text1"/>
          <w:spacing w:val="0"/>
          <w:kern w:val="24"/>
          <w:sz w:val="24"/>
          <w:szCs w:val="24"/>
          <w:highlight w:val="none"/>
          <w14:textFill>
            <w14:solidFill>
              <w14:schemeClr w14:val="tx1"/>
            </w14:solidFill>
          </w14:textFill>
        </w:rPr>
        <w:t>职务：</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 xml:space="preserve"> 工程总监 </w:t>
      </w:r>
      <w:r>
        <w:rPr>
          <w:rFonts w:hint="eastAsia" w:ascii="宋体" w:hAnsi="宋体" w:cs="宋体"/>
          <w:color w:val="000000" w:themeColor="text1"/>
          <w:spacing w:val="0"/>
          <w:kern w:val="24"/>
          <w:sz w:val="24"/>
          <w:szCs w:val="24"/>
          <w:highlight w:val="none"/>
          <w14:textFill>
            <w14:solidFill>
              <w14:schemeClr w14:val="tx1"/>
            </w14:solidFill>
          </w14:textFill>
        </w:rPr>
        <w:t>。负责本合同项目工程质量及进度的督查。</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1.4、对乙方呈送的报告和请示及时做出批示。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1.5、负责协调施工用水用电，为施工提供便利条件；费用乙方自理。</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1.6、协调解决乙方的办公场所、材料堆放场地等施工必备条件，费用乙方负担。</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1.7、协调乙方与主体、装修施工单位的关系。</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1.8、履行合同约定的义务。</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1.9、甲方应做的其它工作：若发生，双方协商解决。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 乙方责任与义务：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2.1、指定一名项目经理，负责本项目的组织、管理工作（主要技术负责人和项目经理常驻现场），项目经理每周现场工作时间不得低于5天，每少一天处罚伍佰元,项目经理：</w:t>
      </w:r>
      <w:r>
        <w:rPr>
          <w:rFonts w:hint="eastAsia" w:ascii="宋体" w:hAnsi="宋体" w:cs="宋体"/>
          <w:color w:val="000000" w:themeColor="text1"/>
          <w:spacing w:val="0"/>
          <w:kern w:val="24"/>
          <w:sz w:val="24"/>
          <w:szCs w:val="24"/>
          <w:highlight w:val="none"/>
          <w:u w:val="single"/>
          <w:lang w:eastAsia="zh-CN"/>
          <w14:textFill>
            <w14:solidFill>
              <w14:schemeClr w14:val="tx1"/>
            </w14:solidFill>
          </w14:textFill>
        </w:rPr>
        <w:t>董家男</w:t>
      </w:r>
      <w:r>
        <w:rPr>
          <w:rFonts w:hint="eastAsia" w:ascii="宋体" w:hAnsi="宋体" w:cs="宋体"/>
          <w:color w:val="000000" w:themeColor="text1"/>
          <w:spacing w:val="0"/>
          <w:kern w:val="24"/>
          <w:sz w:val="24"/>
          <w:szCs w:val="24"/>
          <w:highlight w:val="none"/>
          <w:u w:val="none"/>
          <w:lang w:eastAsia="zh-CN"/>
          <w14:textFill>
            <w14:solidFill>
              <w14:schemeClr w14:val="tx1"/>
            </w14:solidFill>
          </w14:textFill>
        </w:rPr>
        <w:t>电话：</w:t>
      </w:r>
      <w:r>
        <w:rPr>
          <w:rFonts w:hint="eastAsia" w:ascii="宋体" w:hAnsi="宋体" w:cs="宋体"/>
          <w:color w:val="000000" w:themeColor="text1"/>
          <w:spacing w:val="0"/>
          <w:kern w:val="24"/>
          <w:sz w:val="24"/>
          <w:szCs w:val="24"/>
          <w:highlight w:val="none"/>
          <w:u w:val="single"/>
          <w:lang w:val="en-US" w:eastAsia="zh-CN"/>
          <w14:textFill>
            <w14:solidFill>
              <w14:schemeClr w14:val="tx1"/>
            </w14:solidFill>
          </w14:textFill>
        </w:rPr>
        <w:t>15890601818</w:t>
      </w:r>
      <w:r>
        <w:rPr>
          <w:rFonts w:hint="eastAsia" w:ascii="宋体" w:hAnsi="宋体" w:cs="宋体"/>
          <w:color w:val="000000" w:themeColor="text1"/>
          <w:spacing w:val="0"/>
          <w:kern w:val="24"/>
          <w:sz w:val="24"/>
          <w:szCs w:val="24"/>
          <w:highlight w:val="none"/>
          <w14:textFill>
            <w14:solidFill>
              <w14:schemeClr w14:val="tx1"/>
            </w14:solidFill>
          </w14:textFill>
        </w:rPr>
        <w:t>，其余技术管理人员乙方须提交甲方认可。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2.2、组织施工人员和材料、机械设备进场。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2.3、严格按照经甲方、监理审核的文件及有关技术规范进行施工、保质、按期完成合同所要求的工作内容并负责竣工验收前的一切成品保护工作。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2.4、严格作好施工期间的一切劳动安全保护工作，必须服从总包方、监理方、甲方及政府主管部门的安全管理，施工过程中因乙方原因造成发生的事故，一切损失和责任均由乙方自行负责。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2.5、接受甲方和监理对工程质量和进度的监督和检查，根据甲方、监理的意见，对不符合质量要求的部位认真进行整改，直至符合施工图纸和国家施工规范要求。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2.6、提供工程所用设备和材料随机提供的质保书等相关资料。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2.7、履行合同约定的义务。</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二</w:t>
      </w:r>
      <w:r>
        <w:rPr>
          <w:rFonts w:hint="eastAsia" w:ascii="宋体" w:hAnsi="宋体" w:cs="宋体"/>
          <w:b/>
          <w:bCs/>
          <w:color w:val="000000" w:themeColor="text1"/>
          <w:spacing w:val="0"/>
          <w:kern w:val="24"/>
          <w:sz w:val="24"/>
          <w:szCs w:val="24"/>
          <w:highlight w:val="none"/>
          <w14:textFill>
            <w14:solidFill>
              <w14:schemeClr w14:val="tx1"/>
            </w14:solidFill>
          </w14:textFill>
        </w:rPr>
        <w:t>、安全施工</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1、乙方要确保安全施工，派专人负责具体的安全工作，并</w:t>
      </w:r>
      <w:r>
        <w:rPr>
          <w:rFonts w:hint="eastAsia" w:ascii="宋体" w:hAnsi="宋体" w:cs="宋体"/>
          <w:color w:val="000000" w:themeColor="text1"/>
          <w:spacing w:val="0"/>
          <w:kern w:val="24"/>
          <w:sz w:val="24"/>
          <w:szCs w:val="24"/>
          <w:highlight w:val="none"/>
          <w:lang w:eastAsia="zh-CN"/>
          <w14:textFill>
            <w14:solidFill>
              <w14:schemeClr w14:val="tx1"/>
            </w14:solidFill>
          </w14:textFill>
        </w:rPr>
        <w:t>每周进行安全教育交底</w:t>
      </w:r>
      <w:r>
        <w:rPr>
          <w:rFonts w:hint="eastAsia" w:ascii="宋体" w:hAnsi="宋体" w:cs="宋体"/>
          <w:color w:val="000000" w:themeColor="text1"/>
          <w:spacing w:val="0"/>
          <w:kern w:val="24"/>
          <w:sz w:val="24"/>
          <w:szCs w:val="24"/>
          <w:highlight w:val="none"/>
          <w14:textFill>
            <w14:solidFill>
              <w14:schemeClr w14:val="tx1"/>
            </w14:solidFill>
          </w14:textFill>
        </w:rPr>
        <w:t>，严防安全隐患，杜绝伤亡事故和火灾的发生。如发生事故，责任由乙方负责，与甲方无关，乙方同时保护现场并及时上报有关部门。</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2、施工现场用电器具应有接地、接零装置和线路布置规范化，安全防护措施到位。乙方自身职工、与甲方有关的第三方人员在现场发生伤亡事故，其经济责任、法律责任和其它民事责任均由乙方负责。</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3、乙方应加强对职工的教育。施工现场严禁酗酒、打架斗殴、赌博和其它违法违章现象，每发现一次，乙方给予甲方</w:t>
      </w:r>
      <w:r>
        <w:rPr>
          <w:rFonts w:hint="eastAsia" w:ascii="宋体" w:hAnsi="宋体" w:cs="宋体"/>
          <w:color w:val="000000" w:themeColor="text1"/>
          <w:spacing w:val="0"/>
          <w:kern w:val="24"/>
          <w:sz w:val="24"/>
          <w:szCs w:val="24"/>
          <w:highlight w:val="none"/>
          <w:u w:val="single"/>
          <w14:textFill>
            <w14:solidFill>
              <w14:schemeClr w14:val="tx1"/>
            </w14:solidFill>
          </w14:textFill>
        </w:rPr>
        <w:t>1000元/次</w:t>
      </w:r>
      <w:r>
        <w:rPr>
          <w:rFonts w:hint="eastAsia" w:ascii="宋体" w:hAnsi="宋体" w:cs="宋体"/>
          <w:color w:val="000000" w:themeColor="text1"/>
          <w:spacing w:val="0"/>
          <w:kern w:val="24"/>
          <w:sz w:val="24"/>
          <w:szCs w:val="24"/>
          <w:highlight w:val="none"/>
          <w14:textFill>
            <w14:solidFill>
              <w14:schemeClr w14:val="tx1"/>
            </w14:solidFill>
          </w14:textFill>
        </w:rPr>
        <w:t>的经济补偿。</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三</w:t>
      </w:r>
      <w:r>
        <w:rPr>
          <w:rFonts w:hint="eastAsia" w:ascii="宋体" w:hAnsi="宋体" w:cs="宋体"/>
          <w:b/>
          <w:bCs/>
          <w:color w:val="000000" w:themeColor="text1"/>
          <w:spacing w:val="0"/>
          <w:kern w:val="24"/>
          <w:sz w:val="24"/>
          <w:szCs w:val="24"/>
          <w:highlight w:val="none"/>
          <w14:textFill>
            <w14:solidFill>
              <w14:schemeClr w14:val="tx1"/>
            </w14:solidFill>
          </w14:textFill>
        </w:rPr>
        <w:t>、现场文明施工及管理要求</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1、乙方在施工中要服从甲方及监理人员的统一指挥，做好安全措施，各项措施和管理达到示范工程标准。</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2、乙方应保证施工现场的卫生标准、噪音标准、安全防护标准等指标满足国家、地方的有关规定。施工中因乙方违反规定造成的损失和发生的费用（若主管部门罚款）均由乙方承担。</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3、施工过程中如发生扰民或民扰，由乙方与甲方协调解决，费用乙方承担。</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pacing w:val="0"/>
          <w:kern w:val="24"/>
          <w:sz w:val="24"/>
          <w:szCs w:val="24"/>
          <w:highlight w:val="none"/>
          <w:lang w:val="en-US" w:eastAsia="zh-CN"/>
          <w14:textFill>
            <w14:solidFill>
              <w14:schemeClr w14:val="tx1"/>
            </w14:solidFill>
          </w14:textFill>
        </w:rPr>
      </w:pP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4、施工中产出的垃圾应每日下班前清理下楼集中堆放及时清运出场，</w:t>
      </w:r>
      <w:r>
        <w:rPr>
          <w:rFonts w:hint="eastAsia" w:ascii="宋体" w:hAnsi="宋体" w:cs="宋体"/>
          <w:color w:val="000000" w:themeColor="text1"/>
          <w:spacing w:val="0"/>
          <w:kern w:val="24"/>
          <w:sz w:val="24"/>
          <w:szCs w:val="24"/>
          <w:highlight w:val="none"/>
          <w14:textFill>
            <w14:solidFill>
              <w14:schemeClr w14:val="tx1"/>
            </w14:solidFill>
          </w14:textFill>
        </w:rPr>
        <w:t>费用乙方承担</w:t>
      </w: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四</w:t>
      </w:r>
      <w:r>
        <w:rPr>
          <w:rFonts w:hint="eastAsia" w:ascii="宋体" w:hAnsi="宋体" w:cs="宋体"/>
          <w:b/>
          <w:bCs/>
          <w:color w:val="000000" w:themeColor="text1"/>
          <w:spacing w:val="0"/>
          <w:kern w:val="24"/>
          <w:sz w:val="24"/>
          <w:szCs w:val="24"/>
          <w:highlight w:val="none"/>
          <w14:textFill>
            <w14:solidFill>
              <w14:schemeClr w14:val="tx1"/>
            </w14:solidFill>
          </w14:textFill>
        </w:rPr>
        <w:t>、设备、材料采购及试验</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设备、材料采购由乙方负责。设备、材料品牌、规格型号必须按（附表1）中主材品牌要求进行采购，在施工过程中，对此部分材料甲方始终保留甲供或甲控的主动权。若此部分主材由甲方甲供，在结算时直接按照后附附表1中的该种材料的甲供价格及用量乘以税金扣除；若此部分主材由甲方认质认价，在结算时则按照甲方认质认价单中的单价与实际用量乘以税金调整至结算造价中。</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本工程承包范围内使用的全部设备、材料及产品必须满足合格品规定，符合洛阳市质量部门对建筑设备、材料及产品的具体要求，坚持三证（合格检测证、材质证、准用证）齐全，有规定要求的材料必须检测或复试合格后方可使用。同时因乙方所使用的建筑材料的问题造成建筑物环境污染超过国家允许标准，由乙方承担因此而造成的全部经济损失。</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themeColor="text1"/>
          <w:spacing w:val="0"/>
          <w:kern w:val="24"/>
          <w:sz w:val="24"/>
          <w:szCs w:val="24"/>
          <w:highlight w:val="none"/>
          <w:lang w:val="en-US" w:eastAsia="zh-CN"/>
          <w14:textFill>
            <w14:solidFill>
              <w14:schemeClr w14:val="tx1"/>
            </w14:solidFill>
          </w14:textFill>
        </w:rPr>
      </w:pP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3、</w:t>
      </w:r>
      <w:r>
        <w:rPr>
          <w:rFonts w:hint="eastAsia" w:ascii="宋体" w:hAnsi="宋体" w:cs="宋体"/>
          <w:color w:val="000000" w:themeColor="text1"/>
          <w:spacing w:val="0"/>
          <w:kern w:val="24"/>
          <w:sz w:val="24"/>
          <w:szCs w:val="24"/>
          <w:highlight w:val="none"/>
          <w14:textFill>
            <w14:solidFill>
              <w14:schemeClr w14:val="tx1"/>
            </w14:solidFill>
          </w14:textFill>
        </w:rPr>
        <w:t>乙方采购的设备、材料等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pStyle w:val="4"/>
        <w:keepNext w:val="0"/>
        <w:keepLines w:val="0"/>
        <w:pageBreakBefore w:val="0"/>
        <w:widowControl w:val="0"/>
        <w:tabs>
          <w:tab w:val="left" w:pos="6480"/>
        </w:tabs>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五</w:t>
      </w:r>
      <w:r>
        <w:rPr>
          <w:rFonts w:hint="eastAsia" w:ascii="宋体" w:hAnsi="宋体" w:cs="宋体"/>
          <w:b/>
          <w:bCs/>
          <w:color w:val="000000" w:themeColor="text1"/>
          <w:spacing w:val="0"/>
          <w:kern w:val="24"/>
          <w:sz w:val="24"/>
          <w:szCs w:val="24"/>
          <w:highlight w:val="none"/>
          <w14:textFill>
            <w14:solidFill>
              <w14:schemeClr w14:val="tx1"/>
            </w14:solidFill>
          </w14:textFill>
        </w:rPr>
        <w:t>、工程变更</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1、乙方应严格按照经甲方核审签认的施工图纸施工，不得随意变更；若确须变更，应按程序报甲方书面同意后，方可变更施工。否则造成的一切后果均由乙方负责。</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2、施工过程中，若甲方需要增减项目或变更项目应提前以书面形式通知乙方。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3、变更签证结算办法：投标报价中已有的材料价格按照已有单价执行，投标报价中没有的材料价格由甲方认质认价后执行。如无依据可查，按双方商定价格为准。</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六</w:t>
      </w:r>
      <w:r>
        <w:rPr>
          <w:rFonts w:hint="eastAsia" w:ascii="宋体" w:hAnsi="宋体" w:cs="宋体"/>
          <w:b/>
          <w:bCs/>
          <w:color w:val="000000" w:themeColor="text1"/>
          <w:spacing w:val="0"/>
          <w:kern w:val="24"/>
          <w:sz w:val="24"/>
          <w:szCs w:val="24"/>
          <w:highlight w:val="none"/>
          <w14:textFill>
            <w14:solidFill>
              <w14:schemeClr w14:val="tx1"/>
            </w14:solidFill>
          </w14:textFill>
        </w:rPr>
        <w:t>、不可抗力</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1、不可抗力指因战争、动乱、空中飞行物坠落或其他非双方责任造成的爆炸、火灾以及9级以上的台风、7级及7级以上的地震等。（以当地行业主管部门的公告为准 ）</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2、不可抗力发生后，乙方应迅速采取措施，尽力减少损失，并在24小时内向甲方通报受害情况，在事件发生后10日内向甲方报告损失情况和清理、修复的费用。</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3、因灾害所需清理修复工作的费用由双方承担：</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3.1、人员伤亡由所属单位负责，并承担相应费用；</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3.2、造成乙方工程设备、机械的损失等损失由乙方承担；</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3.3、所需清理修复工作的责任与费用的承担，双方另行商定。</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七</w:t>
      </w:r>
      <w:r>
        <w:rPr>
          <w:rFonts w:hint="eastAsia" w:ascii="宋体" w:hAnsi="宋体" w:cs="宋体"/>
          <w:b/>
          <w:bCs/>
          <w:color w:val="000000" w:themeColor="text1"/>
          <w:spacing w:val="0"/>
          <w:kern w:val="24"/>
          <w:sz w:val="24"/>
          <w:szCs w:val="24"/>
          <w:highlight w:val="none"/>
          <w14:textFill>
            <w14:solidFill>
              <w14:schemeClr w14:val="tx1"/>
            </w14:solidFill>
          </w14:textFill>
        </w:rPr>
        <w:t>、</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质保</w:t>
      </w:r>
      <w:r>
        <w:rPr>
          <w:rFonts w:hint="eastAsia" w:ascii="宋体" w:hAnsi="宋体" w:cs="宋体"/>
          <w:b/>
          <w:bCs/>
          <w:color w:val="000000" w:themeColor="text1"/>
          <w:spacing w:val="0"/>
          <w:kern w:val="24"/>
          <w:sz w:val="24"/>
          <w:szCs w:val="24"/>
          <w:highlight w:val="none"/>
          <w14:textFill>
            <w14:solidFill>
              <w14:schemeClr w14:val="tx1"/>
            </w14:solidFill>
          </w14:textFill>
        </w:rPr>
        <w:t>期</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w:t>
      </w:r>
      <w:r>
        <w:rPr>
          <w:rFonts w:hint="eastAsia" w:ascii="宋体" w:hAnsi="宋体" w:cs="宋体"/>
          <w:color w:val="000000" w:themeColor="text1"/>
          <w:spacing w:val="0"/>
          <w:kern w:val="24"/>
          <w:sz w:val="24"/>
          <w:szCs w:val="24"/>
          <w:highlight w:val="none"/>
          <w:lang w:eastAsia="zh-CN"/>
          <w14:textFill>
            <w14:solidFill>
              <w14:schemeClr w14:val="tx1"/>
            </w14:solidFill>
          </w14:textFill>
        </w:rPr>
        <w:t>质保</w:t>
      </w:r>
      <w:r>
        <w:rPr>
          <w:rFonts w:hint="eastAsia" w:ascii="宋体" w:hAnsi="宋体" w:cs="宋体"/>
          <w:color w:val="000000" w:themeColor="text1"/>
          <w:spacing w:val="0"/>
          <w:kern w:val="24"/>
          <w:sz w:val="24"/>
          <w:szCs w:val="24"/>
          <w:highlight w:val="none"/>
          <w14:textFill>
            <w14:solidFill>
              <w14:schemeClr w14:val="tx1"/>
            </w14:solidFill>
          </w14:textFill>
        </w:rPr>
        <w:t>期为</w:t>
      </w:r>
      <w:r>
        <w:rPr>
          <w:rFonts w:hint="eastAsia" w:ascii="宋体" w:hAnsi="宋体" w:cs="宋体"/>
          <w:b/>
          <w:bCs/>
          <w:color w:val="000000" w:themeColor="text1"/>
          <w:spacing w:val="0"/>
          <w:kern w:val="24"/>
          <w:sz w:val="24"/>
          <w:szCs w:val="24"/>
          <w:highlight w:val="none"/>
          <w:u w:val="single"/>
          <w14:textFill>
            <w14:solidFill>
              <w14:schemeClr w14:val="tx1"/>
            </w14:solidFill>
          </w14:textFill>
        </w:rPr>
        <w:t xml:space="preserve"> 两 </w:t>
      </w:r>
      <w:r>
        <w:rPr>
          <w:rFonts w:hint="eastAsia" w:ascii="宋体" w:hAnsi="宋体" w:cs="宋体"/>
          <w:color w:val="000000" w:themeColor="text1"/>
          <w:spacing w:val="0"/>
          <w:kern w:val="24"/>
          <w:sz w:val="24"/>
          <w:szCs w:val="24"/>
          <w:highlight w:val="none"/>
          <w14:textFill>
            <w14:solidFill>
              <w14:schemeClr w14:val="tx1"/>
            </w14:solidFill>
          </w14:textFill>
        </w:rPr>
        <w:t>年，自工程整体竣工验收合格之日起开始计算。</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2、在</w:t>
      </w:r>
      <w:r>
        <w:rPr>
          <w:rFonts w:hint="eastAsia" w:ascii="宋体" w:hAnsi="宋体" w:cs="宋体"/>
          <w:color w:val="000000" w:themeColor="text1"/>
          <w:spacing w:val="0"/>
          <w:kern w:val="24"/>
          <w:sz w:val="24"/>
          <w:szCs w:val="24"/>
          <w:highlight w:val="none"/>
          <w:lang w:eastAsia="zh-CN"/>
          <w14:textFill>
            <w14:solidFill>
              <w14:schemeClr w14:val="tx1"/>
            </w14:solidFill>
          </w14:textFill>
        </w:rPr>
        <w:t>质保</w:t>
      </w:r>
      <w:r>
        <w:rPr>
          <w:rFonts w:hint="eastAsia" w:ascii="宋体" w:hAnsi="宋体" w:cs="宋体"/>
          <w:color w:val="000000" w:themeColor="text1"/>
          <w:spacing w:val="0"/>
          <w:kern w:val="24"/>
          <w:sz w:val="24"/>
          <w:szCs w:val="24"/>
          <w:highlight w:val="none"/>
          <w14:textFill>
            <w14:solidFill>
              <w14:schemeClr w14:val="tx1"/>
            </w14:solidFill>
          </w14:textFill>
        </w:rPr>
        <w:t>期内，凡因材料或安装出现质量问题，均由乙方负责免费维修或更换。乙方应接到甲方维修通知后24小时内到场维修，乙方拒不到场维修或逾期仍未到场维修的，甲方有权委托第三方单位进行维修（维修方案及费用无须通知乙方，且视为乙方已无条件认可），并从质保金中扣除维修费用，质保金不足以扣除的，乙方应足额补偿甲方。</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八</w:t>
      </w:r>
      <w:r>
        <w:rPr>
          <w:rFonts w:hint="eastAsia" w:ascii="宋体" w:hAnsi="宋体" w:cs="宋体"/>
          <w:b/>
          <w:bCs/>
          <w:color w:val="000000" w:themeColor="text1"/>
          <w:spacing w:val="0"/>
          <w:kern w:val="24"/>
          <w:sz w:val="24"/>
          <w:szCs w:val="24"/>
          <w:highlight w:val="none"/>
          <w14:textFill>
            <w14:solidFill>
              <w14:schemeClr w14:val="tx1"/>
            </w14:solidFill>
          </w14:textFill>
        </w:rPr>
        <w:t>、售后服务措施</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1、保修期内，乙方应定期对本工程进行回访，定期对结构进行检查、维护。</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保修期内若发生结构安全问题及防水密闭性问题，乙方接到报修电话后应在24小时内赶到现场，直至问题得以解决，如乙方不作为或维修不彻底，甲方有权委托第三方单位完成维修（维修方案及费用无须通知乙方，且视为乙方已无条件认可），发生费用从质保金中扣除且工程的总体质量责任仍由乙方承担，质保金不足以扣除的，乙方应足额补偿甲方。</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3、免费保修期结束前，乙方须派技术人员对工程进行一次全面维修和检查，对系统中暴露的问题或隐患及时修复，并以书面形式报告甲方。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九</w:t>
      </w:r>
      <w:r>
        <w:rPr>
          <w:rFonts w:hint="eastAsia" w:ascii="宋体" w:hAnsi="宋体" w:cs="宋体"/>
          <w:b/>
          <w:bCs/>
          <w:color w:val="000000" w:themeColor="text1"/>
          <w:spacing w:val="0"/>
          <w:kern w:val="24"/>
          <w:sz w:val="24"/>
          <w:szCs w:val="24"/>
          <w:highlight w:val="none"/>
          <w14:textFill>
            <w14:solidFill>
              <w14:schemeClr w14:val="tx1"/>
            </w14:solidFill>
          </w14:textFill>
        </w:rPr>
        <w:t>、违约责任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1、合同签订生效后乙方不得转包本工程，如发现有转包的情况发生，视为乙方违约。甲方有权将乙方清除出场，扣除全部合同履约保证金,乙方应承担由此造成的一切经济损失。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2、若乙方达不到工程质量目标，甲方有权拒付工程款，乙方并向甲方支付合同价款5%的违约金，并无条件返工直到达到质量目标，所造成的一切损失由乙方承担。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 xml:space="preserve">3、如违约方给对方造成损失其违约金不足以弥补经济损失的，还应该向对方赔偿损失。赔偿损失的范围应包括直接损失、间接损失。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hAnsi="宋体" w:eastAsia="宋体" w:cs="宋体"/>
          <w:color w:val="000000" w:themeColor="text1"/>
          <w:spacing w:val="0"/>
          <w:kern w:val="24"/>
          <w:sz w:val="24"/>
          <w:szCs w:val="24"/>
          <w:highlight w:val="none"/>
          <w:lang w:val="en-US" w:eastAsia="zh-CN"/>
          <w14:textFill>
            <w14:solidFill>
              <w14:schemeClr w14:val="tx1"/>
            </w14:solidFill>
          </w14:textFill>
        </w:rPr>
      </w:pPr>
      <w:r>
        <w:rPr>
          <w:rFonts w:hint="eastAsia" w:ascii="宋体" w:hAnsi="宋体" w:cs="宋体"/>
          <w:color w:val="000000" w:themeColor="text1"/>
          <w:spacing w:val="0"/>
          <w:kern w:val="24"/>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0"/>
          <w:kern w:val="24"/>
          <w:sz w:val="24"/>
          <w:szCs w:val="24"/>
          <w:lang w:val="en-US" w:eastAsia="zh-CN" w:bidi="ar-SA"/>
          <w14:textFill>
            <w14:solidFill>
              <w14:schemeClr w14:val="tx1"/>
            </w14:solidFill>
          </w14:textFill>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二十</w:t>
      </w:r>
      <w:r>
        <w:rPr>
          <w:rFonts w:hint="eastAsia" w:ascii="宋体" w:hAnsi="宋体" w:cs="宋体"/>
          <w:b/>
          <w:bCs/>
          <w:color w:val="000000" w:themeColor="text1"/>
          <w:spacing w:val="0"/>
          <w:kern w:val="24"/>
          <w:sz w:val="24"/>
          <w:szCs w:val="24"/>
          <w:highlight w:val="none"/>
          <w14:textFill>
            <w14:solidFill>
              <w14:schemeClr w14:val="tx1"/>
            </w14:solidFill>
          </w14:textFill>
        </w:rPr>
        <w:t>、争议及纠纷的解决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本合同在履行过程中如出现纠纷，双方应友好协商解决；协商不成，双方可以向</w:t>
      </w:r>
      <w:r>
        <w:rPr>
          <w:rFonts w:hint="eastAsia" w:ascii="宋体" w:hAnsi="宋体" w:cs="宋体"/>
          <w:color w:val="000000" w:themeColor="text1"/>
          <w:spacing w:val="0"/>
          <w:kern w:val="24"/>
          <w:sz w:val="24"/>
          <w:szCs w:val="24"/>
          <w:highlight w:val="none"/>
          <w:lang w:eastAsia="zh-CN"/>
          <w14:textFill>
            <w14:solidFill>
              <w14:schemeClr w14:val="tx1"/>
            </w14:solidFill>
          </w14:textFill>
        </w:rPr>
        <w:t>工程</w:t>
      </w:r>
      <w:r>
        <w:rPr>
          <w:rFonts w:hint="eastAsia" w:ascii="宋体" w:hAnsi="宋体" w:cs="宋体"/>
          <w:color w:val="000000" w:themeColor="text1"/>
          <w:spacing w:val="0"/>
          <w:kern w:val="24"/>
          <w:sz w:val="24"/>
          <w:szCs w:val="24"/>
          <w:highlight w:val="none"/>
          <w14:textFill>
            <w14:solidFill>
              <w14:schemeClr w14:val="tx1"/>
            </w14:solidFill>
          </w14:textFill>
        </w:rPr>
        <w:t>所在地法院提起诉讼。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二十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一</w:t>
      </w:r>
      <w:r>
        <w:rPr>
          <w:rFonts w:hint="eastAsia" w:ascii="宋体" w:hAnsi="宋体" w:cs="宋体"/>
          <w:b/>
          <w:bCs/>
          <w:color w:val="000000" w:themeColor="text1"/>
          <w:spacing w:val="0"/>
          <w:kern w:val="24"/>
          <w:sz w:val="24"/>
          <w:szCs w:val="24"/>
          <w:highlight w:val="none"/>
          <w14:textFill>
            <w14:solidFill>
              <w14:schemeClr w14:val="tx1"/>
            </w14:solidFill>
          </w14:textFill>
        </w:rPr>
        <w:t>、合同解约条款</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pPr>
      <w:r>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t>如发生以下情况甲方有权解除合同：</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pPr>
      <w:r>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t>1、乙方未经甲方同意停工15日（含15日）以上。</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pPr>
      <w:r>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t>2、甲方或监理方对同一施工问题连续下发三次整改通知书后乙方无作为或整改问题未在整改通知书要求的期限内解决。</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pPr>
      <w:r>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t>3、乙方购置不符合合同约定的品牌、厂家、产地、材质、工艺、规格、型号等标准的产品或者假冒伪劣产品用于本工程。</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pPr>
      <w:r>
        <w:rPr>
          <w:rFonts w:hint="eastAsia" w:ascii="宋体" w:hAnsi="宋体" w:eastAsia="宋体" w:cs="宋体"/>
          <w:color w:val="000000" w:themeColor="text1"/>
          <w:spacing w:val="0"/>
          <w:kern w:val="24"/>
          <w:sz w:val="24"/>
          <w:szCs w:val="28"/>
          <w:highlight w:val="none"/>
          <w:lang w:val="en-US" w:eastAsia="zh-CN"/>
          <w14:textFill>
            <w14:solidFill>
              <w14:schemeClr w14:val="tx1"/>
            </w14:solidFill>
          </w14:textFill>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pPr>
        <w:pStyle w:val="2"/>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8"/>
          <w:highlight w:val="none"/>
          <w:lang w:val="en-US" w:eastAsia="zh-CN" w:bidi="ar-SA"/>
          <w14:textFill>
            <w14:solidFill>
              <w14:schemeClr w14:val="tx1"/>
            </w14:solidFill>
          </w14:textFill>
        </w:rPr>
      </w:pPr>
      <w:r>
        <w:rPr>
          <w:rFonts w:hint="eastAsia" w:ascii="宋体" w:hAnsi="宋体" w:eastAsia="宋体" w:cs="宋体"/>
          <w:b w:val="0"/>
          <w:color w:val="000000" w:themeColor="text1"/>
          <w:spacing w:val="0"/>
          <w:kern w:val="24"/>
          <w:position w:val="0"/>
          <w:sz w:val="24"/>
          <w:szCs w:val="28"/>
          <w:highlight w:val="none"/>
          <w:lang w:val="en-US" w:eastAsia="zh-CN" w:bidi="ar-SA"/>
          <w14:textFill>
            <w14:solidFill>
              <w14:schemeClr w14:val="tx1"/>
            </w14:solidFill>
          </w14:textFill>
        </w:rPr>
        <w:t>如合同解约甲方有权委托其他公司进行施工。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bCs/>
          <w:color w:val="000000" w:themeColor="text1"/>
          <w:spacing w:val="0"/>
          <w:kern w:val="24"/>
          <w:sz w:val="24"/>
          <w:szCs w:val="24"/>
          <w:highlight w:val="none"/>
          <w14:textFill>
            <w14:solidFill>
              <w14:schemeClr w14:val="tx1"/>
            </w14:solidFill>
          </w14:textFill>
        </w:rPr>
      </w:pPr>
      <w:r>
        <w:rPr>
          <w:rFonts w:hint="eastAsia" w:ascii="宋体" w:hAnsi="宋体" w:cs="宋体"/>
          <w:b/>
          <w:bCs/>
          <w:color w:val="000000" w:themeColor="text1"/>
          <w:spacing w:val="0"/>
          <w:kern w:val="24"/>
          <w:sz w:val="24"/>
          <w:szCs w:val="24"/>
          <w:highlight w:val="none"/>
          <w14:textFill>
            <w14:solidFill>
              <w14:schemeClr w14:val="tx1"/>
            </w14:solidFill>
          </w14:textFill>
        </w:rPr>
        <w:t>二十</w:t>
      </w:r>
      <w:r>
        <w:rPr>
          <w:rFonts w:hint="eastAsia" w:ascii="宋体" w:hAnsi="宋体" w:cs="宋体"/>
          <w:b/>
          <w:bCs/>
          <w:color w:val="000000" w:themeColor="text1"/>
          <w:spacing w:val="0"/>
          <w:kern w:val="24"/>
          <w:sz w:val="24"/>
          <w:szCs w:val="24"/>
          <w:highlight w:val="none"/>
          <w:lang w:eastAsia="zh-CN"/>
          <w14:textFill>
            <w14:solidFill>
              <w14:schemeClr w14:val="tx1"/>
            </w14:solidFill>
          </w14:textFill>
        </w:rPr>
        <w:t>二</w:t>
      </w:r>
      <w:r>
        <w:rPr>
          <w:rFonts w:hint="eastAsia" w:ascii="宋体" w:hAnsi="宋体" w:cs="宋体"/>
          <w:b/>
          <w:bCs/>
          <w:color w:val="000000" w:themeColor="text1"/>
          <w:spacing w:val="0"/>
          <w:kern w:val="24"/>
          <w:sz w:val="24"/>
          <w:szCs w:val="24"/>
          <w:highlight w:val="none"/>
          <w14:textFill>
            <w14:solidFill>
              <w14:schemeClr w14:val="tx1"/>
            </w14:solidFill>
          </w14:textFill>
        </w:rPr>
        <w:t>、送达条款</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甲乙双方明确送达信息如下</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甲方确认的送达信息为：</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hAnsi="宋体" w:eastAsia="宋体"/>
          <w:color w:val="000000" w:themeColor="text1"/>
          <w:spacing w:val="0"/>
          <w:kern w:val="24"/>
          <w:sz w:val="24"/>
          <w:szCs w:val="28"/>
          <w:highlight w:val="none"/>
          <w:lang w:val="en-US" w:eastAsia="zh-CN"/>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送达地址：</w:t>
      </w:r>
      <w:r>
        <w:rPr>
          <w:rFonts w:hint="eastAsia" w:ascii="宋体" w:hAnsi="宋体"/>
          <w:color w:val="000000" w:themeColor="text1"/>
          <w:spacing w:val="0"/>
          <w:kern w:val="24"/>
          <w:sz w:val="24"/>
          <w:szCs w:val="28"/>
          <w:highlight w:val="none"/>
          <w:lang w:eastAsia="zh-CN"/>
          <w14:textFill>
            <w14:solidFill>
              <w14:schemeClr w14:val="tx1"/>
            </w14:solidFill>
          </w14:textFill>
        </w:rPr>
        <w:t>洛阳市洛龙区开元大道与长夏门街交叉口东</w:t>
      </w:r>
      <w:r>
        <w:rPr>
          <w:rFonts w:hint="eastAsia" w:ascii="宋体" w:hAnsi="宋体"/>
          <w:color w:val="000000" w:themeColor="text1"/>
          <w:spacing w:val="0"/>
          <w:kern w:val="24"/>
          <w:sz w:val="24"/>
          <w:szCs w:val="28"/>
          <w:highlight w:val="none"/>
          <w:lang w:val="en-US" w:eastAsia="zh-CN"/>
          <w14:textFill>
            <w14:solidFill>
              <w14:schemeClr w14:val="tx1"/>
            </w14:solidFill>
          </w14:textFill>
        </w:rPr>
        <w:t>100米，开元壹号售楼部</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hAnsi="宋体" w:eastAsia="宋体"/>
          <w:color w:val="000000" w:themeColor="text1"/>
          <w:spacing w:val="0"/>
          <w:kern w:val="24"/>
          <w:sz w:val="24"/>
          <w:szCs w:val="28"/>
          <w:highlight w:val="none"/>
          <w:lang w:val="en-US" w:eastAsia="zh-CN"/>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联系方式：</w:t>
      </w:r>
      <w:r>
        <w:rPr>
          <w:rFonts w:hint="eastAsia" w:ascii="宋体" w:hAnsi="宋体"/>
          <w:color w:val="000000" w:themeColor="text1"/>
          <w:spacing w:val="0"/>
          <w:kern w:val="24"/>
          <w:sz w:val="24"/>
          <w:szCs w:val="28"/>
          <w:highlight w:val="none"/>
          <w:lang w:eastAsia="zh-CN"/>
          <w14:textFill>
            <w14:solidFill>
              <w14:schemeClr w14:val="tx1"/>
            </w14:solidFill>
          </w14:textFill>
        </w:rPr>
        <w:t>文金廷，</w:t>
      </w:r>
      <w:r>
        <w:rPr>
          <w:rFonts w:hint="eastAsia" w:ascii="宋体" w:hAnsi="宋体" w:cs="宋体"/>
          <w:bCs/>
          <w:color w:val="000000" w:themeColor="text1"/>
          <w:szCs w:val="24"/>
          <w14:textFill>
            <w14:solidFill>
              <w14:schemeClr w14:val="tx1"/>
            </w14:solidFill>
          </w14:textFill>
        </w:rPr>
        <w:t>0379-</w:t>
      </w:r>
      <w:r>
        <w:rPr>
          <w:rFonts w:hint="eastAsia" w:ascii="宋体" w:hAnsi="宋体" w:cs="宋体"/>
          <w:bCs/>
          <w:color w:val="000000" w:themeColor="text1"/>
          <w:szCs w:val="24"/>
          <w:lang w:val="en-US" w:eastAsia="zh-CN"/>
          <w14:textFill>
            <w14:solidFill>
              <w14:schemeClr w14:val="tx1"/>
            </w14:solidFill>
          </w14:textFill>
        </w:rPr>
        <w:t>60198086</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乙方确认的送达信息为：</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送达地址：新密市曲梁镇牛集村2组</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olor w:val="000000" w:themeColor="text1"/>
          <w:spacing w:val="0"/>
          <w:kern w:val="24"/>
          <w:sz w:val="24"/>
          <w:szCs w:val="28"/>
          <w:highlight w:val="none"/>
          <w:lang w:eastAsia="zh-CN"/>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联系人及联系方式：</w:t>
      </w:r>
      <w:r>
        <w:rPr>
          <w:rFonts w:hint="eastAsia" w:ascii="宋体" w:hAnsi="宋体"/>
          <w:color w:val="000000" w:themeColor="text1"/>
          <w:spacing w:val="0"/>
          <w:kern w:val="24"/>
          <w:sz w:val="24"/>
          <w:szCs w:val="28"/>
          <w:highlight w:val="none"/>
          <w:lang w:eastAsia="zh-CN"/>
          <w14:textFill>
            <w14:solidFill>
              <w14:schemeClr w14:val="tx1"/>
            </w14:solidFill>
          </w14:textFill>
        </w:rPr>
        <w:t>董家男，15890601818</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olor w:val="000000" w:themeColor="text1"/>
          <w:spacing w:val="0"/>
          <w:kern w:val="24"/>
          <w:sz w:val="24"/>
          <w:szCs w:val="28"/>
          <w:highlight w:val="none"/>
          <w14:textFill>
            <w14:solidFill>
              <w14:schemeClr w14:val="tx1"/>
            </w14:solidFill>
          </w14:textFill>
        </w:rPr>
      </w:pPr>
      <w:r>
        <w:rPr>
          <w:rFonts w:hint="eastAsia" w:ascii="宋体" w:hAnsi="宋体"/>
          <w:color w:val="000000" w:themeColor="text1"/>
          <w:spacing w:val="0"/>
          <w:kern w:val="24"/>
          <w:sz w:val="24"/>
          <w:szCs w:val="28"/>
          <w:highlight w:val="none"/>
          <w14:textFill>
            <w14:solidFill>
              <w14:schemeClr w14:val="tx1"/>
            </w14:solidFill>
          </w14:textFill>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b/>
          <w:color w:val="000000" w:themeColor="text1"/>
          <w:spacing w:val="0"/>
          <w:kern w:val="24"/>
          <w:sz w:val="24"/>
          <w:highlight w:val="none"/>
          <w14:textFill>
            <w14:solidFill>
              <w14:schemeClr w14:val="tx1"/>
            </w14:solidFill>
          </w14:textFill>
        </w:rPr>
      </w:pPr>
      <w:r>
        <w:rPr>
          <w:rFonts w:hint="eastAsia" w:ascii="宋体" w:hAnsi="宋体"/>
          <w:b/>
          <w:bCs/>
          <w:color w:val="000000" w:themeColor="text1"/>
          <w:spacing w:val="0"/>
          <w:kern w:val="24"/>
          <w:sz w:val="24"/>
          <w:highlight w:val="none"/>
          <w14:textFill>
            <w14:solidFill>
              <w14:schemeClr w14:val="tx1"/>
            </w14:solidFill>
          </w14:textFill>
        </w:rPr>
        <w:t>二十</w:t>
      </w:r>
      <w:r>
        <w:rPr>
          <w:rFonts w:hint="eastAsia" w:ascii="宋体" w:hAnsi="宋体"/>
          <w:b/>
          <w:bCs/>
          <w:color w:val="000000" w:themeColor="text1"/>
          <w:spacing w:val="0"/>
          <w:kern w:val="24"/>
          <w:sz w:val="24"/>
          <w:highlight w:val="none"/>
          <w:lang w:eastAsia="zh-CN"/>
          <w14:textFill>
            <w14:solidFill>
              <w14:schemeClr w14:val="tx1"/>
            </w14:solidFill>
          </w14:textFill>
        </w:rPr>
        <w:t>三</w:t>
      </w:r>
      <w:r>
        <w:rPr>
          <w:rFonts w:hint="eastAsia" w:ascii="宋体" w:hAnsi="宋体"/>
          <w:b/>
          <w:bCs/>
          <w:color w:val="000000" w:themeColor="text1"/>
          <w:spacing w:val="0"/>
          <w:kern w:val="24"/>
          <w:sz w:val="24"/>
          <w:highlight w:val="none"/>
          <w14:textFill>
            <w14:solidFill>
              <w14:schemeClr w14:val="tx1"/>
            </w14:solidFill>
          </w14:textFill>
        </w:rPr>
        <w:t>、发票开具要求及责任</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eastAsia" w:ascii="宋体" w:hAnsi="宋体" w:eastAsia="宋体" w:cs="宋体"/>
          <w:b w:val="0"/>
          <w:spacing w:val="0"/>
          <w:sz w:val="24"/>
          <w:szCs w:val="32"/>
        </w:rPr>
      </w:pPr>
      <w:r>
        <w:rPr>
          <w:rFonts w:hint="eastAsia" w:ascii="宋体" w:hAnsi="宋体" w:eastAsia="宋体" w:cs="宋体"/>
          <w:b w:val="0"/>
          <w:spacing w:val="0"/>
          <w:sz w:val="24"/>
          <w:szCs w:val="32"/>
        </w:rPr>
        <w:t>1、乙方应提供真实、合法、有效的增值税专用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eastAsia" w:ascii="宋体" w:hAnsi="宋体" w:eastAsia="宋体" w:cs="宋体"/>
          <w:b w:val="0"/>
          <w:spacing w:val="0"/>
          <w:sz w:val="24"/>
          <w:szCs w:val="32"/>
        </w:rPr>
      </w:pPr>
      <w:r>
        <w:rPr>
          <w:rFonts w:hint="eastAsia" w:ascii="宋体" w:hAnsi="宋体" w:eastAsia="宋体" w:cs="宋体"/>
          <w:b w:val="0"/>
          <w:spacing w:val="0"/>
          <w:sz w:val="24"/>
          <w:szCs w:val="32"/>
        </w:rPr>
        <w:t>2、乙方提供的发票为增值税专用发票的，因乙方迟延送达、开具错误等原因导致其提供的增值税专用发票没有通过税务部门认证，造成甲方不能抵扣的，甲方有权拒绝接收。</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eastAsia" w:ascii="宋体" w:hAnsi="宋体" w:eastAsia="宋体" w:cs="宋体"/>
          <w:b w:val="0"/>
          <w:spacing w:val="0"/>
          <w:sz w:val="24"/>
          <w:szCs w:val="32"/>
        </w:rPr>
      </w:pPr>
      <w:r>
        <w:rPr>
          <w:rFonts w:hint="eastAsia" w:ascii="宋体" w:hAnsi="宋体" w:eastAsia="宋体" w:cs="宋体"/>
          <w:b w:val="0"/>
          <w:spacing w:val="0"/>
          <w:sz w:val="24"/>
          <w:szCs w:val="32"/>
        </w:rPr>
        <w:t>3、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eastAsia" w:ascii="宋体" w:hAnsi="宋体" w:eastAsia="宋体" w:cs="宋体"/>
          <w:b w:val="0"/>
          <w:spacing w:val="0"/>
          <w:sz w:val="24"/>
          <w:szCs w:val="32"/>
        </w:rPr>
      </w:pPr>
      <w:r>
        <w:rPr>
          <w:rFonts w:hint="eastAsia" w:ascii="宋体" w:hAnsi="宋体" w:eastAsia="宋体" w:cs="宋体"/>
          <w:b w:val="0"/>
          <w:spacing w:val="0"/>
          <w:sz w:val="24"/>
          <w:szCs w:val="32"/>
        </w:rPr>
        <w:t>4、乙方未按合同约定开具增值税专用发票或实际开具的增值税专用发票税率低于合同中约定税率的，乙方除应向甲方支付无法抵扣部分的税款金额外，乙方还应向甲方支付合同总价【5】%的违约金，违约金不足以弥补甲方损失的，乙方应予赔偿，甲方有权终止合同。</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eastAsia" w:ascii="宋体" w:hAnsi="宋体" w:eastAsia="宋体" w:cs="宋体"/>
          <w:b w:val="0"/>
          <w:spacing w:val="0"/>
          <w:sz w:val="24"/>
          <w:szCs w:val="32"/>
        </w:rPr>
      </w:pPr>
      <w:r>
        <w:rPr>
          <w:rFonts w:hint="eastAsia" w:ascii="宋体" w:hAnsi="宋体" w:eastAsia="宋体" w:cs="宋体"/>
          <w:b w:val="0"/>
          <w:spacing w:val="0"/>
          <w:sz w:val="24"/>
          <w:szCs w:val="32"/>
        </w:rPr>
        <w:t>5、如果甲方丢失增值税专用发票联和抵扣联，乙方应向甲方提供专用发票记账联复印件及主管税务机关出具的《丢失增值税专用发票已报税证明单》。</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eastAsia" w:ascii="宋体" w:hAnsi="宋体" w:eastAsia="宋体" w:cs="宋体"/>
          <w:b w:val="0"/>
          <w:spacing w:val="0"/>
          <w:sz w:val="24"/>
          <w:szCs w:val="32"/>
        </w:rPr>
      </w:pPr>
      <w:r>
        <w:rPr>
          <w:rFonts w:hint="eastAsia" w:ascii="宋体" w:hAnsi="宋体" w:eastAsia="宋体" w:cs="宋体"/>
          <w:b w:val="0"/>
          <w:spacing w:val="0"/>
          <w:sz w:val="24"/>
          <w:szCs w:val="32"/>
        </w:rPr>
        <w:t>6、如果获得开具的汇总专用发票，则乙方应提供其防伪税控系统开具的《销售货物或者提供应税劳务清单》，并加盖发票专用章。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ascii="宋体" w:hAnsi="宋体" w:cs="宋体"/>
          <w:b/>
          <w:color w:val="000000" w:themeColor="text1"/>
          <w:spacing w:val="0"/>
          <w:kern w:val="24"/>
          <w:sz w:val="24"/>
          <w:szCs w:val="24"/>
          <w:highlight w:val="none"/>
          <w14:textFill>
            <w14:solidFill>
              <w14:schemeClr w14:val="tx1"/>
            </w14:solidFill>
          </w14:textFill>
        </w:rPr>
      </w:pPr>
      <w:r>
        <w:rPr>
          <w:rFonts w:hint="eastAsia" w:ascii="宋体" w:hAnsi="宋体" w:cs="宋体"/>
          <w:b/>
          <w:color w:val="000000" w:themeColor="text1"/>
          <w:spacing w:val="0"/>
          <w:kern w:val="24"/>
          <w:sz w:val="24"/>
          <w:szCs w:val="24"/>
          <w:highlight w:val="none"/>
          <w14:textFill>
            <w14:solidFill>
              <w14:schemeClr w14:val="tx1"/>
            </w14:solidFill>
          </w14:textFill>
        </w:rPr>
        <w:t>二十</w:t>
      </w:r>
      <w:r>
        <w:rPr>
          <w:rFonts w:hint="eastAsia" w:ascii="宋体" w:hAnsi="宋体" w:cs="宋体"/>
          <w:b/>
          <w:color w:val="000000" w:themeColor="text1"/>
          <w:spacing w:val="0"/>
          <w:kern w:val="24"/>
          <w:sz w:val="24"/>
          <w:szCs w:val="24"/>
          <w:highlight w:val="none"/>
          <w:lang w:eastAsia="zh-CN"/>
          <w14:textFill>
            <w14:solidFill>
              <w14:schemeClr w14:val="tx1"/>
            </w14:solidFill>
          </w14:textFill>
        </w:rPr>
        <w:t>四</w:t>
      </w:r>
      <w:r>
        <w:rPr>
          <w:rFonts w:hint="eastAsia" w:ascii="宋体" w:hAnsi="宋体" w:cs="宋体"/>
          <w:b/>
          <w:color w:val="000000" w:themeColor="text1"/>
          <w:spacing w:val="0"/>
          <w:kern w:val="24"/>
          <w:sz w:val="24"/>
          <w:szCs w:val="24"/>
          <w:highlight w:val="none"/>
          <w14:textFill>
            <w14:solidFill>
              <w14:schemeClr w14:val="tx1"/>
            </w14:solidFill>
          </w14:textFill>
        </w:rPr>
        <w:t>、其他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1、本合同自双方</w:t>
      </w:r>
      <w:r>
        <w:rPr>
          <w:rFonts w:hint="eastAsia"/>
          <w:color w:val="000000" w:themeColor="text1"/>
          <w:spacing w:val="0"/>
          <w:kern w:val="24"/>
          <w:sz w:val="24"/>
          <w:highlight w:val="none"/>
          <w14:textFill>
            <w14:solidFill>
              <w14:schemeClr w14:val="tx1"/>
            </w14:solidFill>
          </w14:textFill>
        </w:rPr>
        <w:t>法定代理人或委托代理人签字</w:t>
      </w:r>
      <w:r>
        <w:rPr>
          <w:rFonts w:hint="eastAsia"/>
          <w:color w:val="000000" w:themeColor="text1"/>
          <w:spacing w:val="0"/>
          <w:kern w:val="24"/>
          <w:sz w:val="24"/>
          <w:highlight w:val="none"/>
          <w:lang w:eastAsia="zh-CN"/>
          <w14:textFill>
            <w14:solidFill>
              <w14:schemeClr w14:val="tx1"/>
            </w14:solidFill>
          </w14:textFill>
        </w:rPr>
        <w:t>并</w:t>
      </w:r>
      <w:r>
        <w:rPr>
          <w:rFonts w:hint="eastAsia"/>
          <w:color w:val="000000" w:themeColor="text1"/>
          <w:spacing w:val="0"/>
          <w:kern w:val="24"/>
          <w:sz w:val="24"/>
          <w:highlight w:val="none"/>
          <w14:textFill>
            <w14:solidFill>
              <w14:schemeClr w14:val="tx1"/>
            </w14:solidFill>
          </w14:textFill>
        </w:rPr>
        <w:t>盖章</w:t>
      </w:r>
      <w:r>
        <w:rPr>
          <w:rFonts w:hint="eastAsia" w:ascii="宋体" w:hAnsi="宋体" w:cs="宋体"/>
          <w:color w:val="000000" w:themeColor="text1"/>
          <w:spacing w:val="0"/>
          <w:kern w:val="24"/>
          <w:sz w:val="24"/>
          <w:szCs w:val="24"/>
          <w:highlight w:val="none"/>
          <w14:textFill>
            <w14:solidFill>
              <w14:schemeClr w14:val="tx1"/>
            </w14:solidFill>
          </w14:textFill>
        </w:rPr>
        <w:t>之日起生效。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2、本工程施工图纸以及双方有关工程的洽商、变更等书面协议或文件视为本合同的组成部分。</w:t>
      </w:r>
    </w:p>
    <w:p>
      <w:pPr>
        <w:keepNext w:val="0"/>
        <w:keepLines w:val="0"/>
        <w:pageBreakBefore w:val="0"/>
        <w:widowControl w:val="0"/>
        <w:tabs>
          <w:tab w:val="left" w:pos="55"/>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3、本合同未尽事宜双方另行协商，签订补充协议。</w:t>
      </w:r>
    </w:p>
    <w:p>
      <w:pPr>
        <w:keepNext w:val="0"/>
        <w:keepLines w:val="0"/>
        <w:pageBreakBefore w:val="0"/>
        <w:widowControl w:val="0"/>
        <w:tabs>
          <w:tab w:val="left" w:pos="4465"/>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4、</w:t>
      </w:r>
      <w:r>
        <w:rPr>
          <w:rFonts w:hint="eastAsia" w:ascii="宋体" w:hAnsi="宋体"/>
          <w:bCs/>
          <w:sz w:val="24"/>
        </w:rPr>
        <w:t>合同附件为本合同不可分割的组成部分，本合同连同附件</w:t>
      </w:r>
      <w:r>
        <w:rPr>
          <w:rFonts w:hint="eastAsia" w:ascii="宋体" w:hAnsi="宋体" w:cs="宋体"/>
          <w:color w:val="000000" w:themeColor="text1"/>
          <w:spacing w:val="0"/>
          <w:kern w:val="24"/>
          <w:sz w:val="24"/>
          <w:szCs w:val="24"/>
          <w:highlight w:val="none"/>
          <w14:textFill>
            <w14:solidFill>
              <w14:schemeClr w14:val="tx1"/>
            </w14:solidFill>
          </w14:textFill>
        </w:rPr>
        <w:t>壹式柒份，甲方伍份，乙方贰份，具有同等的法律效力。</w:t>
      </w:r>
    </w:p>
    <w:p>
      <w:pPr>
        <w:pStyle w:val="4"/>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cs="宋体"/>
          <w:b/>
          <w:color w:val="000000" w:themeColor="text1"/>
          <w:spacing w:val="0"/>
          <w:kern w:val="24"/>
          <w:sz w:val="24"/>
          <w:szCs w:val="24"/>
          <w:highlight w:val="none"/>
          <w:lang w:eastAsia="zh-CN"/>
          <w14:textFill>
            <w14:solidFill>
              <w14:schemeClr w14:val="tx1"/>
            </w14:solidFill>
          </w14:textFill>
        </w:rPr>
      </w:pPr>
      <w:r>
        <w:rPr>
          <w:rFonts w:hint="eastAsia" w:ascii="宋体" w:hAnsi="宋体" w:cs="宋体"/>
          <w:b/>
          <w:color w:val="000000" w:themeColor="text1"/>
          <w:spacing w:val="0"/>
          <w:kern w:val="24"/>
          <w:sz w:val="24"/>
          <w:szCs w:val="24"/>
          <w:highlight w:val="none"/>
          <w14:textFill>
            <w14:solidFill>
              <w14:schemeClr w14:val="tx1"/>
            </w14:solidFill>
          </w14:textFill>
        </w:rPr>
        <w:t>二十</w:t>
      </w:r>
      <w:r>
        <w:rPr>
          <w:rFonts w:hint="eastAsia" w:ascii="宋体" w:hAnsi="宋体" w:cs="宋体"/>
          <w:b/>
          <w:color w:val="000000" w:themeColor="text1"/>
          <w:spacing w:val="0"/>
          <w:kern w:val="24"/>
          <w:sz w:val="24"/>
          <w:szCs w:val="24"/>
          <w:highlight w:val="none"/>
          <w:lang w:eastAsia="zh-CN"/>
          <w14:textFill>
            <w14:solidFill>
              <w14:schemeClr w14:val="tx1"/>
            </w14:solidFill>
          </w14:textFill>
        </w:rPr>
        <w:t>五</w:t>
      </w:r>
      <w:r>
        <w:rPr>
          <w:rFonts w:hint="eastAsia" w:ascii="宋体" w:hAnsi="宋体" w:cs="宋体"/>
          <w:b/>
          <w:color w:val="000000" w:themeColor="text1"/>
          <w:spacing w:val="0"/>
          <w:kern w:val="24"/>
          <w:sz w:val="24"/>
          <w:szCs w:val="24"/>
          <w:highlight w:val="none"/>
          <w14:textFill>
            <w14:solidFill>
              <w14:schemeClr w14:val="tx1"/>
            </w14:solidFill>
          </w14:textFill>
        </w:rPr>
        <w:t>、</w:t>
      </w:r>
      <w:r>
        <w:rPr>
          <w:rFonts w:hint="eastAsia" w:ascii="宋体" w:hAnsi="宋体" w:cs="宋体"/>
          <w:b/>
          <w:color w:val="000000" w:themeColor="text1"/>
          <w:spacing w:val="0"/>
          <w:kern w:val="24"/>
          <w:sz w:val="24"/>
          <w:szCs w:val="24"/>
          <w:highlight w:val="none"/>
          <w:lang w:eastAsia="zh-CN"/>
          <w14:textFill>
            <w14:solidFill>
              <w14:schemeClr w14:val="tx1"/>
            </w14:solidFill>
          </w14:textFill>
        </w:rPr>
        <w:t>合同附件</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cs="宋体"/>
          <w:b w:val="0"/>
          <w:bCs/>
          <w:color w:val="000000" w:themeColor="text1"/>
          <w:spacing w:val="0"/>
          <w:kern w:val="24"/>
          <w:sz w:val="24"/>
          <w:szCs w:val="24"/>
          <w:highlight w:val="none"/>
          <w:lang w:eastAsia="zh-CN"/>
          <w14:textFill>
            <w14:solidFill>
              <w14:schemeClr w14:val="tx1"/>
            </w14:solidFill>
          </w14:textFill>
        </w:rPr>
      </w:pPr>
      <w:r>
        <w:rPr>
          <w:rFonts w:hint="eastAsia" w:ascii="宋体" w:hAnsi="宋体" w:cs="宋体"/>
          <w:b w:val="0"/>
          <w:bCs/>
          <w:color w:val="000000" w:themeColor="text1"/>
          <w:spacing w:val="0"/>
          <w:kern w:val="24"/>
          <w:sz w:val="24"/>
          <w:szCs w:val="24"/>
          <w:highlight w:val="none"/>
          <w:lang w:eastAsia="zh-CN"/>
          <w14:textFill>
            <w14:solidFill>
              <w14:schemeClr w14:val="tx1"/>
            </w14:solidFill>
          </w14:textFill>
        </w:rPr>
        <w:t>附件一：开元壹号</w:t>
      </w:r>
      <w:r>
        <w:rPr>
          <w:rFonts w:hint="eastAsia" w:ascii="宋体" w:hAnsi="宋体" w:cs="宋体"/>
          <w:b w:val="0"/>
          <w:bCs/>
          <w:color w:val="000000" w:themeColor="text1"/>
          <w:spacing w:val="0"/>
          <w:kern w:val="24"/>
          <w:sz w:val="24"/>
          <w:szCs w:val="24"/>
          <w:highlight w:val="none"/>
          <w:lang w:val="en-US" w:eastAsia="zh-CN"/>
          <w14:textFill>
            <w14:solidFill>
              <w14:schemeClr w14:val="tx1"/>
            </w14:solidFill>
          </w14:textFill>
        </w:rPr>
        <w:t>62#地块一期</w:t>
      </w:r>
      <w:r>
        <w:rPr>
          <w:rFonts w:hint="eastAsia" w:ascii="宋体" w:hAnsi="宋体" w:cs="宋体"/>
          <w:b w:val="0"/>
          <w:bCs/>
          <w:color w:val="000000" w:themeColor="text1"/>
          <w:spacing w:val="0"/>
          <w:kern w:val="24"/>
          <w:sz w:val="24"/>
          <w:szCs w:val="24"/>
          <w:highlight w:val="none"/>
          <w:lang w:eastAsia="zh-CN"/>
          <w14:textFill>
            <w14:solidFill>
              <w14:schemeClr w14:val="tx1"/>
            </w14:solidFill>
          </w14:textFill>
        </w:rPr>
        <w:t>栏杆及百叶工程合同价清单</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cs="宋体"/>
          <w:b w:val="0"/>
          <w:bCs/>
          <w:color w:val="000000" w:themeColor="text1"/>
          <w:spacing w:val="0"/>
          <w:kern w:val="24"/>
          <w:sz w:val="24"/>
          <w:szCs w:val="24"/>
          <w:highlight w:val="none"/>
          <w:lang w:eastAsia="zh-CN"/>
          <w14:textFill>
            <w14:solidFill>
              <w14:schemeClr w14:val="tx1"/>
            </w14:solidFill>
          </w14:textFill>
        </w:rPr>
      </w:pPr>
      <w:r>
        <w:rPr>
          <w:rFonts w:hint="eastAsia" w:ascii="宋体" w:hAnsi="宋体" w:cs="宋体"/>
          <w:b w:val="0"/>
          <w:bCs/>
          <w:color w:val="000000" w:themeColor="text1"/>
          <w:spacing w:val="0"/>
          <w:kern w:val="24"/>
          <w:sz w:val="24"/>
          <w:szCs w:val="24"/>
          <w:highlight w:val="none"/>
          <w:lang w:eastAsia="zh-CN"/>
          <w14:textFill>
            <w14:solidFill>
              <w14:schemeClr w14:val="tx1"/>
            </w14:solidFill>
          </w14:textFill>
        </w:rPr>
        <w:t>附件二：栏杆、百叶综合单价分析表</w:t>
      </w:r>
    </w:p>
    <w:p>
      <w:pPr>
        <w:pStyle w:val="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cs="宋体"/>
          <w:b w:val="0"/>
          <w:bCs/>
          <w:color w:val="000000" w:themeColor="text1"/>
          <w:spacing w:val="0"/>
          <w:kern w:val="24"/>
          <w:sz w:val="24"/>
          <w:szCs w:val="24"/>
          <w:highlight w:val="none"/>
          <w:lang w:eastAsia="zh-CN"/>
          <w14:textFill>
            <w14:solidFill>
              <w14:schemeClr w14:val="tx1"/>
            </w14:solidFill>
          </w14:textFill>
        </w:rPr>
      </w:pPr>
      <w:r>
        <w:rPr>
          <w:rFonts w:hint="eastAsia" w:ascii="宋体" w:hAnsi="宋体" w:cs="宋体"/>
          <w:b w:val="0"/>
          <w:bCs/>
          <w:color w:val="000000" w:themeColor="text1"/>
          <w:spacing w:val="0"/>
          <w:kern w:val="24"/>
          <w:sz w:val="24"/>
          <w:szCs w:val="24"/>
          <w:highlight w:val="none"/>
          <w:lang w:eastAsia="zh-CN"/>
          <w14:textFill>
            <w14:solidFill>
              <w14:schemeClr w14:val="tx1"/>
            </w14:solidFill>
          </w14:textFill>
        </w:rPr>
        <w:t>附件三：廉政合作协议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color w:val="000000" w:themeColor="text1"/>
          <w:spacing w:val="0"/>
          <w:kern w:val="24"/>
          <w:sz w:val="24"/>
          <w:szCs w:val="24"/>
          <w:highlight w:val="none"/>
          <w14:textFill>
            <w14:solidFill>
              <w14:schemeClr w14:val="tx1"/>
            </w14:solidFill>
          </w14:textFill>
        </w:rPr>
      </w:pPr>
      <w:r>
        <w:rPr>
          <w:rFonts w:hint="eastAsia" w:ascii="宋体" w:hAnsi="宋体" w:cs="宋体"/>
          <w:color w:val="000000" w:themeColor="text1"/>
          <w:spacing w:val="0"/>
          <w:kern w:val="24"/>
          <w:sz w:val="24"/>
          <w:szCs w:val="24"/>
          <w:highlight w:val="none"/>
          <w14:textFill>
            <w14:solidFill>
              <w14:schemeClr w14:val="tx1"/>
            </w14:solidFill>
          </w14:textFill>
        </w:rPr>
        <w:t>（以下无正文）</w:t>
      </w:r>
    </w:p>
    <w:p>
      <w:pPr>
        <w:widowControl/>
        <w:spacing w:before="156" w:beforeLines="50" w:after="156" w:afterLines="50" w:line="360" w:lineRule="auto"/>
        <w:ind w:right="120" w:rightChars="50"/>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lang w:eastAsia="zh-CN"/>
          <w14:textFill>
            <w14:solidFill>
              <w14:schemeClr w14:val="tx1"/>
            </w14:solidFill>
          </w14:textFill>
        </w:rPr>
        <w:t>（本页无正文，为合同签署页）</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 xml:space="preserve">甲      方：洛阳浩德鑫置地有限公司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乙     方：</w:t>
      </w:r>
      <w:r>
        <w:rPr>
          <w:rFonts w:hint="eastAsia" w:ascii="宋体" w:hAnsi="宋体" w:cs="宋体"/>
          <w:color w:val="000000" w:themeColor="text1"/>
          <w:szCs w:val="24"/>
          <w:highlight w:val="none"/>
          <w:lang w:eastAsia="zh-CN"/>
          <w14:textFill>
            <w14:solidFill>
              <w14:schemeClr w14:val="tx1"/>
            </w14:solidFill>
          </w14:textFill>
        </w:rPr>
        <w:t>河南安华金属制品有限公司</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 xml:space="preserve">法定代表人：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 xml:space="preserve">委托代理人：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委托代理人：</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开户行：</w:t>
      </w:r>
      <w:r>
        <w:rPr>
          <w:rFonts w:hint="eastAsia" w:ascii="宋体" w:hAnsi="宋体"/>
          <w:bCs/>
          <w:color w:val="000000" w:themeColor="text1"/>
          <w:sz w:val="21"/>
          <w:szCs w:val="21"/>
          <w:highlight w:val="none"/>
          <w:lang w:eastAsia="zh-CN"/>
          <w14:textFill>
            <w14:solidFill>
              <w14:schemeClr w14:val="tx1"/>
            </w14:solidFill>
          </w14:textFill>
        </w:rPr>
        <w:t>洛阳农村商业银行股份有限公司李楼支行</w:t>
      </w:r>
      <w:r>
        <w:rPr>
          <w:rFonts w:hint="eastAsia" w:ascii="宋体" w:hAnsi="宋体"/>
          <w:bCs/>
          <w:color w:val="000000" w:themeColor="text1"/>
          <w:sz w:val="21"/>
          <w:szCs w:val="21"/>
          <w:highlight w:val="none"/>
          <w14:textFill>
            <w14:solidFill>
              <w14:schemeClr w14:val="tx1"/>
            </w14:solidFill>
          </w14:textFill>
        </w:rPr>
        <w:t xml:space="preserve"> </w:t>
      </w:r>
      <w:r>
        <w:rPr>
          <w:rFonts w:ascii="宋体" w:hAnsi="宋体"/>
          <w:bCs/>
          <w:color w:val="000000" w:themeColor="text1"/>
          <w:sz w:val="21"/>
          <w:szCs w:val="21"/>
          <w:highlight w:val="non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开户行：</w:t>
      </w:r>
      <w:r>
        <w:rPr>
          <w:rFonts w:hint="eastAsia" w:ascii="宋体" w:hAnsi="宋体" w:cs="宋体"/>
          <w:color w:val="000000" w:themeColor="text1"/>
          <w:sz w:val="21"/>
          <w:szCs w:val="21"/>
          <w:highlight w:val="none"/>
          <w:lang w:eastAsia="zh-CN"/>
          <w14:textFill>
            <w14:solidFill>
              <w14:schemeClr w14:val="tx1"/>
            </w14:solidFill>
          </w14:textFill>
        </w:rPr>
        <w:t>农行新密市曲梁分理处</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账  号：</w:t>
      </w:r>
      <w:r>
        <w:rPr>
          <w:rFonts w:hint="eastAsia" w:ascii="宋体" w:hAnsi="宋体"/>
          <w:bCs/>
          <w:color w:val="000000" w:themeColor="text1"/>
          <w:szCs w:val="24"/>
          <w:highlight w:val="none"/>
          <w:lang w:val="en-US" w:eastAsia="zh-CN"/>
          <w14:textFill>
            <w14:solidFill>
              <w14:schemeClr w14:val="tx1"/>
            </w14:solidFill>
          </w14:textFill>
        </w:rPr>
        <w:t>00000061411416707012</w:t>
      </w:r>
      <w:r>
        <w:rPr>
          <w:rFonts w:hint="eastAsia"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账  号：</w:t>
      </w:r>
      <w:r>
        <w:rPr>
          <w:rFonts w:hint="eastAsia" w:ascii="宋体" w:hAnsi="宋体" w:cs="宋体"/>
          <w:color w:val="000000" w:themeColor="text1"/>
          <w:szCs w:val="24"/>
          <w:highlight w:val="none"/>
          <w:lang w:val="en-US" w:eastAsia="zh-CN"/>
          <w14:textFill>
            <w14:solidFill>
              <w14:schemeClr w14:val="tx1"/>
            </w14:solidFill>
          </w14:textFill>
        </w:rPr>
        <w:t>16024301040002887</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default" w:ascii="宋体" w:hAnsi="宋体" w:eastAsia="宋体" w:cs="宋体"/>
          <w:b w:val="0"/>
          <w:bCs w:val="0"/>
          <w:color w:val="000000" w:themeColor="text1"/>
          <w:szCs w:val="24"/>
          <w:highlight w:val="none"/>
          <w:lang w:val="en-US" w:eastAsia="zh-CN"/>
          <w14:textFill>
            <w14:solidFill>
              <w14:schemeClr w14:val="tx1"/>
            </w14:solidFill>
          </w14:textFill>
        </w:rPr>
      </w:pPr>
      <w:r>
        <w:rPr>
          <w:rFonts w:hint="eastAsia" w:ascii="宋体" w:hAnsi="宋体" w:cs="宋体"/>
          <w:b w:val="0"/>
          <w:bCs w:val="0"/>
          <w:color w:val="000000" w:themeColor="text1"/>
          <w:szCs w:val="24"/>
          <w:highlight w:val="none"/>
          <w14:textFill>
            <w14:solidFill>
              <w14:schemeClr w14:val="tx1"/>
            </w14:solidFill>
          </w14:textFill>
        </w:rPr>
        <w:t xml:space="preserve">税  号：914103005542480325           </w:t>
      </w:r>
      <w:r>
        <w:rPr>
          <w:rFonts w:hint="eastAsia" w:ascii="宋体" w:hAnsi="宋体" w:cs="宋体"/>
          <w:b w:val="0"/>
          <w:bCs w:val="0"/>
          <w:color w:val="000000" w:themeColor="text1"/>
          <w:szCs w:val="24"/>
          <w:highlight w:val="none"/>
          <w:lang w:val="en-US" w:eastAsia="zh-CN"/>
          <w14:textFill>
            <w14:solidFill>
              <w14:schemeClr w14:val="tx1"/>
            </w14:solidFill>
          </w14:textFill>
        </w:rPr>
        <w:t xml:space="preserve">     </w:t>
      </w:r>
      <w:r>
        <w:rPr>
          <w:rFonts w:hint="eastAsia" w:ascii="宋体" w:hAnsi="宋体" w:cs="宋体"/>
          <w:b w:val="0"/>
          <w:bCs w:val="0"/>
          <w:color w:val="000000" w:themeColor="text1"/>
          <w:szCs w:val="24"/>
          <w:highlight w:val="none"/>
          <w14:textFill>
            <w14:solidFill>
              <w14:schemeClr w14:val="tx1"/>
            </w14:solidFill>
          </w14:textFill>
        </w:rPr>
        <w:t>税  号：</w:t>
      </w:r>
      <w:r>
        <w:rPr>
          <w:rFonts w:hint="eastAsia" w:ascii="宋体" w:hAnsi="宋体" w:cs="宋体"/>
          <w:b w:val="0"/>
          <w:bCs w:val="0"/>
          <w:color w:val="000000" w:themeColor="text1"/>
          <w:szCs w:val="24"/>
          <w:highlight w:val="none"/>
          <w:lang w:val="en-US" w:eastAsia="zh-CN"/>
          <w14:textFill>
            <w14:solidFill>
              <w14:schemeClr w14:val="tx1"/>
            </w14:solidFill>
          </w14:textFill>
        </w:rPr>
        <w:t>91410183MA3XGJ0288</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default" w:eastAsia="宋体"/>
          <w:b w:val="0"/>
          <w:bCs w:val="0"/>
          <w:color w:val="000000" w:themeColor="text1"/>
          <w:lang w:val="en-US" w:eastAsia="zh-CN"/>
          <w14:textFill>
            <w14:solidFill>
              <w14:schemeClr w14:val="tx1"/>
            </w14:solidFill>
          </w14:textFill>
        </w:rPr>
      </w:pPr>
      <w:r>
        <w:rPr>
          <w:rFonts w:hint="eastAsia" w:hAnsi="宋体" w:cs="宋体"/>
          <w:b w:val="0"/>
          <w:bCs w:val="0"/>
          <w:color w:val="000000" w:themeColor="text1"/>
          <w:szCs w:val="24"/>
          <w:highlight w:val="none"/>
          <w:lang w:eastAsia="zh-CN"/>
          <w14:textFill>
            <w14:solidFill>
              <w14:schemeClr w14:val="tx1"/>
            </w14:solidFill>
          </w14:textFill>
        </w:rPr>
        <w:t>日</w:t>
      </w:r>
      <w:r>
        <w:rPr>
          <w:rFonts w:hint="eastAsia" w:hAnsi="宋体" w:cs="宋体"/>
          <w:b w:val="0"/>
          <w:bCs w:val="0"/>
          <w:color w:val="000000" w:themeColor="text1"/>
          <w:szCs w:val="24"/>
          <w:highlight w:val="none"/>
          <w:lang w:val="en-US" w:eastAsia="zh-CN"/>
          <w14:textFill>
            <w14:solidFill>
              <w14:schemeClr w14:val="tx1"/>
            </w14:solidFill>
          </w14:textFill>
        </w:rPr>
        <w:t xml:space="preserve">  </w:t>
      </w:r>
      <w:r>
        <w:rPr>
          <w:rFonts w:hint="eastAsia" w:hAnsi="宋体" w:cs="宋体"/>
          <w:b w:val="0"/>
          <w:bCs w:val="0"/>
          <w:color w:val="000000" w:themeColor="text1"/>
          <w:szCs w:val="24"/>
          <w:highlight w:val="none"/>
          <w:lang w:eastAsia="zh-CN"/>
          <w14:textFill>
            <w14:solidFill>
              <w14:schemeClr w14:val="tx1"/>
            </w14:solidFill>
          </w14:textFill>
        </w:rPr>
        <w:t>期：</w:t>
      </w:r>
      <w:r>
        <w:rPr>
          <w:rFonts w:hint="eastAsia" w:hAnsi="宋体" w:cs="宋体"/>
          <w:b w:val="0"/>
          <w:bCs w:val="0"/>
          <w:color w:val="000000" w:themeColor="text1"/>
          <w:szCs w:val="24"/>
          <w:highlight w:val="none"/>
          <w:lang w:val="en-US" w:eastAsia="zh-CN"/>
          <w14:textFill>
            <w14:solidFill>
              <w14:schemeClr w14:val="tx1"/>
            </w14:solidFill>
          </w14:textFill>
        </w:rPr>
        <w:t xml:space="preserve">2021年08月  日                   </w:t>
      </w:r>
      <w:r>
        <w:rPr>
          <w:rFonts w:hint="eastAsia" w:hAnsi="宋体" w:cs="宋体"/>
          <w:b w:val="0"/>
          <w:bCs w:val="0"/>
          <w:color w:val="000000" w:themeColor="text1"/>
          <w:szCs w:val="24"/>
          <w:highlight w:val="none"/>
          <w:lang w:eastAsia="zh-CN"/>
          <w14:textFill>
            <w14:solidFill>
              <w14:schemeClr w14:val="tx1"/>
            </w14:solidFill>
          </w14:textFill>
        </w:rPr>
        <w:t>日</w:t>
      </w:r>
      <w:r>
        <w:rPr>
          <w:rFonts w:hint="eastAsia" w:hAnsi="宋体" w:cs="宋体"/>
          <w:b w:val="0"/>
          <w:bCs w:val="0"/>
          <w:color w:val="000000" w:themeColor="text1"/>
          <w:szCs w:val="24"/>
          <w:highlight w:val="none"/>
          <w:lang w:val="en-US" w:eastAsia="zh-CN"/>
          <w14:textFill>
            <w14:solidFill>
              <w14:schemeClr w14:val="tx1"/>
            </w14:solidFill>
          </w14:textFill>
        </w:rPr>
        <w:t xml:space="preserve">  </w:t>
      </w:r>
      <w:r>
        <w:rPr>
          <w:rFonts w:hint="eastAsia" w:hAnsi="宋体" w:cs="宋体"/>
          <w:b w:val="0"/>
          <w:bCs w:val="0"/>
          <w:color w:val="000000" w:themeColor="text1"/>
          <w:szCs w:val="24"/>
          <w:highlight w:val="none"/>
          <w:lang w:eastAsia="zh-CN"/>
          <w14:textFill>
            <w14:solidFill>
              <w14:schemeClr w14:val="tx1"/>
            </w14:solidFill>
          </w14:textFill>
        </w:rPr>
        <w:t>期：</w:t>
      </w:r>
      <w:r>
        <w:rPr>
          <w:rFonts w:hint="eastAsia" w:hAnsi="宋体" w:cs="宋体"/>
          <w:b w:val="0"/>
          <w:bCs w:val="0"/>
          <w:color w:val="000000" w:themeColor="text1"/>
          <w:szCs w:val="24"/>
          <w:highlight w:val="none"/>
          <w:lang w:val="en-US" w:eastAsia="zh-CN"/>
          <w14:textFill>
            <w14:solidFill>
              <w14:schemeClr w14:val="tx1"/>
            </w14:solidFill>
          </w14:textFill>
        </w:rPr>
        <w:t>2021年08月  日</w:t>
      </w:r>
    </w:p>
    <w:p>
      <w:pPr>
        <w:autoSpaceDN w:val="0"/>
        <w:spacing w:line="360" w:lineRule="auto"/>
        <w:ind w:right="-1608" w:rightChars="-670"/>
        <w:rPr>
          <w:b w:val="0"/>
          <w:bCs w:val="0"/>
          <w:color w:val="000000" w:themeColor="text1"/>
          <w:sz w:val="36"/>
          <w:szCs w:val="36"/>
          <w:highlight w:val="none"/>
          <w14:textFill>
            <w14:solidFill>
              <w14:schemeClr w14:val="tx1"/>
            </w14:solidFill>
          </w14:textFill>
        </w:rPr>
      </w:pPr>
    </w:p>
    <w:p>
      <w:pPr>
        <w:spacing w:before="156" w:beforeLines="50" w:after="156" w:afterLines="50"/>
        <w:jc w:val="center"/>
        <w:rPr>
          <w:b/>
          <w:bCs/>
          <w:color w:val="000000" w:themeColor="text1"/>
          <w:sz w:val="36"/>
          <w:szCs w:val="36"/>
          <w:highlight w:val="none"/>
          <w14:textFill>
            <w14:solidFill>
              <w14:schemeClr w14:val="tx1"/>
            </w14:solidFill>
          </w14:textFill>
        </w:rPr>
      </w:pPr>
      <w:r>
        <w:rPr>
          <w:b/>
          <w:bCs/>
          <w:color w:val="000000" w:themeColor="text1"/>
          <w:sz w:val="36"/>
          <w:szCs w:val="36"/>
          <w:highlight w:val="none"/>
          <w14:textFill>
            <w14:solidFill>
              <w14:schemeClr w14:val="tx1"/>
            </w14:solidFill>
          </w14:textFill>
        </w:rPr>
        <w:br w:type="page"/>
      </w:r>
    </w:p>
    <w:p>
      <w:pPr>
        <w:spacing w:before="156" w:beforeLines="50" w:after="156" w:afterLines="50"/>
        <w:jc w:val="both"/>
        <w:rPr>
          <w:rFonts w:hint="eastAsia"/>
          <w:b/>
          <w:bCs/>
          <w:color w:val="000000" w:themeColor="text1"/>
          <w:sz w:val="24"/>
          <w:szCs w:val="24"/>
          <w:highlight w:val="none"/>
          <w:lang w:eastAsia="zh-CN"/>
          <w14:textFill>
            <w14:solidFill>
              <w14:schemeClr w14:val="tx1"/>
            </w14:solidFill>
          </w14:textFill>
        </w:rPr>
      </w:pPr>
      <w:r>
        <w:rPr>
          <w:rFonts w:hint="eastAsia"/>
          <w:b/>
          <w:bCs/>
          <w:color w:val="000000" w:themeColor="text1"/>
          <w:sz w:val="24"/>
          <w:szCs w:val="24"/>
          <w:highlight w:val="none"/>
          <w:lang w:eastAsia="zh-CN"/>
          <w14:textFill>
            <w14:solidFill>
              <w14:schemeClr w14:val="tx1"/>
            </w14:solidFill>
          </w14:textFill>
        </w:rPr>
        <w:t>附件一：</w:t>
      </w:r>
    </w:p>
    <w:tbl>
      <w:tblPr>
        <w:tblStyle w:val="10"/>
        <w:tblW w:w="10102" w:type="dxa"/>
        <w:jc w:val="center"/>
        <w:shd w:val="clear" w:color="auto" w:fill="auto"/>
        <w:tblLayout w:type="fixed"/>
        <w:tblCellMar>
          <w:top w:w="0" w:type="dxa"/>
          <w:left w:w="108" w:type="dxa"/>
          <w:bottom w:w="0" w:type="dxa"/>
          <w:right w:w="108" w:type="dxa"/>
        </w:tblCellMar>
      </w:tblPr>
      <w:tblGrid>
        <w:gridCol w:w="457"/>
        <w:gridCol w:w="940"/>
        <w:gridCol w:w="1975"/>
        <w:gridCol w:w="1050"/>
        <w:gridCol w:w="438"/>
        <w:gridCol w:w="1137"/>
        <w:gridCol w:w="1345"/>
        <w:gridCol w:w="2760"/>
      </w:tblGrid>
      <w:tr>
        <w:tblPrEx>
          <w:shd w:val="clear" w:color="auto" w:fill="auto"/>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楼号</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工程量</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综合单价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51#楼</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阳台栏杆800mm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1463.2</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226796.00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40*40*1.5镀锌方钢、25*25*1.2镀锌方钢（成活价格，详见图纸设计）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飘窗栏杆900mm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1062.12</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158.00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167814.96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40*40*1.5镀锌方钢、25*25*1.0镀锌方钢（成活价格，详见图纸设计）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空调板栏杆600mm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705.6</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73382.40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40*40*1.5镀锌方钢、25*25*1.2镀锌方钢（成活价格，详见图纸设计）</w:t>
            </w:r>
          </w:p>
        </w:tc>
      </w:tr>
      <w:tr>
        <w:tblPrEx>
          <w:tblCellMar>
            <w:top w:w="0" w:type="dxa"/>
            <w:left w:w="108" w:type="dxa"/>
            <w:bottom w:w="0" w:type="dxa"/>
            <w:right w:w="108" w:type="dxa"/>
          </w:tblCellMar>
        </w:tblPrEx>
        <w:trPr>
          <w:trHeight w:val="108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楼梯扶手</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748.88</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35946.24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住宅剪刀梯栏杆选用12YJ8-62页⑦项圆形塑料扶手（成活价格，详见图纸设计）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商业栏杆</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63.46</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156.00 </w:t>
            </w:r>
          </w:p>
        </w:tc>
        <w:tc>
          <w:tcPr>
            <w:tcW w:w="13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9899.76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60*1.0、22*0.5、50*1.5不锈钢（成活价格，详见图纸设计）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百叶窗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133.9152</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228349.00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铝管50*25*1.6、百叶70*0.8（成活价格，详见图纸设计）</w:t>
            </w:r>
          </w:p>
        </w:tc>
      </w:tr>
      <w:tr>
        <w:tblPrEx>
          <w:tblCellMar>
            <w:top w:w="0" w:type="dxa"/>
            <w:left w:w="108" w:type="dxa"/>
            <w:bottom w:w="0" w:type="dxa"/>
            <w:right w:w="108" w:type="dxa"/>
          </w:tblCellMar>
        </w:tblPrEx>
        <w:trPr>
          <w:trHeight w:val="108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百叶窗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904.03 </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189846.72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铝管50*25*1.6、工字铝40*15*1.2（仅开启扇有）、百叶70*0.8（成活价格，详见图纸设计）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52#楼</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阳台栏杆800mm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1339.2</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207576.00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40*40*1.5镀锌方钢、25*25*1.2镀锌方钢（成活价格，详见图纸设计）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飘窗栏杆900mm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675.8</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158.00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106776.40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40*40*1.5镀锌方钢、25*25*1.0镀锌方钢（成活价格，详见图纸设计）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空调栏杆600mm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720.08</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74888.32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40*40*1.5镀锌方钢、25*25*1.2镀锌方钢（成活价格，详见图纸设计）</w:t>
            </w:r>
          </w:p>
        </w:tc>
      </w:tr>
      <w:tr>
        <w:tblPrEx>
          <w:tblCellMar>
            <w:top w:w="0" w:type="dxa"/>
            <w:left w:w="108" w:type="dxa"/>
            <w:bottom w:w="0" w:type="dxa"/>
            <w:right w:w="108" w:type="dxa"/>
          </w:tblCellMar>
        </w:tblPrEx>
        <w:trPr>
          <w:trHeight w:val="108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楼梯扶手</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748.88</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35946.24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住宅剪刀梯栏杆选用12YJ8-62页⑦项圆形塑料扶手（成活价格，详见图纸设计）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商业栏杆</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205.74</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156.00 </w:t>
            </w:r>
          </w:p>
        </w:tc>
        <w:tc>
          <w:tcPr>
            <w:tcW w:w="13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32095.44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60*1.0、22*0.5、50*1.5不锈钢（成活价格，详见图纸设计）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百叶窗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67.26</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14124.60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铝管50*25*1.6、百叶70*0.8（成活价格，详见图纸设计）</w:t>
            </w:r>
          </w:p>
        </w:tc>
      </w:tr>
      <w:tr>
        <w:tblPrEx>
          <w:tblCellMar>
            <w:top w:w="0" w:type="dxa"/>
            <w:left w:w="108" w:type="dxa"/>
            <w:bottom w:w="0" w:type="dxa"/>
            <w:right w:w="108" w:type="dxa"/>
          </w:tblCellMar>
        </w:tblPrEx>
        <w:trPr>
          <w:trHeight w:val="108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百叶窗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552.93 </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116114.96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铝管50*25*1.6、工字铝40*15*1.2、百叶70*0.8（成活价格，详见图纸设计）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53#楼</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阳台栏杆800mm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835.8</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129549.00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40*40*1.5镀锌方钢、25*25*1.2镀锌方钢（成活价格，详见图纸设计）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飘窗栏杆900mm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898.42</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158.00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141950.36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40*40*1.5镀锌方钢、25*25*1.0镀锌方钢（成活价格，详见图纸设计）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空调板栏杆600mm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256.06</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26630.24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40*40*1.5镀锌方钢、25*25*1.2镀锌方钢（成活价格，详见图纸设计）</w:t>
            </w:r>
          </w:p>
        </w:tc>
      </w:tr>
      <w:tr>
        <w:tblPrEx>
          <w:tblCellMar>
            <w:top w:w="0" w:type="dxa"/>
            <w:left w:w="108" w:type="dxa"/>
            <w:bottom w:w="0" w:type="dxa"/>
            <w:right w:w="108" w:type="dxa"/>
          </w:tblCellMar>
        </w:tblPrEx>
        <w:trPr>
          <w:trHeight w:val="108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楼梯扶手</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369.408</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17731.58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住宅剪刀梯栏杆选用12YJ8-62页⑦项圆形塑料扶手（成活价格，详见图纸设计）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商业栏杆</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329.28</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156.00 </w:t>
            </w:r>
          </w:p>
        </w:tc>
        <w:tc>
          <w:tcPr>
            <w:tcW w:w="13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51367.68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60*1.0、22*0.5、50*1.5不锈钢（成活价格，详见图纸设计）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百叶窗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126.0268</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26465.63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铝管50*25*1.6、百叶70*0.8（成活价格，详见图纸设计）</w:t>
            </w:r>
          </w:p>
        </w:tc>
      </w:tr>
      <w:tr>
        <w:tblPrEx>
          <w:tblCellMar>
            <w:top w:w="0" w:type="dxa"/>
            <w:left w:w="108" w:type="dxa"/>
            <w:bottom w:w="0" w:type="dxa"/>
            <w:right w:w="108" w:type="dxa"/>
          </w:tblCellMar>
        </w:tblPrEx>
        <w:trPr>
          <w:trHeight w:val="108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百叶窗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781.57 </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164129.28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铝管50*25*1.6、工字铝40*15*1.2、百叶70*0.8（成活价格，详见图纸设计）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56#楼</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阳台栏杆800mm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1440</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223200.00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40*40*1.5镀锌方钢、25*25*1.2镀锌方钢（成活价格，详见图纸设计）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飘窗栏杆900mm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1342.4</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158.00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212099.20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40*40*1.5镀锌方钢、25*25*1.0镀锌方钢（成活价格，详见图纸设计）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空调板栏杆600mm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629.64</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65482.56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40*40*1.5镀锌方钢、25*25*1.2镀锌方钢（成活价格，详见图纸设计）</w:t>
            </w:r>
          </w:p>
        </w:tc>
      </w:tr>
      <w:tr>
        <w:tblPrEx>
          <w:tblCellMar>
            <w:top w:w="0" w:type="dxa"/>
            <w:left w:w="108" w:type="dxa"/>
            <w:bottom w:w="0" w:type="dxa"/>
            <w:right w:w="108" w:type="dxa"/>
          </w:tblCellMar>
        </w:tblPrEx>
        <w:trPr>
          <w:trHeight w:val="108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楼梯扶手</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748.88</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35946.24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住宅剪刀梯栏杆选用12YJ8-62页⑦项圆形塑料扶手（成活价格，详见图纸设计）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百叶窗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14700.00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铝管50*25*1.6、百叶70*0.8（成活价格，详见图纸设计）</w:t>
            </w:r>
          </w:p>
        </w:tc>
      </w:tr>
      <w:tr>
        <w:tblPrEx>
          <w:tblCellMar>
            <w:top w:w="0" w:type="dxa"/>
            <w:left w:w="108" w:type="dxa"/>
            <w:bottom w:w="0" w:type="dxa"/>
            <w:right w:w="108" w:type="dxa"/>
          </w:tblCellMar>
        </w:tblPrEx>
        <w:trPr>
          <w:trHeight w:val="108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百叶窗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1105.82 </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232223.04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铝管50*25*1.6、工字铝40*15*1.2、百叶70*0.8（成活价格，详见图纸设计）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57#楼</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阳台栏杆800mm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1346.8</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208754.00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40*40*1.5镀锌方钢、25*25*1.2镀锌方钢（成活价格，详见图纸设计）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飘窗栏杆900mm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1322.46</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158.00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208948.68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40*40*1.5镀锌方钢、25*25*1.0镀锌方钢（成活价格，详见图纸设计）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空调板栏杆600mm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697.76</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72567.04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40*40*1.5镀锌方钢、25*25*1.2镀锌方钢（成活价格，详见图纸设计）</w:t>
            </w:r>
          </w:p>
        </w:tc>
      </w:tr>
      <w:tr>
        <w:tblPrEx>
          <w:tblCellMar>
            <w:top w:w="0" w:type="dxa"/>
            <w:left w:w="108" w:type="dxa"/>
            <w:bottom w:w="0" w:type="dxa"/>
            <w:right w:w="108" w:type="dxa"/>
          </w:tblCellMar>
        </w:tblPrEx>
        <w:trPr>
          <w:trHeight w:val="108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楼梯扶手</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748.88</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35946.24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住宅剪刀梯栏杆选用12YJ8-62页⑦项圆形塑料扶手（成活价格，详见图纸设计）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商业栏杆</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229.33</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156.00 </w:t>
            </w:r>
          </w:p>
        </w:tc>
        <w:tc>
          <w:tcPr>
            <w:tcW w:w="13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35775.48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60*1.0、22*0.5、50*1.5不锈钢（成活价格，详见图纸设计）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百叶窗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180.71</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37949.10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铝管50*25*1.6、百叶70*0.8（成活价格，详见图纸设计）</w:t>
            </w:r>
          </w:p>
        </w:tc>
      </w:tr>
      <w:tr>
        <w:tblPrEx>
          <w:tblCellMar>
            <w:top w:w="0" w:type="dxa"/>
            <w:left w:w="108" w:type="dxa"/>
            <w:bottom w:w="0" w:type="dxa"/>
            <w:right w:w="108" w:type="dxa"/>
          </w:tblCellMar>
        </w:tblPrEx>
        <w:trPr>
          <w:trHeight w:val="108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百叶窗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808.06 </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169691.76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铝管50*25*1.6、工字铝40*15*1.2、百叶70*0.8（成活价格，详见图纸设计）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58#楼</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商业栏杆</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25.74 </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4015.44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60*1.0、22*0.5、50*1.5不锈钢（成活价格，详见图纸设计）</w:t>
            </w:r>
          </w:p>
        </w:tc>
      </w:tr>
      <w:tr>
        <w:tblPrEx>
          <w:tblCellMar>
            <w:top w:w="0" w:type="dxa"/>
            <w:left w:w="108" w:type="dxa"/>
            <w:bottom w:w="0" w:type="dxa"/>
            <w:right w:w="108" w:type="dxa"/>
          </w:tblCellMar>
        </w:tblPrEx>
        <w:trPr>
          <w:trHeight w:val="162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护窗栏杆</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 </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177.20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655.64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选用06J403-1-第78页-A型不锈钢扶手栏杆（成活价格，详见图纸设计）备注：材质201以下管材型号与图集相近，面管φ51*1.5、竖管φ19*1.5</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幼儿园</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不锈钢护窗栏杆900mm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39.40 </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7486.00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50*1.5不锈钢管、30*1.5不锈钢管（成活价格，详见图纸设计）</w:t>
            </w:r>
          </w:p>
        </w:tc>
      </w:tr>
      <w:tr>
        <w:tblPrEx>
          <w:tblCellMar>
            <w:top w:w="0" w:type="dxa"/>
            <w:left w:w="108" w:type="dxa"/>
            <w:bottom w:w="0" w:type="dxa"/>
            <w:right w:w="108" w:type="dxa"/>
          </w:tblCellMar>
        </w:tblPrEx>
        <w:trPr>
          <w:trHeight w:val="9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楼梯栏杆</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38.14 </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207.00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7894.98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选用12J926-第F8页-①，不锈钢双层扶手栏杆（成活价格，详见图纸设计）</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车库</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百叶窗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69.06 </w:t>
            </w: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15883.80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铝管50*25*1.6、百叶70*0.8（成活价格，详见图纸设计）</w:t>
            </w:r>
          </w:p>
        </w:tc>
      </w:tr>
      <w:tr>
        <w:tblPrEx>
          <w:tblCellMar>
            <w:top w:w="0" w:type="dxa"/>
            <w:left w:w="108" w:type="dxa"/>
            <w:bottom w:w="0" w:type="dxa"/>
            <w:right w:w="108" w:type="dxa"/>
          </w:tblCellMar>
        </w:tblPrEx>
        <w:trPr>
          <w:trHeight w:val="54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9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合价</w:t>
            </w:r>
            <w:r>
              <w:rPr>
                <w:rFonts w:hint="eastAsia" w:ascii="宋体" w:hAnsi="宋体" w:cs="宋体"/>
                <w:i w:val="0"/>
                <w:iCs w:val="0"/>
                <w:color w:val="000000"/>
                <w:kern w:val="0"/>
                <w:sz w:val="22"/>
                <w:szCs w:val="22"/>
                <w:u w:val="none"/>
                <w:lang w:val="en-US" w:eastAsia="zh-CN" w:bidi="ar"/>
              </w:rPr>
              <w:t>（元）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3666600.02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4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9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最终优惠总价</w:t>
            </w:r>
            <w:r>
              <w:rPr>
                <w:rFonts w:hint="eastAsia" w:ascii="宋体" w:hAnsi="宋体" w:cs="宋体"/>
                <w:i w:val="0"/>
                <w:iCs w:val="0"/>
                <w:color w:val="000000"/>
                <w:kern w:val="0"/>
                <w:sz w:val="22"/>
                <w:szCs w:val="22"/>
                <w:u w:val="none"/>
                <w:lang w:val="en-US" w:eastAsia="zh-CN" w:bidi="ar"/>
              </w:rPr>
              <w:t>（元）</w:t>
            </w:r>
          </w:p>
        </w:tc>
        <w:tc>
          <w:tcPr>
            <w:tcW w:w="26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3666600.00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4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9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税金</w:t>
            </w:r>
            <w:r>
              <w:rPr>
                <w:rFonts w:hint="eastAsia" w:ascii="宋体" w:hAnsi="宋体" w:cs="宋体"/>
                <w:i w:val="0"/>
                <w:iCs w:val="0"/>
                <w:color w:val="000000"/>
                <w:kern w:val="0"/>
                <w:sz w:val="22"/>
                <w:szCs w:val="22"/>
                <w:u w:val="none"/>
                <w:lang w:val="en-US" w:eastAsia="zh-CN" w:bidi="ar"/>
              </w:rPr>
              <w:t>（元）</w:t>
            </w:r>
          </w:p>
        </w:tc>
        <w:tc>
          <w:tcPr>
            <w:tcW w:w="14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税率</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302746.79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4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9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不含税总价</w:t>
            </w:r>
            <w:r>
              <w:rPr>
                <w:rFonts w:hint="eastAsia" w:ascii="宋体" w:hAnsi="宋体" w:cs="宋体"/>
                <w:i w:val="0"/>
                <w:iCs w:val="0"/>
                <w:color w:val="000000"/>
                <w:kern w:val="0"/>
                <w:sz w:val="22"/>
                <w:szCs w:val="22"/>
                <w:u w:val="none"/>
                <w:lang w:val="en-US" w:eastAsia="zh-CN" w:bidi="ar"/>
              </w:rPr>
              <w:t>（元）</w:t>
            </w:r>
          </w:p>
        </w:tc>
        <w:tc>
          <w:tcPr>
            <w:tcW w:w="26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3363853.21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440" w:hRule="atLeast"/>
          <w:jc w:val="center"/>
        </w:trPr>
        <w:tc>
          <w:tcPr>
            <w:tcW w:w="101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说明：1.本表的综合单价中包括图纸内所有及深化图纸要求的加工费、购置费、采管费、装卸费、运输费、安装费、损耗、垃圾外运、扬尘治理、管理费、利润、税金、风险、材料检测检验费等一切费用；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2.单价中已包括但不限于完成承包范围内施工工程的成本、利润、税金、措施费、规费（专项费用）、验收、风险费用等与之相关的所有费用。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3.栏杆包装只包面管，百叶窗无包装。</w:t>
            </w:r>
          </w:p>
        </w:tc>
      </w:tr>
    </w:tbl>
    <w:p>
      <w:pPr>
        <w:pStyle w:val="4"/>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r>
        <w:rPr>
          <w:rFonts w:hint="eastAsia"/>
          <w:b/>
          <w:bCs/>
          <w:color w:val="000000" w:themeColor="text1"/>
          <w:sz w:val="24"/>
          <w:szCs w:val="24"/>
          <w:highlight w:val="none"/>
          <w:lang w:eastAsia="zh-CN"/>
          <w14:textFill>
            <w14:solidFill>
              <w14:schemeClr w14:val="tx1"/>
            </w14:solidFill>
          </w14:textFill>
        </w:rPr>
        <w:t>附件二：</w:t>
      </w:r>
    </w:p>
    <w:tbl>
      <w:tblPr>
        <w:tblStyle w:val="10"/>
        <w:tblW w:w="10035" w:type="dxa"/>
        <w:jc w:val="center"/>
        <w:shd w:val="clear" w:color="auto" w:fill="auto"/>
        <w:tblLayout w:type="autofit"/>
        <w:tblCellMar>
          <w:top w:w="0" w:type="dxa"/>
          <w:left w:w="108" w:type="dxa"/>
          <w:bottom w:w="0" w:type="dxa"/>
          <w:right w:w="108" w:type="dxa"/>
        </w:tblCellMar>
      </w:tblPr>
      <w:tblGrid>
        <w:gridCol w:w="1078"/>
        <w:gridCol w:w="2624"/>
        <w:gridCol w:w="1079"/>
        <w:gridCol w:w="1006"/>
        <w:gridCol w:w="1154"/>
        <w:gridCol w:w="1160"/>
        <w:gridCol w:w="1934"/>
      </w:tblGrid>
      <w:tr>
        <w:tblPrEx>
          <w:shd w:val="clear" w:color="auto" w:fill="auto"/>
          <w:tblCellMar>
            <w:top w:w="0" w:type="dxa"/>
            <w:left w:w="108" w:type="dxa"/>
            <w:bottom w:w="0" w:type="dxa"/>
            <w:right w:w="108" w:type="dxa"/>
          </w:tblCellMar>
        </w:tblPrEx>
        <w:trPr>
          <w:trHeight w:val="330" w:hRule="atLeast"/>
          <w:jc w:val="center"/>
        </w:trPr>
        <w:tc>
          <w:tcPr>
            <w:tcW w:w="10035"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800mm高栏杆综合单价分析表</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62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107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0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含量</w:t>
            </w:r>
          </w:p>
        </w:tc>
        <w:tc>
          <w:tcPr>
            <w:tcW w:w="115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单价</w:t>
            </w:r>
            <w:r>
              <w:rPr>
                <w:rFonts w:hint="eastAsia" w:ascii="宋体" w:hAnsi="宋体" w:cs="宋体"/>
                <w:i w:val="0"/>
                <w:iCs w:val="0"/>
                <w:color w:val="000000"/>
                <w:kern w:val="0"/>
                <w:sz w:val="22"/>
                <w:szCs w:val="22"/>
                <w:u w:val="none"/>
                <w:lang w:val="en-US" w:eastAsia="zh-CN" w:bidi="ar"/>
              </w:rPr>
              <w:t>(元)</w:t>
            </w:r>
          </w:p>
        </w:tc>
        <w:tc>
          <w:tcPr>
            <w:tcW w:w="11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w:t>
            </w:r>
            <w:r>
              <w:rPr>
                <w:rFonts w:hint="eastAsia" w:ascii="宋体" w:hAnsi="宋体" w:cs="宋体"/>
                <w:i w:val="0"/>
                <w:iCs w:val="0"/>
                <w:color w:val="000000"/>
                <w:kern w:val="0"/>
                <w:sz w:val="22"/>
                <w:szCs w:val="22"/>
                <w:u w:val="none"/>
                <w:lang w:val="en-US" w:eastAsia="zh-CN" w:bidi="ar"/>
              </w:rPr>
              <w:t>(元)</w:t>
            </w:r>
          </w:p>
        </w:tc>
        <w:tc>
          <w:tcPr>
            <w:tcW w:w="193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□40*40*1.5方管栏杆</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6.40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24.83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主材</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□25*25*1.2方管栏杆</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30.68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主材</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防锈漆</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每米</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深灰色氟碳漆漆</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每米</w:t>
            </w:r>
          </w:p>
        </w:tc>
      </w:tr>
      <w:tr>
        <w:tblPrEx>
          <w:tblCellMar>
            <w:top w:w="0" w:type="dxa"/>
            <w:left w:w="108" w:type="dxa"/>
            <w:bottom w:w="0" w:type="dxa"/>
            <w:right w:w="108" w:type="dxa"/>
          </w:tblCellMar>
        </w:tblPrEx>
        <w:trPr>
          <w:trHeight w:val="1208"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制作安装费</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排单，切割机下料，带锯切割，手磨机打磨，二保焊机焊接，电锤安装</w:t>
            </w:r>
          </w:p>
        </w:tc>
      </w:tr>
      <w:tr>
        <w:tblPrEx>
          <w:tblCellMar>
            <w:top w:w="0" w:type="dxa"/>
            <w:left w:w="108" w:type="dxa"/>
            <w:bottom w:w="0" w:type="dxa"/>
            <w:right w:w="108" w:type="dxa"/>
          </w:tblCellMar>
        </w:tblPrEx>
        <w:trPr>
          <w:trHeight w:val="42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辅材费</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固定片，装饰盖，螺丝，角码</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130.51 </w:t>
            </w:r>
          </w:p>
        </w:tc>
        <w:tc>
          <w:tcPr>
            <w:tcW w:w="193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9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其它</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1.54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运输费，包装，包装只包面管</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利润</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193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税金</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13.95 </w:t>
            </w:r>
          </w:p>
        </w:tc>
        <w:tc>
          <w:tcPr>
            <w:tcW w:w="193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5"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155.00 </w:t>
            </w:r>
          </w:p>
        </w:tc>
        <w:tc>
          <w:tcPr>
            <w:tcW w:w="193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0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5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3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0" w:hRule="atLeast"/>
          <w:jc w:val="center"/>
        </w:trPr>
        <w:tc>
          <w:tcPr>
            <w:tcW w:w="10035"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铝合金百叶综合单价分析表</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62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107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0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含量</w:t>
            </w:r>
          </w:p>
        </w:tc>
        <w:tc>
          <w:tcPr>
            <w:tcW w:w="115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r>
              <w:rPr>
                <w:rFonts w:hint="eastAsia" w:ascii="宋体" w:hAnsi="宋体" w:cs="宋体"/>
                <w:i w:val="0"/>
                <w:iCs w:val="0"/>
                <w:color w:val="000000"/>
                <w:kern w:val="0"/>
                <w:sz w:val="22"/>
                <w:szCs w:val="22"/>
                <w:u w:val="none"/>
                <w:lang w:val="en-US" w:eastAsia="zh-CN" w:bidi="ar"/>
              </w:rPr>
              <w:t>(元)</w:t>
            </w:r>
          </w:p>
        </w:tc>
        <w:tc>
          <w:tcPr>
            <w:tcW w:w="11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w:t>
            </w:r>
            <w:r>
              <w:rPr>
                <w:rFonts w:hint="eastAsia" w:ascii="宋体" w:hAnsi="宋体" w:cs="宋体"/>
                <w:i w:val="0"/>
                <w:iCs w:val="0"/>
                <w:color w:val="000000"/>
                <w:kern w:val="0"/>
                <w:sz w:val="22"/>
                <w:szCs w:val="22"/>
                <w:u w:val="none"/>
                <w:lang w:val="en-US" w:eastAsia="zh-CN" w:bidi="ar"/>
              </w:rPr>
              <w:t>(元)</w:t>
            </w:r>
          </w:p>
        </w:tc>
        <w:tc>
          <w:tcPr>
            <w:tcW w:w="193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50*25*1.6铝管</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0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22.20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56.39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每平方</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40*15*1.2工字铝</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0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23.20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9.28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每平方</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70*0.8mm防雨百叶片</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0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44.64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每平方</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不锈钢插销配件</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均数</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氟碳漆</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每平方</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制作安装费</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45.00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每平方</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辅材费</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螺丝</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184.31 </w:t>
            </w:r>
          </w:p>
        </w:tc>
        <w:tc>
          <w:tcPr>
            <w:tcW w:w="193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其它</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1.79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胀管</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利润</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193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税金</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18.90 </w:t>
            </w:r>
          </w:p>
        </w:tc>
        <w:tc>
          <w:tcPr>
            <w:tcW w:w="193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 </w:t>
            </w:r>
          </w:p>
        </w:tc>
        <w:tc>
          <w:tcPr>
            <w:tcW w:w="1934" w:type="dxa"/>
            <w:tcBorders>
              <w:top w:val="nil"/>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0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5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3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0" w:hRule="atLeast"/>
          <w:jc w:val="center"/>
        </w:trPr>
        <w:tc>
          <w:tcPr>
            <w:tcW w:w="10035"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900mm高栏杆综合单价分析表</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62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107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0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含量</w:t>
            </w:r>
          </w:p>
        </w:tc>
        <w:tc>
          <w:tcPr>
            <w:tcW w:w="115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r>
              <w:rPr>
                <w:rFonts w:hint="eastAsia" w:ascii="宋体" w:hAnsi="宋体" w:cs="宋体"/>
                <w:i w:val="0"/>
                <w:iCs w:val="0"/>
                <w:color w:val="000000"/>
                <w:kern w:val="0"/>
                <w:sz w:val="22"/>
                <w:szCs w:val="22"/>
                <w:u w:val="none"/>
                <w:lang w:val="en-US" w:eastAsia="zh-CN" w:bidi="ar"/>
              </w:rPr>
              <w:t>(元)</w:t>
            </w:r>
          </w:p>
        </w:tc>
        <w:tc>
          <w:tcPr>
            <w:tcW w:w="11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w:t>
            </w:r>
            <w:r>
              <w:rPr>
                <w:rFonts w:hint="eastAsia" w:ascii="宋体" w:hAnsi="宋体" w:cs="宋体"/>
                <w:i w:val="0"/>
                <w:iCs w:val="0"/>
                <w:color w:val="000000"/>
                <w:kern w:val="0"/>
                <w:sz w:val="22"/>
                <w:szCs w:val="22"/>
                <w:u w:val="none"/>
                <w:lang w:val="en-US" w:eastAsia="zh-CN" w:bidi="ar"/>
              </w:rPr>
              <w:t>(元)</w:t>
            </w:r>
          </w:p>
        </w:tc>
        <w:tc>
          <w:tcPr>
            <w:tcW w:w="193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□40*40*1.5方管栏杆</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6.40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26.62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主材</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□25*25*1.0方管栏杆</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w:t>
            </w: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29.19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主材</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防锈漆</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每米</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深灰色氟碳漆漆</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每米</w:t>
            </w:r>
          </w:p>
        </w:tc>
      </w:tr>
      <w:tr>
        <w:tblPrEx>
          <w:tblCellMar>
            <w:top w:w="0" w:type="dxa"/>
            <w:left w:w="108" w:type="dxa"/>
            <w:bottom w:w="0" w:type="dxa"/>
            <w:right w:w="108" w:type="dxa"/>
          </w:tblCellMar>
        </w:tblPrEx>
        <w:trPr>
          <w:trHeight w:val="358"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制作安装费</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排单，切割机下料，带锯切割，手磨机打磨，二保焊机焊接，电锤安装</w:t>
            </w:r>
          </w:p>
        </w:tc>
      </w:tr>
      <w:tr>
        <w:tblPrEx>
          <w:tblCellMar>
            <w:top w:w="0" w:type="dxa"/>
            <w:left w:w="108" w:type="dxa"/>
            <w:bottom w:w="0" w:type="dxa"/>
            <w:right w:w="108" w:type="dxa"/>
          </w:tblCellMar>
        </w:tblPrEx>
        <w:trPr>
          <w:trHeight w:val="9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辅材费</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固定片，装饰盖，螺丝，角码</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130.81 </w:t>
            </w:r>
          </w:p>
        </w:tc>
        <w:tc>
          <w:tcPr>
            <w:tcW w:w="193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9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其它</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3.97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运输费，包装，包装只包面管</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利润</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193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税金</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14.22 </w:t>
            </w:r>
          </w:p>
        </w:tc>
        <w:tc>
          <w:tcPr>
            <w:tcW w:w="193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158.00 </w:t>
            </w:r>
          </w:p>
        </w:tc>
        <w:tc>
          <w:tcPr>
            <w:tcW w:w="193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0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5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3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0" w:hRule="atLeast"/>
          <w:jc w:val="center"/>
        </w:trPr>
        <w:tc>
          <w:tcPr>
            <w:tcW w:w="10035"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600mm高栏杆综合单价分析表</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62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107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0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含量</w:t>
            </w:r>
          </w:p>
        </w:tc>
        <w:tc>
          <w:tcPr>
            <w:tcW w:w="115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r>
              <w:rPr>
                <w:rFonts w:hint="eastAsia" w:ascii="宋体" w:hAnsi="宋体" w:cs="宋体"/>
                <w:i w:val="0"/>
                <w:iCs w:val="0"/>
                <w:color w:val="000000"/>
                <w:kern w:val="0"/>
                <w:sz w:val="22"/>
                <w:szCs w:val="22"/>
                <w:u w:val="none"/>
                <w:lang w:val="en-US" w:eastAsia="zh-CN" w:bidi="ar"/>
              </w:rPr>
              <w:t>(元)</w:t>
            </w:r>
          </w:p>
        </w:tc>
        <w:tc>
          <w:tcPr>
            <w:tcW w:w="11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w:t>
            </w:r>
            <w:r>
              <w:rPr>
                <w:rFonts w:hint="eastAsia" w:ascii="宋体" w:hAnsi="宋体" w:cs="宋体"/>
                <w:i w:val="0"/>
                <w:iCs w:val="0"/>
                <w:color w:val="000000"/>
                <w:kern w:val="0"/>
                <w:sz w:val="22"/>
                <w:szCs w:val="22"/>
                <w:u w:val="none"/>
                <w:lang w:val="en-US" w:eastAsia="zh-CN" w:bidi="ar"/>
              </w:rPr>
              <w:t>(元)</w:t>
            </w:r>
          </w:p>
        </w:tc>
        <w:tc>
          <w:tcPr>
            <w:tcW w:w="193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□40*40*1.5方管栏杆</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3.344</w:t>
            </w: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6.40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21.40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主材</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□25*25*1.0方管栏杆</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20.15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主材</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防锈漆</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每米</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深灰色氟碳漆漆</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每米</w:t>
            </w:r>
          </w:p>
        </w:tc>
      </w:tr>
      <w:tr>
        <w:tblPrEx>
          <w:tblCellMar>
            <w:top w:w="0" w:type="dxa"/>
            <w:left w:w="108" w:type="dxa"/>
            <w:bottom w:w="0" w:type="dxa"/>
            <w:right w:w="108" w:type="dxa"/>
          </w:tblCellMar>
        </w:tblPrEx>
        <w:trPr>
          <w:trHeight w:val="332"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制作安装费</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排单，切割机下料，带锯切割，手磨机打磨，二保焊机焊接，电锤安装</w:t>
            </w:r>
          </w:p>
        </w:tc>
      </w:tr>
      <w:tr>
        <w:tblPrEx>
          <w:tblCellMar>
            <w:top w:w="0" w:type="dxa"/>
            <w:left w:w="108" w:type="dxa"/>
            <w:bottom w:w="0" w:type="dxa"/>
            <w:right w:w="108" w:type="dxa"/>
          </w:tblCellMar>
        </w:tblPrEx>
        <w:trPr>
          <w:trHeight w:val="9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辅材费</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固定片，装饰盖，螺丝，角码</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88.55 </w:t>
            </w:r>
          </w:p>
        </w:tc>
        <w:tc>
          <w:tcPr>
            <w:tcW w:w="193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9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其它</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1.09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运输费，包装，包装只包面管</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利润</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193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税金</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9.36 </w:t>
            </w:r>
          </w:p>
        </w:tc>
        <w:tc>
          <w:tcPr>
            <w:tcW w:w="193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104.00 </w:t>
            </w:r>
          </w:p>
        </w:tc>
        <w:tc>
          <w:tcPr>
            <w:tcW w:w="193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0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5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3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0" w:hRule="atLeast"/>
          <w:jc w:val="center"/>
        </w:trPr>
        <w:tc>
          <w:tcPr>
            <w:tcW w:w="10035"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商业栏杆综合单价分析表</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62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107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0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含量</w:t>
            </w:r>
          </w:p>
        </w:tc>
        <w:tc>
          <w:tcPr>
            <w:tcW w:w="115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r>
              <w:rPr>
                <w:rFonts w:hint="eastAsia" w:ascii="宋体" w:hAnsi="宋体" w:cs="宋体"/>
                <w:i w:val="0"/>
                <w:iCs w:val="0"/>
                <w:color w:val="000000"/>
                <w:kern w:val="0"/>
                <w:sz w:val="22"/>
                <w:szCs w:val="22"/>
                <w:u w:val="none"/>
                <w:lang w:val="en-US" w:eastAsia="zh-CN" w:bidi="ar"/>
              </w:rPr>
              <w:t>(元)</w:t>
            </w:r>
          </w:p>
        </w:tc>
        <w:tc>
          <w:tcPr>
            <w:tcW w:w="11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w:t>
            </w:r>
            <w:r>
              <w:rPr>
                <w:rFonts w:hint="eastAsia" w:ascii="宋体" w:hAnsi="宋体" w:cs="宋体"/>
                <w:i w:val="0"/>
                <w:iCs w:val="0"/>
                <w:color w:val="000000"/>
                <w:kern w:val="0"/>
                <w:sz w:val="22"/>
                <w:szCs w:val="22"/>
                <w:u w:val="none"/>
                <w:lang w:val="en-US" w:eastAsia="zh-CN" w:bidi="ar"/>
              </w:rPr>
              <w:t>(元)</w:t>
            </w:r>
          </w:p>
        </w:tc>
        <w:tc>
          <w:tcPr>
            <w:tcW w:w="193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60*1.0</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9.45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13.23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主材</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50*1.5</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9.45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31.19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主材</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32*0.8</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1.156</w:t>
            </w: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10.45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12.08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主材</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22*0.5</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11.45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17.06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主材</w:t>
            </w:r>
          </w:p>
        </w:tc>
      </w:tr>
      <w:tr>
        <w:tblPrEx>
          <w:tblCellMar>
            <w:top w:w="0" w:type="dxa"/>
            <w:left w:w="108" w:type="dxa"/>
            <w:bottom w:w="0" w:type="dxa"/>
            <w:right w:w="108" w:type="dxa"/>
          </w:tblCellMar>
        </w:tblPrEx>
        <w:trPr>
          <w:trHeight w:val="9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制作安装费</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排单，切割机下料，带锯切割，手磨机打磨，氩弧焊机，电锤安装</w:t>
            </w:r>
          </w:p>
        </w:tc>
      </w:tr>
      <w:tr>
        <w:tblPrEx>
          <w:tblCellMar>
            <w:top w:w="0" w:type="dxa"/>
            <w:left w:w="108" w:type="dxa"/>
            <w:bottom w:w="0" w:type="dxa"/>
            <w:right w:w="108" w:type="dxa"/>
          </w:tblCellMar>
        </w:tblPrEx>
        <w:trPr>
          <w:trHeight w:val="9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辅材费</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焊丝，氩气，切割片，砂轮片，胀丝</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133.56 </w:t>
            </w:r>
          </w:p>
        </w:tc>
        <w:tc>
          <w:tcPr>
            <w:tcW w:w="193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利润</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8.40 </w:t>
            </w:r>
          </w:p>
        </w:tc>
        <w:tc>
          <w:tcPr>
            <w:tcW w:w="193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税金</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14.04 </w:t>
            </w:r>
          </w:p>
        </w:tc>
        <w:tc>
          <w:tcPr>
            <w:tcW w:w="193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156.00 </w:t>
            </w:r>
          </w:p>
        </w:tc>
        <w:tc>
          <w:tcPr>
            <w:tcW w:w="193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0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5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3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0" w:hRule="atLeast"/>
          <w:jc w:val="center"/>
        </w:trPr>
        <w:tc>
          <w:tcPr>
            <w:tcW w:w="10035"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楼梯扶手住宅剪刀梯栏杆选用12YJ8-62页⑦项圆形塑料扶手</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62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107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0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含量</w:t>
            </w:r>
          </w:p>
        </w:tc>
        <w:tc>
          <w:tcPr>
            <w:tcW w:w="115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r>
              <w:rPr>
                <w:rFonts w:hint="eastAsia" w:ascii="宋体" w:hAnsi="宋体" w:cs="宋体"/>
                <w:i w:val="0"/>
                <w:iCs w:val="0"/>
                <w:color w:val="000000"/>
                <w:kern w:val="0"/>
                <w:sz w:val="22"/>
                <w:szCs w:val="22"/>
                <w:u w:val="none"/>
                <w:lang w:val="en-US" w:eastAsia="zh-CN" w:bidi="ar"/>
              </w:rPr>
              <w:t>(元)</w:t>
            </w:r>
          </w:p>
        </w:tc>
        <w:tc>
          <w:tcPr>
            <w:tcW w:w="11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w:t>
            </w:r>
            <w:r>
              <w:rPr>
                <w:rFonts w:hint="eastAsia" w:ascii="宋体" w:hAnsi="宋体" w:cs="宋体"/>
                <w:i w:val="0"/>
                <w:iCs w:val="0"/>
                <w:color w:val="000000"/>
                <w:kern w:val="0"/>
                <w:sz w:val="22"/>
                <w:szCs w:val="22"/>
                <w:u w:val="none"/>
                <w:lang w:val="en-US" w:eastAsia="zh-CN" w:bidi="ar"/>
              </w:rPr>
              <w:t>(元)</w:t>
            </w:r>
          </w:p>
        </w:tc>
        <w:tc>
          <w:tcPr>
            <w:tcW w:w="193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50木塑扶手</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主材</w:t>
            </w:r>
          </w:p>
        </w:tc>
      </w:tr>
      <w:tr>
        <w:tblPrEx>
          <w:tblCellMar>
            <w:top w:w="0" w:type="dxa"/>
            <w:left w:w="108" w:type="dxa"/>
            <w:bottom w:w="0" w:type="dxa"/>
            <w:right w:w="108" w:type="dxa"/>
          </w:tblCellMar>
        </w:tblPrEx>
        <w:trPr>
          <w:trHeight w:val="263"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制作安装费</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下料，打孔，校直面固定。</w:t>
            </w:r>
          </w:p>
        </w:tc>
      </w:tr>
      <w:tr>
        <w:tblPrEx>
          <w:tblCellMar>
            <w:top w:w="0" w:type="dxa"/>
            <w:left w:w="108" w:type="dxa"/>
            <w:bottom w:w="0" w:type="dxa"/>
            <w:right w:w="108" w:type="dxa"/>
          </w:tblCellMar>
        </w:tblPrEx>
        <w:trPr>
          <w:trHeight w:val="9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辅材费</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螺丝，固定件，接头。</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 </w:t>
            </w:r>
          </w:p>
        </w:tc>
        <w:tc>
          <w:tcPr>
            <w:tcW w:w="193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5"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利润</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8.68 </w:t>
            </w:r>
          </w:p>
        </w:tc>
        <w:tc>
          <w:tcPr>
            <w:tcW w:w="193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5"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税金</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4.32 </w:t>
            </w:r>
          </w:p>
        </w:tc>
        <w:tc>
          <w:tcPr>
            <w:tcW w:w="193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5"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 </w:t>
            </w:r>
          </w:p>
        </w:tc>
        <w:tc>
          <w:tcPr>
            <w:tcW w:w="193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0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5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3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0" w:hRule="atLeast"/>
          <w:jc w:val="center"/>
        </w:trPr>
        <w:tc>
          <w:tcPr>
            <w:tcW w:w="10035"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幼儿园不锈钢护窗栏杆900mm杆综合单价分析表</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62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107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0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含量</w:t>
            </w:r>
          </w:p>
        </w:tc>
        <w:tc>
          <w:tcPr>
            <w:tcW w:w="115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r>
              <w:rPr>
                <w:rFonts w:hint="eastAsia" w:ascii="宋体" w:hAnsi="宋体" w:cs="宋体"/>
                <w:i w:val="0"/>
                <w:iCs w:val="0"/>
                <w:color w:val="000000"/>
                <w:kern w:val="0"/>
                <w:sz w:val="22"/>
                <w:szCs w:val="22"/>
                <w:u w:val="none"/>
                <w:lang w:val="en-US" w:eastAsia="zh-CN" w:bidi="ar"/>
              </w:rPr>
              <w:t>(元)</w:t>
            </w:r>
          </w:p>
        </w:tc>
        <w:tc>
          <w:tcPr>
            <w:tcW w:w="11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w:t>
            </w:r>
            <w:r>
              <w:rPr>
                <w:rFonts w:hint="eastAsia" w:ascii="宋体" w:hAnsi="宋体" w:cs="宋体"/>
                <w:i w:val="0"/>
                <w:iCs w:val="0"/>
                <w:color w:val="000000"/>
                <w:kern w:val="0"/>
                <w:sz w:val="22"/>
                <w:szCs w:val="22"/>
                <w:u w:val="none"/>
                <w:lang w:val="en-US" w:eastAsia="zh-CN" w:bidi="ar"/>
              </w:rPr>
              <w:t>(元)</w:t>
            </w:r>
          </w:p>
        </w:tc>
        <w:tc>
          <w:tcPr>
            <w:tcW w:w="193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51*1.5</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1.758</w:t>
            </w: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9.45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16.61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主材</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28*1.5</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w:t>
            </w: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9.45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50.84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主材</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弯头</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主材</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钢板，钢筋</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22.00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主材</w:t>
            </w:r>
          </w:p>
        </w:tc>
      </w:tr>
      <w:tr>
        <w:tblPrEx>
          <w:tblCellMar>
            <w:top w:w="0" w:type="dxa"/>
            <w:left w:w="108" w:type="dxa"/>
            <w:bottom w:w="0" w:type="dxa"/>
            <w:right w:w="108" w:type="dxa"/>
          </w:tblCellMar>
        </w:tblPrEx>
        <w:trPr>
          <w:trHeight w:val="423"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制作安装费</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排单，切割机下料，带锯切割，手磨机打磨，氩弧焊机，电锤安装</w:t>
            </w:r>
          </w:p>
        </w:tc>
      </w:tr>
      <w:tr>
        <w:tblPrEx>
          <w:tblCellMar>
            <w:top w:w="0" w:type="dxa"/>
            <w:left w:w="108" w:type="dxa"/>
            <w:bottom w:w="0" w:type="dxa"/>
            <w:right w:w="108" w:type="dxa"/>
          </w:tblCellMar>
        </w:tblPrEx>
        <w:trPr>
          <w:trHeight w:val="9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辅材费</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焊丝，氩气，切割片，砂轮片，胀丝</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170.45 </w:t>
            </w:r>
          </w:p>
        </w:tc>
        <w:tc>
          <w:tcPr>
            <w:tcW w:w="193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利润</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2.45 </w:t>
            </w:r>
          </w:p>
        </w:tc>
        <w:tc>
          <w:tcPr>
            <w:tcW w:w="193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税金</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17.10 </w:t>
            </w:r>
          </w:p>
        </w:tc>
        <w:tc>
          <w:tcPr>
            <w:tcW w:w="193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5"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 </w:t>
            </w:r>
          </w:p>
        </w:tc>
        <w:tc>
          <w:tcPr>
            <w:tcW w:w="193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0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5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3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0" w:hRule="atLeast"/>
          <w:jc w:val="center"/>
        </w:trPr>
        <w:tc>
          <w:tcPr>
            <w:tcW w:w="10035"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幼儿园楼梯栏杆杆综合单价分析表</w:t>
            </w:r>
          </w:p>
        </w:tc>
      </w:tr>
      <w:tr>
        <w:tblPrEx>
          <w:tblCellMar>
            <w:top w:w="0" w:type="dxa"/>
            <w:left w:w="108" w:type="dxa"/>
            <w:bottom w:w="0" w:type="dxa"/>
            <w:right w:w="108" w:type="dxa"/>
          </w:tblCellMar>
        </w:tblPrEx>
        <w:trPr>
          <w:trHeight w:val="285"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62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107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0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含量</w:t>
            </w:r>
          </w:p>
        </w:tc>
        <w:tc>
          <w:tcPr>
            <w:tcW w:w="115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r>
              <w:rPr>
                <w:rFonts w:hint="eastAsia" w:ascii="宋体" w:hAnsi="宋体" w:cs="宋体"/>
                <w:i w:val="0"/>
                <w:iCs w:val="0"/>
                <w:color w:val="000000"/>
                <w:kern w:val="0"/>
                <w:sz w:val="22"/>
                <w:szCs w:val="22"/>
                <w:u w:val="none"/>
                <w:lang w:val="en-US" w:eastAsia="zh-CN" w:bidi="ar"/>
              </w:rPr>
              <w:t>(元)</w:t>
            </w:r>
          </w:p>
        </w:tc>
        <w:tc>
          <w:tcPr>
            <w:tcW w:w="11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w:t>
            </w:r>
            <w:r>
              <w:rPr>
                <w:rFonts w:hint="eastAsia" w:ascii="宋体" w:hAnsi="宋体" w:cs="宋体"/>
                <w:i w:val="0"/>
                <w:iCs w:val="0"/>
                <w:color w:val="000000"/>
                <w:kern w:val="0"/>
                <w:sz w:val="22"/>
                <w:szCs w:val="22"/>
                <w:u w:val="none"/>
                <w:lang w:val="en-US" w:eastAsia="zh-CN" w:bidi="ar"/>
              </w:rPr>
              <w:t>(元)</w:t>
            </w:r>
          </w:p>
        </w:tc>
        <w:tc>
          <w:tcPr>
            <w:tcW w:w="193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38*1.9</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9.45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46.59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主材</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19*1.5</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9.45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40.82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主材</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28*1.5</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9.45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9.45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主材</w:t>
            </w:r>
          </w:p>
        </w:tc>
      </w:tr>
      <w:tr>
        <w:tblPrEx>
          <w:tblCellMar>
            <w:top w:w="0" w:type="dxa"/>
            <w:left w:w="108" w:type="dxa"/>
            <w:bottom w:w="0" w:type="dxa"/>
            <w:right w:w="108" w:type="dxa"/>
          </w:tblCellMar>
        </w:tblPrEx>
        <w:trPr>
          <w:trHeight w:val="563"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制作安装费</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排单，切割机下料，带锯切割，手磨机打磨，氩弧焊机，电锤安装</w:t>
            </w:r>
          </w:p>
        </w:tc>
      </w:tr>
      <w:tr>
        <w:tblPrEx>
          <w:tblCellMar>
            <w:top w:w="0" w:type="dxa"/>
            <w:left w:w="108" w:type="dxa"/>
            <w:bottom w:w="0" w:type="dxa"/>
            <w:right w:w="108" w:type="dxa"/>
          </w:tblCellMar>
        </w:tblPrEx>
        <w:trPr>
          <w:trHeight w:val="9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不锈钢配件</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弯头，斜顶管</w:t>
            </w:r>
          </w:p>
        </w:tc>
      </w:tr>
      <w:tr>
        <w:tblPrEx>
          <w:tblCellMar>
            <w:top w:w="0" w:type="dxa"/>
            <w:left w:w="108" w:type="dxa"/>
            <w:bottom w:w="0" w:type="dxa"/>
            <w:right w:w="108" w:type="dxa"/>
          </w:tblCellMar>
        </w:tblPrEx>
        <w:trPr>
          <w:trHeight w:val="428"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辅材费</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焊丝，氩气，切割片，砂轮片，胀丝，</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181.86 </w:t>
            </w:r>
          </w:p>
        </w:tc>
        <w:tc>
          <w:tcPr>
            <w:tcW w:w="193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利润</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6.51 </w:t>
            </w:r>
          </w:p>
        </w:tc>
        <w:tc>
          <w:tcPr>
            <w:tcW w:w="193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税金</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18.63 </w:t>
            </w:r>
          </w:p>
        </w:tc>
        <w:tc>
          <w:tcPr>
            <w:tcW w:w="193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207.00 </w:t>
            </w:r>
          </w:p>
        </w:tc>
        <w:tc>
          <w:tcPr>
            <w:tcW w:w="193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0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5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3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0" w:hRule="atLeast"/>
          <w:jc w:val="center"/>
        </w:trPr>
        <w:tc>
          <w:tcPr>
            <w:tcW w:w="10035"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车库铝合金百叶综合单价分析表</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62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107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0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含量</w:t>
            </w:r>
          </w:p>
        </w:tc>
        <w:tc>
          <w:tcPr>
            <w:tcW w:w="115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r>
              <w:rPr>
                <w:rFonts w:hint="eastAsia" w:ascii="宋体" w:hAnsi="宋体" w:cs="宋体"/>
                <w:i w:val="0"/>
                <w:iCs w:val="0"/>
                <w:color w:val="000000"/>
                <w:kern w:val="0"/>
                <w:sz w:val="22"/>
                <w:szCs w:val="22"/>
                <w:u w:val="none"/>
                <w:lang w:val="en-US" w:eastAsia="zh-CN" w:bidi="ar"/>
              </w:rPr>
              <w:t>(元)</w:t>
            </w:r>
          </w:p>
        </w:tc>
        <w:tc>
          <w:tcPr>
            <w:tcW w:w="11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w:t>
            </w:r>
            <w:r>
              <w:rPr>
                <w:rFonts w:hint="eastAsia" w:ascii="宋体" w:hAnsi="宋体" w:cs="宋体"/>
                <w:i w:val="0"/>
                <w:iCs w:val="0"/>
                <w:color w:val="000000"/>
                <w:kern w:val="0"/>
                <w:sz w:val="22"/>
                <w:szCs w:val="22"/>
                <w:u w:val="none"/>
                <w:lang w:val="en-US" w:eastAsia="zh-CN" w:bidi="ar"/>
              </w:rPr>
              <w:t>(元)</w:t>
            </w:r>
          </w:p>
        </w:tc>
        <w:tc>
          <w:tcPr>
            <w:tcW w:w="193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50*25*1.6铝管</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00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22.20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56.39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每平方</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40*15*1.2工字铝</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0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23.20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9.28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每平方</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70*0.8mm防雨百叶片</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00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24.00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44.64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每平方</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不锈钢插销配件</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均数</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氟碳漆</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每平方</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制作安装费</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每平方</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辅材费</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螺丝</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198.31 </w:t>
            </w:r>
          </w:p>
        </w:tc>
        <w:tc>
          <w:tcPr>
            <w:tcW w:w="193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其它</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93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胀管</w:t>
            </w: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利润</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10.99 </w:t>
            </w:r>
          </w:p>
        </w:tc>
        <w:tc>
          <w:tcPr>
            <w:tcW w:w="193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税金</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20.70 </w:t>
            </w:r>
          </w:p>
        </w:tc>
        <w:tc>
          <w:tcPr>
            <w:tcW w:w="193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0" w:hRule="atLeast"/>
          <w:jc w:val="center"/>
        </w:trPr>
        <w:tc>
          <w:tcPr>
            <w:tcW w:w="10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6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7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100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230.00 </w:t>
            </w:r>
          </w:p>
        </w:tc>
        <w:tc>
          <w:tcPr>
            <w:tcW w:w="1934" w:type="dxa"/>
            <w:tcBorders>
              <w:top w:val="nil"/>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000000" w:themeColor="text1"/>
          <w:sz w:val="24"/>
          <w:szCs w:val="24"/>
          <w:highlight w:val="none"/>
          <w:lang w:eastAsia="zh-CN"/>
          <w14:textFill>
            <w14:solidFill>
              <w14:schemeClr w14:val="tx1"/>
            </w14:solidFill>
          </w14:textFill>
        </w:rPr>
      </w:pPr>
      <w:r>
        <w:rPr>
          <w:rFonts w:hint="eastAsia"/>
          <w:b/>
          <w:bCs/>
          <w:color w:val="000000" w:themeColor="text1"/>
          <w:sz w:val="24"/>
          <w:szCs w:val="24"/>
          <w:highlight w:val="none"/>
          <w:lang w:eastAsia="zh-CN"/>
          <w14:textFill>
            <w14:solidFill>
              <w14:schemeClr w14:val="tx1"/>
            </w14:solidFill>
          </w14:textFill>
        </w:rPr>
        <w:t>附件三：</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000000" w:themeColor="text1"/>
          <w:sz w:val="28"/>
          <w:szCs w:val="36"/>
          <w:highlight w:val="none"/>
          <w14:textFill>
            <w14:solidFill>
              <w14:schemeClr w14:val="tx1"/>
            </w14:solidFill>
          </w14:textFill>
        </w:rPr>
      </w:pPr>
      <w:r>
        <w:rPr>
          <w:rFonts w:hint="eastAsia"/>
          <w:b/>
          <w:bCs/>
          <w:color w:val="000000" w:themeColor="text1"/>
          <w:sz w:val="36"/>
          <w:szCs w:val="36"/>
          <w:highlight w:val="none"/>
          <w14:textFill>
            <w14:solidFill>
              <w14:schemeClr w14:val="tx1"/>
            </w14:solidFill>
          </w14:textFill>
        </w:rPr>
        <w:t>廉政合作协议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Cs w:val="32"/>
          <w:highlight w:val="none"/>
          <w:lang w:val="en-US" w:eastAsia="zh-CN"/>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甲方：</w:t>
      </w:r>
      <w:r>
        <w:rPr>
          <w:rFonts w:hint="eastAsia" w:ascii="宋体" w:hAnsi="宋体" w:cs="宋体"/>
          <w:color w:val="000000" w:themeColor="text1"/>
          <w:szCs w:val="32"/>
          <w:highlight w:val="none"/>
          <w:u w:val="single"/>
          <w:lang w:val="en-US" w:eastAsia="zh-CN"/>
          <w14:textFill>
            <w14:solidFill>
              <w14:schemeClr w14:val="tx1"/>
            </w14:solidFill>
          </w14:textFill>
        </w:rPr>
        <w:t xml:space="preserve"> </w:t>
      </w:r>
      <w:r>
        <w:rPr>
          <w:rFonts w:hint="eastAsia" w:ascii="宋体" w:hAnsi="宋体" w:cs="宋体"/>
          <w:color w:val="000000" w:themeColor="text1"/>
          <w:szCs w:val="32"/>
          <w:highlight w:val="none"/>
          <w:u w:val="single"/>
          <w14:textFill>
            <w14:solidFill>
              <w14:schemeClr w14:val="tx1"/>
            </w14:solidFill>
          </w14:textFill>
        </w:rPr>
        <w:t>洛阳浩德鑫置地有限公司</w:t>
      </w:r>
      <w:r>
        <w:rPr>
          <w:rFonts w:hint="eastAsia" w:ascii="宋体" w:hAnsi="宋体" w:cs="宋体"/>
          <w:color w:val="000000" w:themeColor="text1"/>
          <w:szCs w:val="32"/>
          <w:highlight w:val="none"/>
          <w:u w:val="single"/>
          <w:lang w:val="en-US" w:eastAsia="zh-CN"/>
          <w14:textFill>
            <w14:solidFill>
              <w14:schemeClr w14:val="tx1"/>
            </w14:solidFill>
          </w14:textFill>
        </w:rPr>
        <w:t xml:space="preserve"> </w:t>
      </w:r>
    </w:p>
    <w:p>
      <w:pPr>
        <w:spacing w:line="440" w:lineRule="exact"/>
        <w:rPr>
          <w:rFonts w:hint="eastAsia" w:ascii="宋体" w:hAnsi="宋体" w:eastAsia="宋体" w:cs="宋体"/>
          <w:color w:val="000000" w:themeColor="text1"/>
          <w:szCs w:val="32"/>
          <w:highlight w:val="none"/>
          <w:u w:val="single"/>
          <w:lang w:val="en-US" w:eastAsia="zh-CN"/>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乙方：</w:t>
      </w:r>
      <w:r>
        <w:rPr>
          <w:rFonts w:hint="eastAsia" w:ascii="宋体" w:hAnsi="宋体" w:cs="宋体"/>
          <w:color w:val="000000" w:themeColor="text1"/>
          <w:szCs w:val="32"/>
          <w:highlight w:val="none"/>
          <w:u w:val="single"/>
          <w:lang w:eastAsia="zh-CN"/>
          <w14:textFill>
            <w14:solidFill>
              <w14:schemeClr w14:val="tx1"/>
            </w14:solidFill>
          </w14:textFill>
        </w:rPr>
        <w:t>河南安华金属制品有限公司</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为加强工程项目建设期间的廉政管理，确保项目高效优质按期竣工，甲、乙双方经协商签定本协议并做为双方共同遵守的廉政行为准则。</w:t>
      </w:r>
    </w:p>
    <w:p>
      <w:pPr>
        <w:spacing w:line="440" w:lineRule="exact"/>
        <w:ind w:firstLine="482" w:firstLineChars="200"/>
        <w:rPr>
          <w:rFonts w:ascii="宋体" w:hAnsi="宋体" w:cs="宋体"/>
          <w:b/>
          <w:bCs/>
          <w:color w:val="000000" w:themeColor="text1"/>
          <w:szCs w:val="32"/>
          <w:highlight w:val="none"/>
          <w14:textFill>
            <w14:solidFill>
              <w14:schemeClr w14:val="tx1"/>
            </w14:solidFill>
          </w14:textFill>
        </w:rPr>
      </w:pPr>
      <w:r>
        <w:rPr>
          <w:rFonts w:hint="eastAsia" w:ascii="宋体" w:hAnsi="宋体" w:cs="宋体"/>
          <w:b/>
          <w:bCs/>
          <w:color w:val="000000" w:themeColor="text1"/>
          <w:szCs w:val="32"/>
          <w:highlight w:val="none"/>
          <w14:textFill>
            <w14:solidFill>
              <w14:schemeClr w14:val="tx1"/>
            </w14:solidFill>
          </w14:textFill>
        </w:rPr>
        <w:t>一．甲方责任</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1．甲方有责任向乙方介绍本单位有关廉政管理的各项制度和规定。</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2．甲方有责任对本单位项目管理人员进行廉政教育。</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3．甲方人员应严格遵守本单位有关廉政管理的规定，不得接受乙方的宴请，不得接受任何形式的实物、现金或礼券。</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4．甲方在项目建设期间发现甲方人员任何形式的索贿受贿行为，均应及时采取措施予以制止，并及时通报乙方单位领导。</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5．甲方人员如违反廉政管理制度及本协议规定，甲方应视情节轻重、影响大小给予行政及经济处罚。</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6．对于乙方举报甲方人员违反廉政规定的情况，甲方应及时进行调查，根据调查情况进行处理。</w:t>
      </w:r>
    </w:p>
    <w:p>
      <w:pPr>
        <w:spacing w:line="440" w:lineRule="exact"/>
        <w:ind w:firstLine="482" w:firstLineChars="200"/>
        <w:rPr>
          <w:rFonts w:ascii="宋体" w:hAnsi="宋体" w:cs="宋体"/>
          <w:b/>
          <w:bCs/>
          <w:color w:val="000000" w:themeColor="text1"/>
          <w:szCs w:val="32"/>
          <w:highlight w:val="none"/>
          <w14:textFill>
            <w14:solidFill>
              <w14:schemeClr w14:val="tx1"/>
            </w14:solidFill>
          </w14:textFill>
        </w:rPr>
      </w:pPr>
      <w:r>
        <w:rPr>
          <w:rFonts w:hint="eastAsia" w:ascii="宋体" w:hAnsi="宋体" w:cs="宋体"/>
          <w:b/>
          <w:bCs/>
          <w:color w:val="000000" w:themeColor="text1"/>
          <w:szCs w:val="32"/>
          <w:highlight w:val="none"/>
          <w14:textFill>
            <w14:solidFill>
              <w14:schemeClr w14:val="tx1"/>
            </w14:solidFill>
          </w14:textFill>
        </w:rPr>
        <w:t>二．乙方责任</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1．乙方应保证乙方有关人员了解甲方有关廉政管理的各项制度及本协议的规定，并遵照执行。</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2．乙方不得宴请甲方人员，不得以任何形式赠送实物、现金或礼券。</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3．乙方在项目建设期间发现乙方人员任何向甲方人员行贿行为，均应及时采取措施予以制止，并及时通报甲方单位领导。</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4．乙方有责任接受甲方对乙方在项目建设期间廉政管理执行情况的监督。</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酌情对乙方进行处罚，乙方自愿根据甲方的要求，在总价的基础上再让利5-100万元，并对乙方知情不报人员进行处罚。</w:t>
      </w:r>
    </w:p>
    <w:p>
      <w:pPr>
        <w:spacing w:line="440" w:lineRule="exact"/>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三、为维护甲乙双方的合法利益，营造良好的商务环境，甲方建立多种举报渠道（如下）。甲方内控督查督办人员将恪守职业道德，严格履行保密义务！</w:t>
      </w:r>
    </w:p>
    <w:p>
      <w:pPr>
        <w:spacing w:line="360" w:lineRule="auto"/>
        <w:ind w:firstLine="480" w:firstLineChars="200"/>
        <w:rPr>
          <w:rFonts w:ascii="宋体" w:hAnsi="宋体" w:cs="宋体"/>
          <w:b w:val="0"/>
          <w:bCs/>
          <w:color w:val="000000" w:themeColor="text1"/>
          <w:sz w:val="24"/>
          <w:szCs w:val="28"/>
          <w14:textFill>
            <w14:solidFill>
              <w14:schemeClr w14:val="tx1"/>
            </w14:solidFill>
          </w14:textFill>
        </w:rPr>
      </w:pPr>
      <w:r>
        <w:rPr>
          <w:rFonts w:hint="eastAsia" w:ascii="宋体" w:hAnsi="宋体" w:cs="宋体"/>
          <w:b w:val="0"/>
          <w:bCs/>
          <w:color w:val="000000" w:themeColor="text1"/>
          <w:sz w:val="24"/>
          <w:szCs w:val="28"/>
          <w14:textFill>
            <w14:solidFill>
              <w14:schemeClr w14:val="tx1"/>
            </w14:solidFill>
          </w14:textFill>
        </w:rPr>
        <w:t>（1）微信小程序举报（扫描右侧二维码进入程序，举报信息直达董事长）；</w:t>
      </w:r>
    </w:p>
    <w:p>
      <w:pPr>
        <w:spacing w:line="360" w:lineRule="auto"/>
        <w:ind w:firstLine="482" w:firstLineChars="200"/>
        <w:rPr>
          <w:rFonts w:ascii="宋体" w:hAnsi="宋体" w:cs="宋体"/>
          <w:color w:val="000000" w:themeColor="text1"/>
          <w:sz w:val="24"/>
          <w:szCs w:val="28"/>
          <w14:textFill>
            <w14:solidFill>
              <w14:schemeClr w14:val="tx1"/>
            </w14:solidFill>
          </w14:textFill>
        </w:rPr>
      </w:pPr>
      <w:r>
        <w:rPr>
          <w:rFonts w:hint="eastAsia" w:ascii="宋体" w:hAnsi="宋体" w:cs="宋体"/>
          <w:b/>
          <w:color w:val="000000" w:themeColor="text1"/>
          <w:sz w:val="24"/>
          <w:szCs w:val="28"/>
          <w14:textFill>
            <w14:solidFill>
              <w14:schemeClr w14:val="tx1"/>
            </w14:solidFill>
          </w14:textFill>
        </w:rPr>
        <w:drawing>
          <wp:anchor distT="0" distB="0" distL="114300" distR="114300" simplePos="0" relativeHeight="251660288"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2"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2dc313b898daf07a491037a11ba2c8"/>
                    <pic:cNvPicPr>
                      <a:picLocks noChangeAspect="1"/>
                    </pic:cNvPicPr>
                  </pic:nvPicPr>
                  <pic:blipFill>
                    <a:blip r:embed="rId6"/>
                    <a:stretch>
                      <a:fillRect/>
                    </a:stretch>
                  </pic:blipFill>
                  <pic:spPr>
                    <a:xfrm>
                      <a:off x="0" y="0"/>
                      <a:ext cx="1123315" cy="1123315"/>
                    </a:xfrm>
                    <a:prstGeom prst="rect">
                      <a:avLst/>
                    </a:prstGeom>
                    <a:noFill/>
                    <a:ln>
                      <a:noFill/>
                    </a:ln>
                  </pic:spPr>
                </pic:pic>
              </a:graphicData>
            </a:graphic>
          </wp:anchor>
        </w:drawing>
      </w:r>
      <w:r>
        <w:rPr>
          <w:rFonts w:hint="eastAsia" w:ascii="宋体" w:hAnsi="宋体" w:cs="宋体"/>
          <w:color w:val="000000" w:themeColor="text1"/>
          <w:sz w:val="24"/>
          <w:szCs w:val="28"/>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cs="宋体"/>
          <w:color w:val="000000" w:themeColor="text1"/>
          <w:sz w:val="24"/>
          <w:szCs w:val="28"/>
          <w14:textFill>
            <w14:solidFill>
              <w14:schemeClr w14:val="tx1"/>
            </w14:solidFill>
          </w14:textFill>
        </w:rPr>
        <w:t>）邮箱：hddcfkb@Foxmail.com</w:t>
      </w:r>
    </w:p>
    <w:p>
      <w:pPr>
        <w:spacing w:line="360" w:lineRule="auto"/>
        <w:ind w:firstLine="480" w:firstLineChars="200"/>
        <w:rPr>
          <w:rFonts w:hint="default" w:ascii="宋体" w:hAnsi="宋体" w:eastAsia="宋体" w:cs="宋体"/>
          <w:color w:val="000000" w:themeColor="text1"/>
          <w:sz w:val="24"/>
          <w:szCs w:val="28"/>
          <w:lang w:val="en-US" w:eastAsia="zh-CN"/>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cs="宋体"/>
          <w:color w:val="000000" w:themeColor="text1"/>
          <w:sz w:val="24"/>
          <w:szCs w:val="28"/>
          <w14:textFill>
            <w14:solidFill>
              <w14:schemeClr w14:val="tx1"/>
            </w14:solidFill>
          </w14:textFill>
        </w:rPr>
        <w:t>）电话：</w:t>
      </w:r>
      <w:r>
        <w:rPr>
          <w:rFonts w:hint="eastAsia" w:ascii="宋体" w:hAnsi="宋体" w:cs="宋体"/>
          <w:color w:val="000000" w:themeColor="text1"/>
          <w:sz w:val="24"/>
          <w:szCs w:val="28"/>
          <w:lang w:eastAsia="zh-CN"/>
          <w14:textFill>
            <w14:solidFill>
              <w14:schemeClr w14:val="tx1"/>
            </w14:solidFill>
          </w14:textFill>
        </w:rPr>
        <w:t>集团首席风控官</w:t>
      </w:r>
      <w:r>
        <w:rPr>
          <w:rFonts w:hint="eastAsia" w:ascii="宋体" w:hAnsi="宋体" w:cs="宋体"/>
          <w:color w:val="000000" w:themeColor="text1"/>
          <w:sz w:val="24"/>
          <w:szCs w:val="28"/>
          <w14:textFill>
            <w14:solidFill>
              <w14:schemeClr w14:val="tx1"/>
            </w14:solidFill>
          </w14:textFill>
        </w:rPr>
        <w:t>：1</w:t>
      </w:r>
      <w:r>
        <w:rPr>
          <w:rFonts w:hint="eastAsia" w:ascii="宋体" w:hAnsi="宋体" w:cs="宋体"/>
          <w:color w:val="000000" w:themeColor="text1"/>
          <w:sz w:val="24"/>
          <w:szCs w:val="28"/>
          <w:lang w:val="en-US" w:eastAsia="zh-CN"/>
          <w14:textFill>
            <w14:solidFill>
              <w14:schemeClr w14:val="tx1"/>
            </w14:solidFill>
          </w14:textFill>
        </w:rPr>
        <w:t>3903793259</w:t>
      </w:r>
    </w:p>
    <w:p>
      <w:pPr>
        <w:spacing w:line="360" w:lineRule="auto"/>
        <w:ind w:firstLine="480" w:firstLineChars="200"/>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cs="宋体"/>
          <w:color w:val="000000" w:themeColor="text1"/>
          <w:sz w:val="24"/>
          <w:szCs w:val="28"/>
          <w14:textFill>
            <w14:solidFill>
              <w14:schemeClr w14:val="tx1"/>
            </w14:solidFill>
          </w14:textFill>
        </w:rPr>
        <w:t>）电话：</w:t>
      </w:r>
      <w:r>
        <w:rPr>
          <w:rFonts w:hint="eastAsia" w:ascii="宋体" w:hAnsi="宋体" w:cs="宋体"/>
          <w:color w:val="000000" w:themeColor="text1"/>
          <w:sz w:val="24"/>
          <w:szCs w:val="28"/>
          <w:lang w:eastAsia="zh-CN"/>
          <w14:textFill>
            <w14:solidFill>
              <w14:schemeClr w14:val="tx1"/>
            </w14:solidFill>
          </w14:textFill>
        </w:rPr>
        <w:t>集团审计总监</w:t>
      </w:r>
      <w:r>
        <w:rPr>
          <w:rFonts w:hint="eastAsia" w:ascii="宋体" w:hAnsi="宋体" w:cs="宋体"/>
          <w:color w:val="000000" w:themeColor="text1"/>
          <w:sz w:val="24"/>
          <w:szCs w:val="28"/>
          <w14:textFill>
            <w14:solidFill>
              <w14:schemeClr w14:val="tx1"/>
            </w14:solidFill>
          </w14:textFill>
        </w:rPr>
        <w:t>：</w:t>
      </w:r>
      <w:r>
        <w:rPr>
          <w:rFonts w:ascii="宋体" w:hAnsi="宋体" w:cs="宋体"/>
          <w:color w:val="000000" w:themeColor="text1"/>
          <w:sz w:val="24"/>
          <w:szCs w:val="28"/>
          <w14:textFill>
            <w14:solidFill>
              <w14:schemeClr w14:val="tx1"/>
            </w14:solidFill>
          </w14:textFill>
        </w:rPr>
        <w:t>1</w:t>
      </w:r>
      <w:r>
        <w:rPr>
          <w:rFonts w:hint="eastAsia" w:ascii="宋体" w:hAnsi="宋体" w:cs="宋体"/>
          <w:color w:val="000000" w:themeColor="text1"/>
          <w:sz w:val="24"/>
          <w:szCs w:val="28"/>
          <w14:textFill>
            <w14:solidFill>
              <w14:schemeClr w14:val="tx1"/>
            </w14:solidFill>
          </w14:textFill>
        </w:rPr>
        <w:t>8137710188</w:t>
      </w:r>
    </w:p>
    <w:p>
      <w:pPr>
        <w:spacing w:line="360" w:lineRule="auto"/>
        <w:ind w:firstLine="480" w:firstLineChars="200"/>
        <w:rPr>
          <w:rFonts w:hint="default" w:ascii="宋体" w:hAnsi="宋体" w:eastAsia="宋体" w:cs="宋体"/>
          <w:color w:val="000000" w:themeColor="text1"/>
          <w:sz w:val="24"/>
          <w:szCs w:val="28"/>
          <w:lang w:val="en-US" w:eastAsia="zh-CN"/>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cs="宋体"/>
          <w:color w:val="000000" w:themeColor="text1"/>
          <w:sz w:val="24"/>
          <w:szCs w:val="28"/>
          <w14:textFill>
            <w14:solidFill>
              <w14:schemeClr w14:val="tx1"/>
            </w14:solidFill>
          </w14:textFill>
        </w:rPr>
        <w:t>）电话：</w:t>
      </w:r>
      <w:r>
        <w:rPr>
          <w:rFonts w:hint="eastAsia" w:ascii="宋体" w:hAnsi="宋体" w:cs="宋体"/>
          <w:color w:val="000000" w:themeColor="text1"/>
          <w:sz w:val="24"/>
          <w:szCs w:val="28"/>
          <w:lang w:eastAsia="zh-CN"/>
          <w14:textFill>
            <w14:solidFill>
              <w14:schemeClr w14:val="tx1"/>
            </w14:solidFill>
          </w14:textFill>
        </w:rPr>
        <w:t>地产风控总监</w:t>
      </w:r>
      <w:r>
        <w:rPr>
          <w:rFonts w:hint="eastAsia" w:ascii="宋体" w:hAnsi="宋体" w:cs="宋体"/>
          <w:color w:val="000000" w:themeColor="text1"/>
          <w:sz w:val="24"/>
          <w:szCs w:val="28"/>
          <w14:textFill>
            <w14:solidFill>
              <w14:schemeClr w14:val="tx1"/>
            </w14:solidFill>
          </w14:textFill>
        </w:rPr>
        <w:t>：</w:t>
      </w:r>
      <w:r>
        <w:rPr>
          <w:rFonts w:ascii="宋体" w:hAnsi="宋体" w:cs="宋体"/>
          <w:color w:val="000000" w:themeColor="text1"/>
          <w:sz w:val="24"/>
          <w:szCs w:val="28"/>
          <w14:textFill>
            <w14:solidFill>
              <w14:schemeClr w14:val="tx1"/>
            </w14:solidFill>
          </w14:textFill>
        </w:rPr>
        <w:t>1</w:t>
      </w:r>
      <w:r>
        <w:rPr>
          <w:rFonts w:hint="eastAsia" w:ascii="宋体" w:hAnsi="宋体" w:cs="宋体"/>
          <w:color w:val="000000" w:themeColor="text1"/>
          <w:sz w:val="24"/>
          <w:szCs w:val="28"/>
          <w14:textFill>
            <w14:solidFill>
              <w14:schemeClr w14:val="tx1"/>
            </w14:solidFill>
          </w14:textFill>
        </w:rPr>
        <w:t>8</w:t>
      </w:r>
      <w:r>
        <w:rPr>
          <w:rFonts w:hint="eastAsia" w:ascii="宋体" w:hAnsi="宋体" w:cs="宋体"/>
          <w:color w:val="000000" w:themeColor="text1"/>
          <w:sz w:val="24"/>
          <w:szCs w:val="28"/>
          <w:lang w:val="en-US" w:eastAsia="zh-CN"/>
          <w14:textFill>
            <w14:solidFill>
              <w14:schemeClr w14:val="tx1"/>
            </w14:solidFill>
          </w14:textFill>
        </w:rPr>
        <w:t>638357973</w:t>
      </w:r>
    </w:p>
    <w:p>
      <w:pPr>
        <w:spacing w:line="360" w:lineRule="auto"/>
        <w:ind w:firstLine="480" w:firstLineChars="200"/>
        <w:rPr>
          <w:rFonts w:hint="default" w:ascii="宋体" w:hAnsi="宋体" w:eastAsia="宋体" w:cs="宋体"/>
          <w:color w:val="000000" w:themeColor="text1"/>
          <w:sz w:val="24"/>
          <w:szCs w:val="28"/>
          <w:lang w:val="en-US" w:eastAsia="zh-CN"/>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6</w:t>
      </w:r>
      <w:r>
        <w:rPr>
          <w:rFonts w:hint="eastAsia" w:ascii="宋体" w:hAnsi="宋体" w:cs="宋体"/>
          <w:color w:val="000000" w:themeColor="text1"/>
          <w:sz w:val="24"/>
          <w:szCs w:val="28"/>
          <w14:textFill>
            <w14:solidFill>
              <w14:schemeClr w14:val="tx1"/>
            </w14:solidFill>
          </w14:textFill>
        </w:rPr>
        <w:t>）电话：</w:t>
      </w:r>
      <w:r>
        <w:rPr>
          <w:rFonts w:hint="eastAsia" w:ascii="宋体" w:hAnsi="宋体" w:cs="宋体"/>
          <w:color w:val="000000" w:themeColor="text1"/>
          <w:sz w:val="24"/>
          <w:szCs w:val="28"/>
          <w:lang w:eastAsia="zh-CN"/>
          <w14:textFill>
            <w14:solidFill>
              <w14:schemeClr w14:val="tx1"/>
            </w14:solidFill>
          </w14:textFill>
        </w:rPr>
        <w:t>地产风控经理</w:t>
      </w:r>
      <w:r>
        <w:rPr>
          <w:rFonts w:hint="eastAsia" w:ascii="宋体" w:hAnsi="宋体" w:cs="宋体"/>
          <w:color w:val="000000" w:themeColor="text1"/>
          <w:sz w:val="24"/>
          <w:szCs w:val="28"/>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15670305910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14:textFill>
            <w14:solidFill>
              <w14:schemeClr w14:val="tx1"/>
            </w14:solidFill>
          </w14:textFill>
        </w:rPr>
        <w:t>直接和风控部人员约定场所当面举报。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11.其它违反法律或者招标人公司相关制度的行为。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w:t>
      </w:r>
      <w:r>
        <w:rPr>
          <w:rFonts w:hint="eastAsia" w:ascii="宋体" w:hAnsi="宋体" w:cs="宋体"/>
          <w:color w:val="000000" w:themeColor="text1"/>
          <w:sz w:val="24"/>
          <w:szCs w:val="24"/>
          <w:highlight w:val="none"/>
          <w:lang w:eastAsia="zh-CN"/>
          <w14:textFill>
            <w14:solidFill>
              <w14:schemeClr w14:val="tx1"/>
            </w14:solidFill>
          </w14:textFill>
        </w:rPr>
        <w:t>洛阳浩德鑫置地有限公司</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乙方：</w:t>
      </w:r>
      <w:r>
        <w:rPr>
          <w:rFonts w:hint="eastAsia" w:ascii="宋体" w:hAnsi="宋体" w:cs="宋体"/>
          <w:color w:val="000000" w:themeColor="text1"/>
          <w:sz w:val="24"/>
          <w:szCs w:val="24"/>
          <w:highlight w:val="none"/>
          <w:lang w:eastAsia="zh-CN"/>
          <w14:textFill>
            <w14:solidFill>
              <w14:schemeClr w14:val="tx1"/>
            </w14:solidFill>
          </w14:textFill>
        </w:rPr>
        <w:t>河南安华金属制品有限公司</w:t>
      </w:r>
    </w:p>
    <w:p>
      <w:pPr>
        <w:rPr>
          <w:color w:val="000000" w:themeColor="text1"/>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签署日期：</w:t>
      </w:r>
      <w:r>
        <w:rPr>
          <w:rFonts w:hint="eastAsia" w:ascii="宋体" w:hAnsi="宋体" w:cs="宋体"/>
          <w:color w:val="000000" w:themeColor="text1"/>
          <w:sz w:val="24"/>
          <w:szCs w:val="24"/>
          <w:highlight w:val="none"/>
          <w:lang w:val="en-US" w:eastAsia="zh-CN"/>
          <w14:textFill>
            <w14:solidFill>
              <w14:schemeClr w14:val="tx1"/>
            </w14:solidFill>
          </w14:textFill>
        </w:rPr>
        <w:t>2021年08月</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 xml:space="preserve">             签署日期：</w:t>
      </w:r>
      <w:r>
        <w:rPr>
          <w:rFonts w:hint="eastAsia" w:ascii="宋体" w:hAnsi="宋体" w:cs="宋体"/>
          <w:color w:val="000000" w:themeColor="text1"/>
          <w:sz w:val="24"/>
          <w:szCs w:val="24"/>
          <w:highlight w:val="none"/>
          <w:lang w:val="en-US" w:eastAsia="zh-CN"/>
          <w14:textFill>
            <w14:solidFill>
              <w14:schemeClr w14:val="tx1"/>
            </w14:solidFill>
          </w14:textFill>
        </w:rPr>
        <w:t>2021年08月</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日</w:t>
      </w:r>
    </w:p>
    <w:sectPr>
      <w:footerReference r:id="rId4" w:type="default"/>
      <w:pgSz w:w="11906" w:h="16838"/>
      <w:pgMar w:top="1304" w:right="1304" w:bottom="1304" w:left="1304" w:header="851" w:footer="85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2</w:t>
                          </w:r>
                          <w:r>
                            <w:rPr>
                              <w:rFonts w:hint="eastAsia"/>
                              <w:lang w:val="en-US" w:eastAsia="zh-CN"/>
                            </w:rPr>
                            <w:t>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2</w:t>
                    </w:r>
                    <w:r>
                      <w:rPr>
                        <w:rFonts w:hint="eastAsia"/>
                        <w:lang w:val="en-US" w:eastAsia="zh-CN"/>
                      </w:rPr>
                      <w:t>1</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pPr>
    <w:r>
      <w:drawing>
        <wp:inline distT="0" distB="0" distL="114300" distR="114300">
          <wp:extent cx="1019175" cy="314325"/>
          <wp:effectExtent l="0" t="0" r="9525" b="9525"/>
          <wp:docPr id="1"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A6841"/>
    <w:rsid w:val="01B62B24"/>
    <w:rsid w:val="041A6841"/>
    <w:rsid w:val="15197EDE"/>
    <w:rsid w:val="335F6F46"/>
    <w:rsid w:val="339A7556"/>
    <w:rsid w:val="34C35EBD"/>
    <w:rsid w:val="36DE5A09"/>
    <w:rsid w:val="37B15F7C"/>
    <w:rsid w:val="37CB46A8"/>
    <w:rsid w:val="3B3D4DB5"/>
    <w:rsid w:val="76161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3">
    <w:name w:val="annotation text"/>
    <w:basedOn w:val="1"/>
    <w:qFormat/>
    <w:uiPriority w:val="0"/>
    <w:pPr>
      <w:jc w:val="left"/>
    </w:pPr>
  </w:style>
  <w:style w:type="paragraph" w:styleId="4">
    <w:name w:val="Body Text"/>
    <w:basedOn w:val="1"/>
    <w:qFormat/>
    <w:uiPriority w:val="0"/>
    <w:pPr>
      <w:spacing w:line="360" w:lineRule="auto"/>
    </w:pPr>
    <w:rPr>
      <w:rFonts w:ascii="Times New Roman" w:hAnsi="Times New Roman"/>
      <w:szCs w:val="20"/>
    </w:rPr>
  </w:style>
  <w:style w:type="paragraph" w:styleId="5">
    <w:name w:val="Body Text Indent"/>
    <w:basedOn w:val="1"/>
    <w:next w:val="4"/>
    <w:qFormat/>
    <w:uiPriority w:val="0"/>
    <w:pPr>
      <w:ind w:firstLine="645"/>
    </w:pPr>
    <w:rPr>
      <w:rFonts w:ascii="宋体"/>
      <w:sz w:val="32"/>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9">
    <w:name w:val="Body Text First Indent 2"/>
    <w:basedOn w:val="5"/>
    <w:next w:val="4"/>
    <w:qFormat/>
    <w:uiPriority w:val="0"/>
    <w:pPr>
      <w:ind w:left="0" w:leftChars="0" w:firstLine="0" w:firstLineChars="0"/>
    </w:pPr>
  </w:style>
  <w:style w:type="paragraph" w:customStyle="1" w:styleId="12">
    <w:name w:val="p0"/>
    <w:basedOn w:val="1"/>
    <w:qFormat/>
    <w:uiPriority w:val="99"/>
    <w:pPr>
      <w:widowControl/>
    </w:pPr>
    <w:rPr>
      <w:rFonts w:ascii="Times New Roman" w:hAnsi="Times New Roman"/>
      <w:kern w:val="0"/>
      <w:szCs w:val="21"/>
    </w:rPr>
  </w:style>
  <w:style w:type="character" w:customStyle="1" w:styleId="13">
    <w:name w:val="ca-10"/>
    <w:basedOn w:val="11"/>
    <w:qFormat/>
    <w:uiPriority w:val="0"/>
  </w:style>
  <w:style w:type="paragraph" w:customStyle="1" w:styleId="14">
    <w:name w:val="Default"/>
    <w:next w:val="15"/>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大标题"/>
    <w:basedOn w:val="1"/>
    <w:next w:val="9"/>
    <w:qFormat/>
    <w:uiPriority w:val="0"/>
    <w:pPr>
      <w:jc w:val="center"/>
    </w:pPr>
    <w:rPr>
      <w:rFonts w:ascii="Arial" w:hAnsi="Arial"/>
      <w:b/>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2021-07-09T07:57:00Z</dcterms:created>
  <dc:creator>Administrator</dc:creator>
  <cp:lastModifiedBy>Administrator</cp:lastModifiedBy>
  <dcterms:modified xsi:type="dcterms:W3CDTF">2021-08-19T02:11:42Z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40ECCEF38B6D487EB243FF77EEE9E1C0</vt:lpwstr>
  </property>
</Properties>
</file>