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firstLine="0" w:firstLineChars="0"/>
        <w:jc w:val="both"/>
        <w:textAlignment w:val="auto"/>
        <w:outlineLvl w:val="9"/>
        <w:rPr>
          <w:rFonts w:hint="eastAsia" w:ascii="宋体" w:hAnsi="宋体" w:eastAsia="宋体" w:cs="宋体"/>
          <w:b/>
          <w:color w:val="000000" w:themeColor="text1"/>
          <w:sz w:val="24"/>
          <w:szCs w:val="24"/>
          <w:highlight w:val="none"/>
          <w14:textFill>
            <w14:solidFill>
              <w14:schemeClr w14:val="tx1"/>
            </w14:solidFill>
          </w14:textFill>
        </w:rPr>
      </w:pPr>
      <w:bookmarkStart w:id="0" w:name="_GoBack"/>
      <w:bookmarkEnd w:id="0"/>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Style w:val="13"/>
          <w:rFonts w:hint="eastAsia" w:ascii="宋体" w:hAnsi="宋体" w:eastAsia="宋体" w:cs="宋体"/>
          <w:b/>
          <w:bCs/>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Style w:val="13"/>
          <w:rFonts w:hint="eastAsia" w:ascii="宋体" w:hAnsi="宋体" w:eastAsia="宋体" w:cs="宋体"/>
          <w:b/>
          <w:bCs/>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Style w:val="13"/>
          <w:rFonts w:hint="eastAsia" w:ascii="宋体" w:hAnsi="宋体" w:eastAsia="宋体" w:cs="宋体"/>
          <w:b/>
          <w:bCs/>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center"/>
        <w:textAlignment w:val="auto"/>
        <w:outlineLvl w:val="9"/>
        <w:rPr>
          <w:rFonts w:hint="eastAsia" w:ascii="宋体" w:hAnsi="宋体" w:eastAsia="宋体" w:cs="宋体"/>
          <w:b/>
          <w:bCs/>
          <w:color w:val="000000" w:themeColor="text1"/>
          <w:sz w:val="44"/>
          <w:szCs w:val="44"/>
          <w:highlight w:val="none"/>
          <w14:textFill>
            <w14:solidFill>
              <w14:schemeClr w14:val="tx1"/>
            </w14:solidFill>
          </w14:textFill>
        </w:rPr>
      </w:pPr>
      <w:r>
        <w:rPr>
          <w:rStyle w:val="14"/>
          <w:rFonts w:hint="eastAsia" w:ascii="宋体" w:hAnsi="宋体" w:eastAsia="宋体" w:cs="宋体"/>
          <w:b/>
          <w:bCs/>
          <w:color w:val="000000" w:themeColor="text1"/>
          <w:sz w:val="44"/>
          <w:szCs w:val="44"/>
          <w:highlight w:val="none"/>
          <w:lang w:eastAsia="zh-CN"/>
          <w14:textFill>
            <w14:solidFill>
              <w14:schemeClr w14:val="tx1"/>
            </w14:solidFill>
          </w14:textFill>
        </w:rPr>
        <w:t>开元壹号</w:t>
      </w:r>
      <w:r>
        <w:rPr>
          <w:rStyle w:val="14"/>
          <w:rFonts w:hint="eastAsia" w:ascii="宋体" w:hAnsi="宋体" w:eastAsia="宋体" w:cs="宋体"/>
          <w:b/>
          <w:bCs/>
          <w:color w:val="000000" w:themeColor="text1"/>
          <w:sz w:val="44"/>
          <w:szCs w:val="44"/>
          <w:highlight w:val="none"/>
          <w:lang w:val="en-US" w:eastAsia="zh-CN"/>
          <w14:textFill>
            <w14:solidFill>
              <w14:schemeClr w14:val="tx1"/>
            </w14:solidFill>
          </w14:textFill>
        </w:rPr>
        <w:t>62#地块一期</w:t>
      </w:r>
      <w:r>
        <w:rPr>
          <w:rStyle w:val="14"/>
          <w:rFonts w:hint="eastAsia" w:ascii="宋体" w:hAnsi="宋体" w:eastAsia="宋体" w:cs="宋体"/>
          <w:b/>
          <w:bCs/>
          <w:color w:val="000000" w:themeColor="text1"/>
          <w:sz w:val="44"/>
          <w:szCs w:val="44"/>
          <w:highlight w:val="none"/>
          <w14:textFill>
            <w14:solidFill>
              <w14:schemeClr w14:val="tx1"/>
            </w14:solidFill>
          </w14:textFill>
        </w:rPr>
        <w:t>供配电工程</w:t>
      </w:r>
      <w:r>
        <w:rPr>
          <w:rStyle w:val="14"/>
          <w:rFonts w:hint="eastAsia" w:ascii="宋体" w:hAnsi="宋体" w:eastAsia="宋体" w:cs="宋体"/>
          <w:b/>
          <w:bCs/>
          <w:color w:val="000000" w:themeColor="text1"/>
          <w:sz w:val="44"/>
          <w:szCs w:val="44"/>
          <w:highlight w:val="none"/>
          <w:lang w:eastAsia="zh-CN"/>
          <w14:textFill>
            <w14:solidFill>
              <w14:schemeClr w14:val="tx1"/>
            </w14:solidFill>
          </w14:textFill>
        </w:rPr>
        <w:t>施工</w:t>
      </w:r>
      <w:r>
        <w:rPr>
          <w:rFonts w:hint="eastAsia" w:ascii="宋体" w:hAnsi="宋体" w:eastAsia="宋体" w:cs="宋体"/>
          <w:b/>
          <w:bCs/>
          <w:color w:val="000000" w:themeColor="text1"/>
          <w:sz w:val="44"/>
          <w:szCs w:val="44"/>
          <w:highlight w:val="none"/>
          <w14:textFill>
            <w14:solidFill>
              <w14:schemeClr w14:val="tx1"/>
            </w14:solidFill>
          </w14:textFill>
        </w:rPr>
        <w:t>合同</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Fonts w:hint="eastAsia" w:ascii="宋体" w:hAnsi="宋体" w:eastAsia="宋体" w:cs="宋体"/>
          <w:b/>
          <w:bCs/>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Fonts w:hint="eastAsia" w:ascii="宋体" w:hAnsi="宋体" w:eastAsia="宋体" w:cs="宋体"/>
          <w:b/>
          <w:bCs/>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Fonts w:hint="eastAsia" w:ascii="宋体" w:hAnsi="宋体" w:eastAsia="宋体" w:cs="宋体"/>
          <w:b/>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Fonts w:hint="eastAsia" w:ascii="宋体" w:hAnsi="宋体" w:eastAsia="宋体" w:cs="宋体"/>
          <w:b/>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Fonts w:hint="eastAsia" w:ascii="宋体" w:hAnsi="宋体" w:eastAsia="宋体" w:cs="宋体"/>
          <w:b/>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Fonts w:hint="eastAsia" w:ascii="宋体" w:hAnsi="宋体" w:eastAsia="宋体" w:cs="宋体"/>
          <w:b/>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Fonts w:hint="eastAsia" w:ascii="宋体" w:hAnsi="宋体" w:eastAsia="宋体" w:cs="宋体"/>
          <w:b/>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9"/>
        <w:rPr>
          <w:rFonts w:hint="eastAsia" w:ascii="宋体" w:hAnsi="宋体" w:eastAsia="宋体" w:cs="宋体"/>
          <w:b/>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600" w:firstLineChars="200"/>
        <w:jc w:val="both"/>
        <w:textAlignment w:val="auto"/>
        <w:outlineLvl w:val="9"/>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 xml:space="preserve">         成本代码：4.1.2</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600" w:firstLineChars="200"/>
        <w:jc w:val="both"/>
        <w:textAlignment w:val="auto"/>
        <w:outlineLvl w:val="9"/>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 xml:space="preserve">         合同编号：KYYH.62-JP-097</w:t>
      </w:r>
    </w:p>
    <w:p>
      <w:pPr>
        <w:pStyle w:val="2"/>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p>
    <w:p>
      <w:pPr>
        <w:pStyle w:val="3"/>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p>
    <w:p>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p>
    <w:p>
      <w:pPr>
        <w:pStyle w:val="5"/>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p>
    <w:p>
      <w:pPr>
        <w:pStyle w:val="3"/>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firstLine="2100" w:firstLineChars="700"/>
        <w:jc w:val="both"/>
        <w:textAlignment w:val="auto"/>
        <w:outlineLvl w:val="9"/>
        <w:rPr>
          <w:rFonts w:hint="eastAsia" w:ascii="宋体" w:hAnsi="宋体" w:eastAsia="宋体" w:cs="宋体"/>
          <w:color w:val="000000" w:themeColor="text1"/>
          <w:sz w:val="30"/>
          <w:szCs w:val="30"/>
          <w:highlight w:val="none"/>
          <w:lang w:val="en-US" w:eastAsia="zh-CN"/>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甲方</w:t>
      </w:r>
      <w:r>
        <w:rPr>
          <w:rFonts w:hint="eastAsia" w:ascii="宋体" w:hAnsi="宋体" w:cs="宋体"/>
          <w:color w:val="000000" w:themeColor="text1"/>
          <w:sz w:val="30"/>
          <w:szCs w:val="30"/>
          <w:highlight w:val="none"/>
          <w:lang w:val="en-US" w:eastAsia="zh-CN"/>
          <w14:textFill>
            <w14:solidFill>
              <w14:schemeClr w14:val="tx1"/>
            </w14:solidFill>
          </w14:textFill>
        </w:rPr>
        <w:t>：</w:t>
      </w:r>
      <w:r>
        <w:rPr>
          <w:rFonts w:hint="eastAsia" w:ascii="宋体" w:hAnsi="宋体" w:cs="宋体"/>
          <w:color w:val="000000" w:themeColor="text1"/>
          <w:sz w:val="30"/>
          <w:szCs w:val="30"/>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30"/>
          <w:szCs w:val="30"/>
          <w:highlight w:val="none"/>
          <w:u w:val="single"/>
          <w14:textFill>
            <w14:solidFill>
              <w14:schemeClr w14:val="tx1"/>
            </w14:solidFill>
          </w14:textFill>
        </w:rPr>
        <w:t>洛阳浩德鑫置地有限公司</w:t>
      </w:r>
      <w:r>
        <w:rPr>
          <w:rFonts w:hint="eastAsia" w:ascii="宋体" w:hAnsi="宋体" w:cs="宋体"/>
          <w:color w:val="000000" w:themeColor="text1"/>
          <w:sz w:val="30"/>
          <w:szCs w:val="30"/>
          <w:highlight w:val="none"/>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firstLine="2100" w:firstLineChars="700"/>
        <w:jc w:val="both"/>
        <w:textAlignment w:val="auto"/>
        <w:outlineLvl w:val="9"/>
        <w:rPr>
          <w:rFonts w:hint="eastAsia" w:ascii="宋体" w:hAnsi="宋体" w:eastAsia="宋体" w:cs="宋体"/>
          <w:color w:val="000000" w:themeColor="text1"/>
          <w:szCs w:val="24"/>
          <w:highlight w:val="none"/>
          <w:u w:val="singl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乙方</w:t>
      </w:r>
      <w:r>
        <w:rPr>
          <w:rFonts w:hint="eastAsia" w:ascii="宋体" w:hAnsi="宋体" w:cs="宋体"/>
          <w:color w:val="000000" w:themeColor="text1"/>
          <w:sz w:val="30"/>
          <w:szCs w:val="30"/>
          <w:highlight w:val="none"/>
          <w:lang w:eastAsia="zh-CN"/>
          <w14:textFill>
            <w14:solidFill>
              <w14:schemeClr w14:val="tx1"/>
            </w14:solidFill>
          </w14:textFill>
        </w:rPr>
        <w:t>：</w:t>
      </w:r>
      <w:r>
        <w:rPr>
          <w:rFonts w:hint="eastAsia" w:ascii="宋体" w:hAnsi="宋体" w:cs="宋体"/>
          <w:color w:val="000000" w:themeColor="text1"/>
          <w:sz w:val="30"/>
          <w:szCs w:val="30"/>
          <w:highlight w:val="none"/>
          <w:u w:val="single"/>
          <w:lang w:eastAsia="zh-CN"/>
          <w14:textFill>
            <w14:solidFill>
              <w14:schemeClr w14:val="tx1"/>
            </w14:solidFill>
          </w14:textFill>
        </w:rPr>
        <w:t>河南龙键电力装备有限公司</w:t>
      </w:r>
    </w:p>
    <w:p>
      <w:pPr>
        <w:pStyle w:val="15"/>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firstLine="2100" w:firstLineChars="700"/>
        <w:jc w:val="both"/>
        <w:textAlignment w:val="auto"/>
        <w:outlineLvl w:val="9"/>
        <w:rPr>
          <w:rFonts w:hint="default" w:ascii="宋体" w:hAnsi="宋体" w:eastAsia="宋体" w:cs="宋体"/>
          <w:b w:val="0"/>
          <w:bCs/>
          <w:color w:val="000000" w:themeColor="text1"/>
          <w:sz w:val="30"/>
          <w:szCs w:val="30"/>
          <w:highlight w:val="none"/>
          <w:u w:val="single"/>
          <w:lang w:val="en-US" w:eastAsia="zh-CN"/>
          <w14:textFill>
            <w14:solidFill>
              <w14:schemeClr w14:val="tx1"/>
            </w14:solidFill>
          </w14:textFill>
        </w:rPr>
      </w:pPr>
      <w:r>
        <w:rPr>
          <w:rFonts w:hint="eastAsia" w:ascii="宋体" w:hAnsi="宋体" w:eastAsia="宋体" w:cs="宋体"/>
          <w:b w:val="0"/>
          <w:bCs/>
          <w:color w:val="000000" w:themeColor="text1"/>
          <w:sz w:val="30"/>
          <w:szCs w:val="30"/>
          <w:highlight w:val="none"/>
          <w14:textFill>
            <w14:solidFill>
              <w14:schemeClr w14:val="tx1"/>
            </w14:solidFill>
          </w14:textFill>
        </w:rPr>
        <w:t>签订时间：</w:t>
      </w:r>
      <w:r>
        <w:rPr>
          <w:rFonts w:hint="eastAsia" w:hAnsi="宋体" w:cs="宋体"/>
          <w:b w:val="0"/>
          <w:bCs/>
          <w:color w:val="000000" w:themeColor="text1"/>
          <w:sz w:val="30"/>
          <w:szCs w:val="30"/>
          <w:highlight w:val="none"/>
          <w:u w:val="single"/>
          <w:lang w:val="en-US" w:eastAsia="zh-CN"/>
          <w14:textFill>
            <w14:solidFill>
              <w14:schemeClr w14:val="tx1"/>
            </w14:solidFill>
          </w14:textFill>
        </w:rPr>
        <w:t>2021年08月  日</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ascii="宋体" w:hAnsi="宋体" w:eastAsia="宋体" w:cs="宋体"/>
          <w:b/>
          <w:bCs/>
          <w:color w:val="000000" w:themeColor="text1"/>
          <w:sz w:val="24"/>
          <w:szCs w:val="24"/>
          <w:highlight w:val="none"/>
          <w:lang w:eastAsia="zh-CN"/>
          <w14:textFill>
            <w14:solidFill>
              <w14:schemeClr w14:val="tx1"/>
            </w14:solidFill>
          </w14:textFill>
        </w:rPr>
      </w:pPr>
    </w:p>
    <w:p>
      <w:pPr>
        <w:pStyle w:val="2"/>
        <w:rPr>
          <w:rFonts w:hint="eastAsia" w:ascii="宋体" w:hAnsi="宋体" w:eastAsia="宋体" w:cs="宋体"/>
          <w:b/>
          <w:bCs/>
          <w:color w:val="000000" w:themeColor="text1"/>
          <w:sz w:val="24"/>
          <w:szCs w:val="24"/>
          <w:highlight w:val="none"/>
          <w:lang w:eastAsia="zh-CN"/>
          <w14:textFill>
            <w14:solidFill>
              <w14:schemeClr w14:val="tx1"/>
            </w14:solidFill>
          </w14:textFill>
        </w:rPr>
      </w:pPr>
    </w:p>
    <w:p>
      <w:pPr>
        <w:pStyle w:val="3"/>
        <w:rPr>
          <w:rFonts w:hint="eastAsia"/>
          <w:color w:val="000000" w:themeColor="text1"/>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ascii="宋体" w:hAnsi="宋体" w:eastAsia="宋体" w:cs="宋体"/>
          <w:b/>
          <w:bCs/>
          <w:color w:val="000000" w:themeColor="text1"/>
          <w:sz w:val="24"/>
          <w:szCs w:val="24"/>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center"/>
        <w:textAlignment w:val="auto"/>
        <w:outlineLvl w:val="9"/>
        <w:rPr>
          <w:rFonts w:hint="eastAsia" w:ascii="宋体" w:hAnsi="宋体" w:eastAsia="宋体" w:cs="宋体"/>
          <w:b/>
          <w:bCs/>
          <w:color w:val="000000" w:themeColor="text1"/>
          <w:sz w:val="32"/>
          <w:szCs w:val="32"/>
          <w:highlight w:val="none"/>
          <w:lang w:eastAsia="zh-CN"/>
          <w14:textFill>
            <w14:solidFill>
              <w14:schemeClr w14:val="tx1"/>
            </w14:solidFill>
          </w14:textFill>
        </w:rPr>
        <w:sectPr>
          <w:headerReference r:id="rId3" w:type="default"/>
          <w:pgSz w:w="11906" w:h="16838"/>
          <w:pgMar w:top="1304" w:right="1304" w:bottom="1304" w:left="1304" w:header="851" w:footer="850"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center"/>
        <w:textAlignment w:val="auto"/>
        <w:outlineLvl w:val="9"/>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b/>
          <w:bCs/>
          <w:color w:val="000000" w:themeColor="text1"/>
          <w:sz w:val="32"/>
          <w:szCs w:val="32"/>
          <w:highlight w:val="none"/>
          <w:lang w:eastAsia="zh-CN"/>
          <w14:textFill>
            <w14:solidFill>
              <w14:schemeClr w14:val="tx1"/>
            </w14:solidFill>
          </w14:textFill>
        </w:rPr>
        <w:t>开元壹号</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62#地块一期供配电工程施工合同</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ascii="宋体" w:hAnsi="宋体" w:eastAsia="宋体" w:cs="宋体"/>
          <w:b/>
          <w:bCs/>
          <w:color w:val="000000" w:themeColor="text1"/>
          <w:szCs w:val="24"/>
          <w:highlight w:val="none"/>
          <w:lang w:val="en-US" w:eastAsia="zh-CN"/>
          <w14:textFill>
            <w14:solidFill>
              <w14:schemeClr w14:val="tx1"/>
            </w14:solidFill>
          </w14:textFill>
        </w:rPr>
      </w:pPr>
      <w:r>
        <w:rPr>
          <w:rFonts w:hint="eastAsia" w:ascii="宋体" w:hAnsi="宋体" w:eastAsia="宋体" w:cs="宋体"/>
          <w:b/>
          <w:bCs/>
          <w:color w:val="000000" w:themeColor="text1"/>
          <w:szCs w:val="24"/>
          <w:highlight w:val="none"/>
          <w14:textFill>
            <w14:solidFill>
              <w14:schemeClr w14:val="tx1"/>
            </w14:solidFill>
          </w14:textFill>
        </w:rPr>
        <w:t>甲方：</w:t>
      </w:r>
      <w:r>
        <w:rPr>
          <w:rFonts w:hint="eastAsia" w:ascii="宋体" w:hAnsi="宋体" w:cs="宋体"/>
          <w:b/>
          <w:bCs/>
          <w:color w:val="000000" w:themeColor="text1"/>
          <w:szCs w:val="24"/>
          <w:highlight w:val="none"/>
          <w:u w:val="single"/>
          <w:lang w:val="en-US" w:eastAsia="zh-CN"/>
          <w14:textFill>
            <w14:solidFill>
              <w14:schemeClr w14:val="tx1"/>
            </w14:solidFill>
          </w14:textFill>
        </w:rPr>
        <w:t xml:space="preserve"> </w:t>
      </w:r>
      <w:r>
        <w:rPr>
          <w:rFonts w:hint="eastAsia" w:ascii="宋体" w:hAnsi="宋体" w:eastAsia="宋体" w:cs="宋体"/>
          <w:b/>
          <w:bCs/>
          <w:color w:val="000000" w:themeColor="text1"/>
          <w:szCs w:val="24"/>
          <w:highlight w:val="none"/>
          <w:u w:val="single"/>
          <w14:textFill>
            <w14:solidFill>
              <w14:schemeClr w14:val="tx1"/>
            </w14:solidFill>
          </w14:textFill>
        </w:rPr>
        <w:t>洛阳浩德鑫置地有限公司</w:t>
      </w:r>
      <w:r>
        <w:rPr>
          <w:rFonts w:hint="eastAsia" w:ascii="宋体" w:hAnsi="宋体" w:cs="宋体"/>
          <w:b/>
          <w:bCs/>
          <w:color w:val="000000" w:themeColor="text1"/>
          <w:szCs w:val="24"/>
          <w:highlight w:val="none"/>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ascii="宋体" w:hAnsi="宋体" w:eastAsia="宋体" w:cs="宋体"/>
          <w:b/>
          <w:bCs/>
          <w:color w:val="000000" w:themeColor="text1"/>
          <w:szCs w:val="24"/>
          <w:highlight w:val="none"/>
          <w:u w:val="single"/>
          <w14:textFill>
            <w14:solidFill>
              <w14:schemeClr w14:val="tx1"/>
            </w14:solidFill>
          </w14:textFill>
        </w:rPr>
      </w:pPr>
      <w:r>
        <w:rPr>
          <w:rFonts w:hint="eastAsia" w:ascii="宋体" w:hAnsi="宋体" w:eastAsia="宋体" w:cs="宋体"/>
          <w:b/>
          <w:bCs/>
          <w:color w:val="000000" w:themeColor="text1"/>
          <w:szCs w:val="24"/>
          <w:highlight w:val="none"/>
          <w14:textFill>
            <w14:solidFill>
              <w14:schemeClr w14:val="tx1"/>
            </w14:solidFill>
          </w14:textFill>
        </w:rPr>
        <w:t>乙方：</w:t>
      </w:r>
      <w:r>
        <w:rPr>
          <w:rFonts w:hint="eastAsia" w:ascii="宋体" w:hAnsi="宋体" w:eastAsia="宋体" w:cs="宋体"/>
          <w:b/>
          <w:bCs/>
          <w:color w:val="000000" w:themeColor="text1"/>
          <w:szCs w:val="24"/>
          <w:highlight w:val="none"/>
          <w:u w:val="single"/>
          <w14:textFill>
            <w14:solidFill>
              <w14:schemeClr w14:val="tx1"/>
            </w14:solidFill>
          </w14:textFill>
        </w:rPr>
        <w:t>河南龙键电力装备有限公司</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bidi="ar"/>
          <w14:textFill>
            <w14:solidFill>
              <w14:schemeClr w14:val="tx1"/>
            </w14:solidFill>
          </w14:textFill>
        </w:rPr>
        <w:t>依照《中华人民共和国</w:t>
      </w:r>
      <w:r>
        <w:rPr>
          <w:rFonts w:hint="eastAsia" w:ascii="宋体" w:hAnsi="宋体" w:eastAsia="宋体" w:cs="宋体"/>
          <w:color w:val="000000" w:themeColor="text1"/>
          <w:szCs w:val="24"/>
          <w:highlight w:val="none"/>
          <w:lang w:eastAsia="zh-CN" w:bidi="ar"/>
          <w14:textFill>
            <w14:solidFill>
              <w14:schemeClr w14:val="tx1"/>
            </w14:solidFill>
          </w14:textFill>
        </w:rPr>
        <w:t>民法典</w:t>
      </w:r>
      <w:r>
        <w:rPr>
          <w:rFonts w:hint="eastAsia" w:ascii="宋体" w:hAnsi="宋体" w:eastAsia="宋体" w:cs="宋体"/>
          <w:color w:val="000000" w:themeColor="text1"/>
          <w:szCs w:val="24"/>
          <w:highlight w:val="none"/>
          <w:lang w:bidi="ar"/>
          <w14:textFill>
            <w14:solidFill>
              <w14:schemeClr w14:val="tx1"/>
            </w14:solidFill>
          </w14:textFill>
        </w:rPr>
        <w:t>》、《中华人民共和国建筑法》及其他有关法律、行政法规，遵循平等、自愿、公平和诚实信用的原则，双方就本供配电工程施工事项协商一致，订立本合同。</w:t>
      </w:r>
    </w:p>
    <w:p>
      <w:pPr>
        <w:keepNext w:val="0"/>
        <w:keepLines w:val="0"/>
        <w:pageBreakBefore w:val="0"/>
        <w:widowControl w:val="0"/>
        <w:tabs>
          <w:tab w:val="left" w:pos="0"/>
        </w:tabs>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ascii="宋体" w:hAnsi="宋体" w:eastAsia="宋体" w:cs="宋体"/>
          <w:b/>
          <w:color w:val="000000" w:themeColor="text1"/>
          <w:szCs w:val="24"/>
          <w:highlight w:val="none"/>
          <w14:textFill>
            <w14:solidFill>
              <w14:schemeClr w14:val="tx1"/>
            </w14:solidFill>
          </w14:textFill>
        </w:rPr>
      </w:pPr>
      <w:r>
        <w:rPr>
          <w:rFonts w:hint="eastAsia" w:ascii="宋体" w:hAnsi="宋体" w:eastAsia="宋体" w:cs="宋体"/>
          <w:b/>
          <w:color w:val="000000" w:themeColor="text1"/>
          <w:szCs w:val="24"/>
          <w:highlight w:val="none"/>
          <w:lang w:bidi="ar"/>
          <w14:textFill>
            <w14:solidFill>
              <w14:schemeClr w14:val="tx1"/>
            </w14:solidFill>
          </w14:textFill>
        </w:rPr>
        <w:t>一、工程概况</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lang w:eastAsia="zh-CN"/>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1.1 </w:t>
      </w:r>
      <w:r>
        <w:rPr>
          <w:rFonts w:hint="eastAsia" w:ascii="宋体" w:hAnsi="宋体" w:eastAsia="宋体" w:cs="宋体"/>
          <w:color w:val="000000" w:themeColor="text1"/>
          <w:szCs w:val="24"/>
          <w:highlight w:val="none"/>
          <w:lang w:bidi="ar"/>
          <w14:textFill>
            <w14:solidFill>
              <w14:schemeClr w14:val="tx1"/>
            </w14:solidFill>
          </w14:textFill>
        </w:rPr>
        <w:t>工程名称：</w:t>
      </w:r>
      <w:r>
        <w:rPr>
          <w:rFonts w:hint="eastAsia" w:ascii="宋体" w:hAnsi="宋体" w:eastAsia="宋体" w:cs="宋体"/>
          <w:bCs/>
          <w:color w:val="000000" w:themeColor="text1"/>
          <w:kern w:val="28"/>
          <w:szCs w:val="24"/>
          <w:highlight w:val="none"/>
          <w14:textFill>
            <w14:solidFill>
              <w14:schemeClr w14:val="tx1"/>
            </w14:solidFill>
          </w14:textFill>
        </w:rPr>
        <w:t>开元壹号6</w:t>
      </w:r>
      <w:r>
        <w:rPr>
          <w:rFonts w:hint="eastAsia" w:ascii="宋体" w:hAnsi="宋体" w:eastAsia="宋体" w:cs="宋体"/>
          <w:bCs/>
          <w:color w:val="000000" w:themeColor="text1"/>
          <w:kern w:val="28"/>
          <w:szCs w:val="24"/>
          <w:highlight w:val="none"/>
          <w:lang w:val="en-US" w:eastAsia="zh-CN"/>
          <w14:textFill>
            <w14:solidFill>
              <w14:schemeClr w14:val="tx1"/>
            </w14:solidFill>
          </w14:textFill>
        </w:rPr>
        <w:t>2</w:t>
      </w:r>
      <w:r>
        <w:rPr>
          <w:rFonts w:hint="eastAsia" w:ascii="宋体" w:hAnsi="宋体" w:eastAsia="宋体" w:cs="宋体"/>
          <w:bCs/>
          <w:color w:val="000000" w:themeColor="text1"/>
          <w:kern w:val="28"/>
          <w:szCs w:val="24"/>
          <w:highlight w:val="none"/>
          <w14:textFill>
            <w14:solidFill>
              <w14:schemeClr w14:val="tx1"/>
            </w14:solidFill>
          </w14:textFill>
        </w:rPr>
        <w:t>地块</w:t>
      </w:r>
      <w:r>
        <w:rPr>
          <w:rFonts w:hint="eastAsia" w:ascii="宋体" w:hAnsi="宋体" w:eastAsia="宋体" w:cs="宋体"/>
          <w:bCs/>
          <w:color w:val="000000" w:themeColor="text1"/>
          <w:kern w:val="28"/>
          <w:szCs w:val="24"/>
          <w:highlight w:val="none"/>
          <w:lang w:eastAsia="zh-CN"/>
          <w14:textFill>
            <w14:solidFill>
              <w14:schemeClr w14:val="tx1"/>
            </w14:solidFill>
          </w14:textFill>
        </w:rPr>
        <w:t>一期</w:t>
      </w:r>
      <w:r>
        <w:rPr>
          <w:rFonts w:hint="eastAsia" w:ascii="宋体" w:hAnsi="宋体" w:eastAsia="宋体" w:cs="宋体"/>
          <w:bCs/>
          <w:color w:val="000000" w:themeColor="text1"/>
          <w:kern w:val="28"/>
          <w:szCs w:val="24"/>
          <w:highlight w:val="none"/>
          <w14:textFill>
            <w14:solidFill>
              <w14:schemeClr w14:val="tx1"/>
            </w14:solidFill>
          </w14:textFill>
        </w:rPr>
        <w:t>供配电工程</w:t>
      </w:r>
      <w:r>
        <w:rPr>
          <w:rFonts w:hint="eastAsia" w:ascii="宋体" w:hAnsi="宋体" w:cs="宋体"/>
          <w:bCs/>
          <w:color w:val="000000" w:themeColor="text1"/>
          <w:kern w:val="28"/>
          <w:szCs w:val="24"/>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1.2 </w:t>
      </w:r>
      <w:r>
        <w:rPr>
          <w:rFonts w:hint="eastAsia" w:ascii="宋体" w:hAnsi="宋体" w:eastAsia="宋体" w:cs="宋体"/>
          <w:color w:val="000000" w:themeColor="text1"/>
          <w:szCs w:val="24"/>
          <w:highlight w:val="none"/>
          <w:lang w:bidi="ar"/>
          <w14:textFill>
            <w14:solidFill>
              <w14:schemeClr w14:val="tx1"/>
            </w14:solidFill>
          </w14:textFill>
        </w:rPr>
        <w:t>工程地点：洛阳市</w:t>
      </w:r>
      <w:r>
        <w:rPr>
          <w:rFonts w:hint="eastAsia" w:ascii="宋体" w:hAnsi="宋体" w:eastAsia="宋体" w:cs="宋体"/>
          <w:color w:val="000000" w:themeColor="text1"/>
          <w:szCs w:val="24"/>
          <w:highlight w:val="none"/>
          <w:lang w:eastAsia="zh-CN" w:bidi="ar"/>
          <w14:textFill>
            <w14:solidFill>
              <w14:schemeClr w14:val="tx1"/>
            </w14:solidFill>
          </w14:textFill>
        </w:rPr>
        <w:t>洛龙区钱江路与蔡伦路交叉口东北角</w:t>
      </w:r>
      <w:r>
        <w:rPr>
          <w:rFonts w:hint="eastAsia" w:ascii="宋体" w:hAnsi="宋体" w:eastAsia="宋体" w:cs="宋体"/>
          <w:color w:val="000000" w:themeColor="text1"/>
          <w:szCs w:val="24"/>
          <w:highlight w:val="none"/>
          <w:lang w:bidi="ar"/>
          <w14:textFill>
            <w14:solidFill>
              <w14:schemeClr w14:val="tx1"/>
            </w14:solidFill>
          </w14:textFill>
        </w:rPr>
        <w:t>。</w:t>
      </w:r>
    </w:p>
    <w:p>
      <w:pPr>
        <w:outlineLvl w:val="9"/>
        <w:rPr>
          <w:rFonts w:hint="eastAsia"/>
          <w:color w:val="000000" w:themeColor="text1"/>
          <w14:textFill>
            <w14:solidFill>
              <w14:schemeClr w14:val="tx1"/>
            </w14:solidFill>
          </w14:textFill>
        </w:rPr>
      </w:pPr>
      <w:r>
        <w:rPr>
          <w:rFonts w:hint="eastAsia" w:ascii="宋体" w:hAnsi="宋体" w:eastAsia="宋体" w:cs="宋体"/>
          <w:b/>
          <w:color w:val="000000" w:themeColor="text1"/>
          <w:szCs w:val="24"/>
          <w:highlight w:val="none"/>
          <w:lang w:bidi="ar"/>
          <w14:textFill>
            <w14:solidFill>
              <w14:schemeClr w14:val="tx1"/>
            </w14:solidFill>
          </w14:textFill>
        </w:rPr>
        <w:t>二、工程承包范围</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kern w:val="1"/>
          <w:szCs w:val="24"/>
          <w:highlight w:val="none"/>
          <w14:textFill>
            <w14:solidFill>
              <w14:schemeClr w14:val="tx1"/>
            </w14:solidFill>
          </w14:textFill>
        </w:rPr>
      </w:pPr>
      <w:r>
        <w:rPr>
          <w:rFonts w:hint="eastAsia" w:ascii="宋体" w:hAnsi="宋体" w:cs="宋体"/>
          <w:color w:val="000000" w:themeColor="text1"/>
          <w:kern w:val="1"/>
          <w:szCs w:val="24"/>
          <w:highlight w:val="none"/>
          <w:lang w:val="en-US" w:eastAsia="zh-CN"/>
          <w14:textFill>
            <w14:solidFill>
              <w14:schemeClr w14:val="tx1"/>
            </w14:solidFill>
          </w14:textFill>
        </w:rPr>
        <w:t xml:space="preserve">2.1 </w:t>
      </w:r>
      <w:r>
        <w:rPr>
          <w:rFonts w:hint="eastAsia" w:ascii="宋体" w:hAnsi="宋体" w:eastAsia="宋体" w:cs="宋体"/>
          <w:color w:val="000000" w:themeColor="text1"/>
          <w:kern w:val="1"/>
          <w:szCs w:val="24"/>
          <w:highlight w:val="none"/>
          <w14:textFill>
            <w14:solidFill>
              <w14:schemeClr w14:val="tx1"/>
            </w14:solidFill>
          </w14:textFill>
        </w:rPr>
        <w:t>由河南大地电力勘察设计有限公司设计的开元壹号</w:t>
      </w:r>
      <w:r>
        <w:rPr>
          <w:rFonts w:hint="eastAsia" w:ascii="宋体" w:hAnsi="宋体" w:eastAsia="宋体" w:cs="宋体"/>
          <w:color w:val="000000" w:themeColor="text1"/>
          <w:kern w:val="1"/>
          <w:szCs w:val="24"/>
          <w:highlight w:val="none"/>
          <w:lang w:val="en-US" w:eastAsia="zh-CN"/>
          <w14:textFill>
            <w14:solidFill>
              <w14:schemeClr w14:val="tx1"/>
            </w14:solidFill>
          </w14:textFill>
        </w:rPr>
        <w:t>62</w:t>
      </w:r>
      <w:r>
        <w:rPr>
          <w:rFonts w:hint="eastAsia" w:ascii="宋体" w:hAnsi="宋体" w:eastAsia="宋体" w:cs="宋体"/>
          <w:color w:val="000000" w:themeColor="text1"/>
          <w:kern w:val="1"/>
          <w:szCs w:val="24"/>
          <w:highlight w:val="none"/>
          <w14:textFill>
            <w14:solidFill>
              <w14:schemeClr w14:val="tx1"/>
            </w14:solidFill>
          </w14:textFill>
        </w:rPr>
        <w:t>#地块</w:t>
      </w:r>
      <w:r>
        <w:rPr>
          <w:rFonts w:hint="eastAsia" w:ascii="宋体" w:hAnsi="宋体" w:eastAsia="宋体" w:cs="宋体"/>
          <w:color w:val="000000" w:themeColor="text1"/>
          <w:kern w:val="1"/>
          <w:szCs w:val="24"/>
          <w:highlight w:val="none"/>
          <w:lang w:val="en-US" w:eastAsia="zh-CN"/>
          <w14:textFill>
            <w14:solidFill>
              <w14:schemeClr w14:val="tx1"/>
            </w14:solidFill>
          </w14:textFill>
        </w:rPr>
        <w:t>一</w:t>
      </w:r>
      <w:r>
        <w:rPr>
          <w:rFonts w:hint="eastAsia" w:ascii="宋体" w:hAnsi="宋体" w:eastAsia="宋体" w:cs="宋体"/>
          <w:color w:val="000000" w:themeColor="text1"/>
          <w:kern w:val="1"/>
          <w:szCs w:val="24"/>
          <w:highlight w:val="none"/>
          <w14:textFill>
            <w14:solidFill>
              <w14:schemeClr w14:val="tx1"/>
            </w14:solidFill>
          </w14:textFill>
        </w:rPr>
        <w:t>期供配电工程施工图纸范围内的相关供配电工程。</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cs="宋体"/>
          <w:color w:val="000000" w:themeColor="text1"/>
          <w:szCs w:val="24"/>
          <w:highlight w:val="none"/>
          <w:lang w:val="en-US" w:eastAsia="zh-CN"/>
          <w14:textFill>
            <w14:solidFill>
              <w14:schemeClr w14:val="tx1"/>
            </w14:solidFill>
          </w14:textFill>
        </w:rPr>
        <w:t xml:space="preserve">2.2 </w:t>
      </w:r>
      <w:r>
        <w:rPr>
          <w:rFonts w:hint="eastAsia" w:ascii="宋体" w:hAnsi="宋体" w:eastAsia="宋体" w:cs="宋体"/>
          <w:color w:val="000000" w:themeColor="text1"/>
          <w:szCs w:val="24"/>
          <w:highlight w:val="none"/>
          <w:lang w:eastAsia="zh-CN"/>
          <w14:textFill>
            <w14:solidFill>
              <w14:schemeClr w14:val="tx1"/>
            </w14:solidFill>
          </w14:textFill>
        </w:rPr>
        <w:t>图纸范围内的公寓楼双电源配电所、公寓楼单电源配电所、用户专用配、商业专变、</w:t>
      </w:r>
      <w:r>
        <w:rPr>
          <w:rFonts w:hint="eastAsia" w:ascii="宋体" w:hAnsi="宋体" w:eastAsia="宋体" w:cs="宋体"/>
          <w:color w:val="000000" w:themeColor="text1"/>
          <w:szCs w:val="24"/>
          <w:highlight w:val="none"/>
          <w:lang w:val="en-US" w:eastAsia="zh-CN"/>
          <w14:textFill>
            <w14:solidFill>
              <w14:schemeClr w14:val="tx1"/>
            </w14:solidFill>
          </w14:textFill>
        </w:rPr>
        <w:t>1、2#住宅配及充电桩专变土建及设备采购安装、高压桥架的采购安装、10KV高压电缆的采购及安装敷设，51/52/53/56/57号楼户表低压出线电源电缆，低压桥架、封闭母线、电表箱及电表的采购、敷设、安装，所有配电所的送电及住宅配的移交,不含55号楼户表及出线电缆、桥架、封闭母线的安装及采购。</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kern w:val="1"/>
          <w:szCs w:val="24"/>
          <w:highlight w:val="none"/>
          <w14:textFill>
            <w14:solidFill>
              <w14:schemeClr w14:val="tx1"/>
            </w14:solidFill>
          </w14:textFill>
        </w:rPr>
      </w:pPr>
      <w:r>
        <w:rPr>
          <w:rFonts w:hint="eastAsia" w:ascii="宋体" w:hAnsi="宋体" w:eastAsia="宋体" w:cs="宋体"/>
          <w:color w:val="000000" w:themeColor="text1"/>
          <w:kern w:val="1"/>
          <w:szCs w:val="24"/>
          <w:highlight w:val="none"/>
          <w:lang w:val="en-US" w:eastAsia="zh-CN"/>
          <w14:textFill>
            <w14:solidFill>
              <w14:schemeClr w14:val="tx1"/>
            </w14:solidFill>
          </w14:textFill>
        </w:rPr>
        <w:t>2</w:t>
      </w:r>
      <w:r>
        <w:rPr>
          <w:rFonts w:hint="eastAsia" w:ascii="宋体" w:hAnsi="宋体" w:cs="宋体"/>
          <w:color w:val="000000" w:themeColor="text1"/>
          <w:kern w:val="1"/>
          <w:szCs w:val="24"/>
          <w:highlight w:val="none"/>
          <w:lang w:val="en-US" w:eastAsia="zh-CN"/>
          <w14:textFill>
            <w14:solidFill>
              <w14:schemeClr w14:val="tx1"/>
            </w14:solidFill>
          </w14:textFill>
        </w:rPr>
        <w:t xml:space="preserve">.3 </w:t>
      </w:r>
      <w:r>
        <w:rPr>
          <w:rFonts w:hint="eastAsia" w:ascii="宋体" w:hAnsi="宋体" w:eastAsia="宋体" w:cs="宋体"/>
          <w:color w:val="000000" w:themeColor="text1"/>
          <w:kern w:val="1"/>
          <w:szCs w:val="24"/>
          <w:highlight w:val="none"/>
          <w14:textFill>
            <w14:solidFill>
              <w14:schemeClr w14:val="tx1"/>
            </w14:solidFill>
          </w14:textFill>
        </w:rPr>
        <w:t>包含全部送电手续、送电、监理费等所涉及全部费用；供配电工程的设备材料购置(含配电室内配套设施）及其施工安装、调试、通过竣工验收直至交付使用、人员技术培训、保修、售后服务。</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28" w:firstLineChars="200"/>
        <w:jc w:val="both"/>
        <w:textAlignment w:val="auto"/>
        <w:outlineLvl w:val="9"/>
        <w:rPr>
          <w:rFonts w:hint="eastAsia" w:ascii="宋体" w:hAnsi="宋体" w:eastAsia="宋体" w:cs="宋体"/>
          <w:color w:val="000000" w:themeColor="text1"/>
          <w:kern w:val="1"/>
          <w:szCs w:val="24"/>
          <w:highlight w:val="none"/>
          <w14:textFill>
            <w14:solidFill>
              <w14:schemeClr w14:val="tx1"/>
            </w14:solidFill>
          </w14:textFill>
        </w:rPr>
      </w:pPr>
      <w:r>
        <w:rPr>
          <w:rFonts w:hint="eastAsia" w:ascii="宋体" w:hAnsi="宋体" w:cs="宋体"/>
          <w:color w:val="000000" w:themeColor="text1"/>
          <w:spacing w:val="12"/>
          <w:kern w:val="1"/>
          <w:szCs w:val="24"/>
          <w:highlight w:val="none"/>
          <w:shd w:val="clear" w:color="auto" w:fill="FFFFFF"/>
          <w:lang w:val="en-US" w:eastAsia="zh-CN"/>
          <w14:textFill>
            <w14:solidFill>
              <w14:schemeClr w14:val="tx1"/>
            </w14:solidFill>
          </w14:textFill>
        </w:rPr>
        <w:t xml:space="preserve">2.4 </w:t>
      </w:r>
      <w:r>
        <w:rPr>
          <w:rFonts w:hint="eastAsia" w:ascii="宋体" w:hAnsi="宋体" w:eastAsia="宋体" w:cs="宋体"/>
          <w:color w:val="000000" w:themeColor="text1"/>
          <w:spacing w:val="12"/>
          <w:kern w:val="1"/>
          <w:szCs w:val="24"/>
          <w:highlight w:val="none"/>
          <w:shd w:val="clear" w:color="auto" w:fill="FFFFFF"/>
          <w14:textFill>
            <w14:solidFill>
              <w14:schemeClr w14:val="tx1"/>
            </w14:solidFill>
          </w14:textFill>
        </w:rPr>
        <w:t>承包各系统的一切安装工程的施工、调试、报验并通过政府主管部门验收。</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b/>
          <w:color w:val="000000" w:themeColor="text1"/>
          <w:szCs w:val="24"/>
          <w:highlight w:val="none"/>
          <w:lang w:bidi="ar"/>
          <w14:textFill>
            <w14:solidFill>
              <w14:schemeClr w14:val="tx1"/>
            </w14:solidFill>
          </w14:textFill>
        </w:rPr>
        <w:t>三、承包方式</w:t>
      </w:r>
      <w:r>
        <w:rPr>
          <w:rFonts w:hint="eastAsia" w:ascii="宋体" w:hAnsi="宋体" w:eastAsia="宋体" w:cs="宋体"/>
          <w:color w:val="000000" w:themeColor="text1"/>
          <w:szCs w:val="24"/>
          <w:highlight w:val="none"/>
          <w:lang w:bidi="ar"/>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cs="宋体"/>
          <w:b w:val="0"/>
          <w:color w:val="000000" w:themeColor="text1"/>
          <w:spacing w:val="0"/>
          <w:kern w:val="24"/>
          <w:position w:val="0"/>
          <w:sz w:val="24"/>
          <w:szCs w:val="24"/>
          <w:highlight w:val="none"/>
          <w:shd w:val="clear" w:color="auto" w:fill="FFFFFF"/>
          <w:vertAlign w:val="baseline"/>
          <w:lang w:val="en-US" w:eastAsia="zh-CN"/>
          <w14:textFill>
            <w14:solidFill>
              <w14:schemeClr w14:val="tx1"/>
            </w14:solidFill>
          </w14:textFill>
        </w:rPr>
        <w:t xml:space="preserve">3.1 </w:t>
      </w:r>
      <w:r>
        <w:rPr>
          <w:rFonts w:hint="eastAsia" w:ascii="宋体" w:hAnsi="宋体" w:eastAsia="宋体" w:cs="宋体"/>
          <w:b w:val="0"/>
          <w:color w:val="000000" w:themeColor="text1"/>
          <w:spacing w:val="0"/>
          <w:kern w:val="24"/>
          <w:position w:val="0"/>
          <w:sz w:val="24"/>
          <w:szCs w:val="24"/>
          <w:highlight w:val="none"/>
          <w:shd w:val="clear" w:color="auto" w:fill="FFFFFF"/>
          <w:vertAlign w:val="baseline"/>
          <w14:textFill>
            <w14:solidFill>
              <w14:schemeClr w14:val="tx1"/>
            </w14:solidFill>
          </w14:textFill>
        </w:rPr>
        <w:t>承包方式</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：固定总价包干。包</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人工</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、包料、包工期、包质量、包安全、包文明施工、包市场风险、包验收、包税金、包交工资料</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包</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通过验收等直至交付使用</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w:t>
      </w:r>
    </w:p>
    <w:p>
      <w:pPr>
        <w:pStyle w:val="2"/>
        <w:ind w:firstLine="480" w:firstLineChars="200"/>
        <w:rPr>
          <w:rFonts w:hint="eastAsia"/>
          <w:color w:val="000000" w:themeColor="text1"/>
          <w14:textFill>
            <w14:solidFill>
              <w14:schemeClr w14:val="tx1"/>
            </w14:solidFill>
          </w14:textFill>
        </w:rPr>
      </w:pPr>
      <w:r>
        <w:rPr>
          <w:rFonts w:hint="eastAsia" w:ascii="宋体" w:hAnsi="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 xml:space="preserve">3.2 </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乙方</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的报价中，均包括但不限于完成该工程项目的</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人工费、材料费、管理费</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、利润、税金、措施费</w:t>
      </w:r>
      <w:r>
        <w:rPr>
          <w:rFonts w:hint="eastAsia" w:ascii="宋体" w:hAnsi="宋体" w:eastAsia="宋体" w:cs="宋体"/>
          <w:b w:val="0"/>
          <w:color w:val="000000" w:themeColor="text1"/>
          <w:spacing w:val="0"/>
          <w:kern w:val="24"/>
          <w:position w:val="0"/>
          <w:sz w:val="24"/>
          <w:szCs w:val="24"/>
          <w:highlight w:val="none"/>
          <w:u w:val="none"/>
          <w:vertAlign w:val="baseline"/>
          <w:lang w:eastAsia="zh-CN"/>
          <w14:textFill>
            <w14:solidFill>
              <w14:schemeClr w14:val="tx1"/>
            </w14:solidFill>
          </w14:textFill>
        </w:rPr>
        <w:t>（包括</w:t>
      </w:r>
      <w:r>
        <w:rPr>
          <w:rFonts w:hint="eastAsia" w:ascii="宋体" w:hAnsi="宋体" w:eastAsia="宋体" w:cs="宋体"/>
          <w:b w:val="0"/>
          <w:i w:val="0"/>
          <w:iCs w:val="0"/>
          <w:caps w:val="0"/>
          <w:color w:val="000000" w:themeColor="text1"/>
          <w:spacing w:val="0"/>
          <w:kern w:val="24"/>
          <w:position w:val="0"/>
          <w:sz w:val="24"/>
          <w:szCs w:val="24"/>
          <w:highlight w:val="none"/>
          <w:u w:val="none"/>
          <w:shd w:val="clear" w:color="auto" w:fill="auto"/>
          <w:vertAlign w:val="baseline"/>
          <w14:textFill>
            <w14:solidFill>
              <w14:schemeClr w14:val="tx1"/>
            </w14:solidFill>
          </w14:textFill>
        </w:rPr>
        <w:t>环境保护费、文明施工费</w:t>
      </w:r>
      <w:r>
        <w:rPr>
          <w:rFonts w:hint="eastAsia" w:ascii="宋体" w:hAnsi="宋体" w:eastAsia="宋体" w:cs="宋体"/>
          <w:b w:val="0"/>
          <w:i w:val="0"/>
          <w:iCs w:val="0"/>
          <w:caps w:val="0"/>
          <w:color w:val="000000" w:themeColor="text1"/>
          <w:spacing w:val="0"/>
          <w:kern w:val="24"/>
          <w:position w:val="0"/>
          <w:sz w:val="24"/>
          <w:szCs w:val="24"/>
          <w:highlight w:val="none"/>
          <w:u w:val="none"/>
          <w:shd w:val="clear" w:color="auto" w:fill="auto"/>
          <w:vertAlign w:val="baseline"/>
          <w:lang w:eastAsia="zh-CN"/>
          <w14:textFill>
            <w14:solidFill>
              <w14:schemeClr w14:val="tx1"/>
            </w14:solidFill>
          </w14:textFill>
        </w:rPr>
        <w:t>、</w:t>
      </w:r>
      <w:r>
        <w:rPr>
          <w:rFonts w:hint="eastAsia" w:ascii="宋体" w:hAnsi="宋体" w:eastAsia="宋体" w:cs="宋体"/>
          <w:b w:val="0"/>
          <w:i w:val="0"/>
          <w:iCs w:val="0"/>
          <w:caps w:val="0"/>
          <w:color w:val="000000" w:themeColor="text1"/>
          <w:spacing w:val="0"/>
          <w:kern w:val="24"/>
          <w:position w:val="0"/>
          <w:sz w:val="24"/>
          <w:szCs w:val="24"/>
          <w:highlight w:val="none"/>
          <w:u w:val="none"/>
          <w:shd w:val="clear" w:color="auto" w:fill="auto"/>
          <w:vertAlign w:val="baseline"/>
          <w14:textFill>
            <w14:solidFill>
              <w14:schemeClr w14:val="tx1"/>
            </w14:solidFill>
          </w14:textFill>
        </w:rPr>
        <w:t>安全施工费</w:t>
      </w:r>
      <w:r>
        <w:rPr>
          <w:rFonts w:hint="eastAsia" w:ascii="宋体" w:hAnsi="宋体" w:eastAsia="宋体" w:cs="宋体"/>
          <w:b w:val="0"/>
          <w:i w:val="0"/>
          <w:iCs w:val="0"/>
          <w:caps w:val="0"/>
          <w:color w:val="000000" w:themeColor="text1"/>
          <w:spacing w:val="0"/>
          <w:kern w:val="24"/>
          <w:position w:val="0"/>
          <w:sz w:val="24"/>
          <w:szCs w:val="24"/>
          <w:highlight w:val="none"/>
          <w:u w:val="none"/>
          <w:shd w:val="clear" w:color="auto" w:fill="auto"/>
          <w:vertAlign w:val="baseline"/>
          <w:lang w:eastAsia="zh-CN"/>
          <w14:textFill>
            <w14:solidFill>
              <w14:schemeClr w14:val="tx1"/>
            </w14:solidFill>
          </w14:textFill>
        </w:rPr>
        <w:t>、</w:t>
      </w:r>
      <w:r>
        <w:rPr>
          <w:rFonts w:hint="eastAsia" w:ascii="宋体" w:hAnsi="宋体" w:eastAsia="宋体" w:cs="宋体"/>
          <w:b w:val="0"/>
          <w:i w:val="0"/>
          <w:iCs w:val="0"/>
          <w:caps w:val="0"/>
          <w:color w:val="000000" w:themeColor="text1"/>
          <w:spacing w:val="0"/>
          <w:kern w:val="24"/>
          <w:position w:val="0"/>
          <w:sz w:val="24"/>
          <w:szCs w:val="24"/>
          <w:highlight w:val="none"/>
          <w:u w:val="none"/>
          <w:shd w:val="clear" w:color="auto" w:fill="auto"/>
          <w:vertAlign w:val="baseline"/>
          <w14:textFill>
            <w14:solidFill>
              <w14:schemeClr w14:val="tx1"/>
            </w14:solidFill>
          </w14:textFill>
        </w:rPr>
        <w:t>临时设施费</w:t>
      </w:r>
      <w:r>
        <w:rPr>
          <w:rFonts w:hint="eastAsia" w:ascii="宋体" w:hAnsi="宋体" w:eastAsia="宋体" w:cs="宋体"/>
          <w:b w:val="0"/>
          <w:i w:val="0"/>
          <w:iCs w:val="0"/>
          <w:caps w:val="0"/>
          <w:color w:val="000000" w:themeColor="text1"/>
          <w:spacing w:val="0"/>
          <w:kern w:val="24"/>
          <w:position w:val="0"/>
          <w:sz w:val="24"/>
          <w:szCs w:val="24"/>
          <w:highlight w:val="none"/>
          <w:u w:val="none"/>
          <w:shd w:val="clear" w:color="auto" w:fill="auto"/>
          <w:vertAlign w:val="baseline"/>
          <w:lang w:eastAsia="zh-CN"/>
          <w14:textFill>
            <w14:solidFill>
              <w14:schemeClr w14:val="tx1"/>
            </w14:solidFill>
          </w14:textFill>
        </w:rPr>
        <w:t>、</w:t>
      </w:r>
      <w:r>
        <w:rPr>
          <w:rFonts w:hint="eastAsia" w:ascii="宋体" w:hAnsi="宋体" w:eastAsia="宋体" w:cs="宋体"/>
          <w:b w:val="0"/>
          <w:i w:val="0"/>
          <w:iCs w:val="0"/>
          <w:caps w:val="0"/>
          <w:color w:val="000000" w:themeColor="text1"/>
          <w:spacing w:val="0"/>
          <w:kern w:val="24"/>
          <w:position w:val="0"/>
          <w:sz w:val="24"/>
          <w:szCs w:val="24"/>
          <w:highlight w:val="none"/>
          <w:u w:val="none"/>
          <w:shd w:val="clear" w:color="auto" w:fill="auto"/>
          <w:vertAlign w:val="baseline"/>
          <w14:textFill>
            <w14:solidFill>
              <w14:schemeClr w14:val="tx1"/>
            </w14:solidFill>
          </w14:textFill>
        </w:rPr>
        <w:t>夜间施工费</w:t>
      </w:r>
      <w:r>
        <w:rPr>
          <w:rFonts w:hint="eastAsia" w:ascii="宋体" w:hAnsi="宋体" w:eastAsia="宋体" w:cs="宋体"/>
          <w:b w:val="0"/>
          <w:i w:val="0"/>
          <w:iCs w:val="0"/>
          <w:caps w:val="0"/>
          <w:color w:val="000000" w:themeColor="text1"/>
          <w:spacing w:val="0"/>
          <w:kern w:val="24"/>
          <w:position w:val="0"/>
          <w:sz w:val="24"/>
          <w:szCs w:val="24"/>
          <w:highlight w:val="none"/>
          <w:u w:val="none"/>
          <w:shd w:val="clear" w:color="auto" w:fill="auto"/>
          <w:vertAlign w:val="baseline"/>
          <w:lang w:eastAsia="zh-CN"/>
          <w14:textFill>
            <w14:solidFill>
              <w14:schemeClr w14:val="tx1"/>
            </w14:solidFill>
          </w14:textFill>
        </w:rPr>
        <w:t>、</w:t>
      </w:r>
      <w:r>
        <w:rPr>
          <w:rFonts w:hint="eastAsia" w:ascii="宋体" w:hAnsi="宋体" w:eastAsia="宋体" w:cs="宋体"/>
          <w:b w:val="0"/>
          <w:i w:val="0"/>
          <w:iCs w:val="0"/>
          <w:caps w:val="0"/>
          <w:color w:val="000000" w:themeColor="text1"/>
          <w:spacing w:val="0"/>
          <w:kern w:val="24"/>
          <w:position w:val="0"/>
          <w:sz w:val="24"/>
          <w:szCs w:val="24"/>
          <w:highlight w:val="none"/>
          <w:u w:val="none"/>
          <w:shd w:val="clear" w:color="auto" w:fill="auto"/>
          <w:vertAlign w:val="baseline"/>
          <w14:textFill>
            <w14:solidFill>
              <w14:schemeClr w14:val="tx1"/>
            </w14:solidFill>
          </w14:textFill>
        </w:rPr>
        <w:t>材料二次搬运费</w:t>
      </w:r>
      <w:r>
        <w:rPr>
          <w:rFonts w:hint="eastAsia" w:ascii="宋体" w:hAnsi="宋体" w:eastAsia="宋体" w:cs="宋体"/>
          <w:b w:val="0"/>
          <w:i w:val="0"/>
          <w:iCs w:val="0"/>
          <w:caps w:val="0"/>
          <w:color w:val="000000" w:themeColor="text1"/>
          <w:spacing w:val="0"/>
          <w:kern w:val="24"/>
          <w:position w:val="0"/>
          <w:sz w:val="24"/>
          <w:szCs w:val="24"/>
          <w:highlight w:val="none"/>
          <w:u w:val="none"/>
          <w:shd w:val="clear" w:color="auto" w:fill="auto"/>
          <w:vertAlign w:val="baseline"/>
          <w:lang w:eastAsia="zh-CN"/>
          <w14:textFill>
            <w14:solidFill>
              <w14:schemeClr w14:val="tx1"/>
            </w14:solidFill>
          </w14:textFill>
        </w:rPr>
        <w:t>等</w:t>
      </w:r>
      <w:r>
        <w:rPr>
          <w:rFonts w:hint="eastAsia" w:ascii="宋体" w:hAnsi="宋体" w:eastAsia="宋体" w:cs="宋体"/>
          <w:b w:val="0"/>
          <w:color w:val="000000" w:themeColor="text1"/>
          <w:spacing w:val="0"/>
          <w:kern w:val="24"/>
          <w:position w:val="0"/>
          <w:sz w:val="24"/>
          <w:szCs w:val="24"/>
          <w:highlight w:val="none"/>
          <w:u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规费（专项费用）、扬尘治理费、疫情增加费、</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验收、</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机械进出场费、风险费用</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等与之相关的所有费用。</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ascii="宋体" w:hAnsi="宋体" w:eastAsia="宋体" w:cs="宋体"/>
          <w:b/>
          <w:color w:val="000000" w:themeColor="text1"/>
          <w:szCs w:val="24"/>
          <w:highlight w:val="none"/>
          <w14:textFill>
            <w14:solidFill>
              <w14:schemeClr w14:val="tx1"/>
            </w14:solidFill>
          </w14:textFill>
        </w:rPr>
      </w:pPr>
      <w:r>
        <w:rPr>
          <w:rFonts w:hint="eastAsia" w:ascii="宋体" w:hAnsi="宋体" w:eastAsia="宋体" w:cs="宋体"/>
          <w:b/>
          <w:color w:val="000000" w:themeColor="text1"/>
          <w:szCs w:val="24"/>
          <w:highlight w:val="none"/>
          <w:lang w:bidi="ar"/>
          <w14:textFill>
            <w14:solidFill>
              <w14:schemeClr w14:val="tx1"/>
            </w14:solidFill>
          </w14:textFill>
        </w:rPr>
        <w:t>四、工期要求：</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28"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pacing w:val="12"/>
          <w:szCs w:val="24"/>
          <w:highlight w:val="none"/>
          <w:lang w:val="en-US" w:eastAsia="zh-CN"/>
          <w14:textFill>
            <w14:solidFill>
              <w14:schemeClr w14:val="tx1"/>
            </w14:solidFill>
          </w14:textFill>
        </w:rPr>
        <w:t xml:space="preserve">4.1 </w:t>
      </w:r>
      <w:r>
        <w:rPr>
          <w:rFonts w:hint="eastAsia" w:ascii="宋体" w:hAnsi="宋体" w:cs="宋体"/>
          <w:color w:val="000000" w:themeColor="text1"/>
          <w:spacing w:val="12"/>
          <w:szCs w:val="24"/>
          <w:highlight w:val="none"/>
          <w14:textFill>
            <w14:solidFill>
              <w14:schemeClr w14:val="tx1"/>
            </w14:solidFill>
          </w14:textFill>
        </w:rPr>
        <w:t>本工程工期</w:t>
      </w:r>
      <w:r>
        <w:rPr>
          <w:rFonts w:hint="eastAsia" w:ascii="宋体" w:hAnsi="宋体" w:cs="宋体"/>
          <w:color w:val="000000" w:themeColor="text1"/>
          <w:spacing w:val="12"/>
          <w:szCs w:val="24"/>
          <w:highlight w:val="none"/>
          <w:u w:val="single"/>
          <w14:textFill>
            <w14:solidFill>
              <w14:schemeClr w14:val="tx1"/>
            </w14:solidFill>
          </w14:textFill>
        </w:rPr>
        <w:t>1</w:t>
      </w:r>
      <w:r>
        <w:rPr>
          <w:rFonts w:hint="eastAsia" w:ascii="宋体" w:hAnsi="宋体" w:cs="宋体"/>
          <w:color w:val="000000" w:themeColor="text1"/>
          <w:spacing w:val="12"/>
          <w:szCs w:val="24"/>
          <w:highlight w:val="none"/>
          <w:u w:val="single"/>
          <w:lang w:val="en-US" w:eastAsia="zh-CN"/>
          <w14:textFill>
            <w14:solidFill>
              <w14:schemeClr w14:val="tx1"/>
            </w14:solidFill>
          </w14:textFill>
        </w:rPr>
        <w:t>20</w:t>
      </w:r>
      <w:r>
        <w:rPr>
          <w:rFonts w:hint="eastAsia" w:ascii="宋体" w:hAnsi="宋体" w:cs="宋体"/>
          <w:color w:val="000000" w:themeColor="text1"/>
          <w:spacing w:val="12"/>
          <w:szCs w:val="24"/>
          <w:highlight w:val="none"/>
          <w14:textFill>
            <w14:solidFill>
              <w14:schemeClr w14:val="tx1"/>
            </w14:solidFill>
          </w14:textFill>
        </w:rPr>
        <w:t>日历天。具体开工时间以发包单位现场工程师下达的开工令为准。</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4.2 </w:t>
      </w:r>
      <w:r>
        <w:rPr>
          <w:rFonts w:hint="eastAsia" w:ascii="宋体" w:hAnsi="宋体" w:eastAsia="宋体" w:cs="宋体"/>
          <w:color w:val="000000" w:themeColor="text1"/>
          <w:szCs w:val="24"/>
          <w:highlight w:val="none"/>
          <w:lang w:bidi="ar"/>
          <w14:textFill>
            <w14:solidFill>
              <w14:schemeClr w14:val="tx1"/>
            </w14:solidFill>
          </w14:textFill>
        </w:rPr>
        <w:t>因供电需求不同，甲方可根据实际需求合理安排施工进度，乙方应无条件配合。</w:t>
      </w:r>
    </w:p>
    <w:p>
      <w:pPr>
        <w:keepNext w:val="0"/>
        <w:keepLines w:val="0"/>
        <w:pageBreakBefore w:val="0"/>
        <w:widowControl w:val="0"/>
        <w:tabs>
          <w:tab w:val="left" w:pos="630"/>
        </w:tabs>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ascii="宋体" w:hAnsi="宋体" w:eastAsia="宋体" w:cs="宋体"/>
          <w:b/>
          <w:color w:val="000000" w:themeColor="text1"/>
          <w:szCs w:val="24"/>
          <w:highlight w:val="none"/>
          <w14:textFill>
            <w14:solidFill>
              <w14:schemeClr w14:val="tx1"/>
            </w14:solidFill>
          </w14:textFill>
        </w:rPr>
      </w:pPr>
      <w:r>
        <w:rPr>
          <w:rFonts w:hint="eastAsia" w:ascii="宋体" w:hAnsi="宋体" w:eastAsia="宋体" w:cs="宋体"/>
          <w:b/>
          <w:color w:val="000000" w:themeColor="text1"/>
          <w:szCs w:val="24"/>
          <w:highlight w:val="none"/>
          <w:lang w:bidi="ar"/>
          <w14:textFill>
            <w14:solidFill>
              <w14:schemeClr w14:val="tx1"/>
            </w14:solidFill>
          </w14:textFill>
        </w:rPr>
        <w:t>五、合同方式及价格</w:t>
      </w:r>
    </w:p>
    <w:p>
      <w:pPr>
        <w:keepNext w:val="0"/>
        <w:keepLines w:val="0"/>
        <w:pageBreakBefore w:val="0"/>
        <w:widowControl w:val="0"/>
        <w:tabs>
          <w:tab w:val="left" w:pos="630"/>
        </w:tabs>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kern w:val="1"/>
          <w:sz w:val="24"/>
          <w:szCs w:val="24"/>
          <w:highlight w:val="none"/>
          <w14:textFill>
            <w14:solidFill>
              <w14:schemeClr w14:val="tx1"/>
            </w14:solidFill>
          </w14:textFill>
        </w:rPr>
      </w:pPr>
      <w:r>
        <w:rPr>
          <w:rFonts w:hint="eastAsia" w:ascii="宋体" w:hAnsi="宋体" w:cs="宋体"/>
          <w:b w:val="0"/>
          <w:bCs w:val="0"/>
          <w:color w:val="000000" w:themeColor="text1"/>
          <w:kern w:val="1"/>
          <w:szCs w:val="24"/>
          <w:highlight w:val="none"/>
          <w:lang w:val="en-US" w:eastAsia="zh-CN" w:bidi="ar"/>
          <w14:textFill>
            <w14:solidFill>
              <w14:schemeClr w14:val="tx1"/>
            </w14:solidFill>
          </w14:textFill>
        </w:rPr>
        <w:t xml:space="preserve">5.1 </w:t>
      </w:r>
      <w:r>
        <w:rPr>
          <w:rFonts w:hint="eastAsia" w:ascii="宋体" w:hAnsi="宋体" w:eastAsia="宋体" w:cs="宋体"/>
          <w:b w:val="0"/>
          <w:bCs w:val="0"/>
          <w:color w:val="000000" w:themeColor="text1"/>
          <w:kern w:val="1"/>
          <w:szCs w:val="24"/>
          <w:highlight w:val="none"/>
          <w:lang w:bidi="ar"/>
          <w14:textFill>
            <w14:solidFill>
              <w14:schemeClr w14:val="tx1"/>
            </w14:solidFill>
          </w14:textFill>
        </w:rPr>
        <w:t>合同方式：</w:t>
      </w:r>
      <w:r>
        <w:rPr>
          <w:rFonts w:hint="eastAsia" w:ascii="宋体" w:hAnsi="宋体" w:cs="宋体"/>
          <w:b w:val="0"/>
          <w:bCs w:val="0"/>
          <w:color w:val="000000" w:themeColor="text1"/>
          <w:kern w:val="1"/>
          <w:szCs w:val="24"/>
          <w:highlight w:val="none"/>
          <w:lang w:eastAsia="zh-CN" w:bidi="ar"/>
          <w14:textFill>
            <w14:solidFill>
              <w14:schemeClr w14:val="tx1"/>
            </w14:solidFill>
          </w14:textFill>
        </w:rPr>
        <w:t>采用固定总价包干形式。</w:t>
      </w:r>
      <w:r>
        <w:rPr>
          <w:rFonts w:hint="eastAsia" w:ascii="宋体" w:hAnsi="宋体" w:eastAsia="宋体" w:cs="宋体"/>
          <w:b w:val="0"/>
          <w:bCs w:val="0"/>
          <w:color w:val="000000" w:themeColor="text1"/>
          <w:kern w:val="1"/>
          <w:sz w:val="24"/>
          <w:szCs w:val="24"/>
          <w:highlight w:val="none"/>
          <w:lang w:bidi="ar"/>
          <w14:textFill>
            <w14:solidFill>
              <w14:schemeClr w14:val="tx1"/>
            </w14:solidFill>
          </w14:textFill>
        </w:rPr>
        <w:t>施</w:t>
      </w:r>
      <w:r>
        <w:rPr>
          <w:rFonts w:hint="eastAsia" w:ascii="宋体" w:hAnsi="宋体" w:eastAsia="宋体" w:cs="宋体"/>
          <w:color w:val="000000" w:themeColor="text1"/>
          <w:kern w:val="1"/>
          <w:sz w:val="24"/>
          <w:szCs w:val="24"/>
          <w:highlight w:val="none"/>
          <w:lang w:bidi="ar"/>
          <w14:textFill>
            <w14:solidFill>
              <w14:schemeClr w14:val="tx1"/>
            </w14:solidFill>
          </w14:textFill>
        </w:rPr>
        <w:t>工图纸内承包内容按固定合同总价一次性包干，除变更签证外结算时不因任何因素的变化而调整。</w:t>
      </w:r>
    </w:p>
    <w:p>
      <w:pPr>
        <w:keepNext w:val="0"/>
        <w:keepLines w:val="0"/>
        <w:pageBreakBefore w:val="0"/>
        <w:widowControl w:val="0"/>
        <w:tabs>
          <w:tab w:val="left" w:pos="630"/>
        </w:tabs>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b w:val="0"/>
          <w:bCs w:val="0"/>
          <w:color w:val="000000" w:themeColor="text1"/>
          <w:kern w:val="1"/>
          <w:szCs w:val="24"/>
          <w:highlight w:val="none"/>
          <w14:textFill>
            <w14:solidFill>
              <w14:schemeClr w14:val="tx1"/>
            </w14:solidFill>
          </w14:textFill>
        </w:rPr>
      </w:pPr>
      <w:r>
        <w:rPr>
          <w:rFonts w:hint="eastAsia" w:ascii="宋体" w:hAnsi="宋体" w:cs="宋体"/>
          <w:b w:val="0"/>
          <w:bCs w:val="0"/>
          <w:color w:val="000000" w:themeColor="text1"/>
          <w:kern w:val="1"/>
          <w:szCs w:val="24"/>
          <w:highlight w:val="none"/>
          <w:lang w:val="en-US" w:eastAsia="zh-CN" w:bidi="ar"/>
          <w14:textFill>
            <w14:solidFill>
              <w14:schemeClr w14:val="tx1"/>
            </w14:solidFill>
          </w14:textFill>
        </w:rPr>
        <w:t xml:space="preserve">5.2 </w:t>
      </w:r>
      <w:r>
        <w:rPr>
          <w:rFonts w:hint="eastAsia" w:ascii="宋体" w:hAnsi="宋体" w:eastAsia="宋体" w:cs="宋体"/>
          <w:b w:val="0"/>
          <w:bCs w:val="0"/>
          <w:color w:val="000000" w:themeColor="text1"/>
          <w:kern w:val="1"/>
          <w:szCs w:val="24"/>
          <w:highlight w:val="none"/>
          <w:lang w:bidi="ar"/>
          <w14:textFill>
            <w14:solidFill>
              <w14:schemeClr w14:val="tx1"/>
            </w14:solidFill>
          </w14:textFill>
        </w:rPr>
        <w:t>合同价格：</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cs="宋体"/>
          <w:color w:val="000000" w:themeColor="text1"/>
          <w:kern w:val="1"/>
          <w:szCs w:val="24"/>
          <w:highlight w:val="none"/>
          <w:lang w:val="en-US" w:eastAsia="zh-CN" w:bidi="ar"/>
          <w14:textFill>
            <w14:solidFill>
              <w14:schemeClr w14:val="tx1"/>
            </w14:solidFill>
          </w14:textFill>
        </w:rPr>
      </w:pPr>
      <w:r>
        <w:rPr>
          <w:rFonts w:hint="eastAsia" w:ascii="宋体" w:hAnsi="宋体" w:cs="宋体"/>
          <w:color w:val="000000" w:themeColor="text1"/>
          <w:kern w:val="1"/>
          <w:szCs w:val="24"/>
          <w:highlight w:val="none"/>
          <w:lang w:val="en-US" w:eastAsia="zh-CN" w:bidi="ar"/>
          <w14:textFill>
            <w14:solidFill>
              <w14:schemeClr w14:val="tx1"/>
            </w14:solidFill>
          </w14:textFill>
        </w:rPr>
        <w:t xml:space="preserve">5.2.1 </w:t>
      </w:r>
      <w:r>
        <w:rPr>
          <w:rFonts w:hint="eastAsia" w:ascii="宋体" w:hAnsi="宋体" w:eastAsia="宋体" w:cs="宋体"/>
          <w:color w:val="000000" w:themeColor="text1"/>
          <w:kern w:val="1"/>
          <w:szCs w:val="24"/>
          <w:highlight w:val="none"/>
          <w:lang w:bidi="ar"/>
          <w14:textFill>
            <w14:solidFill>
              <w14:schemeClr w14:val="tx1"/>
            </w14:solidFill>
          </w14:textFill>
        </w:rPr>
        <w:t>本工程固定合同总价为</w:t>
      </w:r>
      <w:r>
        <w:rPr>
          <w:rFonts w:hint="eastAsia" w:ascii="宋体" w:hAnsi="宋体" w:cs="宋体"/>
          <w:color w:val="000000" w:themeColor="text1"/>
          <w:kern w:val="1"/>
          <w:szCs w:val="24"/>
          <w:highlight w:val="none"/>
          <w:lang w:eastAsia="zh-CN" w:bidi="ar"/>
          <w14:textFill>
            <w14:solidFill>
              <w14:schemeClr w14:val="tx1"/>
            </w14:solidFill>
          </w14:textFill>
        </w:rPr>
        <w:t>小写：</w:t>
      </w:r>
      <w:r>
        <w:rPr>
          <w:rFonts w:hint="eastAsia" w:ascii="宋体" w:hAnsi="宋体" w:cs="宋体"/>
          <w:color w:val="000000" w:themeColor="text1"/>
          <w:kern w:val="1"/>
          <w:szCs w:val="24"/>
          <w:highlight w:val="none"/>
          <w:lang w:val="en-US" w:eastAsia="zh-CN" w:bidi="ar"/>
          <w14:textFill>
            <w14:solidFill>
              <w14:schemeClr w14:val="tx1"/>
            </w14:solidFill>
          </w14:textFill>
        </w:rPr>
        <w:t>¥17,500,000.00元，大写：人民币壹仟柒佰伍拾万元整，其中不含税价款为小写：¥16,055,045.87元，大写：人民币壹仟陆佰零伍万伍仟零肆拾伍元捌角柒分，税金为小写：¥1,444,954.13</w:t>
      </w:r>
      <w:r>
        <w:rPr>
          <w:rFonts w:hint="eastAsia" w:ascii="宋体" w:hAnsi="宋体" w:cs="宋体"/>
          <w:color w:val="000000" w:themeColor="text1"/>
          <w:kern w:val="1"/>
          <w:szCs w:val="24"/>
          <w:highlight w:val="none"/>
          <w:lang w:eastAsia="zh-CN" w:bidi="ar"/>
          <w14:textFill>
            <w14:solidFill>
              <w14:schemeClr w14:val="tx1"/>
            </w14:solidFill>
          </w14:textFill>
        </w:rPr>
        <w:t>，</w:t>
      </w:r>
      <w:r>
        <w:rPr>
          <w:rFonts w:hint="eastAsia" w:ascii="宋体" w:hAnsi="宋体" w:cs="宋体"/>
          <w:b w:val="0"/>
          <w:color w:val="000000" w:themeColor="text1"/>
          <w:spacing w:val="0"/>
          <w:kern w:val="24"/>
          <w:position w:val="0"/>
          <w:sz w:val="24"/>
          <w:szCs w:val="24"/>
          <w:highlight w:val="none"/>
          <w:vertAlign w:val="baseline"/>
          <w:lang w:val="en-US" w:eastAsia="zh-CN" w:bidi="ar"/>
          <w14:textFill>
            <w14:solidFill>
              <w14:schemeClr w14:val="tx1"/>
            </w14:solidFill>
          </w14:textFill>
        </w:rPr>
        <w:t>税率为9%。</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kern w:val="1"/>
          <w:szCs w:val="24"/>
          <w:highlight w:val="none"/>
          <w14:textFill>
            <w14:solidFill>
              <w14:schemeClr w14:val="tx1"/>
            </w14:solidFill>
          </w14:textFill>
        </w:rPr>
      </w:pPr>
      <w:r>
        <w:rPr>
          <w:rFonts w:hint="eastAsia" w:ascii="宋体" w:hAnsi="宋体" w:cs="宋体"/>
          <w:color w:val="000000" w:themeColor="text1"/>
          <w:kern w:val="1"/>
          <w:szCs w:val="24"/>
          <w:highlight w:val="none"/>
          <w:lang w:val="en-US" w:eastAsia="zh-CN" w:bidi="ar"/>
          <w14:textFill>
            <w14:solidFill>
              <w14:schemeClr w14:val="tx1"/>
            </w14:solidFill>
          </w14:textFill>
        </w:rPr>
        <w:t xml:space="preserve">5.2.2 </w:t>
      </w:r>
      <w:r>
        <w:rPr>
          <w:rFonts w:hint="eastAsia" w:ascii="宋体" w:hAnsi="宋体" w:eastAsia="宋体" w:cs="宋体"/>
          <w:color w:val="000000" w:themeColor="text1"/>
          <w:kern w:val="1"/>
          <w:szCs w:val="24"/>
          <w:highlight w:val="none"/>
          <w:lang w:bidi="ar"/>
          <w14:textFill>
            <w14:solidFill>
              <w14:schemeClr w14:val="tx1"/>
            </w14:solidFill>
          </w14:textFill>
        </w:rPr>
        <w:t>固定合同总价中已包括但不限于承包范围内供配电工程设备和材料的购置、安装、调试、检测、办理送电手续、监理费、验收、送电及取得合格证所需费用、质保期内的系统维护费和保修期内所需的备品备件、免费对甲方技术人员的培训等费用。</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left"/>
        <w:textAlignment w:val="auto"/>
        <w:outlineLvl w:val="9"/>
        <w:rPr>
          <w:rFonts w:hint="eastAsia" w:ascii="宋体" w:hAnsi="宋体" w:eastAsia="宋体" w:cs="宋体"/>
          <w:color w:val="000000" w:themeColor="text1"/>
          <w:kern w:val="1"/>
          <w:szCs w:val="24"/>
          <w:highlight w:val="none"/>
          <w14:textFill>
            <w14:solidFill>
              <w14:schemeClr w14:val="tx1"/>
            </w14:solidFill>
          </w14:textFill>
        </w:rPr>
      </w:pPr>
      <w:r>
        <w:rPr>
          <w:rFonts w:hint="eastAsia" w:ascii="宋体" w:hAnsi="宋体" w:cs="宋体"/>
          <w:color w:val="000000" w:themeColor="text1"/>
          <w:kern w:val="1"/>
          <w:szCs w:val="24"/>
          <w:highlight w:val="none"/>
          <w:lang w:val="en-US" w:eastAsia="zh-CN" w:bidi="ar"/>
          <w14:textFill>
            <w14:solidFill>
              <w14:schemeClr w14:val="tx1"/>
            </w14:solidFill>
          </w14:textFill>
        </w:rPr>
        <w:t xml:space="preserve">5.2.3 </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固定合同总价中已包括但不限于完成承包范围内所有供配电工程的</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人工费、材料费、管理费</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、利润、税金、措施费</w:t>
      </w:r>
      <w:r>
        <w:rPr>
          <w:rFonts w:hint="eastAsia" w:ascii="宋体" w:hAnsi="宋体" w:eastAsia="宋体" w:cs="宋体"/>
          <w:b w:val="0"/>
          <w:color w:val="000000" w:themeColor="text1"/>
          <w:spacing w:val="0"/>
          <w:kern w:val="24"/>
          <w:position w:val="0"/>
          <w:sz w:val="24"/>
          <w:szCs w:val="24"/>
          <w:highlight w:val="none"/>
          <w:u w:val="none"/>
          <w:vertAlign w:val="baseline"/>
          <w:lang w:eastAsia="zh-CN"/>
          <w14:textFill>
            <w14:solidFill>
              <w14:schemeClr w14:val="tx1"/>
            </w14:solidFill>
          </w14:textFill>
        </w:rPr>
        <w:t>（包括</w:t>
      </w:r>
      <w:r>
        <w:rPr>
          <w:rFonts w:hint="eastAsia" w:ascii="宋体" w:hAnsi="宋体" w:eastAsia="宋体" w:cs="宋体"/>
          <w:b w:val="0"/>
          <w:i w:val="0"/>
          <w:iCs w:val="0"/>
          <w:caps w:val="0"/>
          <w:color w:val="000000" w:themeColor="text1"/>
          <w:spacing w:val="0"/>
          <w:kern w:val="24"/>
          <w:position w:val="0"/>
          <w:sz w:val="24"/>
          <w:szCs w:val="24"/>
          <w:highlight w:val="none"/>
          <w:u w:val="none"/>
          <w:shd w:val="clear" w:color="auto" w:fill="auto"/>
          <w:vertAlign w:val="baseline"/>
          <w14:textFill>
            <w14:solidFill>
              <w14:schemeClr w14:val="tx1"/>
            </w14:solidFill>
          </w14:textFill>
        </w:rPr>
        <w:t>环境保护费、文明施工费</w:t>
      </w:r>
      <w:r>
        <w:rPr>
          <w:rFonts w:hint="eastAsia" w:ascii="宋体" w:hAnsi="宋体" w:eastAsia="宋体" w:cs="宋体"/>
          <w:b w:val="0"/>
          <w:i w:val="0"/>
          <w:iCs w:val="0"/>
          <w:caps w:val="0"/>
          <w:color w:val="000000" w:themeColor="text1"/>
          <w:spacing w:val="0"/>
          <w:kern w:val="24"/>
          <w:position w:val="0"/>
          <w:sz w:val="24"/>
          <w:szCs w:val="24"/>
          <w:highlight w:val="none"/>
          <w:u w:val="none"/>
          <w:shd w:val="clear" w:color="auto" w:fill="auto"/>
          <w:vertAlign w:val="baseline"/>
          <w:lang w:eastAsia="zh-CN"/>
          <w14:textFill>
            <w14:solidFill>
              <w14:schemeClr w14:val="tx1"/>
            </w14:solidFill>
          </w14:textFill>
        </w:rPr>
        <w:t>、</w:t>
      </w:r>
      <w:r>
        <w:rPr>
          <w:rFonts w:hint="eastAsia" w:ascii="宋体" w:hAnsi="宋体" w:eastAsia="宋体" w:cs="宋体"/>
          <w:b w:val="0"/>
          <w:i w:val="0"/>
          <w:iCs w:val="0"/>
          <w:caps w:val="0"/>
          <w:color w:val="000000" w:themeColor="text1"/>
          <w:spacing w:val="0"/>
          <w:kern w:val="24"/>
          <w:position w:val="0"/>
          <w:sz w:val="24"/>
          <w:szCs w:val="24"/>
          <w:highlight w:val="none"/>
          <w:u w:val="none"/>
          <w:shd w:val="clear" w:color="auto" w:fill="auto"/>
          <w:vertAlign w:val="baseline"/>
          <w14:textFill>
            <w14:solidFill>
              <w14:schemeClr w14:val="tx1"/>
            </w14:solidFill>
          </w14:textFill>
        </w:rPr>
        <w:t>安全施工费</w:t>
      </w:r>
      <w:r>
        <w:rPr>
          <w:rFonts w:hint="eastAsia" w:ascii="宋体" w:hAnsi="宋体" w:eastAsia="宋体" w:cs="宋体"/>
          <w:b w:val="0"/>
          <w:i w:val="0"/>
          <w:iCs w:val="0"/>
          <w:caps w:val="0"/>
          <w:color w:val="000000" w:themeColor="text1"/>
          <w:spacing w:val="0"/>
          <w:kern w:val="24"/>
          <w:position w:val="0"/>
          <w:sz w:val="24"/>
          <w:szCs w:val="24"/>
          <w:highlight w:val="none"/>
          <w:u w:val="none"/>
          <w:shd w:val="clear" w:color="auto" w:fill="auto"/>
          <w:vertAlign w:val="baseline"/>
          <w:lang w:eastAsia="zh-CN"/>
          <w14:textFill>
            <w14:solidFill>
              <w14:schemeClr w14:val="tx1"/>
            </w14:solidFill>
          </w14:textFill>
        </w:rPr>
        <w:t>、</w:t>
      </w:r>
      <w:r>
        <w:rPr>
          <w:rFonts w:hint="eastAsia" w:ascii="宋体" w:hAnsi="宋体" w:eastAsia="宋体" w:cs="宋体"/>
          <w:b w:val="0"/>
          <w:i w:val="0"/>
          <w:iCs w:val="0"/>
          <w:caps w:val="0"/>
          <w:color w:val="000000" w:themeColor="text1"/>
          <w:spacing w:val="0"/>
          <w:kern w:val="24"/>
          <w:position w:val="0"/>
          <w:sz w:val="24"/>
          <w:szCs w:val="24"/>
          <w:highlight w:val="none"/>
          <w:u w:val="none"/>
          <w:shd w:val="clear" w:color="auto" w:fill="auto"/>
          <w:vertAlign w:val="baseline"/>
          <w14:textFill>
            <w14:solidFill>
              <w14:schemeClr w14:val="tx1"/>
            </w14:solidFill>
          </w14:textFill>
        </w:rPr>
        <w:t>临时设施费</w:t>
      </w:r>
      <w:r>
        <w:rPr>
          <w:rFonts w:hint="eastAsia" w:ascii="宋体" w:hAnsi="宋体" w:eastAsia="宋体" w:cs="宋体"/>
          <w:b w:val="0"/>
          <w:i w:val="0"/>
          <w:iCs w:val="0"/>
          <w:caps w:val="0"/>
          <w:color w:val="000000" w:themeColor="text1"/>
          <w:spacing w:val="0"/>
          <w:kern w:val="24"/>
          <w:position w:val="0"/>
          <w:sz w:val="24"/>
          <w:szCs w:val="24"/>
          <w:highlight w:val="none"/>
          <w:u w:val="none"/>
          <w:shd w:val="clear" w:color="auto" w:fill="auto"/>
          <w:vertAlign w:val="baseline"/>
          <w:lang w:eastAsia="zh-CN"/>
          <w14:textFill>
            <w14:solidFill>
              <w14:schemeClr w14:val="tx1"/>
            </w14:solidFill>
          </w14:textFill>
        </w:rPr>
        <w:t>、</w:t>
      </w:r>
      <w:r>
        <w:rPr>
          <w:rFonts w:hint="eastAsia" w:ascii="宋体" w:hAnsi="宋体" w:eastAsia="宋体" w:cs="宋体"/>
          <w:b w:val="0"/>
          <w:i w:val="0"/>
          <w:iCs w:val="0"/>
          <w:caps w:val="0"/>
          <w:color w:val="000000" w:themeColor="text1"/>
          <w:spacing w:val="0"/>
          <w:kern w:val="24"/>
          <w:position w:val="0"/>
          <w:sz w:val="24"/>
          <w:szCs w:val="24"/>
          <w:highlight w:val="none"/>
          <w:u w:val="none"/>
          <w:shd w:val="clear" w:color="auto" w:fill="auto"/>
          <w:vertAlign w:val="baseline"/>
          <w14:textFill>
            <w14:solidFill>
              <w14:schemeClr w14:val="tx1"/>
            </w14:solidFill>
          </w14:textFill>
        </w:rPr>
        <w:t>夜间施工费</w:t>
      </w:r>
      <w:r>
        <w:rPr>
          <w:rFonts w:hint="eastAsia" w:ascii="宋体" w:hAnsi="宋体" w:eastAsia="宋体" w:cs="宋体"/>
          <w:b w:val="0"/>
          <w:i w:val="0"/>
          <w:iCs w:val="0"/>
          <w:caps w:val="0"/>
          <w:color w:val="000000" w:themeColor="text1"/>
          <w:spacing w:val="0"/>
          <w:kern w:val="24"/>
          <w:position w:val="0"/>
          <w:sz w:val="24"/>
          <w:szCs w:val="24"/>
          <w:highlight w:val="none"/>
          <w:u w:val="none"/>
          <w:shd w:val="clear" w:color="auto" w:fill="auto"/>
          <w:vertAlign w:val="baseline"/>
          <w:lang w:eastAsia="zh-CN"/>
          <w14:textFill>
            <w14:solidFill>
              <w14:schemeClr w14:val="tx1"/>
            </w14:solidFill>
          </w14:textFill>
        </w:rPr>
        <w:t>、</w:t>
      </w:r>
      <w:r>
        <w:rPr>
          <w:rFonts w:hint="eastAsia" w:ascii="宋体" w:hAnsi="宋体" w:eastAsia="宋体" w:cs="宋体"/>
          <w:b w:val="0"/>
          <w:i w:val="0"/>
          <w:iCs w:val="0"/>
          <w:caps w:val="0"/>
          <w:color w:val="000000" w:themeColor="text1"/>
          <w:spacing w:val="0"/>
          <w:kern w:val="24"/>
          <w:position w:val="0"/>
          <w:sz w:val="24"/>
          <w:szCs w:val="24"/>
          <w:highlight w:val="none"/>
          <w:u w:val="none"/>
          <w:shd w:val="clear" w:color="auto" w:fill="auto"/>
          <w:vertAlign w:val="baseline"/>
          <w14:textFill>
            <w14:solidFill>
              <w14:schemeClr w14:val="tx1"/>
            </w14:solidFill>
          </w14:textFill>
        </w:rPr>
        <w:t>材料二次搬运费</w:t>
      </w:r>
      <w:r>
        <w:rPr>
          <w:rFonts w:hint="eastAsia" w:ascii="宋体" w:hAnsi="宋体" w:eastAsia="宋体" w:cs="宋体"/>
          <w:b w:val="0"/>
          <w:i w:val="0"/>
          <w:iCs w:val="0"/>
          <w:caps w:val="0"/>
          <w:color w:val="000000" w:themeColor="text1"/>
          <w:spacing w:val="0"/>
          <w:kern w:val="24"/>
          <w:position w:val="0"/>
          <w:sz w:val="24"/>
          <w:szCs w:val="24"/>
          <w:highlight w:val="none"/>
          <w:u w:val="none"/>
          <w:shd w:val="clear" w:color="auto" w:fill="auto"/>
          <w:vertAlign w:val="baseline"/>
          <w:lang w:eastAsia="zh-CN"/>
          <w14:textFill>
            <w14:solidFill>
              <w14:schemeClr w14:val="tx1"/>
            </w14:solidFill>
          </w14:textFill>
        </w:rPr>
        <w:t>等</w:t>
      </w:r>
      <w:r>
        <w:rPr>
          <w:rFonts w:hint="eastAsia" w:ascii="宋体" w:hAnsi="宋体" w:eastAsia="宋体" w:cs="宋体"/>
          <w:b w:val="0"/>
          <w:color w:val="000000" w:themeColor="text1"/>
          <w:spacing w:val="0"/>
          <w:kern w:val="24"/>
          <w:position w:val="0"/>
          <w:sz w:val="24"/>
          <w:szCs w:val="24"/>
          <w:highlight w:val="none"/>
          <w:u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规费（专项费用）、扬尘治理费、疫情增加费、</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验收、</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机械进出场费、风险费用</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等与之相关的所有费用</w:t>
      </w:r>
      <w:r>
        <w:rPr>
          <w:rFonts w:hint="eastAsia" w:ascii="宋体" w:hAnsi="宋体" w:eastAsia="宋体" w:cs="宋体"/>
          <w:b w:val="0"/>
          <w:color w:val="000000" w:themeColor="text1"/>
          <w:spacing w:val="0"/>
          <w:kern w:val="24"/>
          <w:position w:val="0"/>
          <w:sz w:val="24"/>
          <w:szCs w:val="24"/>
          <w:highlight w:val="none"/>
          <w:vertAlign w:val="baseline"/>
          <w:lang w:eastAsia="zh-CN" w:bidi="ar"/>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2" w:firstLineChars="200"/>
        <w:jc w:val="both"/>
        <w:textAlignment w:val="auto"/>
        <w:outlineLvl w:val="9"/>
        <w:rPr>
          <w:rFonts w:hint="eastAsia" w:ascii="宋体" w:hAnsi="宋体" w:eastAsia="宋体" w:cs="宋体"/>
          <w:b/>
          <w:color w:val="000000" w:themeColor="text1"/>
          <w:szCs w:val="24"/>
          <w:highlight w:val="none"/>
          <w14:textFill>
            <w14:solidFill>
              <w14:schemeClr w14:val="tx1"/>
            </w14:solidFill>
          </w14:textFill>
        </w:rPr>
      </w:pPr>
      <w:r>
        <w:rPr>
          <w:rFonts w:hint="eastAsia" w:ascii="宋体" w:hAnsi="宋体" w:eastAsia="宋体" w:cs="宋体"/>
          <w:b/>
          <w:color w:val="000000" w:themeColor="text1"/>
          <w:szCs w:val="24"/>
          <w:highlight w:val="none"/>
          <w:lang w:bidi="ar"/>
          <w14:textFill>
            <w14:solidFill>
              <w14:schemeClr w14:val="tx1"/>
            </w14:solidFill>
          </w14:textFill>
        </w:rPr>
        <w:t>六、施工技术及体系要求</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2" w:firstLineChars="200"/>
        <w:jc w:val="both"/>
        <w:textAlignment w:val="auto"/>
        <w:outlineLvl w:val="9"/>
        <w:rPr>
          <w:rFonts w:hint="eastAsia" w:ascii="宋体" w:hAnsi="宋体" w:eastAsia="宋体" w:cs="宋体"/>
          <w:b/>
          <w:color w:val="000000" w:themeColor="text1"/>
          <w:szCs w:val="24"/>
          <w:highlight w:val="none"/>
          <w14:textFill>
            <w14:solidFill>
              <w14:schemeClr w14:val="tx1"/>
            </w14:solidFill>
          </w14:textFill>
        </w:rPr>
      </w:pPr>
      <w:r>
        <w:rPr>
          <w:rFonts w:hint="eastAsia" w:ascii="宋体" w:hAnsi="宋体" w:cs="宋体"/>
          <w:b/>
          <w:color w:val="000000" w:themeColor="text1"/>
          <w:szCs w:val="24"/>
          <w:highlight w:val="none"/>
          <w:lang w:val="en-US" w:eastAsia="zh-CN" w:bidi="ar"/>
          <w14:textFill>
            <w14:solidFill>
              <w14:schemeClr w14:val="tx1"/>
            </w14:solidFill>
          </w14:textFill>
        </w:rPr>
        <w:t xml:space="preserve">6.1 </w:t>
      </w:r>
      <w:r>
        <w:rPr>
          <w:rFonts w:hint="eastAsia" w:ascii="宋体" w:hAnsi="宋体" w:eastAsia="宋体" w:cs="宋体"/>
          <w:b/>
          <w:color w:val="000000" w:themeColor="text1"/>
          <w:szCs w:val="24"/>
          <w:highlight w:val="none"/>
          <w:lang w:bidi="ar"/>
          <w14:textFill>
            <w14:solidFill>
              <w14:schemeClr w14:val="tx1"/>
            </w14:solidFill>
          </w14:textFill>
        </w:rPr>
        <w:t>技术标准</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6.1.1</w:t>
      </w:r>
      <w:r>
        <w:rPr>
          <w:rFonts w:hint="eastAsia" w:ascii="宋体" w:hAnsi="宋体" w:eastAsia="宋体" w:cs="宋体"/>
          <w:color w:val="000000" w:themeColor="text1"/>
          <w:szCs w:val="24"/>
          <w:highlight w:val="none"/>
          <w:lang w:bidi="ar"/>
          <w14:textFill>
            <w14:solidFill>
              <w14:schemeClr w14:val="tx1"/>
            </w14:solidFill>
          </w14:textFill>
        </w:rPr>
        <w:t>本次工程内容执行国家现行相关工程建设法律、法规、强制性标准及相关技术规范。</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bidi="ar"/>
          <w14:textFill>
            <w14:solidFill>
              <w14:schemeClr w14:val="tx1"/>
            </w14:solidFill>
          </w14:textFill>
        </w:rPr>
        <w:t>（1）《建筑工程施工质量验收统一标准》GB50300-2013</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bidi="ar"/>
          <w14:textFill>
            <w14:solidFill>
              <w14:schemeClr w14:val="tx1"/>
            </w14:solidFill>
          </w14:textFill>
        </w:rPr>
        <w:t>（2）《建筑装饰装修工程质量验收规范》GB50210-2001</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bidi="ar"/>
          <w14:textFill>
            <w14:solidFill>
              <w14:schemeClr w14:val="tx1"/>
            </w14:solidFill>
          </w14:textFill>
        </w:rPr>
        <w:t>（3）《建筑室内装修设计防火规范》GB50222-2017</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bidi="ar"/>
          <w14:textFill>
            <w14:solidFill>
              <w14:schemeClr w14:val="tx1"/>
            </w14:solidFill>
          </w14:textFill>
        </w:rPr>
        <w:t>（4） 与本工程有关的技术规范和验收标准《电气装置安装工程施工及验收规范》GB50254-96</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bidi="ar"/>
          <w14:textFill>
            <w14:solidFill>
              <w14:schemeClr w14:val="tx1"/>
            </w14:solidFill>
          </w14:textFill>
        </w:rPr>
        <w:t>其他与本工程有关的现行工程技术、质量评定标准、施工验收标准及规范。</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bidi="ar"/>
          <w14:textFill>
            <w14:solidFill>
              <w14:schemeClr w14:val="tx1"/>
            </w14:solidFill>
          </w14:textFill>
        </w:rPr>
        <w:t>（5）《砌体工程施工质量验收规范》     GB50203--2011</w:t>
      </w:r>
    </w:p>
    <w:p>
      <w:pPr>
        <w:keepNext w:val="0"/>
        <w:keepLines w:val="0"/>
        <w:pageBreakBefore w:val="0"/>
        <w:widowControl w:val="0"/>
        <w:tabs>
          <w:tab w:val="left" w:pos="7867"/>
        </w:tabs>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lang w:eastAsia="zh-CN"/>
          <w14:textFill>
            <w14:solidFill>
              <w14:schemeClr w14:val="tx1"/>
            </w14:solidFill>
          </w14:textFill>
        </w:rPr>
      </w:pPr>
      <w:r>
        <w:rPr>
          <w:rFonts w:hint="eastAsia" w:ascii="宋体" w:hAnsi="宋体" w:eastAsia="宋体" w:cs="宋体"/>
          <w:color w:val="000000" w:themeColor="text1"/>
          <w:szCs w:val="24"/>
          <w:highlight w:val="none"/>
          <w:lang w:bidi="ar"/>
          <w14:textFill>
            <w14:solidFill>
              <w14:schemeClr w14:val="tx1"/>
            </w14:solidFill>
          </w14:textFill>
        </w:rPr>
        <w:t>（6）《混凝土工程施工质量验收规范》   GB50204—2015</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bidi="ar"/>
          <w14:textFill>
            <w14:solidFill>
              <w14:schemeClr w14:val="tx1"/>
            </w14:solidFill>
          </w14:textFill>
        </w:rPr>
        <w:t>（7）《钢结构工程施工质量验收规范》   GB50205—2001</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bidi="ar"/>
          <w14:textFill>
            <w14:solidFill>
              <w14:schemeClr w14:val="tx1"/>
            </w14:solidFill>
          </w14:textFill>
        </w:rPr>
        <w:t>（8）《木结构工程施工质量验收规范》   GB50206—2012</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bidi="ar"/>
          <w14:textFill>
            <w14:solidFill>
              <w14:schemeClr w14:val="tx1"/>
            </w14:solidFill>
          </w14:textFill>
        </w:rPr>
        <w:t>（9）《屋面工程质量验收规范》         GB50207—2012</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bidi="ar"/>
          <w14:textFill>
            <w14:solidFill>
              <w14:schemeClr w14:val="tx1"/>
            </w14:solidFill>
          </w14:textFill>
        </w:rPr>
        <w:t>（10）《地下防水工程质量验收规范》    GB50208—2011</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bidi="ar"/>
          <w14:textFill>
            <w14:solidFill>
              <w14:schemeClr w14:val="tx1"/>
            </w14:solidFill>
          </w14:textFill>
        </w:rPr>
        <w:t>（11）《建筑地面工程施工质量验收规范》GB50209--2010</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bidi="ar"/>
          <w14:textFill>
            <w14:solidFill>
              <w14:schemeClr w14:val="tx1"/>
            </w14:solidFill>
          </w14:textFill>
        </w:rPr>
        <w:t>（12）《建筑给水排水及采暖工程施工质量验收规范》GB50242—2002</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bidi="ar"/>
          <w14:textFill>
            <w14:solidFill>
              <w14:schemeClr w14:val="tx1"/>
            </w14:solidFill>
          </w14:textFill>
        </w:rPr>
        <w:t>（13）《电气装置安装工程 低压电器施工及验收规范》  GB50254-2014</w:t>
      </w:r>
      <w:r>
        <w:rPr>
          <w:rFonts w:hint="eastAsia" w:ascii="宋体" w:hAnsi="宋体" w:eastAsia="宋体" w:cs="宋体"/>
          <w:color w:val="000000" w:themeColor="text1"/>
          <w:szCs w:val="24"/>
          <w:highlight w:val="none"/>
          <w:lang w:bidi="ar"/>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bidi="ar"/>
          <w14:textFill>
            <w14:solidFill>
              <w14:schemeClr w14:val="tx1"/>
            </w14:solidFill>
          </w14:textFill>
        </w:rPr>
        <w:t>（14）《建筑电气工程施工质量验收规范》GB50303—2015</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bidi="ar"/>
          <w14:textFill>
            <w14:solidFill>
              <w14:schemeClr w14:val="tx1"/>
            </w14:solidFill>
          </w14:textFill>
        </w:rPr>
        <w:t xml:space="preserve">（15）《电气装置安装工程 电力交流设备施工及验收规范》GB50255-2014  </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bidi="ar"/>
          <w14:textFill>
            <w14:solidFill>
              <w14:schemeClr w14:val="tx1"/>
            </w14:solidFill>
          </w14:textFill>
        </w:rPr>
        <w:t>说明：1、以上引用标准，如果已有更新标准，则执行新标准。</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6.1.2 </w:t>
      </w:r>
      <w:r>
        <w:rPr>
          <w:rFonts w:hint="eastAsia" w:ascii="宋体" w:hAnsi="宋体" w:eastAsia="宋体" w:cs="宋体"/>
          <w:color w:val="000000" w:themeColor="text1"/>
          <w:szCs w:val="24"/>
          <w:highlight w:val="none"/>
          <w:lang w:bidi="ar"/>
          <w14:textFill>
            <w14:solidFill>
              <w14:schemeClr w14:val="tx1"/>
            </w14:solidFill>
          </w14:textFill>
        </w:rPr>
        <w:t>以上只列出一些主要规范、标准，本项目涉及的有关内容按相应规范、标准执行；</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6.1.3 </w:t>
      </w:r>
      <w:r>
        <w:rPr>
          <w:rFonts w:hint="eastAsia" w:ascii="宋体" w:hAnsi="宋体" w:eastAsia="宋体" w:cs="宋体"/>
          <w:color w:val="000000" w:themeColor="text1"/>
          <w:szCs w:val="24"/>
          <w:highlight w:val="none"/>
          <w:lang w:bidi="ar"/>
          <w14:textFill>
            <w14:solidFill>
              <w14:schemeClr w14:val="tx1"/>
            </w14:solidFill>
          </w14:textFill>
        </w:rPr>
        <w:t>以上所列的主要技术标准和规范，如未能达到国际或国内最新标准时，投标方应在设计、施工及选用设备和材料时按最近的国际或国内标准执行，并提供采用的国际或国内标准、规范和所应用的最新版本的有关技术依据资料。</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2" w:firstLineChars="200"/>
        <w:jc w:val="both"/>
        <w:textAlignment w:val="auto"/>
        <w:outlineLvl w:val="9"/>
        <w:rPr>
          <w:rFonts w:hint="eastAsia" w:ascii="宋体" w:hAnsi="宋体" w:eastAsia="宋体" w:cs="宋体"/>
          <w:b/>
          <w:color w:val="000000" w:themeColor="text1"/>
          <w:szCs w:val="24"/>
          <w:highlight w:val="none"/>
          <w:lang w:bidi="ar"/>
          <w14:textFill>
            <w14:solidFill>
              <w14:schemeClr w14:val="tx1"/>
            </w14:solidFill>
          </w14:textFill>
        </w:rPr>
      </w:pPr>
      <w:r>
        <w:rPr>
          <w:rFonts w:hint="eastAsia" w:ascii="宋体" w:hAnsi="宋体" w:cs="宋体"/>
          <w:b/>
          <w:color w:val="000000" w:themeColor="text1"/>
          <w:szCs w:val="24"/>
          <w:highlight w:val="none"/>
          <w:lang w:val="en-US" w:eastAsia="zh-CN" w:bidi="ar"/>
          <w14:textFill>
            <w14:solidFill>
              <w14:schemeClr w14:val="tx1"/>
            </w14:solidFill>
          </w14:textFill>
        </w:rPr>
        <w:t xml:space="preserve">6.2 </w:t>
      </w:r>
      <w:r>
        <w:rPr>
          <w:rFonts w:hint="eastAsia" w:ascii="宋体" w:hAnsi="宋体" w:eastAsia="宋体" w:cs="宋体"/>
          <w:b/>
          <w:color w:val="000000" w:themeColor="text1"/>
          <w:szCs w:val="24"/>
          <w:highlight w:val="none"/>
          <w:lang w:bidi="ar"/>
          <w14:textFill>
            <w14:solidFill>
              <w14:schemeClr w14:val="tx1"/>
            </w14:solidFill>
          </w14:textFill>
        </w:rPr>
        <w:t xml:space="preserve">技术要求 </w:t>
      </w:r>
    </w:p>
    <w:p>
      <w:pPr>
        <w:keepNext w:val="0"/>
        <w:keepLines w:val="0"/>
        <w:pageBreakBefore w:val="0"/>
        <w:widowControl w:val="0"/>
        <w:tabs>
          <w:tab w:val="left" w:pos="210"/>
        </w:tabs>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lang w:bidi="ar"/>
          <w14:textFill>
            <w14:solidFill>
              <w14:schemeClr w14:val="tx1"/>
            </w14:solidFill>
          </w14:textFill>
        </w:rPr>
      </w:pPr>
      <w:r>
        <w:rPr>
          <w:rFonts w:hint="eastAsia" w:ascii="宋体" w:hAnsi="宋体" w:cs="宋体"/>
          <w:bCs/>
          <w:color w:val="000000" w:themeColor="text1"/>
          <w:kern w:val="28"/>
          <w:szCs w:val="24"/>
          <w:highlight w:val="none"/>
          <w:lang w:val="en-US" w:eastAsia="zh-CN"/>
          <w14:textFill>
            <w14:solidFill>
              <w14:schemeClr w14:val="tx1"/>
            </w14:solidFill>
          </w14:textFill>
        </w:rPr>
        <w:t xml:space="preserve">6.2.1 </w:t>
      </w:r>
      <w:r>
        <w:rPr>
          <w:rFonts w:hint="eastAsia" w:ascii="宋体" w:hAnsi="宋体" w:eastAsia="宋体" w:cs="宋体"/>
          <w:bCs/>
          <w:color w:val="000000" w:themeColor="text1"/>
          <w:kern w:val="28"/>
          <w:szCs w:val="24"/>
          <w:highlight w:val="none"/>
          <w14:textFill>
            <w14:solidFill>
              <w14:schemeClr w14:val="tx1"/>
            </w14:solidFill>
          </w14:textFill>
        </w:rPr>
        <w:t>开元壹号6</w:t>
      </w:r>
      <w:r>
        <w:rPr>
          <w:rFonts w:hint="eastAsia" w:ascii="宋体" w:hAnsi="宋体" w:eastAsia="宋体" w:cs="宋体"/>
          <w:bCs/>
          <w:color w:val="000000" w:themeColor="text1"/>
          <w:kern w:val="28"/>
          <w:szCs w:val="24"/>
          <w:highlight w:val="none"/>
          <w:lang w:val="en-US" w:eastAsia="zh-CN"/>
          <w14:textFill>
            <w14:solidFill>
              <w14:schemeClr w14:val="tx1"/>
            </w14:solidFill>
          </w14:textFill>
        </w:rPr>
        <w:t>2</w:t>
      </w:r>
      <w:r>
        <w:rPr>
          <w:rFonts w:hint="eastAsia" w:ascii="宋体" w:hAnsi="宋体" w:eastAsia="宋体" w:cs="宋体"/>
          <w:bCs/>
          <w:color w:val="000000" w:themeColor="text1"/>
          <w:kern w:val="28"/>
          <w:szCs w:val="24"/>
          <w:highlight w:val="none"/>
          <w14:textFill>
            <w14:solidFill>
              <w14:schemeClr w14:val="tx1"/>
            </w14:solidFill>
          </w14:textFill>
        </w:rPr>
        <w:t>#地块</w:t>
      </w:r>
      <w:r>
        <w:rPr>
          <w:rFonts w:hint="eastAsia" w:ascii="宋体" w:hAnsi="宋体" w:eastAsia="宋体" w:cs="宋体"/>
          <w:bCs/>
          <w:color w:val="000000" w:themeColor="text1"/>
          <w:kern w:val="28"/>
          <w:szCs w:val="24"/>
          <w:highlight w:val="none"/>
          <w:lang w:eastAsia="zh-CN"/>
          <w14:textFill>
            <w14:solidFill>
              <w14:schemeClr w14:val="tx1"/>
            </w14:solidFill>
          </w14:textFill>
        </w:rPr>
        <w:t>一</w:t>
      </w:r>
      <w:r>
        <w:rPr>
          <w:rFonts w:hint="eastAsia" w:ascii="宋体" w:hAnsi="宋体" w:eastAsia="宋体" w:cs="宋体"/>
          <w:bCs/>
          <w:color w:val="000000" w:themeColor="text1"/>
          <w:kern w:val="28"/>
          <w:szCs w:val="24"/>
          <w:highlight w:val="none"/>
          <w14:textFill>
            <w14:solidFill>
              <w14:schemeClr w14:val="tx1"/>
            </w14:solidFill>
          </w14:textFill>
        </w:rPr>
        <w:t>期供配电工程</w:t>
      </w:r>
      <w:r>
        <w:rPr>
          <w:rFonts w:hint="eastAsia" w:ascii="宋体" w:hAnsi="宋体" w:eastAsia="宋体" w:cs="宋体"/>
          <w:color w:val="000000" w:themeColor="text1"/>
          <w:szCs w:val="24"/>
          <w:highlight w:val="none"/>
          <w:lang w:bidi="ar"/>
          <w14:textFill>
            <w14:solidFill>
              <w14:schemeClr w14:val="tx1"/>
            </w14:solidFill>
          </w14:textFill>
        </w:rPr>
        <w:t>设有：</w:t>
      </w:r>
      <w:r>
        <w:rPr>
          <w:rFonts w:hint="eastAsia" w:ascii="宋体" w:hAnsi="宋体" w:eastAsia="宋体" w:cs="宋体"/>
          <w:color w:val="000000" w:themeColor="text1"/>
          <w:kern w:val="1"/>
          <w:highlight w:val="none"/>
          <w14:textFill>
            <w14:solidFill>
              <w14:schemeClr w14:val="tx1"/>
            </w14:solidFill>
          </w14:textFill>
        </w:rPr>
        <w:t>公寓楼双电源配</w:t>
      </w:r>
      <w:r>
        <w:rPr>
          <w:rFonts w:hint="eastAsia" w:ascii="宋体" w:hAnsi="宋体" w:eastAsia="宋体" w:cs="宋体"/>
          <w:color w:val="000000" w:themeColor="text1"/>
          <w:kern w:val="1"/>
          <w:szCs w:val="24"/>
          <w:highlight w:val="none"/>
          <w:lang w:eastAsia="zh-CN"/>
          <w14:textFill>
            <w14:solidFill>
              <w14:schemeClr w14:val="tx1"/>
            </w14:solidFill>
          </w14:textFill>
        </w:rPr>
        <w:t>、</w:t>
      </w:r>
      <w:r>
        <w:rPr>
          <w:rFonts w:hint="eastAsia" w:ascii="宋体" w:hAnsi="宋体" w:eastAsia="宋体" w:cs="宋体"/>
          <w:color w:val="000000" w:themeColor="text1"/>
          <w:kern w:val="1"/>
          <w:highlight w:val="none"/>
          <w14:textFill>
            <w14:solidFill>
              <w14:schemeClr w14:val="tx1"/>
            </w14:solidFill>
          </w14:textFill>
        </w:rPr>
        <w:t>公寓楼单电源配</w:t>
      </w:r>
      <w:r>
        <w:rPr>
          <w:rFonts w:hint="eastAsia" w:ascii="宋体" w:hAnsi="宋体" w:eastAsia="宋体" w:cs="宋体"/>
          <w:color w:val="000000" w:themeColor="text1"/>
          <w:kern w:val="1"/>
          <w:szCs w:val="24"/>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充电桩专变</w:t>
      </w:r>
      <w:r>
        <w:rPr>
          <w:rFonts w:hint="eastAsia" w:ascii="宋体" w:hAnsi="宋体" w:eastAsia="宋体" w:cs="宋体"/>
          <w:color w:val="000000" w:themeColor="text1"/>
          <w:kern w:val="1"/>
          <w:szCs w:val="24"/>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商业专变</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kern w:val="1"/>
          <w:szCs w:val="24"/>
          <w:highlight w:val="none"/>
          <w14:textFill>
            <w14:solidFill>
              <w14:schemeClr w14:val="tx1"/>
            </w14:solidFill>
          </w14:textFill>
        </w:rPr>
        <w:t>用户专用配、1#住宅配、2#住宅配</w:t>
      </w:r>
      <w:r>
        <w:rPr>
          <w:rFonts w:hint="eastAsia" w:ascii="宋体" w:hAnsi="宋体" w:eastAsia="宋体" w:cs="宋体"/>
          <w:color w:val="000000" w:themeColor="text1"/>
          <w:szCs w:val="24"/>
          <w:highlight w:val="none"/>
          <w:lang w:bidi="ar"/>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lang w:bidi="ar"/>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6.2.2 </w:t>
      </w:r>
      <w:r>
        <w:rPr>
          <w:rFonts w:hint="eastAsia" w:ascii="宋体" w:hAnsi="宋体" w:eastAsia="宋体" w:cs="宋体"/>
          <w:color w:val="000000" w:themeColor="text1"/>
          <w:szCs w:val="24"/>
          <w:highlight w:val="none"/>
          <w:lang w:bidi="ar"/>
          <w14:textFill>
            <w14:solidFill>
              <w14:schemeClr w14:val="tx1"/>
            </w14:solidFill>
          </w14:textFill>
        </w:rPr>
        <w:t>高、低压配电网络均采用放射状树干式接线。</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lang w:bidi="ar"/>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6.2.3 </w:t>
      </w:r>
      <w:r>
        <w:rPr>
          <w:rFonts w:hint="eastAsia" w:ascii="宋体" w:hAnsi="宋体" w:eastAsia="宋体" w:cs="宋体"/>
          <w:color w:val="000000" w:themeColor="text1"/>
          <w:szCs w:val="24"/>
          <w:highlight w:val="none"/>
          <w:lang w:bidi="ar"/>
          <w14:textFill>
            <w14:solidFill>
              <w14:schemeClr w14:val="tx1"/>
            </w14:solidFill>
          </w14:textFill>
        </w:rPr>
        <w:t>电缆在电缆沟内敷设时，应打开电缆检查井，以便通风，在原有电缆沟内敷设电缆时，由于电缆沟内已有运行中的电缆，施工时应有安全技术措施。</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lang w:bidi="ar"/>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6.2.4 </w:t>
      </w:r>
      <w:r>
        <w:rPr>
          <w:rFonts w:hint="eastAsia" w:ascii="宋体" w:hAnsi="宋体" w:eastAsia="宋体" w:cs="宋体"/>
          <w:color w:val="000000" w:themeColor="text1"/>
          <w:szCs w:val="24"/>
          <w:highlight w:val="none"/>
          <w:lang w:bidi="ar"/>
          <w14:textFill>
            <w14:solidFill>
              <w14:schemeClr w14:val="tx1"/>
            </w14:solidFill>
          </w14:textFill>
        </w:rPr>
        <w:t>电缆敷设时电缆应放置在同一支架上，不得上下交替，以免影响其他电缆的安装，电缆弯曲半径不小于15倍的电缆外径。</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lang w:bidi="ar"/>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6.2.5 </w:t>
      </w:r>
      <w:r>
        <w:rPr>
          <w:rFonts w:hint="eastAsia" w:ascii="宋体" w:hAnsi="宋体" w:eastAsia="宋体" w:cs="宋体"/>
          <w:color w:val="000000" w:themeColor="text1"/>
          <w:szCs w:val="24"/>
          <w:highlight w:val="none"/>
          <w:lang w:bidi="ar"/>
          <w14:textFill>
            <w14:solidFill>
              <w14:schemeClr w14:val="tx1"/>
            </w14:solidFill>
          </w14:textFill>
        </w:rPr>
        <w:t>电缆及其保护管、电缆沟穿过不同区域之间的墙、板孔洞处及盘柜底开孔处，应以有效的阻燃性材料严密封堵，以防止小动物进出和防火的要求。</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lang w:bidi="ar"/>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6.2.6 </w:t>
      </w:r>
      <w:r>
        <w:rPr>
          <w:rFonts w:hint="eastAsia" w:ascii="宋体" w:hAnsi="宋体" w:eastAsia="宋体" w:cs="宋体"/>
          <w:color w:val="000000" w:themeColor="text1"/>
          <w:szCs w:val="24"/>
          <w:highlight w:val="none"/>
          <w:lang w:bidi="ar"/>
          <w14:textFill>
            <w14:solidFill>
              <w14:schemeClr w14:val="tx1"/>
            </w14:solidFill>
          </w14:textFill>
        </w:rPr>
        <w:t>电缆终端、引入建筑物应有余量，每个中间头亦应有余量。</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lang w:bidi="ar"/>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6.2.7 </w:t>
      </w:r>
      <w:r>
        <w:rPr>
          <w:rFonts w:hint="eastAsia" w:ascii="宋体" w:hAnsi="宋体" w:eastAsia="宋体" w:cs="宋体"/>
          <w:color w:val="000000" w:themeColor="text1"/>
          <w:szCs w:val="24"/>
          <w:highlight w:val="none"/>
          <w:lang w:bidi="ar"/>
          <w14:textFill>
            <w14:solidFill>
              <w14:schemeClr w14:val="tx1"/>
            </w14:solidFill>
          </w14:textFill>
        </w:rPr>
        <w:t>穿管电缆与热力管道、煤气管道交叉，相互间净距不得小于0.5米，穿管电缆应位于煤气，热力管路的下方。给水、污水管应位于穿管电缆垫层以下。穿管电缆定位现场确定（应躲开路边石，并与房屋净距大于500，并不得破坏房屋基础及持力层)。</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lang w:bidi="ar"/>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6.2.8 </w:t>
      </w:r>
      <w:r>
        <w:rPr>
          <w:rFonts w:hint="eastAsia" w:ascii="宋体" w:hAnsi="宋体" w:eastAsia="宋体" w:cs="宋体"/>
          <w:color w:val="000000" w:themeColor="text1"/>
          <w:szCs w:val="24"/>
          <w:highlight w:val="none"/>
          <w:lang w:bidi="ar"/>
          <w14:textFill>
            <w14:solidFill>
              <w14:schemeClr w14:val="tx1"/>
            </w14:solidFill>
          </w14:textFill>
        </w:rPr>
        <w:t>因对地下设施情况不明，施工时应注意调查地下障碍物，不得破坏原有管线，注意施工安全，如与沟管相交或平行，应与相关部门联系解决。地中穿管距地面距离不应小于0.7米。</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lang w:bidi="ar"/>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6.2.9 </w:t>
      </w:r>
      <w:r>
        <w:rPr>
          <w:rFonts w:hint="eastAsia" w:ascii="宋体" w:hAnsi="宋体" w:eastAsia="宋体" w:cs="宋体"/>
          <w:color w:val="000000" w:themeColor="text1"/>
          <w:szCs w:val="24"/>
          <w:highlight w:val="none"/>
          <w:lang w:bidi="ar"/>
          <w14:textFill>
            <w14:solidFill>
              <w14:schemeClr w14:val="tx1"/>
            </w14:solidFill>
          </w14:textFill>
        </w:rPr>
        <w:t>电缆在管内敷设，管口不得有毛刺，电缆弯曲半径不小于15倍的电缆外径。</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lang w:bidi="ar"/>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6.2.10 </w:t>
      </w:r>
      <w:r>
        <w:rPr>
          <w:rFonts w:hint="eastAsia" w:ascii="宋体" w:hAnsi="宋体" w:eastAsia="宋体" w:cs="宋体"/>
          <w:color w:val="000000" w:themeColor="text1"/>
          <w:szCs w:val="24"/>
          <w:highlight w:val="none"/>
          <w:lang w:bidi="ar"/>
          <w14:textFill>
            <w14:solidFill>
              <w14:schemeClr w14:val="tx1"/>
            </w14:solidFill>
          </w14:textFill>
        </w:rPr>
        <w:t>工程所用的电缆器材，设备及附件均应符合国际或专业标准的规定，并有产品合格证明。</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lang w:bidi="ar"/>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6.2.11 </w:t>
      </w:r>
      <w:r>
        <w:rPr>
          <w:rFonts w:hint="eastAsia" w:ascii="宋体" w:hAnsi="宋体" w:eastAsia="宋体" w:cs="宋体"/>
          <w:color w:val="000000" w:themeColor="text1"/>
          <w:szCs w:val="24"/>
          <w:highlight w:val="none"/>
          <w:lang w:bidi="ar"/>
          <w14:textFill>
            <w14:solidFill>
              <w14:schemeClr w14:val="tx1"/>
            </w14:solidFill>
          </w14:textFill>
        </w:rPr>
        <w:t>10kV电缆的具体安装位置由供电部门确定。</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lang w:bidi="ar"/>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6.2.12 </w:t>
      </w:r>
      <w:r>
        <w:rPr>
          <w:rFonts w:hint="eastAsia" w:ascii="宋体" w:hAnsi="宋体" w:eastAsia="宋体" w:cs="宋体"/>
          <w:color w:val="000000" w:themeColor="text1"/>
          <w:szCs w:val="24"/>
          <w:highlight w:val="none"/>
          <w:lang w:bidi="ar"/>
          <w14:textFill>
            <w14:solidFill>
              <w14:schemeClr w14:val="tx1"/>
            </w14:solidFill>
          </w14:textFill>
        </w:rPr>
        <w:t>在电缆终端头，电缆接头处检查井内的电缆上，应装设标志牌，标注牌上应注明线路名称，字迹应清晰，不易脱落。标志牌的规格宜统一，应能防腐，且挂装一个牢靠。</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lang w:bidi="ar"/>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6.2.13 </w:t>
      </w:r>
      <w:r>
        <w:rPr>
          <w:rFonts w:hint="eastAsia" w:ascii="宋体" w:hAnsi="宋体" w:eastAsia="宋体" w:cs="宋体"/>
          <w:color w:val="000000" w:themeColor="text1"/>
          <w:szCs w:val="24"/>
          <w:highlight w:val="none"/>
          <w:lang w:bidi="ar"/>
          <w14:textFill>
            <w14:solidFill>
              <w14:schemeClr w14:val="tx1"/>
            </w14:solidFill>
          </w14:textFill>
        </w:rPr>
        <w:t>电缆标志桩应在电缆转角处设置。</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lang w:bidi="ar"/>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6.2.14 </w:t>
      </w:r>
      <w:r>
        <w:rPr>
          <w:rFonts w:hint="eastAsia" w:ascii="宋体" w:hAnsi="宋体" w:eastAsia="宋体" w:cs="宋体"/>
          <w:color w:val="000000" w:themeColor="text1"/>
          <w:szCs w:val="24"/>
          <w:highlight w:val="none"/>
          <w:lang w:bidi="ar"/>
          <w14:textFill>
            <w14:solidFill>
              <w14:schemeClr w14:val="tx1"/>
            </w14:solidFill>
          </w14:textFill>
        </w:rPr>
        <w:t>电缆施工及验收，应遵照GB50168-92《电气装置安装工程电缆线路施工及验收规范》及其他现行有关标准规范的规定执行。</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6.2.15 </w:t>
      </w:r>
      <w:r>
        <w:rPr>
          <w:rFonts w:hint="eastAsia" w:ascii="宋体" w:hAnsi="宋体" w:eastAsia="宋体" w:cs="宋体"/>
          <w:color w:val="000000" w:themeColor="text1"/>
          <w:szCs w:val="24"/>
          <w:highlight w:val="none"/>
          <w:lang w:bidi="ar"/>
          <w14:textFill>
            <w14:solidFill>
              <w14:schemeClr w14:val="tx1"/>
            </w14:solidFill>
          </w14:textFill>
        </w:rPr>
        <w:t>未尽事宜，按现行国家标准和规范执行。</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2" w:firstLineChars="200"/>
        <w:jc w:val="both"/>
        <w:textAlignment w:val="auto"/>
        <w:outlineLvl w:val="9"/>
        <w:rPr>
          <w:rFonts w:hint="eastAsia" w:ascii="宋体" w:hAnsi="宋体" w:eastAsia="宋体" w:cs="宋体"/>
          <w:b/>
          <w:color w:val="000000" w:themeColor="text1"/>
          <w:szCs w:val="24"/>
          <w:highlight w:val="none"/>
          <w14:textFill>
            <w14:solidFill>
              <w14:schemeClr w14:val="tx1"/>
            </w14:solidFill>
          </w14:textFill>
        </w:rPr>
      </w:pPr>
      <w:r>
        <w:rPr>
          <w:rFonts w:hint="eastAsia" w:ascii="宋体" w:hAnsi="宋体" w:eastAsia="宋体" w:cs="宋体"/>
          <w:b/>
          <w:color w:val="000000" w:themeColor="text1"/>
          <w:szCs w:val="24"/>
          <w:highlight w:val="none"/>
          <w:lang w:bidi="ar"/>
          <w14:textFill>
            <w14:solidFill>
              <w14:schemeClr w14:val="tx1"/>
            </w14:solidFill>
          </w14:textFill>
        </w:rPr>
        <w:t>七、质量要求及验收</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7.1 </w:t>
      </w:r>
      <w:r>
        <w:rPr>
          <w:rFonts w:hint="eastAsia" w:ascii="宋体" w:hAnsi="宋体" w:eastAsia="宋体" w:cs="宋体"/>
          <w:color w:val="000000" w:themeColor="text1"/>
          <w:szCs w:val="24"/>
          <w:highlight w:val="none"/>
          <w:lang w:bidi="ar"/>
          <w14:textFill>
            <w14:solidFill>
              <w14:schemeClr w14:val="tx1"/>
            </w14:solidFill>
          </w14:textFill>
        </w:rPr>
        <w:t>工程质量达到合格标准。</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7.2 </w:t>
      </w:r>
      <w:r>
        <w:rPr>
          <w:rFonts w:hint="eastAsia" w:ascii="宋体" w:hAnsi="宋体" w:eastAsia="宋体" w:cs="宋体"/>
          <w:color w:val="000000" w:themeColor="text1"/>
          <w:szCs w:val="24"/>
          <w:highlight w:val="none"/>
          <w:lang w:bidi="ar"/>
          <w14:textFill>
            <w14:solidFill>
              <w14:schemeClr w14:val="tx1"/>
            </w14:solidFill>
          </w14:textFill>
        </w:rPr>
        <w:t>适用标准、规范：国家、河南省现行的供配电工程相关施工验收规范、标准。</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7.3 </w:t>
      </w:r>
      <w:r>
        <w:rPr>
          <w:rFonts w:hint="eastAsia" w:ascii="宋体" w:hAnsi="宋体" w:eastAsia="宋体" w:cs="宋体"/>
          <w:color w:val="000000" w:themeColor="text1"/>
          <w:szCs w:val="24"/>
          <w:highlight w:val="none"/>
          <w:lang w:bidi="ar"/>
          <w14:textFill>
            <w14:solidFill>
              <w14:schemeClr w14:val="tx1"/>
            </w14:solidFill>
          </w14:textFill>
        </w:rPr>
        <w:t>本工程要求一次验收合格率100%，同时满足图纸设计和甲方的要求。因乙方原因导致工程质量达不到工程质量目标，乙方应无条件返工直至达到合格标准，并承担由此造成的一切损失。同时，甲方不予工期顺延。</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7.4 </w:t>
      </w:r>
      <w:r>
        <w:rPr>
          <w:rFonts w:hint="eastAsia" w:ascii="宋体" w:hAnsi="宋体" w:eastAsia="宋体" w:cs="宋体"/>
          <w:color w:val="000000" w:themeColor="text1"/>
          <w:szCs w:val="24"/>
          <w:highlight w:val="none"/>
          <w:lang w:bidi="ar"/>
          <w14:textFill>
            <w14:solidFill>
              <w14:schemeClr w14:val="tx1"/>
            </w14:solidFill>
          </w14:textFill>
        </w:rPr>
        <w:t>施工中，凡出现质量不合格的分部分项工程经甲方、监理或政府相关部门提出进行返工的，乙方必须认真执行，并承担由此发生的全部费用，乙方并不能因此而获得工期顺延。</w:t>
      </w:r>
    </w:p>
    <w:p>
      <w:pPr>
        <w:keepNext w:val="0"/>
        <w:keepLines w:val="0"/>
        <w:pageBreakBefore w:val="0"/>
        <w:widowControl w:val="0"/>
        <w:tabs>
          <w:tab w:val="left" w:pos="630"/>
        </w:tabs>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7.5 </w:t>
      </w:r>
      <w:r>
        <w:rPr>
          <w:rFonts w:hint="eastAsia" w:ascii="宋体" w:hAnsi="宋体" w:eastAsia="宋体" w:cs="宋体"/>
          <w:color w:val="000000" w:themeColor="text1"/>
          <w:szCs w:val="24"/>
          <w:highlight w:val="none"/>
          <w:lang w:bidi="ar"/>
          <w14:textFill>
            <w14:solidFill>
              <w14:schemeClr w14:val="tx1"/>
            </w14:solidFill>
          </w14:textFill>
        </w:rPr>
        <w:t>施工期间，乙方必须认真执行甲方及监理单位对工程施工的管理要求。如乙方不能认真完成相关的管理要求，监理将根据情况对乙方下发《整改通知书》，乙方在接到《整改通知书》后须按要求整改，否则，监理将继续下达《整改通知书》。同一事项从第二次下达《整改通知书》后，每同一事项再下发一次《整改通知书》乙方应补偿甲方500元，且整改期间工期不予顺延。</w:t>
      </w:r>
    </w:p>
    <w:p>
      <w:pPr>
        <w:keepNext w:val="0"/>
        <w:keepLines w:val="0"/>
        <w:pageBreakBefore w:val="0"/>
        <w:widowControl w:val="0"/>
        <w:tabs>
          <w:tab w:val="left" w:pos="630"/>
        </w:tabs>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7.6 </w:t>
      </w:r>
      <w:r>
        <w:rPr>
          <w:rFonts w:hint="eastAsia" w:ascii="宋体" w:hAnsi="宋体" w:eastAsia="宋体" w:cs="宋体"/>
          <w:color w:val="000000" w:themeColor="text1"/>
          <w:szCs w:val="24"/>
          <w:highlight w:val="none"/>
          <w:lang w:bidi="ar"/>
          <w14:textFill>
            <w14:solidFill>
              <w14:schemeClr w14:val="tx1"/>
            </w14:solidFill>
          </w14:textFill>
        </w:rPr>
        <w:t>隐蔽工程由乙方书面通知甲方、监理，由甲方 、监理相关工程技术人员到现场检查验收，经验收合格后并履行隐蔽工程签证手续，乙方可将该部位隐蔽，若甲方验证合格后48小时内未履行签证手续，乙方可视为甲方同意隐蔽。</w:t>
      </w:r>
    </w:p>
    <w:p>
      <w:pPr>
        <w:keepNext w:val="0"/>
        <w:keepLines w:val="0"/>
        <w:pageBreakBefore w:val="0"/>
        <w:widowControl w:val="0"/>
        <w:tabs>
          <w:tab w:val="left" w:pos="630"/>
        </w:tabs>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7.7 </w:t>
      </w:r>
      <w:r>
        <w:rPr>
          <w:rFonts w:hint="eastAsia" w:ascii="宋体" w:hAnsi="宋体" w:eastAsia="宋体" w:cs="宋体"/>
          <w:color w:val="000000" w:themeColor="text1"/>
          <w:szCs w:val="24"/>
          <w:highlight w:val="none"/>
          <w:lang w:bidi="ar"/>
          <w14:textFill>
            <w14:solidFill>
              <w14:schemeClr w14:val="tx1"/>
            </w14:solidFill>
          </w14:textFill>
        </w:rPr>
        <w:t>分项工程安装完毕，乙方应通过自查自检，认为合格后，通知甲方、监理验收，验收合格后，甲方、监理应及时给予办理验收签证手续。</w:t>
      </w:r>
    </w:p>
    <w:p>
      <w:pPr>
        <w:keepNext w:val="0"/>
        <w:keepLines w:val="0"/>
        <w:pageBreakBefore w:val="0"/>
        <w:widowControl w:val="0"/>
        <w:tabs>
          <w:tab w:val="left" w:pos="630"/>
        </w:tabs>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7.8 </w:t>
      </w:r>
      <w:r>
        <w:rPr>
          <w:rFonts w:hint="eastAsia" w:ascii="宋体" w:hAnsi="宋体" w:eastAsia="宋体" w:cs="宋体"/>
          <w:color w:val="000000" w:themeColor="text1"/>
          <w:szCs w:val="24"/>
          <w:highlight w:val="none"/>
          <w:lang w:bidi="ar"/>
          <w14:textFill>
            <w14:solidFill>
              <w14:schemeClr w14:val="tx1"/>
            </w14:solidFill>
          </w14:textFill>
        </w:rPr>
        <w:t>工程竣工后，乙方通过自检、自查，并进行调试、开通、试运行正常后，认为具备条件时，向甲方及总包单位提交竣工验收报告和完整的竣工资料（含竣工图、变更资料、验收报告、产品使用说明书、联系单、测试报告等）一式二份。</w:t>
      </w:r>
    </w:p>
    <w:p>
      <w:pPr>
        <w:keepNext w:val="0"/>
        <w:keepLines w:val="0"/>
        <w:pageBreakBefore w:val="0"/>
        <w:widowControl w:val="0"/>
        <w:tabs>
          <w:tab w:val="left" w:pos="630"/>
        </w:tabs>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lang w:bidi="ar"/>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7.9 </w:t>
      </w:r>
      <w:r>
        <w:rPr>
          <w:rFonts w:hint="eastAsia" w:ascii="宋体" w:hAnsi="宋体" w:eastAsia="宋体" w:cs="宋体"/>
          <w:color w:val="000000" w:themeColor="text1"/>
          <w:szCs w:val="24"/>
          <w:highlight w:val="none"/>
          <w:lang w:bidi="ar"/>
          <w14:textFill>
            <w14:solidFill>
              <w14:schemeClr w14:val="tx1"/>
            </w14:solidFill>
          </w14:textFill>
        </w:rPr>
        <w:t>乙方负责在施工过程中与电力监督部门进行接洽沟通，并负责施工过程中的政府部门检查与项目资料申报。承包人负责办理送电手续、正式送电、电力监督部门验收手续及负担有关费用，验收合格后，承包人应向发包人提供工程验收合格证书。对于验收中存在的施工问题承包方应无条件进行整改，涉及不同标段相连结的施工问题，承办方应主动进行协调并解决问题。</w:t>
      </w:r>
    </w:p>
    <w:p>
      <w:pPr>
        <w:pStyle w:val="9"/>
        <w:keepNext w:val="0"/>
        <w:keepLines w:val="0"/>
        <w:pageBreakBefore w:val="0"/>
        <w:widowControl w:val="0"/>
        <w:tabs>
          <w:tab w:val="left" w:pos="6480"/>
        </w:tabs>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both"/>
        <w:textAlignment w:val="auto"/>
        <w:outlineLvl w:val="9"/>
        <w:rPr>
          <w:rFonts w:hint="eastAsia" w:ascii="宋体" w:hAnsi="宋体" w:eastAsia="宋体" w:cs="宋体"/>
          <w:b/>
          <w:color w:val="000000" w:themeColor="text1"/>
          <w:highlight w:val="none"/>
          <w:lang w:val="en-US" w:eastAsia="zh-CN"/>
          <w14:textFill>
            <w14:solidFill>
              <w14:schemeClr w14:val="tx1"/>
            </w14:solidFill>
          </w14:textFill>
        </w:rPr>
      </w:pPr>
      <w:r>
        <w:rPr>
          <w:rFonts w:hint="eastAsia" w:ascii="宋体" w:hAnsi="宋体" w:eastAsia="宋体" w:cs="宋体"/>
          <w:b/>
          <w:color w:val="000000" w:themeColor="text1"/>
          <w:kern w:val="1"/>
          <w:highlight w:val="none"/>
          <w:lang w:bidi="ar"/>
          <w14:textFill>
            <w14:solidFill>
              <w14:schemeClr w14:val="tx1"/>
            </w14:solidFill>
          </w14:textFill>
        </w:rPr>
        <w:t>八、工程变更</w:t>
      </w:r>
      <w:r>
        <w:rPr>
          <w:rFonts w:hint="eastAsia" w:hAnsi="宋体" w:cs="宋体"/>
          <w:b/>
          <w:color w:val="000000" w:themeColor="text1"/>
          <w:kern w:val="1"/>
          <w:highlight w:val="none"/>
          <w:lang w:val="en-US" w:eastAsia="zh-CN" w:bidi="ar"/>
          <w14:textFill>
            <w14:solidFill>
              <w14:schemeClr w14:val="tx1"/>
            </w14:solidFill>
          </w14:textFill>
        </w:rPr>
        <w:t>签证</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kern w:val="1"/>
          <w:highlight w:val="none"/>
          <w:lang w:val="en-US" w:eastAsia="zh-CN" w:bidi="ar"/>
          <w14:textFill>
            <w14:solidFill>
              <w14:schemeClr w14:val="tx1"/>
            </w14:solidFill>
          </w14:textFill>
        </w:rPr>
        <w:t xml:space="preserve">8.1 </w:t>
      </w:r>
      <w:r>
        <w:rPr>
          <w:rFonts w:hint="eastAsia" w:ascii="宋体" w:hAnsi="宋体" w:eastAsia="宋体" w:cs="宋体"/>
          <w:color w:val="000000" w:themeColor="text1"/>
          <w:kern w:val="1"/>
          <w:highlight w:val="none"/>
          <w:lang w:bidi="ar"/>
          <w14:textFill>
            <w14:solidFill>
              <w14:schemeClr w14:val="tx1"/>
            </w14:solidFill>
          </w14:textFill>
        </w:rPr>
        <w:t>乙方应严格按照经甲方核审签认的施工图纸施工，不得随意变更；若确须变更，应按程序报甲方同意后，方可变更施工。否则造成的一切后果均由乙方负责。</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kern w:val="1"/>
          <w:highlight w:val="none"/>
          <w:lang w:val="en-US" w:eastAsia="zh-CN" w:bidi="ar"/>
          <w14:textFill>
            <w14:solidFill>
              <w14:schemeClr w14:val="tx1"/>
            </w14:solidFill>
          </w14:textFill>
        </w:rPr>
        <w:t xml:space="preserve">8.2 </w:t>
      </w:r>
      <w:r>
        <w:rPr>
          <w:rFonts w:hint="eastAsia" w:ascii="宋体" w:hAnsi="宋体" w:eastAsia="宋体" w:cs="宋体"/>
          <w:color w:val="000000" w:themeColor="text1"/>
          <w:kern w:val="1"/>
          <w:highlight w:val="none"/>
          <w:lang w:bidi="ar"/>
          <w14:textFill>
            <w14:solidFill>
              <w14:schemeClr w14:val="tx1"/>
            </w14:solidFill>
          </w14:textFill>
        </w:rPr>
        <w:t>施工过程中，若甲方需要增减项目或变更项目应提前以书面形式通知乙方，</w:t>
      </w:r>
      <w:r>
        <w:rPr>
          <w:rFonts w:hint="eastAsia" w:ascii="宋体" w:hAnsi="宋体" w:eastAsia="宋体" w:cs="宋体"/>
          <w:color w:val="000000" w:themeColor="text1"/>
          <w:highlight w:val="none"/>
          <w14:textFill>
            <w14:solidFill>
              <w14:schemeClr w14:val="tx1"/>
            </w14:solidFill>
          </w14:textFill>
        </w:rPr>
        <w:t>接到通知后，乙方应立即执行增减或变更后的项目，否则一切损失由乙方负担</w:t>
      </w:r>
      <w:r>
        <w:rPr>
          <w:rFonts w:hint="eastAsia" w:ascii="宋体" w:hAnsi="宋体" w:eastAsia="宋体" w:cs="宋体"/>
          <w:color w:val="000000" w:themeColor="text1"/>
          <w:kern w:val="1"/>
          <w:highlight w:val="none"/>
          <w:lang w:bidi="ar"/>
          <w14:textFill>
            <w14:solidFill>
              <w14:schemeClr w14:val="tx1"/>
            </w14:solidFill>
          </w14:textFill>
        </w:rPr>
        <w:t>。</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kern w:val="1"/>
          <w:highlight w:val="none"/>
          <w:lang w:val="en-US" w:eastAsia="zh-CN" w:bidi="ar"/>
          <w14:textFill>
            <w14:solidFill>
              <w14:schemeClr w14:val="tx1"/>
            </w14:solidFill>
          </w14:textFill>
        </w:rPr>
        <w:t xml:space="preserve">8.3 </w:t>
      </w:r>
      <w:r>
        <w:rPr>
          <w:rFonts w:hint="eastAsia" w:ascii="宋体" w:hAnsi="宋体" w:eastAsia="宋体" w:cs="宋体"/>
          <w:color w:val="000000" w:themeColor="text1"/>
          <w:kern w:val="1"/>
          <w:highlight w:val="none"/>
          <w:lang w:bidi="ar"/>
          <w14:textFill>
            <w14:solidFill>
              <w14:schemeClr w14:val="tx1"/>
            </w14:solidFill>
          </w14:textFill>
        </w:rPr>
        <w:t>施工中承包人不得擅自对原工程设计进行变更。因承包人擅自变更设计发生的费用和由此导致的直接经济损失，由承包人承担，延误的工期不予顺延。</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kern w:val="1"/>
          <w:szCs w:val="24"/>
          <w:highlight w:val="none"/>
          <w:lang w:bidi="ar"/>
          <w14:textFill>
            <w14:solidFill>
              <w14:schemeClr w14:val="tx1"/>
            </w14:solidFill>
          </w14:textFill>
        </w:rPr>
      </w:pPr>
      <w:r>
        <w:rPr>
          <w:rFonts w:hint="eastAsia" w:hAnsi="宋体" w:cs="宋体"/>
          <w:color w:val="000000" w:themeColor="text1"/>
          <w:kern w:val="1"/>
          <w:szCs w:val="24"/>
          <w:highlight w:val="none"/>
          <w:lang w:val="en-US" w:eastAsia="zh-CN" w:bidi="ar"/>
          <w14:textFill>
            <w14:solidFill>
              <w14:schemeClr w14:val="tx1"/>
            </w14:solidFill>
          </w14:textFill>
        </w:rPr>
        <w:t xml:space="preserve">8.4 </w:t>
      </w:r>
      <w:r>
        <w:rPr>
          <w:rFonts w:hint="eastAsia" w:ascii="宋体" w:hAnsi="宋体" w:eastAsia="宋体" w:cs="宋体"/>
          <w:color w:val="000000" w:themeColor="text1"/>
          <w:kern w:val="1"/>
          <w:szCs w:val="24"/>
          <w:highlight w:val="none"/>
          <w:lang w:bidi="ar"/>
          <w14:textFill>
            <w14:solidFill>
              <w14:schemeClr w14:val="tx1"/>
            </w14:solidFill>
          </w14:textFill>
        </w:rPr>
        <w:t>变更、签证计价办法：</w:t>
      </w:r>
      <w:r>
        <w:rPr>
          <w:rFonts w:hint="eastAsia" w:ascii="宋体" w:hAnsi="宋体" w:eastAsia="宋体" w:cs="宋体"/>
          <w:color w:val="000000" w:themeColor="text1"/>
          <w:kern w:val="1"/>
          <w:highlight w:val="none"/>
          <w:lang w:bidi="ar"/>
          <w14:textFill>
            <w14:solidFill>
              <w14:schemeClr w14:val="tx1"/>
            </w14:solidFill>
          </w14:textFill>
        </w:rPr>
        <w:t>因设计变更</w:t>
      </w:r>
      <w:r>
        <w:rPr>
          <w:rFonts w:hint="eastAsia" w:ascii="宋体" w:hAnsi="宋体" w:eastAsia="宋体" w:cs="宋体"/>
          <w:color w:val="000000" w:themeColor="text1"/>
          <w:kern w:val="1"/>
          <w:highlight w:val="none"/>
          <w:lang w:eastAsia="zh-CN" w:bidi="ar"/>
          <w14:textFill>
            <w14:solidFill>
              <w14:schemeClr w14:val="tx1"/>
            </w14:solidFill>
          </w14:textFill>
        </w:rPr>
        <w:t>、</w:t>
      </w:r>
      <w:r>
        <w:rPr>
          <w:rFonts w:hint="eastAsia" w:ascii="宋体" w:hAnsi="宋体" w:eastAsia="宋体" w:cs="宋体"/>
          <w:color w:val="000000" w:themeColor="text1"/>
          <w:kern w:val="1"/>
          <w:highlight w:val="none"/>
          <w:lang w:val="en-US" w:eastAsia="zh-CN" w:bidi="ar"/>
          <w14:textFill>
            <w14:solidFill>
              <w14:schemeClr w14:val="tx1"/>
            </w14:solidFill>
          </w14:textFill>
        </w:rPr>
        <w:t>签证</w:t>
      </w:r>
      <w:r>
        <w:rPr>
          <w:rFonts w:hint="eastAsia" w:ascii="宋体" w:hAnsi="宋体" w:eastAsia="宋体" w:cs="宋体"/>
          <w:color w:val="000000" w:themeColor="text1"/>
          <w:kern w:val="1"/>
          <w:highlight w:val="none"/>
          <w:lang w:bidi="ar"/>
          <w14:textFill>
            <w14:solidFill>
              <w14:schemeClr w14:val="tx1"/>
            </w14:solidFill>
          </w14:textFill>
        </w:rPr>
        <w:t>引起部分分项工程子目的增减，该子项目的综合单价在合同中有相同子目的执行相同子目的单价，合同中有相近子目的按相近子目执行，若合同中无适用或类似于变更、签证工程综合单价的，按照&lt;河南省房屋建筑与装饰工程预算定额（HA 01-31-2016）&gt;&lt;河南省通用安装工程预算定额（HA 02-31-2016）及配套的取费文件执行，材料按照施工时间同期的《河南省建设工程造价信息洛阳专刊》中的平均价格调整差价</w:t>
      </w:r>
      <w:r>
        <w:rPr>
          <w:rFonts w:hint="eastAsia" w:ascii="宋体" w:hAnsi="宋体" w:eastAsia="宋体" w:cs="宋体"/>
          <w:color w:val="000000" w:themeColor="text1"/>
          <w:kern w:val="1"/>
          <w:highlight w:val="none"/>
          <w:lang w:eastAsia="zh-CN" w:bidi="ar"/>
          <w14:textFill>
            <w14:solidFill>
              <w14:schemeClr w14:val="tx1"/>
            </w14:solidFill>
          </w14:textFill>
        </w:rPr>
        <w:t>，</w:t>
      </w:r>
      <w:r>
        <w:rPr>
          <w:rFonts w:hint="eastAsia" w:ascii="宋体" w:hAnsi="宋体" w:eastAsia="宋体" w:cs="宋体"/>
          <w:color w:val="000000" w:themeColor="text1"/>
          <w:kern w:val="1"/>
          <w:szCs w:val="24"/>
          <w:highlight w:val="none"/>
          <w:lang w:bidi="ar"/>
          <w14:textFill>
            <w14:solidFill>
              <w14:schemeClr w14:val="tx1"/>
            </w14:solidFill>
          </w14:textFill>
        </w:rPr>
        <w:t>总价下浮</w:t>
      </w:r>
      <w:r>
        <w:rPr>
          <w:rFonts w:hint="eastAsia" w:ascii="宋体" w:hAnsi="宋体" w:eastAsia="宋体" w:cs="宋体"/>
          <w:color w:val="000000" w:themeColor="text1"/>
          <w:kern w:val="1"/>
          <w:szCs w:val="24"/>
          <w:highlight w:val="none"/>
          <w:u w:val="single"/>
          <w:lang w:bidi="ar"/>
          <w14:textFill>
            <w14:solidFill>
              <w14:schemeClr w14:val="tx1"/>
            </w14:solidFill>
          </w14:textFill>
        </w:rPr>
        <w:t xml:space="preserve"> 15 </w:t>
      </w:r>
      <w:r>
        <w:rPr>
          <w:rFonts w:hint="eastAsia" w:ascii="宋体" w:hAnsi="宋体" w:eastAsia="宋体" w:cs="宋体"/>
          <w:color w:val="000000" w:themeColor="text1"/>
          <w:kern w:val="1"/>
          <w:szCs w:val="24"/>
          <w:highlight w:val="none"/>
          <w:lang w:bidi="ar"/>
          <w14:textFill>
            <w14:solidFill>
              <w14:schemeClr w14:val="tx1"/>
            </w14:solidFill>
          </w14:textFill>
        </w:rPr>
        <w:t>%，不计取二次搬运费、夜间施工措施费、冬雨季节施工措施费、高层建筑增加费</w:t>
      </w:r>
      <w:r>
        <w:rPr>
          <w:rFonts w:hint="eastAsia" w:ascii="宋体" w:hAnsi="宋体" w:eastAsia="宋体" w:cs="宋体"/>
          <w:color w:val="000000" w:themeColor="text1"/>
          <w:kern w:val="1"/>
          <w:szCs w:val="24"/>
          <w:highlight w:val="none"/>
          <w:lang w:eastAsia="zh-CN" w:bidi="ar"/>
          <w14:textFill>
            <w14:solidFill>
              <w14:schemeClr w14:val="tx1"/>
            </w14:solidFill>
          </w14:textFill>
        </w:rPr>
        <w:t>。</w:t>
      </w:r>
      <w:r>
        <w:rPr>
          <w:rFonts w:hint="eastAsia" w:ascii="宋体" w:hAnsi="宋体" w:eastAsia="宋体" w:cs="宋体"/>
          <w:color w:val="000000" w:themeColor="text1"/>
          <w:kern w:val="1"/>
          <w:highlight w:val="none"/>
          <w:lang w:bidi="ar"/>
          <w14:textFill>
            <w14:solidFill>
              <w14:schemeClr w14:val="tx1"/>
            </w14:solidFill>
          </w14:textFill>
        </w:rPr>
        <w:t>本工程脚手架及成品保护费等措施费为一次性包干费用，已包含在合同价内，结算时不再调整。</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2" w:firstLineChars="200"/>
        <w:jc w:val="both"/>
        <w:textAlignment w:val="auto"/>
        <w:outlineLvl w:val="9"/>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九、</w:t>
      </w:r>
      <w:r>
        <w:rPr>
          <w:rFonts w:hint="eastAsia" w:ascii="宋体" w:hAnsi="宋体" w:eastAsia="宋体" w:cs="宋体"/>
          <w:b/>
          <w:bCs/>
          <w:color w:val="000000" w:themeColor="text1"/>
          <w:spacing w:val="0"/>
          <w:kern w:val="24"/>
          <w:position w:val="0"/>
          <w:sz w:val="24"/>
          <w:szCs w:val="24"/>
          <w:highlight w:val="none"/>
          <w:vertAlign w:val="baseline"/>
          <w14:textFill>
            <w14:solidFill>
              <w14:schemeClr w14:val="tx1"/>
            </w14:solidFill>
          </w14:textFill>
        </w:rPr>
        <w:t>竣工</w:t>
      </w:r>
      <w:r>
        <w:rPr>
          <w:rFonts w:hint="eastAsia" w:ascii="宋体" w:hAnsi="宋体" w:eastAsia="宋体" w:cs="宋体"/>
          <w:b/>
          <w:bCs/>
          <w:color w:val="000000" w:themeColor="text1"/>
          <w:highlight w:val="none"/>
          <w14:textFill>
            <w14:solidFill>
              <w14:schemeClr w14:val="tx1"/>
            </w14:solidFill>
          </w14:textFill>
        </w:rPr>
        <w:t xml:space="preserve">结算 </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kern w:val="2"/>
          <w:highlight w:val="none"/>
          <w:lang w:bidi="ar"/>
          <w14:textFill>
            <w14:solidFill>
              <w14:schemeClr w14:val="tx1"/>
            </w14:solidFill>
          </w14:textFill>
        </w:rPr>
      </w:pPr>
      <w:r>
        <w:rPr>
          <w:rFonts w:hint="eastAsia" w:hAnsi="宋体" w:cs="宋体"/>
          <w:color w:val="000000" w:themeColor="text1"/>
          <w:kern w:val="2"/>
          <w:highlight w:val="none"/>
          <w:lang w:val="en-US" w:eastAsia="zh-CN" w:bidi="ar"/>
          <w14:textFill>
            <w14:solidFill>
              <w14:schemeClr w14:val="tx1"/>
            </w14:solidFill>
          </w14:textFill>
        </w:rPr>
        <w:t xml:space="preserve">9.1 </w:t>
      </w:r>
      <w:r>
        <w:rPr>
          <w:rFonts w:hint="eastAsia" w:ascii="宋体" w:hAnsi="宋体" w:eastAsia="宋体" w:cs="宋体"/>
          <w:color w:val="000000" w:themeColor="text1"/>
          <w:kern w:val="2"/>
          <w:highlight w:val="none"/>
          <w:lang w:bidi="ar"/>
          <w14:textFill>
            <w14:solidFill>
              <w14:schemeClr w14:val="tx1"/>
            </w14:solidFill>
          </w14:textFill>
        </w:rPr>
        <w:t>结算：结算价款=合同固定总价±变更签证-应扣费用；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 xml:space="preserve">9.2 </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结算依据：发包人审核签认的施工设计图纸、发包人认可的变更签证、施工合同、补充协议、招标、投标文件等。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注明：技术核定单、洽商单、工作联系单、施工组织设计、会议纪要等不作为结算依据。</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 xml:space="preserve">9.3 </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承包人报送预结算额经核对后，若审减额超过报送金额5%，承包人承担总审减额的3%费用，从结算金额中直接扣除。</w:t>
      </w:r>
    </w:p>
    <w:p>
      <w:pPr>
        <w:keepNext w:val="0"/>
        <w:keepLines w:val="0"/>
        <w:pageBreakBefore w:val="0"/>
        <w:widowControl w:val="0"/>
        <w:kinsoku/>
        <w:wordWrap/>
        <w:overflowPunct/>
        <w:topLinePunct w:val="0"/>
        <w:autoSpaceDE/>
        <w:autoSpaceDN/>
        <w:bidi w:val="0"/>
        <w:adjustRightInd/>
        <w:snapToGrid/>
        <w:spacing w:before="0" w:after="0" w:line="360" w:lineRule="auto"/>
        <w:ind w:left="0" w:firstLine="482" w:firstLineChars="200"/>
        <w:textAlignment w:val="auto"/>
        <w:outlineLvl w:val="9"/>
        <w:rPr>
          <w:rFonts w:hint="eastAsia" w:ascii="宋体" w:hAnsi="宋体" w:eastAsia="宋体" w:cs="宋体"/>
          <w:b/>
          <w:bCs/>
          <w:color w:val="000000" w:themeColor="text1"/>
          <w:spacing w:val="0"/>
          <w:kern w:val="24"/>
          <w:position w:val="0"/>
          <w:sz w:val="24"/>
          <w:szCs w:val="24"/>
          <w:highlight w:val="none"/>
          <w:vertAlign w:val="baseline"/>
          <w:lang w:eastAsia="zh-CN"/>
          <w14:textFill>
            <w14:solidFill>
              <w14:schemeClr w14:val="tx1"/>
            </w14:solidFill>
          </w14:textFill>
        </w:rPr>
      </w:pPr>
      <w:r>
        <w:rPr>
          <w:rFonts w:hint="eastAsia" w:ascii="宋体" w:hAnsi="宋体" w:cs="宋体"/>
          <w:b/>
          <w:bCs/>
          <w:color w:val="000000" w:themeColor="text1"/>
          <w:spacing w:val="0"/>
          <w:kern w:val="24"/>
          <w:position w:val="0"/>
          <w:sz w:val="24"/>
          <w:szCs w:val="24"/>
          <w:highlight w:val="none"/>
          <w:vertAlign w:val="baseline"/>
          <w:lang w:eastAsia="zh-CN"/>
          <w14:textFill>
            <w14:solidFill>
              <w14:schemeClr w14:val="tx1"/>
            </w14:solidFill>
          </w14:textFill>
        </w:rPr>
        <w:t>十</w:t>
      </w:r>
      <w:r>
        <w:rPr>
          <w:rFonts w:hint="eastAsia" w:ascii="宋体" w:hAnsi="宋体" w:eastAsia="宋体" w:cs="宋体"/>
          <w:b/>
          <w:bCs/>
          <w:color w:val="000000" w:themeColor="text1"/>
          <w:spacing w:val="0"/>
          <w:kern w:val="24"/>
          <w:position w:val="0"/>
          <w:sz w:val="24"/>
          <w:szCs w:val="24"/>
          <w:highlight w:val="none"/>
          <w:vertAlign w:val="baseline"/>
          <w14:textFill>
            <w14:solidFill>
              <w14:schemeClr w14:val="tx1"/>
            </w14:solidFill>
          </w14:textFill>
        </w:rPr>
        <w:t>、工程价款支付</w:t>
      </w:r>
      <w:r>
        <w:rPr>
          <w:rFonts w:hint="eastAsia" w:ascii="宋体" w:hAnsi="宋体" w:cs="宋体"/>
          <w:b/>
          <w:bCs/>
          <w:color w:val="000000" w:themeColor="text1"/>
          <w:spacing w:val="0"/>
          <w:kern w:val="24"/>
          <w:position w:val="0"/>
          <w:sz w:val="24"/>
          <w:szCs w:val="24"/>
          <w:highlight w:val="none"/>
          <w:vertAlign w:val="baseline"/>
          <w:lang w:eastAsia="zh-CN"/>
          <w14:textFill>
            <w14:solidFill>
              <w14:schemeClr w14:val="tx1"/>
            </w14:solidFill>
          </w14:textFill>
        </w:rPr>
        <w:t>及涉税条款</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kern w:val="2"/>
          <w:highlight w:val="none"/>
          <w:lang w:bidi="ar"/>
          <w14:textFill>
            <w14:solidFill>
              <w14:schemeClr w14:val="tx1"/>
            </w14:solidFill>
          </w14:textFill>
        </w:rPr>
      </w:pPr>
      <w:r>
        <w:rPr>
          <w:rFonts w:hint="eastAsia" w:hAnsi="宋体" w:cs="宋体"/>
          <w:color w:val="000000" w:themeColor="text1"/>
          <w:kern w:val="2"/>
          <w:highlight w:val="none"/>
          <w:lang w:val="en-US" w:eastAsia="zh-CN" w:bidi="ar"/>
          <w14:textFill>
            <w14:solidFill>
              <w14:schemeClr w14:val="tx1"/>
            </w14:solidFill>
          </w14:textFill>
        </w:rPr>
        <w:t xml:space="preserve">10.1 </w:t>
      </w:r>
      <w:r>
        <w:rPr>
          <w:rFonts w:hint="eastAsia" w:ascii="宋体" w:hAnsi="宋体" w:eastAsia="宋体" w:cs="宋体"/>
          <w:color w:val="000000" w:themeColor="text1"/>
          <w:kern w:val="2"/>
          <w:highlight w:val="none"/>
          <w:lang w:bidi="ar"/>
          <w14:textFill>
            <w14:solidFill>
              <w14:schemeClr w14:val="tx1"/>
            </w14:solidFill>
          </w14:textFill>
        </w:rPr>
        <w:t>工程款支付：根据工程进度分阶段施工、分阶段付款。</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kern w:val="1"/>
          <w:szCs w:val="24"/>
          <w:highlight w:val="none"/>
          <w14:textFill>
            <w14:solidFill>
              <w14:schemeClr w14:val="tx1"/>
            </w14:solidFill>
          </w14:textFill>
        </w:rPr>
      </w:pPr>
      <w:r>
        <w:rPr>
          <w:rFonts w:hint="eastAsia" w:ascii="宋体" w:hAnsi="宋体" w:cs="宋体"/>
          <w:color w:val="000000" w:themeColor="text1"/>
          <w:kern w:val="1"/>
          <w:szCs w:val="24"/>
          <w:highlight w:val="none"/>
          <w:lang w:val="en-US" w:eastAsia="zh-CN"/>
          <w14:textFill>
            <w14:solidFill>
              <w14:schemeClr w14:val="tx1"/>
            </w14:solidFill>
          </w14:textFill>
        </w:rPr>
        <w:t>10.1</w:t>
      </w:r>
      <w:r>
        <w:rPr>
          <w:rFonts w:hint="eastAsia" w:ascii="宋体" w:hAnsi="宋体" w:eastAsia="宋体" w:cs="宋体"/>
          <w:color w:val="000000" w:themeColor="text1"/>
          <w:kern w:val="1"/>
          <w:szCs w:val="24"/>
          <w:highlight w:val="none"/>
          <w14:textFill>
            <w14:solidFill>
              <w14:schemeClr w14:val="tx1"/>
            </w14:solidFill>
          </w14:textFill>
        </w:rPr>
        <w:t>.1</w:t>
      </w:r>
      <w:r>
        <w:rPr>
          <w:rFonts w:hint="eastAsia" w:ascii="宋体" w:hAnsi="宋体" w:cs="宋体"/>
          <w:color w:val="000000" w:themeColor="text1"/>
          <w:kern w:val="1"/>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1"/>
          <w:szCs w:val="24"/>
          <w:highlight w:val="none"/>
          <w14:textFill>
            <w14:solidFill>
              <w14:schemeClr w14:val="tx1"/>
            </w14:solidFill>
          </w14:textFill>
        </w:rPr>
        <w:t>第一阶段：</w:t>
      </w:r>
      <w:r>
        <w:rPr>
          <w:rFonts w:hint="eastAsia" w:ascii="宋体" w:hAnsi="宋体" w:eastAsia="宋体" w:cs="宋体"/>
          <w:color w:val="000000" w:themeColor="text1"/>
          <w:spacing w:val="12"/>
          <w:kern w:val="1"/>
          <w:szCs w:val="24"/>
          <w:highlight w:val="none"/>
          <w:shd w:val="clear" w:color="auto" w:fill="FFFFFF"/>
          <w14:textFill>
            <w14:solidFill>
              <w14:schemeClr w14:val="tx1"/>
            </w14:solidFill>
          </w14:textFill>
        </w:rPr>
        <w:t>土建及配套安装</w:t>
      </w:r>
      <w:r>
        <w:rPr>
          <w:rFonts w:hint="eastAsia" w:ascii="宋体" w:hAnsi="宋体" w:eastAsia="宋体" w:cs="宋体"/>
          <w:color w:val="000000" w:themeColor="text1"/>
          <w:kern w:val="1"/>
          <w:szCs w:val="24"/>
          <w:highlight w:val="none"/>
          <w14:textFill>
            <w14:solidFill>
              <w14:schemeClr w14:val="tx1"/>
            </w14:solidFill>
          </w14:textFill>
        </w:rPr>
        <w:t>部分施工完成（包括：设备房墙面及天棚粉刷、</w:t>
      </w:r>
      <w:r>
        <w:rPr>
          <w:rFonts w:hint="eastAsia" w:ascii="宋体" w:hAnsi="宋体" w:eastAsia="宋体" w:cs="宋体"/>
          <w:color w:val="000000" w:themeColor="text1"/>
          <w:kern w:val="1"/>
          <w:szCs w:val="24"/>
          <w:highlight w:val="none"/>
          <w:lang w:val="en-US" w:eastAsia="zh-CN"/>
          <w14:textFill>
            <w14:solidFill>
              <w14:schemeClr w14:val="tx1"/>
            </w14:solidFill>
          </w14:textFill>
        </w:rPr>
        <w:t>细石混凝土地面、室内回填土、台阶结构层及面层、栏杆供货安装、</w:t>
      </w:r>
      <w:r>
        <w:rPr>
          <w:rFonts w:hint="eastAsia" w:ascii="宋体" w:hAnsi="宋体" w:eastAsia="宋体" w:cs="宋体"/>
          <w:color w:val="000000" w:themeColor="text1"/>
          <w:kern w:val="1"/>
          <w:szCs w:val="24"/>
          <w:highlight w:val="none"/>
          <w14:textFill>
            <w14:solidFill>
              <w14:schemeClr w14:val="tx1"/>
            </w14:solidFill>
          </w14:textFill>
        </w:rPr>
        <w:t>设备房防火门供货安装、照明设施、应急照明、接地设施、通风设施、室内电缆沟、支架、桥架、钢制竖井等），包含</w:t>
      </w:r>
      <w:r>
        <w:rPr>
          <w:rFonts w:hint="eastAsia" w:ascii="宋体" w:hAnsi="宋体" w:eastAsia="宋体" w:cs="宋体"/>
          <w:bCs/>
          <w:color w:val="000000" w:themeColor="text1"/>
          <w:kern w:val="28"/>
          <w:szCs w:val="24"/>
          <w:highlight w:val="none"/>
          <w14:textFill>
            <w14:solidFill>
              <w14:schemeClr w14:val="tx1"/>
            </w14:solidFill>
          </w14:textFill>
        </w:rPr>
        <w:t>车库及主楼图纸范围内的高、低压桥架。</w:t>
      </w:r>
      <w:r>
        <w:rPr>
          <w:rFonts w:hint="eastAsia" w:ascii="宋体" w:hAnsi="宋体" w:eastAsia="宋体" w:cs="宋体"/>
          <w:color w:val="000000" w:themeColor="text1"/>
          <w:kern w:val="1"/>
          <w:szCs w:val="24"/>
          <w:highlight w:val="none"/>
          <w14:textFill>
            <w14:solidFill>
              <w14:schemeClr w14:val="tx1"/>
            </w14:solidFill>
          </w14:textFill>
        </w:rPr>
        <w:t>付至该阶段</w:t>
      </w:r>
      <w:r>
        <w:rPr>
          <w:rFonts w:hint="eastAsia" w:ascii="宋体" w:hAnsi="宋体" w:cs="宋体"/>
          <w:color w:val="000000" w:themeColor="text1"/>
          <w:kern w:val="1"/>
          <w:szCs w:val="24"/>
          <w:highlight w:val="none"/>
          <w:lang w:eastAsia="zh-CN"/>
          <w14:textFill>
            <w14:solidFill>
              <w14:schemeClr w14:val="tx1"/>
            </w14:solidFill>
          </w14:textFill>
        </w:rPr>
        <w:t>已完工程</w:t>
      </w:r>
      <w:r>
        <w:rPr>
          <w:rFonts w:hint="eastAsia" w:ascii="宋体" w:hAnsi="宋体" w:eastAsia="宋体" w:cs="宋体"/>
          <w:color w:val="000000" w:themeColor="text1"/>
          <w:kern w:val="1"/>
          <w:szCs w:val="24"/>
          <w:highlight w:val="none"/>
          <w14:textFill>
            <w14:solidFill>
              <w14:schemeClr w14:val="tx1"/>
            </w14:solidFill>
          </w14:textFill>
        </w:rPr>
        <w:t>合同额的70%</w:t>
      </w:r>
      <w:r>
        <w:rPr>
          <w:rFonts w:hint="eastAsia" w:ascii="宋体" w:hAnsi="宋体" w:eastAsia="宋体" w:cs="宋体"/>
          <w:color w:val="000000" w:themeColor="text1"/>
          <w:kern w:val="1"/>
          <w:szCs w:val="24"/>
          <w:highlight w:val="none"/>
          <w:lang w:eastAsia="zh-CN"/>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kern w:val="1"/>
          <w:szCs w:val="24"/>
          <w:highlight w:val="none"/>
          <w:lang w:eastAsia="zh-CN"/>
          <w14:textFill>
            <w14:solidFill>
              <w14:schemeClr w14:val="tx1"/>
            </w14:solidFill>
          </w14:textFill>
        </w:rPr>
      </w:pPr>
      <w:r>
        <w:rPr>
          <w:rFonts w:hint="eastAsia" w:ascii="宋体" w:hAnsi="宋体" w:cs="宋体"/>
          <w:color w:val="000000" w:themeColor="text1"/>
          <w:kern w:val="1"/>
          <w:szCs w:val="24"/>
          <w:highlight w:val="none"/>
          <w:lang w:val="en-US" w:eastAsia="zh-CN"/>
          <w14:textFill>
            <w14:solidFill>
              <w14:schemeClr w14:val="tx1"/>
            </w14:solidFill>
          </w14:textFill>
        </w:rPr>
        <w:t>10.1</w:t>
      </w:r>
      <w:r>
        <w:rPr>
          <w:rFonts w:hint="eastAsia" w:ascii="宋体" w:hAnsi="宋体" w:eastAsia="宋体" w:cs="宋体"/>
          <w:color w:val="000000" w:themeColor="text1"/>
          <w:kern w:val="1"/>
          <w:szCs w:val="24"/>
          <w:highlight w:val="none"/>
          <w14:textFill>
            <w14:solidFill>
              <w14:schemeClr w14:val="tx1"/>
            </w14:solidFill>
          </w14:textFill>
        </w:rPr>
        <w:t>.2</w:t>
      </w:r>
      <w:r>
        <w:rPr>
          <w:rFonts w:hint="eastAsia" w:ascii="宋体" w:hAnsi="宋体" w:cs="宋体"/>
          <w:color w:val="000000" w:themeColor="text1"/>
          <w:kern w:val="1"/>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1"/>
          <w:szCs w:val="24"/>
          <w:highlight w:val="none"/>
          <w14:textFill>
            <w14:solidFill>
              <w14:schemeClr w14:val="tx1"/>
            </w14:solidFill>
          </w14:textFill>
        </w:rPr>
        <w:t>第二阶段：</w:t>
      </w:r>
      <w:r>
        <w:rPr>
          <w:rFonts w:hint="eastAsia" w:ascii="宋体" w:hAnsi="宋体" w:eastAsia="宋体" w:cs="宋体"/>
          <w:color w:val="000000" w:themeColor="text1"/>
          <w:kern w:val="1"/>
          <w:szCs w:val="24"/>
          <w:highlight w:val="none"/>
          <w:lang w:val="en-US" w:eastAsia="zh-CN"/>
          <w14:textFill>
            <w14:solidFill>
              <w14:schemeClr w14:val="tx1"/>
            </w14:solidFill>
          </w14:textFill>
        </w:rPr>
        <w:t>高压进线</w:t>
      </w:r>
      <w:r>
        <w:rPr>
          <w:rFonts w:hint="eastAsia" w:ascii="宋体" w:hAnsi="宋体" w:eastAsia="宋体" w:cs="宋体"/>
          <w:color w:val="000000" w:themeColor="text1"/>
          <w:kern w:val="1"/>
          <w:szCs w:val="24"/>
          <w:highlight w:val="none"/>
          <w14:textFill>
            <w14:solidFill>
              <w14:schemeClr w14:val="tx1"/>
            </w14:solidFill>
          </w14:textFill>
        </w:rPr>
        <w:t>的所有线缆供货及安装、</w:t>
      </w:r>
      <w:r>
        <w:rPr>
          <w:rFonts w:hint="eastAsia" w:ascii="宋体" w:hAnsi="宋体" w:eastAsia="宋体" w:cs="宋体"/>
          <w:color w:val="000000" w:themeColor="text1"/>
          <w:kern w:val="1"/>
          <w:szCs w:val="24"/>
          <w:highlight w:val="none"/>
          <w:lang w:val="en-US" w:eastAsia="zh-CN"/>
          <w14:textFill>
            <w14:solidFill>
              <w14:schemeClr w14:val="tx1"/>
            </w14:solidFill>
          </w14:textFill>
        </w:rPr>
        <w:t>电缆保护管、检查井等全部施工完成；</w:t>
      </w:r>
      <w:r>
        <w:rPr>
          <w:rFonts w:hint="eastAsia" w:ascii="宋体" w:hAnsi="宋体" w:eastAsia="宋体" w:cs="宋体"/>
          <w:color w:val="000000" w:themeColor="text1"/>
          <w:kern w:val="1"/>
          <w:highlight w:val="none"/>
          <w14:textFill>
            <w14:solidFill>
              <w14:schemeClr w14:val="tx1"/>
            </w14:solidFill>
          </w14:textFill>
        </w:rPr>
        <w:t>公寓楼双电源配</w:t>
      </w:r>
      <w:r>
        <w:rPr>
          <w:rFonts w:hint="eastAsia" w:ascii="宋体" w:hAnsi="宋体" w:eastAsia="宋体" w:cs="宋体"/>
          <w:color w:val="000000" w:themeColor="text1"/>
          <w:kern w:val="1"/>
          <w:szCs w:val="24"/>
          <w:highlight w:val="none"/>
          <w:lang w:eastAsia="zh-CN"/>
          <w14:textFill>
            <w14:solidFill>
              <w14:schemeClr w14:val="tx1"/>
            </w14:solidFill>
          </w14:textFill>
        </w:rPr>
        <w:t>、</w:t>
      </w:r>
      <w:r>
        <w:rPr>
          <w:rFonts w:hint="eastAsia" w:ascii="宋体" w:hAnsi="宋体" w:eastAsia="宋体" w:cs="宋体"/>
          <w:color w:val="000000" w:themeColor="text1"/>
          <w:kern w:val="1"/>
          <w:highlight w:val="none"/>
          <w14:textFill>
            <w14:solidFill>
              <w14:schemeClr w14:val="tx1"/>
            </w14:solidFill>
          </w14:textFill>
        </w:rPr>
        <w:t>公寓楼单电源配</w:t>
      </w:r>
      <w:r>
        <w:rPr>
          <w:rFonts w:hint="eastAsia" w:ascii="宋体" w:hAnsi="宋体" w:eastAsia="宋体" w:cs="宋体"/>
          <w:color w:val="000000" w:themeColor="text1"/>
          <w:kern w:val="1"/>
          <w:szCs w:val="24"/>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充电桩专变</w:t>
      </w:r>
      <w:r>
        <w:rPr>
          <w:rFonts w:hint="eastAsia" w:ascii="宋体" w:hAnsi="宋体" w:eastAsia="宋体" w:cs="宋体"/>
          <w:color w:val="000000" w:themeColor="text1"/>
          <w:kern w:val="1"/>
          <w:szCs w:val="24"/>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商业专变</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kern w:val="1"/>
          <w:szCs w:val="24"/>
          <w:highlight w:val="none"/>
          <w14:textFill>
            <w14:solidFill>
              <w14:schemeClr w14:val="tx1"/>
            </w14:solidFill>
          </w14:textFill>
        </w:rPr>
        <w:t>用户专用配、1#住宅配、2#住宅配的所有设备、线缆供货及安装、住宅竖井内封闭母线、始端箱、插接箱、电度表及表箱、安全工具等辅助设施、环境监测系统、系统检测及调试等全部完成，付至</w:t>
      </w:r>
      <w:r>
        <w:rPr>
          <w:rFonts w:hint="eastAsia" w:ascii="宋体" w:hAnsi="宋体" w:cs="宋体"/>
          <w:color w:val="000000" w:themeColor="text1"/>
          <w:kern w:val="1"/>
          <w:szCs w:val="24"/>
          <w:highlight w:val="none"/>
          <w:lang w:eastAsia="zh-CN"/>
          <w14:textFill>
            <w14:solidFill>
              <w14:schemeClr w14:val="tx1"/>
            </w14:solidFill>
          </w14:textFill>
        </w:rPr>
        <w:t>该阶段已完工程</w:t>
      </w:r>
      <w:r>
        <w:rPr>
          <w:rFonts w:hint="eastAsia" w:ascii="宋体" w:hAnsi="宋体" w:eastAsia="宋体" w:cs="宋体"/>
          <w:color w:val="000000" w:themeColor="text1"/>
          <w:kern w:val="1"/>
          <w:szCs w:val="24"/>
          <w:highlight w:val="none"/>
          <w14:textFill>
            <w14:solidFill>
              <w14:schemeClr w14:val="tx1"/>
            </w14:solidFill>
          </w14:textFill>
        </w:rPr>
        <w:t>合同</w:t>
      </w:r>
      <w:r>
        <w:rPr>
          <w:rFonts w:hint="eastAsia" w:ascii="宋体" w:hAnsi="宋体" w:cs="宋体"/>
          <w:color w:val="000000" w:themeColor="text1"/>
          <w:kern w:val="1"/>
          <w:szCs w:val="24"/>
          <w:highlight w:val="none"/>
          <w:lang w:eastAsia="zh-CN"/>
          <w14:textFill>
            <w14:solidFill>
              <w14:schemeClr w14:val="tx1"/>
            </w14:solidFill>
          </w14:textFill>
        </w:rPr>
        <w:t>额</w:t>
      </w:r>
      <w:r>
        <w:rPr>
          <w:rFonts w:hint="eastAsia" w:ascii="宋体" w:hAnsi="宋体" w:eastAsia="宋体" w:cs="宋体"/>
          <w:color w:val="000000" w:themeColor="text1"/>
          <w:kern w:val="1"/>
          <w:szCs w:val="24"/>
          <w:highlight w:val="none"/>
          <w14:textFill>
            <w14:solidFill>
              <w14:schemeClr w14:val="tx1"/>
            </w14:solidFill>
          </w14:textFill>
        </w:rPr>
        <w:t>的70%</w:t>
      </w:r>
      <w:r>
        <w:rPr>
          <w:rFonts w:hint="eastAsia" w:ascii="宋体" w:hAnsi="宋体" w:eastAsia="宋体" w:cs="宋体"/>
          <w:color w:val="000000" w:themeColor="text1"/>
          <w:kern w:val="1"/>
          <w:szCs w:val="24"/>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kern w:val="1"/>
          <w:szCs w:val="24"/>
          <w:highlight w:val="none"/>
          <w14:textFill>
            <w14:solidFill>
              <w14:schemeClr w14:val="tx1"/>
            </w14:solidFill>
          </w14:textFill>
        </w:rPr>
      </w:pPr>
      <w:r>
        <w:rPr>
          <w:rFonts w:hint="eastAsia" w:ascii="宋体" w:hAnsi="宋体" w:cs="宋体"/>
          <w:color w:val="000000" w:themeColor="text1"/>
          <w:kern w:val="1"/>
          <w:szCs w:val="24"/>
          <w:highlight w:val="none"/>
          <w:lang w:val="en-US" w:eastAsia="zh-CN"/>
          <w14:textFill>
            <w14:solidFill>
              <w14:schemeClr w14:val="tx1"/>
            </w14:solidFill>
          </w14:textFill>
        </w:rPr>
        <w:t>10.1</w:t>
      </w:r>
      <w:r>
        <w:rPr>
          <w:rFonts w:hint="eastAsia" w:ascii="宋体" w:hAnsi="宋体" w:eastAsia="宋体" w:cs="宋体"/>
          <w:color w:val="000000" w:themeColor="text1"/>
          <w:kern w:val="1"/>
          <w:szCs w:val="24"/>
          <w:highlight w:val="none"/>
          <w14:textFill>
            <w14:solidFill>
              <w14:schemeClr w14:val="tx1"/>
            </w14:solidFill>
          </w14:textFill>
        </w:rPr>
        <w:t>.3</w:t>
      </w:r>
      <w:r>
        <w:rPr>
          <w:rFonts w:hint="eastAsia" w:ascii="宋体" w:hAnsi="宋体" w:cs="宋体"/>
          <w:color w:val="000000" w:themeColor="text1"/>
          <w:kern w:val="1"/>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1"/>
          <w:szCs w:val="24"/>
          <w:highlight w:val="none"/>
          <w14:textFill>
            <w14:solidFill>
              <w14:schemeClr w14:val="tx1"/>
            </w14:solidFill>
          </w14:textFill>
        </w:rPr>
        <w:t>第三阶段：正式电送电完成、住宅用电全部完成移交、经甲方及相关部门验收合格、配合甲方办理结算完成后，付至合同结算金额的95%</w:t>
      </w:r>
      <w:r>
        <w:rPr>
          <w:rFonts w:hint="eastAsia" w:ascii="宋体" w:hAnsi="宋体" w:eastAsia="宋体" w:cs="宋体"/>
          <w:color w:val="000000" w:themeColor="text1"/>
          <w:kern w:val="1"/>
          <w:szCs w:val="24"/>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kern w:val="1"/>
          <w:szCs w:val="24"/>
          <w:highlight w:val="none"/>
          <w14:textFill>
            <w14:solidFill>
              <w14:schemeClr w14:val="tx1"/>
            </w14:solidFill>
          </w14:textFill>
        </w:rPr>
      </w:pPr>
      <w:r>
        <w:rPr>
          <w:rFonts w:hint="eastAsia" w:ascii="宋体" w:hAnsi="宋体" w:cs="宋体"/>
          <w:color w:val="000000" w:themeColor="text1"/>
          <w:kern w:val="1"/>
          <w:szCs w:val="24"/>
          <w:highlight w:val="none"/>
          <w:lang w:val="en-US" w:eastAsia="zh-CN"/>
          <w14:textFill>
            <w14:solidFill>
              <w14:schemeClr w14:val="tx1"/>
            </w14:solidFill>
          </w14:textFill>
        </w:rPr>
        <w:t>10.1</w:t>
      </w:r>
      <w:r>
        <w:rPr>
          <w:rFonts w:hint="eastAsia" w:ascii="宋体" w:hAnsi="宋体" w:eastAsia="宋体" w:cs="宋体"/>
          <w:color w:val="000000" w:themeColor="text1"/>
          <w:kern w:val="1"/>
          <w:szCs w:val="24"/>
          <w:highlight w:val="none"/>
          <w14:textFill>
            <w14:solidFill>
              <w14:schemeClr w14:val="tx1"/>
            </w14:solidFill>
          </w14:textFill>
        </w:rPr>
        <w:t>.4</w:t>
      </w:r>
      <w:r>
        <w:rPr>
          <w:rFonts w:hint="eastAsia" w:ascii="宋体" w:hAnsi="宋体" w:cs="宋体"/>
          <w:color w:val="000000" w:themeColor="text1"/>
          <w:kern w:val="1"/>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1"/>
          <w:szCs w:val="24"/>
          <w:highlight w:val="none"/>
          <w14:textFill>
            <w14:solidFill>
              <w14:schemeClr w14:val="tx1"/>
            </w14:solidFill>
          </w14:textFill>
        </w:rPr>
        <w:t>第四阶段：自正式电送电完成之日起两年为质保期，质保期内连续运转正常良好，质保期满后甲方在30个工作日内无息付清剩余5%质保金。</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lang w:bidi="ar"/>
          <w14:textFill>
            <w14:solidFill>
              <w14:schemeClr w14:val="tx1"/>
            </w14:solidFill>
          </w14:textFill>
        </w:rPr>
      </w:pPr>
      <w:r>
        <w:rPr>
          <w:rFonts w:hint="eastAsia" w:ascii="宋体" w:hAnsi="宋体" w:cs="宋体"/>
          <w:color w:val="000000" w:themeColor="text1"/>
          <w:kern w:val="1"/>
          <w:szCs w:val="24"/>
          <w:highlight w:val="none"/>
          <w:lang w:val="en-US" w:eastAsia="zh-CN"/>
          <w14:textFill>
            <w14:solidFill>
              <w14:schemeClr w14:val="tx1"/>
            </w14:solidFill>
          </w14:textFill>
        </w:rPr>
        <w:t>10.1</w:t>
      </w:r>
      <w:r>
        <w:rPr>
          <w:rFonts w:hint="eastAsia" w:ascii="宋体" w:hAnsi="宋体" w:eastAsia="宋体" w:cs="宋体"/>
          <w:color w:val="000000" w:themeColor="text1"/>
          <w:kern w:val="1"/>
          <w:szCs w:val="24"/>
          <w:highlight w:val="none"/>
          <w14:textFill>
            <w14:solidFill>
              <w14:schemeClr w14:val="tx1"/>
            </w14:solidFill>
          </w14:textFill>
        </w:rPr>
        <w:t>.5</w:t>
      </w:r>
      <w:r>
        <w:rPr>
          <w:rFonts w:hint="eastAsia" w:ascii="宋体" w:hAnsi="宋体" w:cs="宋体"/>
          <w:color w:val="000000" w:themeColor="text1"/>
          <w:kern w:val="1"/>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1"/>
          <w:szCs w:val="24"/>
          <w:highlight w:val="none"/>
          <w14:textFill>
            <w14:solidFill>
              <w14:schemeClr w14:val="tx1"/>
            </w14:solidFill>
          </w14:textFill>
        </w:rPr>
        <w:t>每次付款前</w:t>
      </w:r>
      <w:r>
        <w:rPr>
          <w:rFonts w:hint="eastAsia" w:ascii="宋体" w:hAnsi="宋体" w:cs="宋体"/>
          <w:color w:val="000000" w:themeColor="text1"/>
          <w:kern w:val="1"/>
          <w:szCs w:val="24"/>
          <w:highlight w:val="none"/>
          <w:lang w:eastAsia="zh-CN"/>
          <w14:textFill>
            <w14:solidFill>
              <w14:schemeClr w14:val="tx1"/>
            </w14:solidFill>
          </w14:textFill>
        </w:rPr>
        <w:t>乙方</w:t>
      </w:r>
      <w:r>
        <w:rPr>
          <w:rFonts w:hint="eastAsia" w:ascii="宋体" w:hAnsi="宋体" w:eastAsia="宋体" w:cs="宋体"/>
          <w:color w:val="000000" w:themeColor="text1"/>
          <w:kern w:val="1"/>
          <w:szCs w:val="24"/>
          <w:highlight w:val="none"/>
          <w14:textFill>
            <w14:solidFill>
              <w14:schemeClr w14:val="tx1"/>
            </w14:solidFill>
          </w14:textFill>
        </w:rPr>
        <w:t>向</w:t>
      </w:r>
      <w:r>
        <w:rPr>
          <w:rFonts w:hint="eastAsia" w:ascii="宋体" w:hAnsi="宋体" w:cs="宋体"/>
          <w:color w:val="000000" w:themeColor="text1"/>
          <w:kern w:val="1"/>
          <w:szCs w:val="24"/>
          <w:highlight w:val="none"/>
          <w:lang w:eastAsia="zh-CN"/>
          <w14:textFill>
            <w14:solidFill>
              <w14:schemeClr w14:val="tx1"/>
            </w14:solidFill>
          </w14:textFill>
        </w:rPr>
        <w:t>甲方</w:t>
      </w:r>
      <w:r>
        <w:rPr>
          <w:rFonts w:hint="eastAsia" w:ascii="宋体" w:hAnsi="宋体" w:eastAsia="宋体" w:cs="宋体"/>
          <w:color w:val="000000" w:themeColor="text1"/>
          <w:kern w:val="1"/>
          <w:szCs w:val="24"/>
          <w:highlight w:val="none"/>
          <w14:textFill>
            <w14:solidFill>
              <w14:schemeClr w14:val="tx1"/>
            </w14:solidFill>
          </w14:textFill>
        </w:rPr>
        <w:t>提供等额正式有效增值税专用发票。当甲方向乙方累计支付款项至本合同结算值的95％时，乙方须向甲方开具结算值100％的合法有效的发票，否则甲方除扣留质保金外，有权拒绝支付最后一笔工程款。</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lang w:bidi="ar"/>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10.2 </w:t>
      </w:r>
      <w:r>
        <w:rPr>
          <w:rFonts w:hint="eastAsia" w:ascii="宋体" w:hAnsi="宋体" w:eastAsia="宋体" w:cs="宋体"/>
          <w:color w:val="000000" w:themeColor="text1"/>
          <w:szCs w:val="24"/>
          <w:highlight w:val="none"/>
          <w:lang w:bidi="ar"/>
          <w14:textFill>
            <w14:solidFill>
              <w14:schemeClr w14:val="tx1"/>
            </w14:solidFill>
          </w14:textFill>
        </w:rPr>
        <w:t>乙方应按甲方要求出具合法有效的增值税【专用】发票。乙方应在开票之后【5】个工作日内将发票送达甲方，甲方签收发票的日期为发票的送达日期。</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lang w:bidi="ar"/>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10.3 </w:t>
      </w:r>
      <w:r>
        <w:rPr>
          <w:rFonts w:hint="eastAsia" w:ascii="宋体" w:hAnsi="宋体" w:eastAsia="宋体" w:cs="宋体"/>
          <w:color w:val="000000" w:themeColor="text1"/>
          <w:szCs w:val="24"/>
          <w:highlight w:val="none"/>
          <w:lang w:bidi="ar"/>
          <w14:textFill>
            <w14:solidFill>
              <w14:schemeClr w14:val="tx1"/>
            </w14:solidFill>
          </w14:textFill>
        </w:rPr>
        <w:t>乙方应提供合规发票，乙方开具发票不合规时出现税务问题，供应商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lang w:bidi="ar"/>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10.4 </w:t>
      </w:r>
      <w:r>
        <w:rPr>
          <w:rFonts w:hint="eastAsia" w:ascii="宋体" w:hAnsi="宋体" w:eastAsia="宋体" w:cs="宋体"/>
          <w:color w:val="000000" w:themeColor="text1"/>
          <w:szCs w:val="24"/>
          <w:highlight w:val="none"/>
          <w:lang w:bidi="ar"/>
          <w14:textFill>
            <w14:solidFill>
              <w14:schemeClr w14:val="tx1"/>
            </w14:solidFill>
          </w14:textFill>
        </w:rPr>
        <w:t>对发票不合规的约定</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lang w:bidi="ar"/>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10.4.1 </w:t>
      </w:r>
      <w:r>
        <w:rPr>
          <w:rFonts w:hint="eastAsia" w:ascii="宋体" w:hAnsi="宋体" w:eastAsia="宋体" w:cs="宋体"/>
          <w:color w:val="000000" w:themeColor="text1"/>
          <w:szCs w:val="24"/>
          <w:highlight w:val="none"/>
          <w:lang w:bidi="ar"/>
          <w14:textFill>
            <w14:solidFill>
              <w14:schemeClr w14:val="tx1"/>
            </w14:solidFill>
          </w14:textFill>
        </w:rPr>
        <w:t>乙方提供的发票为增值税专用发票的，因乙方迟延送达、开具错误等原因导致其提供的增值税专用发票没有通过税务部门认证，造成甲方不能抵扣的，甲方有权拒绝接收。</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lang w:bidi="ar"/>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10.4.2 </w:t>
      </w:r>
      <w:r>
        <w:rPr>
          <w:rFonts w:hint="eastAsia" w:ascii="宋体" w:hAnsi="宋体" w:eastAsia="宋体" w:cs="宋体"/>
          <w:color w:val="000000" w:themeColor="text1"/>
          <w:szCs w:val="24"/>
          <w:highlight w:val="none"/>
          <w:lang w:bidi="ar"/>
          <w14:textFill>
            <w14:solidFill>
              <w14:schemeClr w14:val="tx1"/>
            </w14:solidFill>
          </w14:textFill>
        </w:rPr>
        <w:t>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lang w:bidi="ar"/>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10.4.3 </w:t>
      </w:r>
      <w:r>
        <w:rPr>
          <w:rFonts w:hint="eastAsia" w:ascii="宋体" w:hAnsi="宋体" w:eastAsia="宋体" w:cs="宋体"/>
          <w:color w:val="000000" w:themeColor="text1"/>
          <w:szCs w:val="24"/>
          <w:highlight w:val="none"/>
          <w:lang w:bidi="ar"/>
          <w14:textFill>
            <w14:solidFill>
              <w14:schemeClr w14:val="tx1"/>
            </w14:solidFill>
          </w14:textFill>
        </w:rPr>
        <w:t>乙方未按合同约定开具增值税专用发票或实际开具的增值税专用发票税率低于合同中约定税率的，乙方除应向甲方支付无法抵扣部分的税款金额外，乙方还应向甲方支付合同总价【20】%的违约金，违约金不足以弥补甲方损失的，乙方应予赔偿，甲方有权终止合同。</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lang w:bidi="ar"/>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10.5 </w:t>
      </w:r>
      <w:r>
        <w:rPr>
          <w:rFonts w:hint="eastAsia" w:ascii="宋体" w:hAnsi="宋体" w:eastAsia="宋体" w:cs="宋体"/>
          <w:color w:val="000000" w:themeColor="text1"/>
          <w:szCs w:val="24"/>
          <w:highlight w:val="none"/>
          <w:lang w:bidi="ar"/>
          <w14:textFill>
            <w14:solidFill>
              <w14:schemeClr w14:val="tx1"/>
            </w14:solidFill>
          </w14:textFill>
        </w:rPr>
        <w:t>其它税务风险的合同约定，</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lang w:bidi="ar"/>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10.5.1 </w:t>
      </w:r>
      <w:r>
        <w:rPr>
          <w:rFonts w:hint="eastAsia" w:ascii="宋体" w:hAnsi="宋体" w:eastAsia="宋体" w:cs="宋体"/>
          <w:color w:val="000000" w:themeColor="text1"/>
          <w:szCs w:val="24"/>
          <w:highlight w:val="none"/>
          <w:lang w:bidi="ar"/>
          <w14:textFill>
            <w14:solidFill>
              <w14:schemeClr w14:val="tx1"/>
            </w14:solidFill>
          </w14:textFill>
        </w:rPr>
        <w:t>如果甲方丢失增值税专用发票联和抵扣联，乙方应向甲方提供专用发票记账联复印件及主管税务机关出具的《丢失增值税专用发票已报税证明单》。</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lang w:bidi="ar"/>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10.5.2 </w:t>
      </w:r>
      <w:r>
        <w:rPr>
          <w:rFonts w:hint="eastAsia" w:ascii="宋体" w:hAnsi="宋体" w:eastAsia="宋体" w:cs="宋体"/>
          <w:color w:val="000000" w:themeColor="text1"/>
          <w:szCs w:val="24"/>
          <w:highlight w:val="none"/>
          <w:lang w:bidi="ar"/>
          <w14:textFill>
            <w14:solidFill>
              <w14:schemeClr w14:val="tx1"/>
            </w14:solidFill>
          </w14:textFill>
        </w:rPr>
        <w:t>如果获得开具的汇总专用发票，则乙方应提供其防伪税控系统开具的《销售货物或者提供应税劳务清单》，并加盖发票专用章。</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lang w:bidi="ar"/>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10.6 </w:t>
      </w:r>
      <w:r>
        <w:rPr>
          <w:rFonts w:hint="eastAsia" w:ascii="宋体" w:hAnsi="宋体" w:eastAsia="宋体" w:cs="宋体"/>
          <w:color w:val="000000" w:themeColor="text1"/>
          <w:szCs w:val="24"/>
          <w:highlight w:val="none"/>
          <w:lang w:bidi="ar"/>
          <w14:textFill>
            <w14:solidFill>
              <w14:schemeClr w14:val="tx1"/>
            </w14:solidFill>
          </w14:textFill>
        </w:rPr>
        <w:t>合同相关的其它税务约定</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lang w:bidi="ar"/>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10.6.1 </w:t>
      </w:r>
      <w:r>
        <w:rPr>
          <w:rFonts w:hint="eastAsia" w:ascii="宋体" w:hAnsi="宋体" w:eastAsia="宋体" w:cs="宋体"/>
          <w:color w:val="000000" w:themeColor="text1"/>
          <w:szCs w:val="24"/>
          <w:highlight w:val="none"/>
          <w:lang w:bidi="ar"/>
          <w14:textFill>
            <w14:solidFill>
              <w14:schemeClr w14:val="tx1"/>
            </w14:solidFill>
          </w14:textFill>
        </w:rPr>
        <w:t>如果甲方丢失增值税专用发票联和抵扣联，乙方应向甲方提供专用发票记账联复印件及主管税务机关出具的《丢失增值税专用发票已报税证明单》。</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lang w:bidi="ar"/>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10.6.2 </w:t>
      </w:r>
      <w:r>
        <w:rPr>
          <w:rFonts w:hint="eastAsia" w:ascii="宋体" w:hAnsi="宋体" w:eastAsia="宋体" w:cs="宋体"/>
          <w:color w:val="000000" w:themeColor="text1"/>
          <w:szCs w:val="24"/>
          <w:highlight w:val="none"/>
          <w:lang w:bidi="ar"/>
          <w14:textFill>
            <w14:solidFill>
              <w14:schemeClr w14:val="tx1"/>
            </w14:solidFill>
          </w14:textFill>
        </w:rPr>
        <w:t>如果获得开具的汇总专用发票，则乙方应提供其防伪税控系统开具的《销售货物或者提供应税劳务清单》，并加盖发票专用章。</w:t>
      </w:r>
    </w:p>
    <w:p>
      <w:pPr>
        <w:keepNext w:val="0"/>
        <w:keepLines w:val="0"/>
        <w:pageBreakBefore w:val="0"/>
        <w:widowControl w:val="0"/>
        <w:tabs>
          <w:tab w:val="left" w:pos="630"/>
        </w:tabs>
        <w:kinsoku/>
        <w:wordWrap/>
        <w:overflowPunct/>
        <w:topLinePunct w:val="0"/>
        <w:autoSpaceDE/>
        <w:autoSpaceDN/>
        <w:bidi w:val="0"/>
        <w:adjustRightInd/>
        <w:snapToGrid/>
        <w:spacing w:beforeAutospacing="0" w:afterAutospacing="0" w:line="360" w:lineRule="auto"/>
        <w:ind w:left="0" w:leftChars="0" w:right="0" w:rightChars="0" w:firstLine="482" w:firstLineChars="200"/>
        <w:jc w:val="both"/>
        <w:textAlignment w:val="auto"/>
        <w:outlineLvl w:val="9"/>
        <w:rPr>
          <w:rFonts w:hint="eastAsia" w:ascii="宋体" w:hAnsi="宋体" w:eastAsia="宋体" w:cs="宋体"/>
          <w:b/>
          <w:color w:val="000000" w:themeColor="text1"/>
          <w:szCs w:val="24"/>
          <w:highlight w:val="none"/>
          <w14:textFill>
            <w14:solidFill>
              <w14:schemeClr w14:val="tx1"/>
            </w14:solidFill>
          </w14:textFill>
        </w:rPr>
      </w:pPr>
      <w:r>
        <w:rPr>
          <w:rFonts w:hint="eastAsia" w:ascii="宋体" w:hAnsi="宋体" w:eastAsia="宋体" w:cs="宋体"/>
          <w:b/>
          <w:color w:val="000000" w:themeColor="text1"/>
          <w:szCs w:val="24"/>
          <w:highlight w:val="none"/>
          <w:lang w:bidi="ar"/>
          <w14:textFill>
            <w14:solidFill>
              <w14:schemeClr w14:val="tx1"/>
            </w14:solidFill>
          </w14:textFill>
        </w:rPr>
        <w:t>十</w:t>
      </w:r>
      <w:r>
        <w:rPr>
          <w:rFonts w:hint="eastAsia" w:ascii="宋体" w:hAnsi="宋体" w:cs="宋体"/>
          <w:b/>
          <w:color w:val="000000" w:themeColor="text1"/>
          <w:szCs w:val="24"/>
          <w:highlight w:val="none"/>
          <w:lang w:eastAsia="zh-CN" w:bidi="ar"/>
          <w14:textFill>
            <w14:solidFill>
              <w14:schemeClr w14:val="tx1"/>
            </w14:solidFill>
          </w14:textFill>
        </w:rPr>
        <w:t>一</w:t>
      </w:r>
      <w:r>
        <w:rPr>
          <w:rFonts w:hint="eastAsia" w:ascii="宋体" w:hAnsi="宋体" w:eastAsia="宋体" w:cs="宋体"/>
          <w:b/>
          <w:color w:val="000000" w:themeColor="text1"/>
          <w:szCs w:val="24"/>
          <w:highlight w:val="none"/>
          <w:lang w:bidi="ar"/>
          <w14:textFill>
            <w14:solidFill>
              <w14:schemeClr w14:val="tx1"/>
            </w14:solidFill>
          </w14:textFill>
        </w:rPr>
        <w:t xml:space="preserve">、双方责任与义务：  </w:t>
      </w:r>
    </w:p>
    <w:p>
      <w:pPr>
        <w:keepNext w:val="0"/>
        <w:keepLines w:val="0"/>
        <w:pageBreakBefore w:val="0"/>
        <w:widowControl w:val="0"/>
        <w:tabs>
          <w:tab w:val="left" w:pos="120"/>
        </w:tabs>
        <w:kinsoku/>
        <w:wordWrap/>
        <w:overflowPunct/>
        <w:topLinePunct w:val="0"/>
        <w:autoSpaceDE/>
        <w:autoSpaceDN/>
        <w:bidi w:val="0"/>
        <w:adjustRightInd/>
        <w:snapToGrid/>
        <w:spacing w:beforeAutospacing="0" w:afterAutospacing="0" w:line="360" w:lineRule="auto"/>
        <w:ind w:left="0" w:leftChars="0" w:right="0" w:rightChars="0" w:firstLine="482" w:firstLineChars="200"/>
        <w:jc w:val="both"/>
        <w:textAlignment w:val="auto"/>
        <w:outlineLvl w:val="9"/>
        <w:rPr>
          <w:rFonts w:hint="eastAsia" w:ascii="宋体" w:hAnsi="宋体" w:eastAsia="宋体" w:cs="宋体"/>
          <w:b/>
          <w:color w:val="000000" w:themeColor="text1"/>
          <w:szCs w:val="24"/>
          <w:highlight w:val="none"/>
          <w14:textFill>
            <w14:solidFill>
              <w14:schemeClr w14:val="tx1"/>
            </w14:solidFill>
          </w14:textFill>
        </w:rPr>
      </w:pPr>
      <w:r>
        <w:rPr>
          <w:rFonts w:hint="eastAsia" w:ascii="宋体" w:hAnsi="宋体" w:cs="宋体"/>
          <w:b/>
          <w:color w:val="000000" w:themeColor="text1"/>
          <w:szCs w:val="24"/>
          <w:highlight w:val="none"/>
          <w:lang w:val="en-US" w:eastAsia="zh-CN" w:bidi="ar"/>
          <w14:textFill>
            <w14:solidFill>
              <w14:schemeClr w14:val="tx1"/>
            </w14:solidFill>
          </w14:textFill>
        </w:rPr>
        <w:t xml:space="preserve">11.1 </w:t>
      </w:r>
      <w:r>
        <w:rPr>
          <w:rFonts w:hint="eastAsia" w:ascii="宋体" w:hAnsi="宋体" w:eastAsia="宋体" w:cs="宋体"/>
          <w:b/>
          <w:color w:val="000000" w:themeColor="text1"/>
          <w:szCs w:val="24"/>
          <w:highlight w:val="none"/>
          <w:lang w:bidi="ar"/>
          <w14:textFill>
            <w14:solidFill>
              <w14:schemeClr w14:val="tx1"/>
            </w14:solidFill>
          </w14:textFill>
        </w:rPr>
        <w:t>甲方的责任与义务</w:t>
      </w:r>
    </w:p>
    <w:p>
      <w:pPr>
        <w:keepNext w:val="0"/>
        <w:keepLines w:val="0"/>
        <w:pageBreakBefore w:val="0"/>
        <w:widowControl w:val="0"/>
        <w:tabs>
          <w:tab w:val="left" w:pos="630"/>
        </w:tabs>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11.1.1 </w:t>
      </w:r>
      <w:r>
        <w:rPr>
          <w:rFonts w:hint="eastAsia" w:ascii="宋体" w:hAnsi="宋体" w:eastAsia="宋体" w:cs="宋体"/>
          <w:color w:val="000000" w:themeColor="text1"/>
          <w:szCs w:val="24"/>
          <w:highlight w:val="none"/>
          <w:lang w:bidi="ar"/>
          <w14:textFill>
            <w14:solidFill>
              <w14:schemeClr w14:val="tx1"/>
            </w14:solidFill>
          </w14:textFill>
        </w:rPr>
        <w:t>负责向乙方提供施工图纸、设计变更等技术资料，以此作为乙方施工的依据。</w:t>
      </w:r>
    </w:p>
    <w:p>
      <w:pPr>
        <w:keepNext w:val="0"/>
        <w:keepLines w:val="0"/>
        <w:pageBreakBefore w:val="0"/>
        <w:widowControl w:val="0"/>
        <w:tabs>
          <w:tab w:val="left" w:pos="630"/>
        </w:tabs>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11.1.2 </w:t>
      </w:r>
      <w:r>
        <w:rPr>
          <w:rFonts w:hint="eastAsia" w:ascii="宋体" w:hAnsi="宋体" w:eastAsia="宋体" w:cs="宋体"/>
          <w:color w:val="000000" w:themeColor="text1"/>
          <w:szCs w:val="24"/>
          <w:highlight w:val="none"/>
          <w:lang w:bidi="ar"/>
          <w14:textFill>
            <w14:solidFill>
              <w14:schemeClr w14:val="tx1"/>
            </w14:solidFill>
          </w14:textFill>
        </w:rPr>
        <w:t>甲方向乙方提供图纸日期和套数：甲方在开工前7天内向乙方提供施工图纸一式贰套。</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11.1.3 </w:t>
      </w:r>
      <w:r>
        <w:rPr>
          <w:rFonts w:hint="eastAsia" w:ascii="宋体" w:hAnsi="宋体" w:eastAsia="宋体" w:cs="宋体"/>
          <w:color w:val="000000" w:themeColor="text1"/>
          <w:szCs w:val="24"/>
          <w:highlight w:val="none"/>
          <w:lang w:bidi="ar"/>
          <w14:textFill>
            <w14:solidFill>
              <w14:schemeClr w14:val="tx1"/>
            </w14:solidFill>
          </w14:textFill>
        </w:rPr>
        <w:t>负责组织本供配电工程的图纸会审。</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11.1.4 </w:t>
      </w:r>
      <w:r>
        <w:rPr>
          <w:rFonts w:hint="eastAsia" w:ascii="宋体" w:hAnsi="宋体" w:eastAsia="宋体" w:cs="宋体"/>
          <w:color w:val="000000" w:themeColor="text1"/>
          <w:szCs w:val="24"/>
          <w:highlight w:val="none"/>
          <w:lang w:bidi="ar"/>
          <w14:textFill>
            <w14:solidFill>
              <w14:schemeClr w14:val="tx1"/>
            </w14:solidFill>
          </w14:textFill>
        </w:rPr>
        <w:t>甲方指派一名甲方代表，甲方代表：</w:t>
      </w:r>
      <w:r>
        <w:rPr>
          <w:rFonts w:hint="eastAsia" w:ascii="宋体" w:hAnsi="宋体" w:cs="宋体"/>
          <w:color w:val="000000" w:themeColor="text1"/>
          <w:szCs w:val="24"/>
          <w:highlight w:val="none"/>
          <w:u w:val="single"/>
          <w:lang w:eastAsia="zh-CN" w:bidi="ar"/>
          <w14:textFill>
            <w14:solidFill>
              <w14:schemeClr w14:val="tx1"/>
            </w14:solidFill>
          </w14:textFill>
        </w:rPr>
        <w:t>文金廷</w:t>
      </w:r>
      <w:r>
        <w:rPr>
          <w:rFonts w:hint="eastAsia" w:ascii="宋体" w:hAnsi="宋体" w:eastAsia="宋体" w:cs="宋体"/>
          <w:color w:val="000000" w:themeColor="text1"/>
          <w:szCs w:val="24"/>
          <w:highlight w:val="none"/>
          <w:lang w:bidi="ar"/>
          <w14:textFill>
            <w14:solidFill>
              <w14:schemeClr w14:val="tx1"/>
            </w14:solidFill>
          </w14:textFill>
        </w:rPr>
        <w:t>，职务：</w:t>
      </w:r>
      <w:r>
        <w:rPr>
          <w:rFonts w:hint="eastAsia" w:ascii="宋体" w:hAnsi="宋体" w:eastAsia="宋体" w:cs="宋体"/>
          <w:color w:val="000000" w:themeColor="text1"/>
          <w:szCs w:val="24"/>
          <w:highlight w:val="none"/>
          <w:u w:val="single"/>
          <w:lang w:bidi="ar"/>
          <w14:textFill>
            <w14:solidFill>
              <w14:schemeClr w14:val="tx1"/>
            </w14:solidFill>
          </w14:textFill>
        </w:rPr>
        <w:t>项目</w:t>
      </w:r>
      <w:r>
        <w:rPr>
          <w:rFonts w:hint="eastAsia" w:ascii="宋体" w:hAnsi="宋体" w:cs="宋体"/>
          <w:color w:val="000000" w:themeColor="text1"/>
          <w:szCs w:val="24"/>
          <w:highlight w:val="none"/>
          <w:u w:val="single"/>
          <w:lang w:eastAsia="zh-CN" w:bidi="ar"/>
          <w14:textFill>
            <w14:solidFill>
              <w14:schemeClr w14:val="tx1"/>
            </w14:solidFill>
          </w14:textFill>
        </w:rPr>
        <w:t>工程总</w:t>
      </w:r>
      <w:r>
        <w:rPr>
          <w:rFonts w:hint="eastAsia" w:ascii="宋体" w:hAnsi="宋体" w:eastAsia="宋体" w:cs="宋体"/>
          <w:color w:val="000000" w:themeColor="text1"/>
          <w:szCs w:val="24"/>
          <w:highlight w:val="none"/>
          <w:lang w:bidi="ar"/>
          <w14:textFill>
            <w14:solidFill>
              <w14:schemeClr w14:val="tx1"/>
            </w14:solidFill>
          </w14:textFill>
        </w:rPr>
        <w:t>，联系电话：</w:t>
      </w:r>
      <w:r>
        <w:rPr>
          <w:rFonts w:hint="eastAsia" w:ascii="宋体" w:hAnsi="宋体" w:cs="宋体"/>
          <w:color w:val="000000" w:themeColor="text1"/>
          <w:szCs w:val="24"/>
          <w:highlight w:val="none"/>
          <w:u w:val="single"/>
          <w:lang w:val="en-US" w:eastAsia="zh-CN" w:bidi="ar"/>
          <w14:textFill>
            <w14:solidFill>
              <w14:schemeClr w14:val="tx1"/>
            </w14:solidFill>
          </w14:textFill>
        </w:rPr>
        <w:t>13683791319</w:t>
      </w:r>
      <w:r>
        <w:rPr>
          <w:rFonts w:hint="eastAsia" w:ascii="宋体" w:hAnsi="宋体" w:cs="宋体"/>
          <w:color w:val="000000" w:themeColor="text1"/>
          <w:szCs w:val="24"/>
          <w:highlight w:val="none"/>
          <w:lang w:eastAsia="zh-CN" w:bidi="ar"/>
          <w14:textFill>
            <w14:solidFill>
              <w14:schemeClr w14:val="tx1"/>
            </w14:solidFill>
          </w14:textFill>
        </w:rPr>
        <w:t>，</w:t>
      </w:r>
      <w:r>
        <w:rPr>
          <w:rFonts w:hint="eastAsia" w:ascii="宋体" w:hAnsi="宋体" w:eastAsia="宋体" w:cs="宋体"/>
          <w:color w:val="000000" w:themeColor="text1"/>
          <w:szCs w:val="24"/>
          <w:highlight w:val="none"/>
          <w:lang w:bidi="ar"/>
          <w14:textFill>
            <w14:solidFill>
              <w14:schemeClr w14:val="tx1"/>
            </w14:solidFill>
          </w14:textFill>
        </w:rPr>
        <w:t>负责本合同项目工程质量及进度的督查。</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kern w:val="1"/>
          <w:highlight w:val="none"/>
          <w:lang w:val="en-US" w:eastAsia="zh-CN" w:bidi="ar"/>
          <w14:textFill>
            <w14:solidFill>
              <w14:schemeClr w14:val="tx1"/>
            </w14:solidFill>
          </w14:textFill>
        </w:rPr>
        <w:t xml:space="preserve">11.1.5 </w:t>
      </w:r>
      <w:r>
        <w:rPr>
          <w:rFonts w:hint="eastAsia" w:ascii="宋体" w:hAnsi="宋体" w:eastAsia="宋体" w:cs="宋体"/>
          <w:color w:val="000000" w:themeColor="text1"/>
          <w:kern w:val="1"/>
          <w:highlight w:val="none"/>
          <w:lang w:bidi="ar"/>
          <w14:textFill>
            <w14:solidFill>
              <w14:schemeClr w14:val="tx1"/>
            </w14:solidFill>
          </w14:textFill>
        </w:rPr>
        <w:t>对乙方呈送的报告和请示及时做出批示。</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11.1.6 </w:t>
      </w:r>
      <w:r>
        <w:rPr>
          <w:rFonts w:hint="eastAsia" w:ascii="宋体" w:hAnsi="宋体" w:eastAsia="宋体" w:cs="宋体"/>
          <w:color w:val="000000" w:themeColor="text1"/>
          <w:szCs w:val="24"/>
          <w:highlight w:val="none"/>
          <w:lang w:bidi="ar"/>
          <w14:textFill>
            <w14:solidFill>
              <w14:schemeClr w14:val="tx1"/>
            </w14:solidFill>
          </w14:textFill>
        </w:rPr>
        <w:t>负责协调施工用水用电，为施工提供便利条件；费用乙方自理。</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kern w:val="1"/>
          <w:highlight w:val="none"/>
          <w:lang w:val="en-US" w:eastAsia="zh-CN" w:bidi="ar"/>
          <w14:textFill>
            <w14:solidFill>
              <w14:schemeClr w14:val="tx1"/>
            </w14:solidFill>
          </w14:textFill>
        </w:rPr>
        <w:t xml:space="preserve">11.1.7 </w:t>
      </w:r>
      <w:r>
        <w:rPr>
          <w:rFonts w:hint="eastAsia" w:ascii="宋体" w:hAnsi="宋体" w:eastAsia="宋体" w:cs="宋体"/>
          <w:color w:val="000000" w:themeColor="text1"/>
          <w:kern w:val="1"/>
          <w:highlight w:val="none"/>
          <w:lang w:bidi="ar"/>
          <w14:textFill>
            <w14:solidFill>
              <w14:schemeClr w14:val="tx1"/>
            </w14:solidFill>
          </w14:textFill>
        </w:rPr>
        <w:t>协调解决乙方的办公场所、材料堆放场地等施工必备条件，费用乙方负担。</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kern w:val="1"/>
          <w:highlight w:val="none"/>
          <w:lang w:val="en-US" w:eastAsia="zh-CN" w:bidi="ar"/>
          <w14:textFill>
            <w14:solidFill>
              <w14:schemeClr w14:val="tx1"/>
            </w14:solidFill>
          </w14:textFill>
        </w:rPr>
        <w:t xml:space="preserve">11.1.8 </w:t>
      </w:r>
      <w:r>
        <w:rPr>
          <w:rFonts w:hint="eastAsia" w:ascii="宋体" w:hAnsi="宋体" w:eastAsia="宋体" w:cs="宋体"/>
          <w:color w:val="000000" w:themeColor="text1"/>
          <w:kern w:val="1"/>
          <w:highlight w:val="none"/>
          <w:lang w:bidi="ar"/>
          <w14:textFill>
            <w14:solidFill>
              <w14:schemeClr w14:val="tx1"/>
            </w14:solidFill>
          </w14:textFill>
        </w:rPr>
        <w:t>协调乙方与主体、装修施工单位的关系。</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kern w:val="1"/>
          <w:highlight w:val="none"/>
          <w:lang w:val="en-US" w:eastAsia="zh-CN" w:bidi="ar"/>
          <w14:textFill>
            <w14:solidFill>
              <w14:schemeClr w14:val="tx1"/>
            </w14:solidFill>
          </w14:textFill>
        </w:rPr>
        <w:t xml:space="preserve">11.1.9 </w:t>
      </w:r>
      <w:r>
        <w:rPr>
          <w:rFonts w:hint="eastAsia" w:ascii="宋体" w:hAnsi="宋体" w:eastAsia="宋体" w:cs="宋体"/>
          <w:color w:val="000000" w:themeColor="text1"/>
          <w:kern w:val="1"/>
          <w:highlight w:val="none"/>
          <w:lang w:bidi="ar"/>
          <w14:textFill>
            <w14:solidFill>
              <w14:schemeClr w14:val="tx1"/>
            </w14:solidFill>
          </w14:textFill>
        </w:rPr>
        <w:t>履行合同约定的义务。</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kern w:val="1"/>
          <w:highlight w:val="none"/>
          <w:lang w:val="en-US" w:eastAsia="zh-CN" w:bidi="ar"/>
          <w14:textFill>
            <w14:solidFill>
              <w14:schemeClr w14:val="tx1"/>
            </w14:solidFill>
          </w14:textFill>
        </w:rPr>
        <w:t xml:space="preserve">11.1.10 </w:t>
      </w:r>
      <w:r>
        <w:rPr>
          <w:rFonts w:hint="eastAsia" w:ascii="宋体" w:hAnsi="宋体" w:eastAsia="宋体" w:cs="宋体"/>
          <w:color w:val="000000" w:themeColor="text1"/>
          <w:kern w:val="1"/>
          <w:highlight w:val="none"/>
          <w:lang w:bidi="ar"/>
          <w14:textFill>
            <w14:solidFill>
              <w14:schemeClr w14:val="tx1"/>
            </w14:solidFill>
          </w14:textFill>
        </w:rPr>
        <w:t>甲方应做的其它工作：若发生，双方协商解决。</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2" w:firstLineChars="200"/>
        <w:jc w:val="both"/>
        <w:textAlignment w:val="auto"/>
        <w:outlineLvl w:val="9"/>
        <w:rPr>
          <w:rFonts w:hint="eastAsia" w:ascii="宋体" w:hAnsi="宋体" w:eastAsia="宋体" w:cs="宋体"/>
          <w:b/>
          <w:bCs/>
          <w:color w:val="000000" w:themeColor="text1"/>
          <w:szCs w:val="24"/>
          <w:highlight w:val="none"/>
          <w14:textFill>
            <w14:solidFill>
              <w14:schemeClr w14:val="tx1"/>
            </w14:solidFill>
          </w14:textFill>
        </w:rPr>
      </w:pPr>
      <w:r>
        <w:rPr>
          <w:rFonts w:hint="eastAsia" w:ascii="宋体" w:hAnsi="宋体" w:cs="宋体"/>
          <w:b/>
          <w:bCs/>
          <w:color w:val="000000" w:themeColor="text1"/>
          <w:szCs w:val="24"/>
          <w:highlight w:val="none"/>
          <w:lang w:val="en-US" w:eastAsia="zh-CN" w:bidi="ar"/>
          <w14:textFill>
            <w14:solidFill>
              <w14:schemeClr w14:val="tx1"/>
            </w14:solidFill>
          </w14:textFill>
        </w:rPr>
        <w:t xml:space="preserve">11.2 </w:t>
      </w:r>
      <w:r>
        <w:rPr>
          <w:rFonts w:hint="eastAsia" w:ascii="宋体" w:hAnsi="宋体" w:eastAsia="宋体" w:cs="宋体"/>
          <w:b/>
          <w:bCs/>
          <w:color w:val="000000" w:themeColor="text1"/>
          <w:szCs w:val="24"/>
          <w:highlight w:val="none"/>
          <w:lang w:bidi="ar"/>
          <w14:textFill>
            <w14:solidFill>
              <w14:schemeClr w14:val="tx1"/>
            </w14:solidFill>
          </w14:textFill>
        </w:rPr>
        <w:t>乙方责任与义务：</w:t>
      </w:r>
    </w:p>
    <w:p>
      <w:pPr>
        <w:keepNext w:val="0"/>
        <w:keepLines w:val="0"/>
        <w:pageBreakBefore w:val="0"/>
        <w:widowControl w:val="0"/>
        <w:tabs>
          <w:tab w:val="left" w:pos="630"/>
        </w:tabs>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11.2.1 </w:t>
      </w:r>
      <w:r>
        <w:rPr>
          <w:rFonts w:hint="eastAsia" w:ascii="宋体" w:hAnsi="宋体" w:eastAsia="宋体" w:cs="宋体"/>
          <w:color w:val="000000" w:themeColor="text1"/>
          <w:szCs w:val="24"/>
          <w:highlight w:val="none"/>
          <w:lang w:bidi="ar"/>
          <w14:textFill>
            <w14:solidFill>
              <w14:schemeClr w14:val="tx1"/>
            </w14:solidFill>
          </w14:textFill>
        </w:rPr>
        <w:t>指定一名项目经理，负责本项目的组织、管理工作（主要技术负责人和项目经理常驻现场），项目经理：</w:t>
      </w:r>
      <w:r>
        <w:rPr>
          <w:rFonts w:hint="eastAsia" w:ascii="宋体" w:hAnsi="宋体" w:cs="宋体"/>
          <w:color w:val="000000" w:themeColor="text1"/>
          <w:szCs w:val="24"/>
          <w:highlight w:val="none"/>
          <w:u w:val="single"/>
          <w:lang w:eastAsia="zh-CN" w:bidi="ar"/>
          <w14:textFill>
            <w14:solidFill>
              <w14:schemeClr w14:val="tx1"/>
            </w14:solidFill>
          </w14:textFill>
        </w:rPr>
        <w:t>康慧源</w:t>
      </w:r>
      <w:r>
        <w:rPr>
          <w:rFonts w:hint="eastAsia" w:ascii="宋体" w:hAnsi="宋体" w:eastAsia="宋体" w:cs="宋体"/>
          <w:color w:val="000000" w:themeColor="text1"/>
          <w:szCs w:val="24"/>
          <w:highlight w:val="none"/>
          <w:u w:val="none"/>
          <w:lang w:bidi="ar"/>
          <w14:textFill>
            <w14:solidFill>
              <w14:schemeClr w14:val="tx1"/>
            </w14:solidFill>
          </w14:textFill>
        </w:rPr>
        <w:t>，</w:t>
      </w:r>
      <w:r>
        <w:rPr>
          <w:rFonts w:hint="eastAsia" w:ascii="宋体" w:hAnsi="宋体" w:eastAsia="宋体" w:cs="宋体"/>
          <w:color w:val="000000" w:themeColor="text1"/>
          <w:szCs w:val="24"/>
          <w:highlight w:val="none"/>
          <w:lang w:bidi="ar"/>
          <w14:textFill>
            <w14:solidFill>
              <w14:schemeClr w14:val="tx1"/>
            </w14:solidFill>
          </w14:textFill>
        </w:rPr>
        <w:t>联系电话：</w:t>
      </w:r>
      <w:r>
        <w:rPr>
          <w:rFonts w:hint="eastAsia" w:ascii="宋体" w:hAnsi="宋体" w:cs="宋体"/>
          <w:color w:val="000000" w:themeColor="text1"/>
          <w:szCs w:val="24"/>
          <w:highlight w:val="none"/>
          <w:u w:val="single"/>
          <w:lang w:val="en-US" w:eastAsia="zh-CN" w:bidi="ar"/>
          <w14:textFill>
            <w14:solidFill>
              <w14:schemeClr w14:val="tx1"/>
            </w14:solidFill>
          </w14:textFill>
        </w:rPr>
        <w:t>15303868588</w:t>
      </w:r>
      <w:r>
        <w:rPr>
          <w:rFonts w:hint="eastAsia" w:ascii="宋体" w:hAnsi="宋体" w:eastAsia="宋体" w:cs="宋体"/>
          <w:color w:val="000000" w:themeColor="text1"/>
          <w:szCs w:val="24"/>
          <w:highlight w:val="none"/>
          <w:lang w:bidi="ar"/>
          <w14:textFill>
            <w14:solidFill>
              <w14:schemeClr w14:val="tx1"/>
            </w14:solidFill>
          </w14:textFill>
        </w:rPr>
        <w:t>，其余技术管理人员乙方须提交甲方认可。</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11.2.2 </w:t>
      </w:r>
      <w:r>
        <w:rPr>
          <w:rFonts w:hint="eastAsia" w:ascii="宋体" w:hAnsi="宋体" w:eastAsia="宋体" w:cs="宋体"/>
          <w:color w:val="000000" w:themeColor="text1"/>
          <w:szCs w:val="24"/>
          <w:highlight w:val="none"/>
          <w:lang w:bidi="ar"/>
          <w14:textFill>
            <w14:solidFill>
              <w14:schemeClr w14:val="tx1"/>
            </w14:solidFill>
          </w14:textFill>
        </w:rPr>
        <w:t>组织施工人员和材料、机械设备进场。</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11.2.3 </w:t>
      </w:r>
      <w:r>
        <w:rPr>
          <w:rFonts w:hint="eastAsia" w:ascii="宋体" w:hAnsi="宋体" w:eastAsia="宋体" w:cs="宋体"/>
          <w:color w:val="000000" w:themeColor="text1"/>
          <w:szCs w:val="24"/>
          <w:highlight w:val="none"/>
          <w:lang w:bidi="ar"/>
          <w14:textFill>
            <w14:solidFill>
              <w14:schemeClr w14:val="tx1"/>
            </w14:solidFill>
          </w14:textFill>
        </w:rPr>
        <w:t>严格按照经甲方、监理审核的文件及有关技术规范进行施工、保质、按期完成合同所要求的工作内容。</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11.2.4 </w:t>
      </w:r>
      <w:r>
        <w:rPr>
          <w:rFonts w:hint="eastAsia" w:ascii="宋体" w:hAnsi="宋体" w:eastAsia="宋体" w:cs="宋体"/>
          <w:color w:val="000000" w:themeColor="text1"/>
          <w:szCs w:val="24"/>
          <w:highlight w:val="none"/>
          <w:lang w:bidi="ar"/>
          <w14:textFill>
            <w14:solidFill>
              <w14:schemeClr w14:val="tx1"/>
            </w14:solidFill>
          </w14:textFill>
        </w:rPr>
        <w:t>严格作好施工期间的一切劳动安全保护工作，施工过程中因乙方原因造成发生的事故，一切损失和责任均由乙方自行负责。</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11.2.5 </w:t>
      </w:r>
      <w:r>
        <w:rPr>
          <w:rFonts w:hint="eastAsia" w:ascii="宋体" w:hAnsi="宋体" w:eastAsia="宋体" w:cs="宋体"/>
          <w:color w:val="000000" w:themeColor="text1"/>
          <w:szCs w:val="24"/>
          <w:highlight w:val="none"/>
          <w:lang w:bidi="ar"/>
          <w14:textFill>
            <w14:solidFill>
              <w14:schemeClr w14:val="tx1"/>
            </w14:solidFill>
          </w14:textFill>
        </w:rPr>
        <w:t>接受甲方和监理对工程质量和进度的监督和检查，根据甲方、监理的意见，对不符合质量要求的部位认真进行整改，直至符合施工图纸和国家施工规范要求。</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11.2.6 </w:t>
      </w:r>
      <w:r>
        <w:rPr>
          <w:rFonts w:hint="eastAsia" w:ascii="宋体" w:hAnsi="宋体" w:eastAsia="宋体" w:cs="宋体"/>
          <w:color w:val="000000" w:themeColor="text1"/>
          <w:szCs w:val="24"/>
          <w:highlight w:val="none"/>
          <w:lang w:bidi="ar"/>
          <w14:textFill>
            <w14:solidFill>
              <w14:schemeClr w14:val="tx1"/>
            </w14:solidFill>
          </w14:textFill>
        </w:rPr>
        <w:t>每个阶段施工完毕必须根据甲方要求按阶段送正式电，如不能按阶段按时送正式电，期间电费差价由乙方承担。</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11.2.7 </w:t>
      </w:r>
      <w:r>
        <w:rPr>
          <w:rFonts w:hint="eastAsia" w:ascii="宋体" w:hAnsi="宋体" w:eastAsia="宋体" w:cs="宋体"/>
          <w:color w:val="000000" w:themeColor="text1"/>
          <w:szCs w:val="24"/>
          <w:highlight w:val="none"/>
          <w:lang w:bidi="ar"/>
          <w14:textFill>
            <w14:solidFill>
              <w14:schemeClr w14:val="tx1"/>
            </w14:solidFill>
          </w14:textFill>
        </w:rPr>
        <w:t>提供工程所用设备和材料随机提供的质保书、合格证、3C认证等相关资料，并保证将住宅配移交给供电局管理。</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lang w:bidi="ar"/>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11.2.8 </w:t>
      </w:r>
      <w:r>
        <w:rPr>
          <w:rFonts w:hint="eastAsia" w:ascii="宋体" w:hAnsi="宋体" w:eastAsia="宋体" w:cs="宋体"/>
          <w:color w:val="000000" w:themeColor="text1"/>
          <w:szCs w:val="24"/>
          <w:highlight w:val="none"/>
          <w:lang w:bidi="ar"/>
          <w14:textFill>
            <w14:solidFill>
              <w14:schemeClr w14:val="tx1"/>
            </w14:solidFill>
          </w14:textFill>
        </w:rPr>
        <w:t>负责（含装饰装修工程）向电力主管部门和有关监督部门报批和办理供配电工程验收手续 。</w:t>
      </w:r>
    </w:p>
    <w:p>
      <w:pPr>
        <w:pStyle w:val="2"/>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11.2.9 </w:t>
      </w:r>
      <w:r>
        <w:rPr>
          <w:rFonts w:hint="eastAsia" w:ascii="宋体" w:hAnsi="宋体" w:eastAsia="宋体" w:cs="宋体"/>
          <w:color w:val="000000" w:themeColor="text1"/>
          <w:szCs w:val="24"/>
          <w:highlight w:val="none"/>
          <w:lang w:val="en-US" w:eastAsia="zh-CN"/>
          <w14:textFill>
            <w14:solidFill>
              <w14:schemeClr w14:val="tx1"/>
            </w14:solidFill>
          </w14:textFill>
        </w:rPr>
        <w:t>若正式电未送，需用临时电送上</w:t>
      </w:r>
      <w:r>
        <w:rPr>
          <w:rFonts w:hint="eastAsia" w:ascii="宋体" w:hAnsi="宋体" w:cs="宋体"/>
          <w:color w:val="000000" w:themeColor="text1"/>
          <w:szCs w:val="24"/>
          <w:highlight w:val="none"/>
          <w:lang w:val="en-US" w:eastAsia="zh-CN"/>
          <w14:textFill>
            <w14:solidFill>
              <w14:schemeClr w14:val="tx1"/>
            </w14:solidFill>
          </w14:textFill>
        </w:rPr>
        <w:t>，本次报价已包含两路低压临时电的相关费用</w:t>
      </w:r>
      <w:r>
        <w:rPr>
          <w:rFonts w:hint="eastAsia" w:ascii="宋体" w:hAnsi="宋体" w:eastAsia="宋体" w:cs="宋体"/>
          <w:color w:val="000000" w:themeColor="text1"/>
          <w:szCs w:val="24"/>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11.2.10 </w:t>
      </w:r>
      <w:r>
        <w:rPr>
          <w:rFonts w:hint="eastAsia" w:ascii="宋体" w:hAnsi="宋体" w:eastAsia="宋体" w:cs="宋体"/>
          <w:color w:val="000000" w:themeColor="text1"/>
          <w:szCs w:val="24"/>
          <w:highlight w:val="none"/>
          <w:lang w:bidi="ar"/>
          <w14:textFill>
            <w14:solidFill>
              <w14:schemeClr w14:val="tx1"/>
            </w14:solidFill>
          </w14:textFill>
        </w:rPr>
        <w:t>提供竣工图纸、竣工资料叁套，电子版壹套。</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11.2.11 </w:t>
      </w:r>
      <w:r>
        <w:rPr>
          <w:rFonts w:hint="eastAsia" w:ascii="宋体" w:hAnsi="宋体" w:eastAsia="宋体" w:cs="宋体"/>
          <w:color w:val="000000" w:themeColor="text1"/>
          <w:szCs w:val="24"/>
          <w:highlight w:val="none"/>
          <w:lang w:bidi="ar"/>
          <w14:textFill>
            <w14:solidFill>
              <w14:schemeClr w14:val="tx1"/>
            </w14:solidFill>
          </w14:textFill>
        </w:rPr>
        <w:t>履行合同约定的义务。</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both"/>
        <w:textAlignment w:val="auto"/>
        <w:outlineLvl w:val="9"/>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kern w:val="1"/>
          <w:highlight w:val="none"/>
          <w:lang w:bidi="ar"/>
          <w14:textFill>
            <w14:solidFill>
              <w14:schemeClr w14:val="tx1"/>
            </w14:solidFill>
          </w14:textFill>
        </w:rPr>
        <w:t>十</w:t>
      </w:r>
      <w:r>
        <w:rPr>
          <w:rFonts w:hint="eastAsia" w:hAnsi="宋体" w:cs="宋体"/>
          <w:b/>
          <w:color w:val="000000" w:themeColor="text1"/>
          <w:kern w:val="1"/>
          <w:highlight w:val="none"/>
          <w:lang w:eastAsia="zh-CN" w:bidi="ar"/>
          <w14:textFill>
            <w14:solidFill>
              <w14:schemeClr w14:val="tx1"/>
            </w14:solidFill>
          </w14:textFill>
        </w:rPr>
        <w:t>二</w:t>
      </w:r>
      <w:r>
        <w:rPr>
          <w:rFonts w:hint="eastAsia" w:ascii="宋体" w:hAnsi="宋体" w:eastAsia="宋体" w:cs="宋体"/>
          <w:b/>
          <w:color w:val="000000" w:themeColor="text1"/>
          <w:kern w:val="1"/>
          <w:highlight w:val="none"/>
          <w:lang w:bidi="ar"/>
          <w14:textFill>
            <w14:solidFill>
              <w14:schemeClr w14:val="tx1"/>
            </w14:solidFill>
          </w14:textFill>
        </w:rPr>
        <w:t>、安全施工</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kern w:val="1"/>
          <w:highlight w:val="none"/>
          <w:lang w:val="en-US" w:eastAsia="zh-CN" w:bidi="ar"/>
          <w14:textFill>
            <w14:solidFill>
              <w14:schemeClr w14:val="tx1"/>
            </w14:solidFill>
          </w14:textFill>
        </w:rPr>
        <w:t xml:space="preserve">12.1 </w:t>
      </w:r>
      <w:r>
        <w:rPr>
          <w:rFonts w:hint="eastAsia" w:ascii="宋体" w:hAnsi="宋体" w:eastAsia="宋体" w:cs="宋体"/>
          <w:color w:val="000000" w:themeColor="text1"/>
          <w:kern w:val="1"/>
          <w:highlight w:val="none"/>
          <w:lang w:bidi="ar"/>
          <w14:textFill>
            <w14:solidFill>
              <w14:schemeClr w14:val="tx1"/>
            </w14:solidFill>
          </w14:textFill>
        </w:rPr>
        <w:t>乙方要确保安全施工，派专人负责具体的安全工作，并经常性地做好安全宣传教育，严防安全隐患，杜绝伤亡事故和火灾的发生。如发生事故，责任由乙方负责，与甲方无关，乙方同时保护现场并及时上报有关部门。</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kern w:val="1"/>
          <w:highlight w:val="none"/>
          <w:lang w:val="en-US" w:eastAsia="zh-CN" w:bidi="ar"/>
          <w14:textFill>
            <w14:solidFill>
              <w14:schemeClr w14:val="tx1"/>
            </w14:solidFill>
          </w14:textFill>
        </w:rPr>
        <w:t xml:space="preserve">12.2 </w:t>
      </w:r>
      <w:r>
        <w:rPr>
          <w:rFonts w:hint="eastAsia" w:ascii="宋体" w:hAnsi="宋体" w:eastAsia="宋体" w:cs="宋体"/>
          <w:color w:val="000000" w:themeColor="text1"/>
          <w:kern w:val="1"/>
          <w:highlight w:val="none"/>
          <w:lang w:bidi="ar"/>
          <w14:textFill>
            <w14:solidFill>
              <w14:schemeClr w14:val="tx1"/>
            </w14:solidFill>
          </w14:textFill>
        </w:rPr>
        <w:t>乙方及乙方派驻施工现场的项目经理须向甲方签订责任状，对工程质量、安全做出相应承诺和确定目标值。若上述目标不能达到，自愿向甲方给予经济补偿和承担相应的法律责任。</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kern w:val="1"/>
          <w:highlight w:val="none"/>
          <w:lang w:val="en-US" w:eastAsia="zh-CN" w:bidi="ar"/>
          <w14:textFill>
            <w14:solidFill>
              <w14:schemeClr w14:val="tx1"/>
            </w14:solidFill>
          </w14:textFill>
        </w:rPr>
        <w:t xml:space="preserve">12.3 </w:t>
      </w:r>
      <w:r>
        <w:rPr>
          <w:rFonts w:hint="eastAsia" w:ascii="宋体" w:hAnsi="宋体" w:eastAsia="宋体" w:cs="宋体"/>
          <w:color w:val="000000" w:themeColor="text1"/>
          <w:kern w:val="1"/>
          <w:highlight w:val="none"/>
          <w:lang w:bidi="ar"/>
          <w14:textFill>
            <w14:solidFill>
              <w14:schemeClr w14:val="tx1"/>
            </w14:solidFill>
          </w14:textFill>
        </w:rPr>
        <w:t>施工现场用电器具应有接地、接零装置和线路布置规范化，安全防护措施到位。乙方自身职工、与甲方有关的第三方人员在现场发生伤亡事故，其经济责任、法律责任和其它民事责任均由乙方负责。</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kern w:val="1"/>
          <w:highlight w:val="none"/>
          <w:lang w:val="en-US" w:eastAsia="zh-CN" w:bidi="ar"/>
          <w14:textFill>
            <w14:solidFill>
              <w14:schemeClr w14:val="tx1"/>
            </w14:solidFill>
          </w14:textFill>
        </w:rPr>
        <w:t xml:space="preserve">12.4 </w:t>
      </w:r>
      <w:r>
        <w:rPr>
          <w:rFonts w:hint="eastAsia" w:ascii="宋体" w:hAnsi="宋体" w:eastAsia="宋体" w:cs="宋体"/>
          <w:color w:val="000000" w:themeColor="text1"/>
          <w:kern w:val="1"/>
          <w:highlight w:val="none"/>
          <w:lang w:bidi="ar"/>
          <w14:textFill>
            <w14:solidFill>
              <w14:schemeClr w14:val="tx1"/>
            </w14:solidFill>
          </w14:textFill>
        </w:rPr>
        <w:t>乙方应加强对职工的教育。施工现场严禁酗酒、打架斗殴、赌博和其它违法违章现象，每发现一次，乙方给予甲方500元/次的经济补偿。</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kern w:val="1"/>
          <w:highlight w:val="none"/>
          <w:lang w:val="en-US" w:eastAsia="zh-CN" w:bidi="ar"/>
          <w14:textFill>
            <w14:solidFill>
              <w14:schemeClr w14:val="tx1"/>
            </w14:solidFill>
          </w14:textFill>
        </w:rPr>
        <w:t xml:space="preserve">12.5 </w:t>
      </w:r>
      <w:r>
        <w:rPr>
          <w:rFonts w:hint="eastAsia" w:ascii="宋体" w:hAnsi="宋体" w:eastAsia="宋体" w:cs="宋体"/>
          <w:color w:val="000000" w:themeColor="text1"/>
          <w:kern w:val="1"/>
          <w:highlight w:val="none"/>
          <w:lang w:bidi="ar"/>
          <w14:textFill>
            <w14:solidFill>
              <w14:schemeClr w14:val="tx1"/>
            </w14:solidFill>
          </w14:textFill>
        </w:rPr>
        <w:t>乙方严禁对现场甲方工作人员、与甲方有关第三方人员、监理人员等，进行请客、行贿。甲方发现一次无论何原因将对各方参与人员给予发生数额十倍以上的经济处罚，达到刑事责任时，将依据有关法律追究当事人的刑事责任。</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both"/>
        <w:textAlignment w:val="auto"/>
        <w:outlineLvl w:val="9"/>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kern w:val="1"/>
          <w:highlight w:val="none"/>
          <w:lang w:bidi="ar"/>
          <w14:textFill>
            <w14:solidFill>
              <w14:schemeClr w14:val="tx1"/>
            </w14:solidFill>
          </w14:textFill>
        </w:rPr>
        <w:t>十</w:t>
      </w:r>
      <w:r>
        <w:rPr>
          <w:rFonts w:hint="eastAsia" w:hAnsi="宋体" w:cs="宋体"/>
          <w:b/>
          <w:color w:val="000000" w:themeColor="text1"/>
          <w:kern w:val="1"/>
          <w:highlight w:val="none"/>
          <w:lang w:eastAsia="zh-CN" w:bidi="ar"/>
          <w14:textFill>
            <w14:solidFill>
              <w14:schemeClr w14:val="tx1"/>
            </w14:solidFill>
          </w14:textFill>
        </w:rPr>
        <w:t>三</w:t>
      </w:r>
      <w:r>
        <w:rPr>
          <w:rFonts w:hint="eastAsia" w:ascii="宋体" w:hAnsi="宋体" w:eastAsia="宋体" w:cs="宋体"/>
          <w:b/>
          <w:color w:val="000000" w:themeColor="text1"/>
          <w:kern w:val="1"/>
          <w:highlight w:val="none"/>
          <w:lang w:bidi="ar"/>
          <w14:textFill>
            <w14:solidFill>
              <w14:schemeClr w14:val="tx1"/>
            </w14:solidFill>
          </w14:textFill>
        </w:rPr>
        <w:t>、现场文明施工及管理要求</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kern w:val="1"/>
          <w:highlight w:val="none"/>
          <w:lang w:val="en-US" w:eastAsia="zh-CN" w:bidi="ar"/>
          <w14:textFill>
            <w14:solidFill>
              <w14:schemeClr w14:val="tx1"/>
            </w14:solidFill>
          </w14:textFill>
        </w:rPr>
        <w:t xml:space="preserve">13.1 </w:t>
      </w:r>
      <w:r>
        <w:rPr>
          <w:rFonts w:hint="eastAsia" w:ascii="宋体" w:hAnsi="宋体" w:eastAsia="宋体" w:cs="宋体"/>
          <w:color w:val="000000" w:themeColor="text1"/>
          <w:kern w:val="1"/>
          <w:highlight w:val="none"/>
          <w:lang w:bidi="ar"/>
          <w14:textFill>
            <w14:solidFill>
              <w14:schemeClr w14:val="tx1"/>
            </w14:solidFill>
          </w14:textFill>
        </w:rPr>
        <w:t>乙方在施工中要服从甲方及监理人员的统一指挥，做好防尘防噪措施，各项措施和管理达到示范工程标准。</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kern w:val="1"/>
          <w:highlight w:val="none"/>
          <w:lang w:val="en-US" w:eastAsia="zh-CN" w:bidi="ar"/>
          <w14:textFill>
            <w14:solidFill>
              <w14:schemeClr w14:val="tx1"/>
            </w14:solidFill>
          </w14:textFill>
        </w:rPr>
        <w:t xml:space="preserve">13.2 </w:t>
      </w:r>
      <w:r>
        <w:rPr>
          <w:rFonts w:hint="eastAsia" w:ascii="宋体" w:hAnsi="宋体" w:eastAsia="宋体" w:cs="宋体"/>
          <w:color w:val="000000" w:themeColor="text1"/>
          <w:kern w:val="1"/>
          <w:highlight w:val="none"/>
          <w:lang w:bidi="ar"/>
          <w14:textFill>
            <w14:solidFill>
              <w14:schemeClr w14:val="tx1"/>
            </w14:solidFill>
          </w14:textFill>
        </w:rPr>
        <w:t>乙方应保证施工现场的卫生标准、噪音标准等指标满足国家、地方的有关规定。施工中因乙方违反规定造成的损失和发生的费用（若主管部门罚款）均由乙方承担。</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kern w:val="1"/>
          <w:highlight w:val="none"/>
          <w:lang w:val="en-US" w:eastAsia="zh-CN" w:bidi="ar"/>
          <w14:textFill>
            <w14:solidFill>
              <w14:schemeClr w14:val="tx1"/>
            </w14:solidFill>
          </w14:textFill>
        </w:rPr>
        <w:t xml:space="preserve">13.3 </w:t>
      </w:r>
      <w:r>
        <w:rPr>
          <w:rFonts w:hint="eastAsia" w:ascii="宋体" w:hAnsi="宋体" w:eastAsia="宋体" w:cs="宋体"/>
          <w:color w:val="000000" w:themeColor="text1"/>
          <w:kern w:val="1"/>
          <w:highlight w:val="none"/>
          <w:lang w:bidi="ar"/>
          <w14:textFill>
            <w14:solidFill>
              <w14:schemeClr w14:val="tx1"/>
            </w14:solidFill>
          </w14:textFill>
        </w:rPr>
        <w:t>施工过程中如发生扰民或民扰，由乙方与甲方协调解决，费用乙方承担。</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both"/>
        <w:textAlignment w:val="auto"/>
        <w:outlineLvl w:val="9"/>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kern w:val="1"/>
          <w:highlight w:val="none"/>
          <w:lang w:bidi="ar"/>
          <w14:textFill>
            <w14:solidFill>
              <w14:schemeClr w14:val="tx1"/>
            </w14:solidFill>
          </w14:textFill>
        </w:rPr>
        <w:t>十</w:t>
      </w:r>
      <w:r>
        <w:rPr>
          <w:rFonts w:hint="eastAsia" w:hAnsi="宋体" w:cs="宋体"/>
          <w:b/>
          <w:color w:val="000000" w:themeColor="text1"/>
          <w:kern w:val="1"/>
          <w:highlight w:val="none"/>
          <w:lang w:eastAsia="zh-CN" w:bidi="ar"/>
          <w14:textFill>
            <w14:solidFill>
              <w14:schemeClr w14:val="tx1"/>
            </w14:solidFill>
          </w14:textFill>
        </w:rPr>
        <w:t>四</w:t>
      </w:r>
      <w:r>
        <w:rPr>
          <w:rFonts w:hint="eastAsia" w:ascii="宋体" w:hAnsi="宋体" w:eastAsia="宋体" w:cs="宋体"/>
          <w:b/>
          <w:color w:val="000000" w:themeColor="text1"/>
          <w:kern w:val="1"/>
          <w:highlight w:val="none"/>
          <w:lang w:bidi="ar"/>
          <w14:textFill>
            <w14:solidFill>
              <w14:schemeClr w14:val="tx1"/>
            </w14:solidFill>
          </w14:textFill>
        </w:rPr>
        <w:t>、设备、材料采购及试验</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kern w:val="1"/>
          <w:highlight w:val="none"/>
          <w:lang w:val="en-US" w:eastAsia="zh-CN" w:bidi="ar"/>
          <w14:textFill>
            <w14:solidFill>
              <w14:schemeClr w14:val="tx1"/>
            </w14:solidFill>
          </w14:textFill>
        </w:rPr>
        <w:t xml:space="preserve">14.1 </w:t>
      </w:r>
      <w:r>
        <w:rPr>
          <w:rFonts w:hint="eastAsia" w:ascii="宋体" w:hAnsi="宋体" w:eastAsia="宋体" w:cs="宋体"/>
          <w:color w:val="000000" w:themeColor="text1"/>
          <w:kern w:val="1"/>
          <w:highlight w:val="none"/>
          <w:lang w:bidi="ar"/>
          <w14:textFill>
            <w14:solidFill>
              <w14:schemeClr w14:val="tx1"/>
            </w14:solidFill>
          </w14:textFill>
        </w:rPr>
        <w:t>设备、材料采购由乙方负责。设备、材料品牌、规格型号必须按（附件2）中主材品牌进行采购。在施工过程中，对此部分材料甲方始终保留甲供或甲控的主动权。若此部分主材由甲方甲供，在结算时直接按照后附附表3中的该种材料的甲供价格及用量乘以税金扣除；若此部分主材由甲方认质认价，在结算时则按照甲方认质认价单中的单价与实际用量乘以税金调整至结算造价中。</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kern w:val="1"/>
          <w:highlight w:val="none"/>
          <w:lang w:val="en-US" w:eastAsia="zh-CN" w:bidi="ar"/>
          <w14:textFill>
            <w14:solidFill>
              <w14:schemeClr w14:val="tx1"/>
            </w14:solidFill>
          </w14:textFill>
        </w:rPr>
        <w:t xml:space="preserve">14.2 </w:t>
      </w:r>
      <w:r>
        <w:rPr>
          <w:rFonts w:hint="eastAsia" w:ascii="宋体" w:hAnsi="宋体" w:eastAsia="宋体" w:cs="宋体"/>
          <w:color w:val="000000" w:themeColor="text1"/>
          <w:kern w:val="1"/>
          <w:highlight w:val="none"/>
          <w:lang w:bidi="ar"/>
          <w14:textFill>
            <w14:solidFill>
              <w14:schemeClr w14:val="tx1"/>
            </w14:solidFill>
          </w14:textFill>
        </w:rPr>
        <w:t>乙方在购置主要设备及材料时必须经甲方、监理书面认可后方可采购。乙方采购的设备、材料等在进场时要先向甲方和监理方填报《材料、设备进场报验单》，经甲方和监理验收合格书面签证认可后方能进场，且使用前应按有关规定进行检验或试验，不合格的不得使用，检验或试验费用由乙方承担。未经甲方和监理工程师检查认可的设备、材料不得进场。已进场的不合格设备、材料清退出场，由此造成的损失由乙方负责。</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kern w:val="1"/>
          <w:highlight w:val="none"/>
          <w:lang w:val="en-US" w:eastAsia="zh-CN" w:bidi="ar"/>
          <w14:textFill>
            <w14:solidFill>
              <w14:schemeClr w14:val="tx1"/>
            </w14:solidFill>
          </w14:textFill>
        </w:rPr>
        <w:t xml:space="preserve">14.3 </w:t>
      </w:r>
      <w:r>
        <w:rPr>
          <w:rFonts w:hint="eastAsia" w:ascii="宋体" w:hAnsi="宋体" w:eastAsia="宋体" w:cs="宋体"/>
          <w:color w:val="000000" w:themeColor="text1"/>
          <w:kern w:val="1"/>
          <w:highlight w:val="none"/>
          <w:lang w:bidi="ar"/>
          <w14:textFill>
            <w14:solidFill>
              <w14:schemeClr w14:val="tx1"/>
            </w14:solidFill>
          </w14:textFill>
        </w:rPr>
        <w:t>本工程承包范围内使用的全部设备、材料及产品必须满足合格品规定，符合当地电力部门和洛阳市质量部门对</w:t>
      </w:r>
      <w:r>
        <w:rPr>
          <w:rFonts w:hint="eastAsia" w:ascii="宋体" w:hAnsi="宋体" w:eastAsia="宋体" w:cs="宋体"/>
          <w:color w:val="000000" w:themeColor="text1"/>
          <w:highlight w:val="none"/>
          <w:lang w:bidi="ar"/>
          <w14:textFill>
            <w14:solidFill>
              <w14:schemeClr w14:val="tx1"/>
            </w14:solidFill>
          </w14:textFill>
        </w:rPr>
        <w:t>电气设备</w:t>
      </w:r>
      <w:r>
        <w:rPr>
          <w:rFonts w:hint="eastAsia" w:ascii="宋体" w:hAnsi="宋体" w:eastAsia="宋体" w:cs="宋体"/>
          <w:color w:val="000000" w:themeColor="text1"/>
          <w:kern w:val="1"/>
          <w:highlight w:val="none"/>
          <w:lang w:bidi="ar"/>
          <w14:textFill>
            <w14:solidFill>
              <w14:schemeClr w14:val="tx1"/>
            </w14:solidFill>
          </w14:textFill>
        </w:rPr>
        <w:t>、材料及产品的具体要求，坚持三证（合格检测证、材质证、准用证）齐全，有规定要求的材料必须检测或复试合格后方可使用。同时因乙方所使用的建筑材料的问题造成建筑物环境污染超过国家允许标准，由乙方承担因此而造成的全部经济损失。</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both"/>
        <w:textAlignment w:val="auto"/>
        <w:outlineLvl w:val="9"/>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kern w:val="1"/>
          <w:highlight w:val="none"/>
          <w:lang w:bidi="ar"/>
          <w14:textFill>
            <w14:solidFill>
              <w14:schemeClr w14:val="tx1"/>
            </w14:solidFill>
          </w14:textFill>
        </w:rPr>
        <w:t>十</w:t>
      </w:r>
      <w:r>
        <w:rPr>
          <w:rFonts w:hint="eastAsia" w:hAnsi="宋体" w:cs="宋体"/>
          <w:b/>
          <w:color w:val="000000" w:themeColor="text1"/>
          <w:kern w:val="1"/>
          <w:highlight w:val="none"/>
          <w:lang w:eastAsia="zh-CN" w:bidi="ar"/>
          <w14:textFill>
            <w14:solidFill>
              <w14:schemeClr w14:val="tx1"/>
            </w14:solidFill>
          </w14:textFill>
        </w:rPr>
        <w:t>五</w:t>
      </w:r>
      <w:r>
        <w:rPr>
          <w:rFonts w:hint="eastAsia" w:ascii="宋体" w:hAnsi="宋体" w:eastAsia="宋体" w:cs="宋体"/>
          <w:b/>
          <w:color w:val="000000" w:themeColor="text1"/>
          <w:kern w:val="1"/>
          <w:highlight w:val="none"/>
          <w:lang w:bidi="ar"/>
          <w14:textFill>
            <w14:solidFill>
              <w14:schemeClr w14:val="tx1"/>
            </w14:solidFill>
          </w14:textFill>
        </w:rPr>
        <w:t>、不可抗力</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kern w:val="1"/>
          <w:highlight w:val="none"/>
          <w:lang w:val="en-US" w:eastAsia="zh-CN" w:bidi="ar"/>
          <w14:textFill>
            <w14:solidFill>
              <w14:schemeClr w14:val="tx1"/>
            </w14:solidFill>
          </w14:textFill>
        </w:rPr>
        <w:t xml:space="preserve">15.1 </w:t>
      </w:r>
      <w:r>
        <w:rPr>
          <w:rFonts w:hint="eastAsia" w:ascii="宋体" w:hAnsi="宋体" w:eastAsia="宋体" w:cs="宋体"/>
          <w:color w:val="000000" w:themeColor="text1"/>
          <w:kern w:val="1"/>
          <w:highlight w:val="none"/>
          <w:lang w:bidi="ar"/>
          <w14:textFill>
            <w14:solidFill>
              <w14:schemeClr w14:val="tx1"/>
            </w14:solidFill>
          </w14:textFill>
        </w:rPr>
        <w:t>不可抗力指因战争、</w:t>
      </w:r>
      <w:r>
        <w:rPr>
          <w:rFonts w:hint="eastAsia" w:hAnsi="宋体" w:cs="宋体"/>
          <w:color w:val="000000" w:themeColor="text1"/>
          <w:kern w:val="1"/>
          <w:highlight w:val="none"/>
          <w:lang w:val="en-US" w:eastAsia="zh-CN" w:bidi="ar"/>
          <w14:textFill>
            <w14:solidFill>
              <w14:schemeClr w14:val="tx1"/>
            </w14:solidFill>
          </w14:textFill>
        </w:rPr>
        <w:t>瘟疫、</w:t>
      </w:r>
      <w:r>
        <w:rPr>
          <w:rFonts w:hint="eastAsia" w:ascii="宋体" w:hAnsi="宋体" w:eastAsia="宋体" w:cs="宋体"/>
          <w:color w:val="000000" w:themeColor="text1"/>
          <w:kern w:val="1"/>
          <w:highlight w:val="none"/>
          <w:lang w:bidi="ar"/>
          <w14:textFill>
            <w14:solidFill>
              <w14:schemeClr w14:val="tx1"/>
            </w14:solidFill>
          </w14:textFill>
        </w:rPr>
        <w:t>动乱、空中飞行物坠落或其他非双方责任造成的爆炸、火灾以及9级以上的台风、7级及7级以上的地震等。（以当地行业主管部门的公告为准 ）</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kern w:val="1"/>
          <w:highlight w:val="none"/>
          <w:lang w:val="en-US" w:eastAsia="zh-CN" w:bidi="ar"/>
          <w14:textFill>
            <w14:solidFill>
              <w14:schemeClr w14:val="tx1"/>
            </w14:solidFill>
          </w14:textFill>
        </w:rPr>
        <w:t xml:space="preserve">15.2 </w:t>
      </w:r>
      <w:r>
        <w:rPr>
          <w:rFonts w:hint="eastAsia" w:ascii="宋体" w:hAnsi="宋体" w:eastAsia="宋体" w:cs="宋体"/>
          <w:color w:val="000000" w:themeColor="text1"/>
          <w:kern w:val="1"/>
          <w:highlight w:val="none"/>
          <w:lang w:bidi="ar"/>
          <w14:textFill>
            <w14:solidFill>
              <w14:schemeClr w14:val="tx1"/>
            </w14:solidFill>
          </w14:textFill>
        </w:rPr>
        <w:t>不可抗力发生后，乙方应迅速采取措施，尽力减少损失，并在24小时内向甲方通报受害情况，在事件发生后10日内向甲方报告损失情况和清理、修复的费用。</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kern w:val="1"/>
          <w:highlight w:val="none"/>
          <w:lang w:val="en-US" w:eastAsia="zh-CN" w:bidi="ar"/>
          <w14:textFill>
            <w14:solidFill>
              <w14:schemeClr w14:val="tx1"/>
            </w14:solidFill>
          </w14:textFill>
        </w:rPr>
        <w:t xml:space="preserve">15.3 </w:t>
      </w:r>
      <w:r>
        <w:rPr>
          <w:rFonts w:hint="eastAsia" w:ascii="宋体" w:hAnsi="宋体" w:eastAsia="宋体" w:cs="宋体"/>
          <w:color w:val="000000" w:themeColor="text1"/>
          <w:kern w:val="1"/>
          <w:highlight w:val="none"/>
          <w:lang w:bidi="ar"/>
          <w14:textFill>
            <w14:solidFill>
              <w14:schemeClr w14:val="tx1"/>
            </w14:solidFill>
          </w14:textFill>
        </w:rPr>
        <w:t>因灾害所需清理修复工作的费用由双方承担：</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kern w:val="1"/>
          <w:highlight w:val="none"/>
          <w:lang w:val="en-US" w:eastAsia="zh-CN" w:bidi="ar"/>
          <w14:textFill>
            <w14:solidFill>
              <w14:schemeClr w14:val="tx1"/>
            </w14:solidFill>
          </w14:textFill>
        </w:rPr>
        <w:t xml:space="preserve">15.3.1 </w:t>
      </w:r>
      <w:r>
        <w:rPr>
          <w:rFonts w:hint="eastAsia" w:ascii="宋体" w:hAnsi="宋体" w:eastAsia="宋体" w:cs="宋体"/>
          <w:color w:val="000000" w:themeColor="text1"/>
          <w:kern w:val="1"/>
          <w:highlight w:val="none"/>
          <w:lang w:bidi="ar"/>
          <w14:textFill>
            <w14:solidFill>
              <w14:schemeClr w14:val="tx1"/>
            </w14:solidFill>
          </w14:textFill>
        </w:rPr>
        <w:t>人员伤亡由所属单位负责，并承担相应费用；</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kern w:val="1"/>
          <w:highlight w:val="none"/>
          <w:lang w:val="en-US" w:eastAsia="zh-CN" w:bidi="ar"/>
          <w14:textFill>
            <w14:solidFill>
              <w14:schemeClr w14:val="tx1"/>
            </w14:solidFill>
          </w14:textFill>
        </w:rPr>
        <w:t xml:space="preserve">15.3.2 </w:t>
      </w:r>
      <w:r>
        <w:rPr>
          <w:rFonts w:hint="eastAsia" w:ascii="宋体" w:hAnsi="宋体" w:eastAsia="宋体" w:cs="宋体"/>
          <w:color w:val="000000" w:themeColor="text1"/>
          <w:kern w:val="1"/>
          <w:highlight w:val="none"/>
          <w:lang w:bidi="ar"/>
          <w14:textFill>
            <w14:solidFill>
              <w14:schemeClr w14:val="tx1"/>
            </w14:solidFill>
          </w14:textFill>
        </w:rPr>
        <w:t>造成乙方工程设备、机械的损失等损失由乙方承担；</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kern w:val="1"/>
          <w:highlight w:val="none"/>
          <w:lang w:val="en-US" w:eastAsia="zh-CN" w:bidi="ar"/>
          <w14:textFill>
            <w14:solidFill>
              <w14:schemeClr w14:val="tx1"/>
            </w14:solidFill>
          </w14:textFill>
        </w:rPr>
        <w:t xml:space="preserve">15.3.3 </w:t>
      </w:r>
      <w:r>
        <w:rPr>
          <w:rFonts w:hint="eastAsia" w:ascii="宋体" w:hAnsi="宋体" w:eastAsia="宋体" w:cs="宋体"/>
          <w:color w:val="000000" w:themeColor="text1"/>
          <w:kern w:val="1"/>
          <w:highlight w:val="none"/>
          <w:lang w:bidi="ar"/>
          <w14:textFill>
            <w14:solidFill>
              <w14:schemeClr w14:val="tx1"/>
            </w14:solidFill>
          </w14:textFill>
        </w:rPr>
        <w:t>所需清理修复工作的责任与费用的承担，双方另行商定。</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both"/>
        <w:textAlignment w:val="auto"/>
        <w:outlineLvl w:val="9"/>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kern w:val="1"/>
          <w:highlight w:val="none"/>
          <w:lang w:bidi="ar"/>
          <w14:textFill>
            <w14:solidFill>
              <w14:schemeClr w14:val="tx1"/>
            </w14:solidFill>
          </w14:textFill>
        </w:rPr>
        <w:t>十</w:t>
      </w:r>
      <w:r>
        <w:rPr>
          <w:rFonts w:hint="eastAsia" w:hAnsi="宋体" w:cs="宋体"/>
          <w:b/>
          <w:color w:val="000000" w:themeColor="text1"/>
          <w:kern w:val="1"/>
          <w:highlight w:val="none"/>
          <w:lang w:eastAsia="zh-CN" w:bidi="ar"/>
          <w14:textFill>
            <w14:solidFill>
              <w14:schemeClr w14:val="tx1"/>
            </w14:solidFill>
          </w14:textFill>
        </w:rPr>
        <w:t>六</w:t>
      </w:r>
      <w:r>
        <w:rPr>
          <w:rFonts w:hint="eastAsia" w:ascii="宋体" w:hAnsi="宋体" w:eastAsia="宋体" w:cs="宋体"/>
          <w:b/>
          <w:color w:val="000000" w:themeColor="text1"/>
          <w:kern w:val="1"/>
          <w:highlight w:val="none"/>
          <w:lang w:bidi="ar"/>
          <w14:textFill>
            <w14:solidFill>
              <w14:schemeClr w14:val="tx1"/>
            </w14:solidFill>
          </w14:textFill>
        </w:rPr>
        <w:t>、质保期</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kern w:val="1"/>
          <w:highlight w:val="none"/>
          <w:lang w:val="en-US" w:eastAsia="zh-CN" w:bidi="ar"/>
          <w14:textFill>
            <w14:solidFill>
              <w14:schemeClr w14:val="tx1"/>
            </w14:solidFill>
          </w14:textFill>
        </w:rPr>
        <w:t xml:space="preserve">16.1 </w:t>
      </w:r>
      <w:r>
        <w:rPr>
          <w:rFonts w:hint="eastAsia" w:ascii="宋体" w:hAnsi="宋体" w:eastAsia="宋体" w:cs="宋体"/>
          <w:color w:val="000000" w:themeColor="text1"/>
          <w:kern w:val="1"/>
          <w:highlight w:val="none"/>
          <w:lang w:bidi="ar"/>
          <w14:textFill>
            <w14:solidFill>
              <w14:schemeClr w14:val="tx1"/>
            </w14:solidFill>
          </w14:textFill>
        </w:rPr>
        <w:t>质保期限为两年。自正式电送电完成之日起两年为质保期，质保期内应保证设备连续运转正常良好。</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kern w:val="1"/>
          <w:highlight w:val="none"/>
          <w:lang w:bidi="ar"/>
          <w14:textFill>
            <w14:solidFill>
              <w14:schemeClr w14:val="tx1"/>
            </w14:solidFill>
          </w14:textFill>
        </w:rPr>
      </w:pPr>
      <w:r>
        <w:rPr>
          <w:rFonts w:hint="eastAsia" w:hAnsi="宋体" w:cs="宋体"/>
          <w:color w:val="000000" w:themeColor="text1"/>
          <w:kern w:val="1"/>
          <w:highlight w:val="none"/>
          <w:lang w:val="en-US" w:eastAsia="zh-CN" w:bidi="ar"/>
          <w14:textFill>
            <w14:solidFill>
              <w14:schemeClr w14:val="tx1"/>
            </w14:solidFill>
          </w14:textFill>
        </w:rPr>
        <w:t xml:space="preserve">16.2 </w:t>
      </w:r>
      <w:r>
        <w:rPr>
          <w:rFonts w:hint="eastAsia" w:ascii="宋体" w:hAnsi="宋体" w:eastAsia="宋体" w:cs="宋体"/>
          <w:color w:val="000000" w:themeColor="text1"/>
          <w:kern w:val="1"/>
          <w:highlight w:val="none"/>
          <w:lang w:bidi="ar"/>
          <w14:textFill>
            <w14:solidFill>
              <w14:schemeClr w14:val="tx1"/>
            </w14:solidFill>
          </w14:textFill>
        </w:rPr>
        <w:t>在质保期内，凡因设备材料质量或安装、调试质量问题，由乙方负责免费保修和更换零配件。</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both"/>
        <w:textAlignment w:val="auto"/>
        <w:outlineLvl w:val="9"/>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kern w:val="1"/>
          <w:highlight w:val="none"/>
          <w:lang w:bidi="ar"/>
          <w14:textFill>
            <w14:solidFill>
              <w14:schemeClr w14:val="tx1"/>
            </w14:solidFill>
          </w14:textFill>
        </w:rPr>
        <w:t>十</w:t>
      </w:r>
      <w:r>
        <w:rPr>
          <w:rFonts w:hint="eastAsia" w:hAnsi="宋体" w:cs="宋体"/>
          <w:b/>
          <w:color w:val="000000" w:themeColor="text1"/>
          <w:kern w:val="1"/>
          <w:highlight w:val="none"/>
          <w:lang w:eastAsia="zh-CN" w:bidi="ar"/>
          <w14:textFill>
            <w14:solidFill>
              <w14:schemeClr w14:val="tx1"/>
            </w14:solidFill>
          </w14:textFill>
        </w:rPr>
        <w:t>七</w:t>
      </w:r>
      <w:r>
        <w:rPr>
          <w:rFonts w:hint="eastAsia" w:ascii="宋体" w:hAnsi="宋体" w:eastAsia="宋体" w:cs="宋体"/>
          <w:b/>
          <w:color w:val="000000" w:themeColor="text1"/>
          <w:kern w:val="1"/>
          <w:highlight w:val="none"/>
          <w:lang w:bidi="ar"/>
          <w14:textFill>
            <w14:solidFill>
              <w14:schemeClr w14:val="tx1"/>
            </w14:solidFill>
          </w14:textFill>
        </w:rPr>
        <w:t>、售后服务措施</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highlight w:val="none"/>
          <w:lang w:val="en-US" w:eastAsia="zh-CN" w:bidi="ar"/>
          <w14:textFill>
            <w14:solidFill>
              <w14:schemeClr w14:val="tx1"/>
            </w14:solidFill>
          </w14:textFill>
        </w:rPr>
        <w:t xml:space="preserve">17.1 </w:t>
      </w:r>
      <w:r>
        <w:rPr>
          <w:rFonts w:hint="eastAsia" w:ascii="宋体" w:hAnsi="宋体" w:eastAsia="宋体" w:cs="宋体"/>
          <w:color w:val="000000" w:themeColor="text1"/>
          <w:highlight w:val="none"/>
          <w:lang w:bidi="ar"/>
          <w14:textFill>
            <w14:solidFill>
              <w14:schemeClr w14:val="tx1"/>
            </w14:solidFill>
          </w14:textFill>
        </w:rPr>
        <w:t>人员培训</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bidi="ar"/>
          <w14:textFill>
            <w14:solidFill>
              <w14:schemeClr w14:val="tx1"/>
            </w14:solidFill>
          </w14:textFill>
        </w:rPr>
        <w:t>承包人应免费对发包人操作使用人员进行培训，培训内容：</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highlight w:val="none"/>
          <w:lang w:val="en-US" w:eastAsia="zh-CN" w:bidi="ar"/>
          <w14:textFill>
            <w14:solidFill>
              <w14:schemeClr w14:val="tx1"/>
            </w14:solidFill>
          </w14:textFill>
        </w:rPr>
        <w:t>17.1.1</w:t>
      </w:r>
      <w:r>
        <w:rPr>
          <w:rFonts w:hint="eastAsia" w:ascii="宋体" w:hAnsi="宋体" w:eastAsia="宋体" w:cs="宋体"/>
          <w:color w:val="000000" w:themeColor="text1"/>
          <w:highlight w:val="none"/>
          <w:lang w:bidi="ar"/>
          <w14:textFill>
            <w14:solidFill>
              <w14:schemeClr w14:val="tx1"/>
            </w14:solidFill>
          </w14:textFill>
        </w:rPr>
        <w:t>电气设备的基本原理；</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highlight w:val="none"/>
          <w:lang w:val="en-US" w:eastAsia="zh-CN" w:bidi="ar"/>
          <w14:textFill>
            <w14:solidFill>
              <w14:schemeClr w14:val="tx1"/>
            </w14:solidFill>
          </w14:textFill>
        </w:rPr>
        <w:t xml:space="preserve">17.1.2 </w:t>
      </w:r>
      <w:r>
        <w:rPr>
          <w:rFonts w:hint="eastAsia" w:ascii="宋体" w:hAnsi="宋体" w:eastAsia="宋体" w:cs="宋体"/>
          <w:color w:val="000000" w:themeColor="text1"/>
          <w:highlight w:val="none"/>
          <w:lang w:bidi="ar"/>
          <w14:textFill>
            <w14:solidFill>
              <w14:schemeClr w14:val="tx1"/>
            </w14:solidFill>
          </w14:textFill>
        </w:rPr>
        <w:t>设备的操作使用和维护并免费提供培训教材及使用手册；</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highlight w:val="none"/>
          <w:lang w:val="en-US" w:eastAsia="zh-CN" w:bidi="ar"/>
          <w14:textFill>
            <w14:solidFill>
              <w14:schemeClr w14:val="tx1"/>
            </w14:solidFill>
          </w14:textFill>
        </w:rPr>
        <w:t xml:space="preserve">17.1.3 </w:t>
      </w:r>
      <w:r>
        <w:rPr>
          <w:rFonts w:hint="eastAsia" w:ascii="宋体" w:hAnsi="宋体" w:eastAsia="宋体" w:cs="宋体"/>
          <w:color w:val="000000" w:themeColor="text1"/>
          <w:highlight w:val="none"/>
          <w:lang w:bidi="ar"/>
          <w14:textFill>
            <w14:solidFill>
              <w14:schemeClr w14:val="tx1"/>
            </w14:solidFill>
          </w14:textFill>
        </w:rPr>
        <w:t>紧急情况的处理程序和补救措施。</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kern w:val="1"/>
          <w:highlight w:val="none"/>
          <w:lang w:val="en-US" w:eastAsia="zh-CN" w:bidi="ar"/>
          <w14:textFill>
            <w14:solidFill>
              <w14:schemeClr w14:val="tx1"/>
            </w14:solidFill>
          </w14:textFill>
        </w:rPr>
        <w:t xml:space="preserve">17.2 </w:t>
      </w:r>
      <w:r>
        <w:rPr>
          <w:rFonts w:hint="eastAsia" w:ascii="宋体" w:hAnsi="宋体" w:eastAsia="宋体" w:cs="宋体"/>
          <w:color w:val="000000" w:themeColor="text1"/>
          <w:kern w:val="1"/>
          <w:highlight w:val="none"/>
          <w:lang w:bidi="ar"/>
          <w14:textFill>
            <w14:solidFill>
              <w14:schemeClr w14:val="tx1"/>
            </w14:solidFill>
          </w14:textFill>
        </w:rPr>
        <w:t>质保期内，乙方应定期对本工程进行回访，定期对系统进行检查、维护，查看值班人员记录，发现隐患迅速消除并向甲方提供书面报告。</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kern w:val="1"/>
          <w:highlight w:val="none"/>
          <w:lang w:val="en-US" w:eastAsia="zh-CN" w:bidi="ar"/>
          <w14:textFill>
            <w14:solidFill>
              <w14:schemeClr w14:val="tx1"/>
            </w14:solidFill>
          </w14:textFill>
        </w:rPr>
        <w:t xml:space="preserve">17.3 </w:t>
      </w:r>
      <w:r>
        <w:rPr>
          <w:rFonts w:hint="eastAsia" w:ascii="宋体" w:hAnsi="宋体" w:eastAsia="宋体" w:cs="宋体"/>
          <w:color w:val="000000" w:themeColor="text1"/>
          <w:kern w:val="1"/>
          <w:highlight w:val="none"/>
          <w:lang w:bidi="ar"/>
          <w14:textFill>
            <w14:solidFill>
              <w14:schemeClr w14:val="tx1"/>
            </w14:solidFill>
          </w14:textFill>
        </w:rPr>
        <w:t xml:space="preserve">质保期内，乙方须每季度一次派技术人员到现场对系统进行检测、保养，发现问题及时解决。 </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kern w:val="1"/>
          <w:highlight w:val="none"/>
          <w:lang w:val="en-US" w:eastAsia="zh-CN" w:bidi="ar"/>
          <w14:textFill>
            <w14:solidFill>
              <w14:schemeClr w14:val="tx1"/>
            </w14:solidFill>
          </w14:textFill>
        </w:rPr>
        <w:t xml:space="preserve">17.4 </w:t>
      </w:r>
      <w:r>
        <w:rPr>
          <w:rFonts w:hint="eastAsia" w:ascii="宋体" w:hAnsi="宋体" w:eastAsia="宋体" w:cs="宋体"/>
          <w:color w:val="000000" w:themeColor="text1"/>
          <w:kern w:val="1"/>
          <w:highlight w:val="none"/>
          <w:lang w:bidi="ar"/>
          <w14:textFill>
            <w14:solidFill>
              <w14:schemeClr w14:val="tx1"/>
            </w14:solidFill>
          </w14:textFill>
        </w:rPr>
        <w:t>保修期内若系统发生故障，乙方接到报修电话后在60分钟内赶到现场，故障修复时间约定为2小时以内，若在规定的时间内不能修复，乙方须提供备用设备以保证系统正常运行。</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kern w:val="1"/>
          <w:highlight w:val="none"/>
          <w:lang w:val="en-US" w:eastAsia="zh-CN" w:bidi="ar"/>
          <w14:textFill>
            <w14:solidFill>
              <w14:schemeClr w14:val="tx1"/>
            </w14:solidFill>
          </w14:textFill>
        </w:rPr>
        <w:t xml:space="preserve">17.5 </w:t>
      </w:r>
      <w:r>
        <w:rPr>
          <w:rFonts w:hint="eastAsia" w:ascii="宋体" w:hAnsi="宋体" w:eastAsia="宋体" w:cs="宋体"/>
          <w:color w:val="000000" w:themeColor="text1"/>
          <w:kern w:val="1"/>
          <w:highlight w:val="none"/>
          <w:lang w:bidi="ar"/>
          <w14:textFill>
            <w14:solidFill>
              <w14:schemeClr w14:val="tx1"/>
            </w14:solidFill>
          </w14:textFill>
        </w:rPr>
        <w:t>免费保修期结束前，乙方须派技术人员对工程整个系统进行一次全面维修和检查，对系统中暴露的问题或隐患及时修复，并以书面形式报告甲方。</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2" w:firstLineChars="200"/>
        <w:jc w:val="both"/>
        <w:textAlignment w:val="auto"/>
        <w:outlineLvl w:val="9"/>
        <w:rPr>
          <w:rFonts w:hint="eastAsia" w:ascii="宋体" w:hAnsi="宋体" w:eastAsia="宋体" w:cs="宋体"/>
          <w:b/>
          <w:color w:val="000000" w:themeColor="text1"/>
          <w:szCs w:val="24"/>
          <w:highlight w:val="none"/>
          <w14:textFill>
            <w14:solidFill>
              <w14:schemeClr w14:val="tx1"/>
            </w14:solidFill>
          </w14:textFill>
        </w:rPr>
      </w:pPr>
      <w:r>
        <w:rPr>
          <w:rFonts w:hint="eastAsia" w:ascii="宋体" w:hAnsi="宋体" w:eastAsia="宋体" w:cs="宋体"/>
          <w:b/>
          <w:color w:val="000000" w:themeColor="text1"/>
          <w:szCs w:val="24"/>
          <w:highlight w:val="none"/>
          <w:lang w:bidi="ar"/>
          <w14:textFill>
            <w14:solidFill>
              <w14:schemeClr w14:val="tx1"/>
            </w14:solidFill>
          </w14:textFill>
        </w:rPr>
        <w:t>十</w:t>
      </w:r>
      <w:r>
        <w:rPr>
          <w:rFonts w:hint="eastAsia" w:ascii="宋体" w:hAnsi="宋体" w:cs="宋体"/>
          <w:b/>
          <w:color w:val="000000" w:themeColor="text1"/>
          <w:szCs w:val="24"/>
          <w:highlight w:val="none"/>
          <w:lang w:eastAsia="zh-CN" w:bidi="ar"/>
          <w14:textFill>
            <w14:solidFill>
              <w14:schemeClr w14:val="tx1"/>
            </w14:solidFill>
          </w14:textFill>
        </w:rPr>
        <w:t>八</w:t>
      </w:r>
      <w:r>
        <w:rPr>
          <w:rFonts w:hint="eastAsia" w:ascii="宋体" w:hAnsi="宋体" w:eastAsia="宋体" w:cs="宋体"/>
          <w:b/>
          <w:color w:val="000000" w:themeColor="text1"/>
          <w:szCs w:val="24"/>
          <w:highlight w:val="none"/>
          <w:lang w:bidi="ar"/>
          <w14:textFill>
            <w14:solidFill>
              <w14:schemeClr w14:val="tx1"/>
            </w14:solidFill>
          </w14:textFill>
        </w:rPr>
        <w:t>、违约责任：</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18.1 </w:t>
      </w:r>
      <w:r>
        <w:rPr>
          <w:rFonts w:hint="eastAsia" w:ascii="宋体" w:hAnsi="宋体" w:eastAsia="宋体" w:cs="宋体"/>
          <w:color w:val="000000" w:themeColor="text1"/>
          <w:szCs w:val="24"/>
          <w:highlight w:val="none"/>
          <w:lang w:bidi="ar"/>
          <w14:textFill>
            <w14:solidFill>
              <w14:schemeClr w14:val="tx1"/>
            </w14:solidFill>
          </w14:textFill>
        </w:rPr>
        <w:t>合同签订生效后乙方不得转包本工程，如发现有转包的情况发生，视为乙方违约。甲方有权将乙方清除出场，扣除全部合同履约保证金，并承担由此造成的一切经济损失。</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kern w:val="1"/>
          <w:highlight w:val="none"/>
          <w:lang w:val="en-US" w:eastAsia="zh-CN" w:bidi="ar"/>
          <w14:textFill>
            <w14:solidFill>
              <w14:schemeClr w14:val="tx1"/>
            </w14:solidFill>
          </w14:textFill>
        </w:rPr>
        <w:t xml:space="preserve">18.2 </w:t>
      </w:r>
      <w:r>
        <w:rPr>
          <w:rFonts w:hint="eastAsia" w:ascii="宋体" w:hAnsi="宋体" w:eastAsia="宋体" w:cs="宋体"/>
          <w:color w:val="000000" w:themeColor="text1"/>
          <w:kern w:val="1"/>
          <w:highlight w:val="none"/>
          <w:lang w:bidi="ar"/>
          <w14:textFill>
            <w14:solidFill>
              <w14:schemeClr w14:val="tx1"/>
            </w14:solidFill>
          </w14:textFill>
        </w:rPr>
        <w:t>乙方须按甲方要求节点进度按时完工，因乙方原因未能按时完工（除甲方下发工期顺延签证以外），则每延迟一天按本合同工期履约保证的2%向甲方支付违约金。因乙方原因未能按时（已包含甲方下发的工期顺延签证）交工，每延迟一天交工按本合同工期履约保证的5%向甲方支付违约金，累计延迟交工超过一周（含一周）以上时间，每延迟一天按本合同工期履约保证的10%向甲方支付违约金，且甲方有权解除合同，承包方无条件撤离。</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18.3 </w:t>
      </w:r>
      <w:r>
        <w:rPr>
          <w:rFonts w:hint="eastAsia" w:ascii="宋体" w:hAnsi="宋体" w:eastAsia="宋体" w:cs="宋体"/>
          <w:color w:val="000000" w:themeColor="text1"/>
          <w:szCs w:val="24"/>
          <w:highlight w:val="none"/>
          <w:lang w:bidi="ar"/>
          <w14:textFill>
            <w14:solidFill>
              <w14:schemeClr w14:val="tx1"/>
            </w14:solidFill>
          </w14:textFill>
        </w:rPr>
        <w:t>若乙方达不到工程质量目标，甲方有权拒付工程款，乙方向甲方支付合同价款5%的履约保证金不予退还，并无条件返工直到达到质量目标，所造成的一切损失由乙方承担。</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18.4 </w:t>
      </w:r>
      <w:r>
        <w:rPr>
          <w:rFonts w:hint="eastAsia" w:ascii="宋体" w:hAnsi="宋体" w:eastAsia="宋体" w:cs="宋体"/>
          <w:color w:val="000000" w:themeColor="text1"/>
          <w:szCs w:val="24"/>
          <w:highlight w:val="none"/>
          <w:lang w:bidi="ar"/>
          <w14:textFill>
            <w14:solidFill>
              <w14:schemeClr w14:val="tx1"/>
            </w14:solidFill>
          </w14:textFill>
        </w:rPr>
        <w:t xml:space="preserve">如违约方给对方造成损失其违约金不足以弥补经济损失的，还应该向对方赔偿损失。赔偿损失的范围应包括直接损失、间接损失。 </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18.5 </w:t>
      </w:r>
      <w:r>
        <w:rPr>
          <w:rFonts w:hint="eastAsia" w:ascii="宋体" w:hAnsi="宋体" w:eastAsia="宋体" w:cs="宋体"/>
          <w:color w:val="000000" w:themeColor="text1"/>
          <w:szCs w:val="24"/>
          <w:highlight w:val="none"/>
          <w:lang w:bidi="ar"/>
          <w14:textFill>
            <w14:solidFill>
              <w14:schemeClr w14:val="tx1"/>
            </w14:solidFill>
          </w14:textFill>
        </w:rPr>
        <w:t>若因乙方原因未能及时取得送电手续、正式送电以及验收合格证，影响整体工程交付使用，由此造成的一切损失均由乙方负责，甲方的经济损失可从乙方的合同履约保证金中直接扣除，如不够可从未支付工程款中扣除。</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lang w:bidi="ar"/>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18.6 </w:t>
      </w:r>
      <w:r>
        <w:rPr>
          <w:rFonts w:hint="eastAsia" w:ascii="宋体" w:hAnsi="宋体" w:eastAsia="宋体" w:cs="宋体"/>
          <w:color w:val="000000" w:themeColor="text1"/>
          <w:szCs w:val="24"/>
          <w:highlight w:val="none"/>
          <w:lang w:bidi="ar"/>
          <w14:textFill>
            <w14:solidFill>
              <w14:schemeClr w14:val="tx1"/>
            </w14:solidFill>
          </w14:textFill>
        </w:rPr>
        <w:t xml:space="preserve">项目经理及主要技术、管理人员，在施工过程中不经甲方同意不得更换，否则按违约处理，每发现一人，乙方向甲方支付5000元补偿；但对不称职者，甲方有权要求更换。 </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lang w:val="en-US" w:eastAsia="zh-CN" w:bidi="ar"/>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18.7 </w:t>
      </w:r>
      <w:r>
        <w:rPr>
          <w:rFonts w:hint="eastAsia" w:ascii="宋体" w:hAnsi="宋体" w:eastAsia="宋体" w:cs="宋体"/>
          <w:color w:val="000000" w:themeColor="text1"/>
          <w:sz w:val="24"/>
          <w:szCs w:val="24"/>
          <w:highlight w:val="none"/>
          <w14:textFill>
            <w14:solidFill>
              <w14:schemeClr w14:val="tx1"/>
            </w14:solidFill>
          </w14:textFill>
        </w:rPr>
        <w:t>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w:t>
      </w:r>
      <w:r>
        <w:rPr>
          <w:rFonts w:hint="eastAsia" w:ascii="宋体" w:hAnsi="宋体" w:eastAsia="宋体" w:cs="宋体"/>
          <w:color w:val="000000" w:themeColor="text1"/>
          <w:sz w:val="24"/>
          <w:szCs w:val="24"/>
          <w:highlight w:val="none"/>
          <w:lang w:val="en-US" w:eastAsia="zh-CN"/>
          <w14:textFill>
            <w14:solidFill>
              <w14:schemeClr w14:val="tx1"/>
            </w14:solidFill>
          </w14:textFill>
        </w:rPr>
        <w:t>材料</w:t>
      </w:r>
      <w:r>
        <w:rPr>
          <w:rFonts w:hint="eastAsia" w:ascii="宋体" w:hAnsi="宋体" w:eastAsia="宋体" w:cs="宋体"/>
          <w:color w:val="000000" w:themeColor="text1"/>
          <w:sz w:val="24"/>
          <w:szCs w:val="24"/>
          <w:highlight w:val="none"/>
          <w14:textFill>
            <w14:solidFill>
              <w14:schemeClr w14:val="tx1"/>
            </w14:solidFill>
          </w14:textFill>
        </w:rPr>
        <w:t>费用等损失由乙方自行承担，同时甲方还有权根据本合同</w:t>
      </w:r>
      <w:r>
        <w:rPr>
          <w:rFonts w:hint="eastAsia" w:ascii="宋体" w:hAnsi="宋体" w:eastAsia="宋体" w:cs="宋体"/>
          <w:color w:val="000000" w:themeColor="text1"/>
          <w:sz w:val="24"/>
          <w:szCs w:val="24"/>
          <w:highlight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14:textFill>
            <w14:solidFill>
              <w14:schemeClr w14:val="tx1"/>
            </w14:solidFill>
          </w14:textFill>
        </w:rPr>
        <w:t>条款</w:t>
      </w:r>
      <w:r>
        <w:rPr>
          <w:rFonts w:hint="eastAsia" w:ascii="宋体" w:hAnsi="宋体" w:eastAsia="宋体" w:cs="宋体"/>
          <w:color w:val="000000" w:themeColor="text1"/>
          <w:sz w:val="24"/>
          <w:szCs w:val="24"/>
          <w:highlight w:val="none"/>
          <w:lang w:val="en-US" w:eastAsia="zh-CN"/>
          <w14:textFill>
            <w14:solidFill>
              <w14:schemeClr w14:val="tx1"/>
            </w14:solidFill>
          </w14:textFill>
        </w:rPr>
        <w:t>追究乙方的违约责任，并</w:t>
      </w:r>
      <w:r>
        <w:rPr>
          <w:rFonts w:hint="eastAsia" w:ascii="宋体" w:hAnsi="宋体" w:eastAsia="宋体" w:cs="宋体"/>
          <w:color w:val="000000" w:themeColor="text1"/>
          <w:sz w:val="24"/>
          <w:szCs w:val="24"/>
          <w:highlight w:val="none"/>
          <w14:textFill>
            <w14:solidFill>
              <w14:schemeClr w14:val="tx1"/>
            </w14:solidFill>
          </w14:textFill>
        </w:rPr>
        <w:t>向乙方</w:t>
      </w:r>
      <w:r>
        <w:rPr>
          <w:rFonts w:hint="eastAsia" w:ascii="宋体" w:hAnsi="宋体" w:eastAsia="宋体" w:cs="宋体"/>
          <w:color w:val="000000" w:themeColor="text1"/>
          <w:sz w:val="24"/>
          <w:szCs w:val="24"/>
          <w:highlight w:val="none"/>
          <w:lang w:val="en-US" w:eastAsia="zh-CN"/>
          <w14:textFill>
            <w14:solidFill>
              <w14:schemeClr w14:val="tx1"/>
            </w14:solidFill>
          </w14:textFill>
        </w:rPr>
        <w:t>主张包括但不限于因</w:t>
      </w:r>
      <w:r>
        <w:rPr>
          <w:rFonts w:hint="eastAsia" w:ascii="宋体" w:hAnsi="宋体" w:eastAsia="宋体" w:cs="宋体"/>
          <w:color w:val="000000" w:themeColor="text1"/>
          <w:sz w:val="24"/>
          <w:szCs w:val="24"/>
          <w:highlight w:val="none"/>
          <w14:textFill>
            <w14:solidFill>
              <w14:schemeClr w14:val="tx1"/>
            </w14:solidFill>
          </w14:textFill>
        </w:rPr>
        <w:t>索赔</w:t>
      </w:r>
      <w:r>
        <w:rPr>
          <w:rFonts w:hint="eastAsia" w:ascii="宋体" w:hAnsi="宋体" w:eastAsia="宋体" w:cs="宋体"/>
          <w:color w:val="000000" w:themeColor="text1"/>
          <w:sz w:val="24"/>
          <w:szCs w:val="24"/>
          <w:highlight w:val="none"/>
          <w:lang w:val="en-US" w:eastAsia="zh-CN"/>
          <w14:textFill>
            <w14:solidFill>
              <w14:schemeClr w14:val="tx1"/>
            </w14:solidFill>
          </w14:textFill>
        </w:rPr>
        <w:t>产生的诉讼费、保全费、保全担保费、律师费等</w:t>
      </w:r>
      <w:r>
        <w:rPr>
          <w:rFonts w:hint="eastAsia" w:ascii="宋体" w:hAnsi="宋体" w:eastAsia="宋体" w:cs="宋体"/>
          <w:color w:val="000000" w:themeColor="text1"/>
          <w:sz w:val="24"/>
          <w:szCs w:val="24"/>
          <w:highlight w:val="none"/>
          <w14:textFill>
            <w14:solidFill>
              <w14:schemeClr w14:val="tx1"/>
            </w14:solidFill>
          </w14:textFill>
        </w:rPr>
        <w:t>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该惩罚性赔偿不足伍万元的，按伍万元计）</w:t>
      </w:r>
      <w:r>
        <w:rPr>
          <w:rFonts w:hint="eastAsia" w:ascii="宋体" w:hAnsi="宋体" w:eastAsia="宋体" w:cs="宋体"/>
          <w:color w:val="000000" w:themeColor="text1"/>
          <w:sz w:val="24"/>
          <w:szCs w:val="24"/>
          <w:highlight w:val="none"/>
          <w14:textFill>
            <w14:solidFill>
              <w14:schemeClr w14:val="tx1"/>
            </w14:solidFill>
          </w14:textFill>
        </w:rPr>
        <w:t>。除此之外，乙方应当勤勉尽责的履行工程质量保修义务，并在甲方通知的期限内完成保修事项并经甲方书面认可，乙方按期完成保修事项并经甲方书面认可的，该部分工程量</w:t>
      </w:r>
      <w:r>
        <w:rPr>
          <w:rFonts w:hint="eastAsia" w:ascii="宋体" w:hAnsi="宋体" w:eastAsia="宋体" w:cs="宋体"/>
          <w:color w:val="000000" w:themeColor="text1"/>
          <w:sz w:val="24"/>
          <w:szCs w:val="24"/>
          <w:highlight w:val="none"/>
          <w:lang w:val="en-US" w:eastAsia="zh-CN"/>
          <w14:textFill>
            <w14:solidFill>
              <w14:schemeClr w14:val="tx1"/>
            </w14:solidFill>
          </w14:textFill>
        </w:rPr>
        <w:t>在质保期满后</w:t>
      </w:r>
      <w:r>
        <w:rPr>
          <w:rFonts w:hint="eastAsia" w:ascii="宋体" w:hAnsi="宋体" w:eastAsia="宋体" w:cs="宋体"/>
          <w:color w:val="000000" w:themeColor="text1"/>
          <w:sz w:val="24"/>
          <w:szCs w:val="24"/>
          <w:highlight w:val="none"/>
          <w14:textFill>
            <w14:solidFill>
              <w14:schemeClr w14:val="tx1"/>
            </w14:solidFill>
          </w14:textFill>
        </w:rPr>
        <w:t>给予结算100%，乙方拒不履行保修责任或未按期完成保修事项的，该部分工程量甲方不予结算</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both"/>
        <w:textAlignment w:val="auto"/>
        <w:outlineLvl w:val="9"/>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kern w:val="1"/>
          <w:highlight w:val="none"/>
          <w:lang w:bidi="ar"/>
          <w14:textFill>
            <w14:solidFill>
              <w14:schemeClr w14:val="tx1"/>
            </w14:solidFill>
          </w14:textFill>
        </w:rPr>
        <w:t>十</w:t>
      </w:r>
      <w:r>
        <w:rPr>
          <w:rFonts w:hint="eastAsia" w:hAnsi="宋体" w:cs="宋体"/>
          <w:b/>
          <w:color w:val="000000" w:themeColor="text1"/>
          <w:kern w:val="1"/>
          <w:highlight w:val="none"/>
          <w:lang w:eastAsia="zh-CN" w:bidi="ar"/>
          <w14:textFill>
            <w14:solidFill>
              <w14:schemeClr w14:val="tx1"/>
            </w14:solidFill>
          </w14:textFill>
        </w:rPr>
        <w:t>九</w:t>
      </w:r>
      <w:r>
        <w:rPr>
          <w:rFonts w:hint="eastAsia" w:ascii="宋体" w:hAnsi="宋体" w:eastAsia="宋体" w:cs="宋体"/>
          <w:b/>
          <w:color w:val="000000" w:themeColor="text1"/>
          <w:highlight w:val="none"/>
          <w:lang w:bidi="ar"/>
          <w14:textFill>
            <w14:solidFill>
              <w14:schemeClr w14:val="tx1"/>
            </w14:solidFill>
          </w14:textFill>
        </w:rPr>
        <w:t>、</w:t>
      </w:r>
      <w:r>
        <w:rPr>
          <w:rFonts w:hint="eastAsia" w:ascii="宋体" w:hAnsi="宋体" w:eastAsia="宋体" w:cs="宋体"/>
          <w:b/>
          <w:color w:val="000000" w:themeColor="text1"/>
          <w:kern w:val="1"/>
          <w:highlight w:val="none"/>
          <w:lang w:bidi="ar"/>
          <w14:textFill>
            <w14:solidFill>
              <w14:schemeClr w14:val="tx1"/>
            </w14:solidFill>
          </w14:textFill>
        </w:rPr>
        <w:t>争议及纠纷的解决</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bidi="ar"/>
          <w14:textFill>
            <w14:solidFill>
              <w14:schemeClr w14:val="tx1"/>
            </w14:solidFill>
          </w14:textFill>
        </w:rPr>
        <w:t>本合同在履行过程中如出现纠纷，双方应友好协商解决；协商不成，双方均可向甲方所在地人民法院提起诉讼。</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2" w:firstLineChars="200"/>
        <w:jc w:val="both"/>
        <w:textAlignment w:val="auto"/>
        <w:outlineLvl w:val="9"/>
        <w:rPr>
          <w:rFonts w:hint="eastAsia" w:ascii="宋体" w:hAnsi="宋体" w:eastAsia="宋体" w:cs="宋体"/>
          <w:b/>
          <w:color w:val="000000" w:themeColor="text1"/>
          <w:szCs w:val="24"/>
          <w:highlight w:val="none"/>
          <w14:textFill>
            <w14:solidFill>
              <w14:schemeClr w14:val="tx1"/>
            </w14:solidFill>
          </w14:textFill>
        </w:rPr>
      </w:pPr>
      <w:r>
        <w:rPr>
          <w:rFonts w:hint="eastAsia" w:ascii="宋体" w:hAnsi="宋体" w:cs="宋体"/>
          <w:b/>
          <w:color w:val="000000" w:themeColor="text1"/>
          <w:szCs w:val="24"/>
          <w:highlight w:val="none"/>
          <w:lang w:eastAsia="zh-CN" w:bidi="ar"/>
          <w14:textFill>
            <w14:solidFill>
              <w14:schemeClr w14:val="tx1"/>
            </w14:solidFill>
          </w14:textFill>
        </w:rPr>
        <w:t>二十</w:t>
      </w:r>
      <w:r>
        <w:rPr>
          <w:rFonts w:hint="eastAsia" w:ascii="宋体" w:hAnsi="宋体" w:eastAsia="宋体" w:cs="宋体"/>
          <w:b/>
          <w:color w:val="000000" w:themeColor="text1"/>
          <w:szCs w:val="24"/>
          <w:highlight w:val="none"/>
          <w:lang w:bidi="ar"/>
          <w14:textFill>
            <w14:solidFill>
              <w14:schemeClr w14:val="tx1"/>
            </w14:solidFill>
          </w14:textFill>
        </w:rPr>
        <w:t>、合同解约条款</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如发生以下情况甲方有权解除合同：</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 xml:space="preserve">20.1 </w:t>
      </w:r>
      <w:r>
        <w:rPr>
          <w:rFonts w:hint="eastAsia" w:ascii="宋体" w:hAnsi="宋体" w:eastAsia="宋体" w:cs="宋体"/>
          <w:color w:val="000000" w:themeColor="text1"/>
          <w:sz w:val="24"/>
          <w:szCs w:val="24"/>
          <w:highlight w:val="none"/>
          <w14:textFill>
            <w14:solidFill>
              <w14:schemeClr w14:val="tx1"/>
            </w14:solidFill>
          </w14:textFill>
        </w:rPr>
        <w:t>乙方未经甲方同意停工</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日（含</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日）以上。</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 xml:space="preserve">20.2 </w:t>
      </w:r>
      <w:r>
        <w:rPr>
          <w:rFonts w:hint="eastAsia" w:ascii="宋体" w:hAnsi="宋体" w:eastAsia="宋体" w:cs="宋体"/>
          <w:color w:val="000000" w:themeColor="text1"/>
          <w:sz w:val="24"/>
          <w:szCs w:val="24"/>
          <w:highlight w:val="none"/>
          <w14:textFill>
            <w14:solidFill>
              <w14:schemeClr w14:val="tx1"/>
            </w14:solidFill>
          </w14:textFill>
        </w:rPr>
        <w:t>甲方或监理方对同一施工问题连续下发三次整改通知书后乙方无作为或整改问题未</w:t>
      </w:r>
      <w:r>
        <w:rPr>
          <w:rFonts w:hint="eastAsia" w:ascii="宋体" w:hAnsi="宋体" w:eastAsia="宋体" w:cs="宋体"/>
          <w:color w:val="000000" w:themeColor="text1"/>
          <w:sz w:val="24"/>
          <w:szCs w:val="24"/>
          <w:highlight w:val="none"/>
          <w:lang w:val="en-US" w:eastAsia="zh-CN"/>
          <w14:textFill>
            <w14:solidFill>
              <w14:schemeClr w14:val="tx1"/>
            </w14:solidFill>
          </w14:textFill>
        </w:rPr>
        <w:t>在整改通知书要求的期限内</w:t>
      </w:r>
      <w:r>
        <w:rPr>
          <w:rFonts w:hint="eastAsia" w:ascii="宋体" w:hAnsi="宋体" w:eastAsia="宋体" w:cs="宋体"/>
          <w:color w:val="000000" w:themeColor="text1"/>
          <w:sz w:val="24"/>
          <w:szCs w:val="24"/>
          <w:highlight w:val="none"/>
          <w14:textFill>
            <w14:solidFill>
              <w14:schemeClr w14:val="tx1"/>
            </w14:solidFill>
          </w14:textFill>
        </w:rPr>
        <w:t>解决。</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 xml:space="preserve">20.3 </w:t>
      </w:r>
      <w:r>
        <w:rPr>
          <w:rFonts w:hint="eastAsia" w:ascii="宋体" w:hAnsi="宋体" w:eastAsia="宋体" w:cs="宋体"/>
          <w:color w:val="000000" w:themeColor="text1"/>
          <w:sz w:val="24"/>
          <w:szCs w:val="24"/>
          <w:highlight w:val="none"/>
          <w14:textFill>
            <w14:solidFill>
              <w14:schemeClr w14:val="tx1"/>
            </w14:solidFill>
          </w14:textFill>
        </w:rPr>
        <w:t>乙方购置不符合合同约定的品牌、厂家、产地、材质、工艺、规格、型号等标准</w:t>
      </w:r>
      <w:r>
        <w:rPr>
          <w:rFonts w:hint="eastAsia" w:ascii="宋体" w:hAnsi="宋体" w:eastAsia="宋体" w:cs="宋体"/>
          <w:color w:val="000000" w:themeColor="text1"/>
          <w:sz w:val="24"/>
          <w:szCs w:val="24"/>
          <w:highlight w:val="none"/>
          <w:lang w:val="en-US" w:eastAsia="zh-CN"/>
          <w14:textFill>
            <w14:solidFill>
              <w14:schemeClr w14:val="tx1"/>
            </w14:solidFill>
          </w14:textFill>
        </w:rPr>
        <w:t>的产品或者</w:t>
      </w:r>
      <w:r>
        <w:rPr>
          <w:rFonts w:hint="eastAsia" w:ascii="宋体" w:hAnsi="宋体" w:eastAsia="宋体" w:cs="宋体"/>
          <w:color w:val="000000" w:themeColor="text1"/>
          <w:sz w:val="24"/>
          <w:szCs w:val="24"/>
          <w:highlight w:val="none"/>
          <w14:textFill>
            <w14:solidFill>
              <w14:schemeClr w14:val="tx1"/>
            </w14:solidFill>
          </w14:textFill>
        </w:rPr>
        <w:t>假冒伪劣产品用于本工程。</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 xml:space="preserve">20.4 </w:t>
      </w:r>
      <w:r>
        <w:rPr>
          <w:rFonts w:hint="eastAsia" w:ascii="宋体" w:hAnsi="宋体" w:eastAsia="宋体" w:cs="宋体"/>
          <w:color w:val="000000" w:themeColor="text1"/>
          <w:sz w:val="24"/>
          <w:szCs w:val="24"/>
          <w:highlight w:val="none"/>
          <w14:textFill>
            <w14:solidFill>
              <w14:schemeClr w14:val="tx1"/>
            </w14:solidFill>
          </w14:textFill>
        </w:rPr>
        <w:t>依据本条合同解除后，对于乙方已完工部分质量合格的按照实际工程量给予结算70%，对于不合格部分责令整改，整改合格后给予结算工程70%</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若乙方拒接整改或无作为，甲方对不合格工程量不予支付费用，并由乙方承担由此产生的拆改、整修等费用，乙方应按甲方要求的日期清理现场撤离。</w:t>
      </w:r>
      <w:r>
        <w:rPr>
          <w:rFonts w:hint="eastAsia" w:ascii="宋体" w:hAnsi="宋体" w:eastAsia="宋体" w:cs="宋体"/>
          <w:color w:val="000000" w:themeColor="text1"/>
          <w:sz w:val="24"/>
          <w:szCs w:val="24"/>
          <w:highlight w:val="none"/>
          <w:lang w:val="en-US" w:eastAsia="zh-CN"/>
          <w14:textFill>
            <w14:solidFill>
              <w14:schemeClr w14:val="tx1"/>
            </w14:solidFill>
          </w14:textFill>
        </w:rPr>
        <w:t>如果乙方不主动拆改、整修，甲方可自行整改，相关的费用从未付工程款中直接扣除，不足部分甲方另行向乙方追偿。</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 xml:space="preserve">20.5 </w:t>
      </w:r>
      <w:r>
        <w:rPr>
          <w:rFonts w:hint="eastAsia" w:ascii="宋体" w:hAnsi="宋体" w:eastAsia="宋体" w:cs="宋体"/>
          <w:color w:val="000000" w:themeColor="text1"/>
          <w:sz w:val="24"/>
          <w:szCs w:val="24"/>
          <w:highlight w:val="none"/>
          <w14:textFill>
            <w14:solidFill>
              <w14:schemeClr w14:val="tx1"/>
            </w14:solidFill>
          </w14:textFill>
        </w:rPr>
        <w:t>如合同解约甲方有权委托其他公司进行施工。</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2" w:firstLineChars="200"/>
        <w:jc w:val="both"/>
        <w:textAlignment w:val="auto"/>
        <w:outlineLvl w:val="9"/>
        <w:rPr>
          <w:rFonts w:hint="eastAsia" w:ascii="宋体" w:hAnsi="宋体" w:eastAsia="宋体" w:cs="宋体"/>
          <w:b/>
          <w:color w:val="000000" w:themeColor="text1"/>
          <w:szCs w:val="24"/>
          <w:highlight w:val="none"/>
          <w14:textFill>
            <w14:solidFill>
              <w14:schemeClr w14:val="tx1"/>
            </w14:solidFill>
          </w14:textFill>
        </w:rPr>
      </w:pPr>
      <w:r>
        <w:rPr>
          <w:rFonts w:hint="eastAsia" w:ascii="宋体" w:hAnsi="宋体" w:eastAsia="宋体" w:cs="宋体"/>
          <w:b/>
          <w:color w:val="000000" w:themeColor="text1"/>
          <w:szCs w:val="24"/>
          <w:highlight w:val="none"/>
          <w:lang w:bidi="ar"/>
          <w14:textFill>
            <w14:solidFill>
              <w14:schemeClr w14:val="tx1"/>
            </w14:solidFill>
          </w14:textFill>
        </w:rPr>
        <w:t>二十</w:t>
      </w:r>
      <w:r>
        <w:rPr>
          <w:rFonts w:hint="eastAsia" w:ascii="宋体" w:hAnsi="宋体" w:cs="宋体"/>
          <w:b/>
          <w:color w:val="000000" w:themeColor="text1"/>
          <w:szCs w:val="24"/>
          <w:highlight w:val="none"/>
          <w:lang w:eastAsia="zh-CN" w:bidi="ar"/>
          <w14:textFill>
            <w14:solidFill>
              <w14:schemeClr w14:val="tx1"/>
            </w14:solidFill>
          </w14:textFill>
        </w:rPr>
        <w:t>一</w:t>
      </w:r>
      <w:r>
        <w:rPr>
          <w:rFonts w:hint="eastAsia" w:ascii="宋体" w:hAnsi="宋体" w:eastAsia="宋体" w:cs="宋体"/>
          <w:b/>
          <w:color w:val="000000" w:themeColor="text1"/>
          <w:szCs w:val="24"/>
          <w:highlight w:val="none"/>
          <w:lang w:bidi="ar"/>
          <w14:textFill>
            <w14:solidFill>
              <w14:schemeClr w14:val="tx1"/>
            </w14:solidFill>
          </w14:textFill>
        </w:rPr>
        <w:t>、其他</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21.1 </w:t>
      </w:r>
      <w:r>
        <w:rPr>
          <w:rFonts w:hint="eastAsia" w:ascii="宋体" w:hAnsi="宋体" w:eastAsia="宋体" w:cs="宋体"/>
          <w:color w:val="000000" w:themeColor="text1"/>
          <w:szCs w:val="24"/>
          <w:highlight w:val="none"/>
          <w:lang w:bidi="ar"/>
          <w14:textFill>
            <w14:solidFill>
              <w14:schemeClr w14:val="tx1"/>
            </w14:solidFill>
          </w14:textFill>
        </w:rPr>
        <w:t>本合同签订前</w:t>
      </w:r>
      <w:r>
        <w:rPr>
          <w:rFonts w:hint="eastAsia" w:ascii="宋体" w:hAnsi="宋体" w:eastAsia="宋体" w:cs="宋体"/>
          <w:color w:val="000000" w:themeColor="text1"/>
          <w:kern w:val="1"/>
          <w:szCs w:val="24"/>
          <w:highlight w:val="none"/>
          <w14:textFill>
            <w14:solidFill>
              <w14:schemeClr w14:val="tx1"/>
            </w14:solidFill>
          </w14:textFill>
        </w:rPr>
        <w:t>，乙方以转账形式向招标方交纳合同履约保证金</w:t>
      </w:r>
      <w:r>
        <w:rPr>
          <w:rFonts w:hint="eastAsia" w:ascii="宋体" w:hAnsi="宋体" w:cs="宋体"/>
          <w:color w:val="000000" w:themeColor="text1"/>
          <w:kern w:val="1"/>
          <w:szCs w:val="24"/>
          <w:highlight w:val="none"/>
          <w:lang w:eastAsia="zh-CN"/>
          <w14:textFill>
            <w14:solidFill>
              <w14:schemeClr w14:val="tx1"/>
            </w14:solidFill>
          </w14:textFill>
        </w:rPr>
        <w:t>，履约保证金为合同额</w:t>
      </w:r>
      <w:r>
        <w:rPr>
          <w:rFonts w:hint="eastAsia" w:ascii="宋体" w:hAnsi="宋体" w:eastAsia="宋体" w:cs="宋体"/>
          <w:color w:val="000000" w:themeColor="text1"/>
          <w:kern w:val="1"/>
          <w:szCs w:val="24"/>
          <w:highlight w:val="none"/>
          <w14:textFill>
            <w14:solidFill>
              <w14:schemeClr w14:val="tx1"/>
            </w14:solidFill>
          </w14:textFill>
        </w:rPr>
        <w:t>的5%</w:t>
      </w:r>
      <w:r>
        <w:rPr>
          <w:rFonts w:hint="eastAsia" w:ascii="宋体" w:hAnsi="宋体" w:cs="宋体"/>
          <w:color w:val="000000" w:themeColor="text1"/>
          <w:kern w:val="1"/>
          <w:szCs w:val="24"/>
          <w:highlight w:val="none"/>
          <w:lang w:eastAsia="zh-CN"/>
          <w14:textFill>
            <w14:solidFill>
              <w14:schemeClr w14:val="tx1"/>
            </w14:solidFill>
          </w14:textFill>
        </w:rPr>
        <w:t>，即小写为</w:t>
      </w:r>
      <w:r>
        <w:rPr>
          <w:rFonts w:hint="eastAsia" w:ascii="宋体" w:hAnsi="宋体" w:cs="宋体"/>
          <w:color w:val="000000" w:themeColor="text1"/>
          <w:kern w:val="1"/>
          <w:szCs w:val="24"/>
          <w:highlight w:val="none"/>
          <w:lang w:val="en-US" w:eastAsia="zh-CN"/>
          <w14:textFill>
            <w14:solidFill>
              <w14:schemeClr w14:val="tx1"/>
            </w14:solidFill>
          </w14:textFill>
        </w:rPr>
        <w:t>¥875,000.00元，大写：人民币捌拾柒万伍仟元整</w:t>
      </w:r>
      <w:r>
        <w:rPr>
          <w:rFonts w:hint="eastAsia" w:ascii="宋体" w:hAnsi="宋体" w:cs="宋体"/>
          <w:color w:val="000000" w:themeColor="text1"/>
          <w:kern w:val="1"/>
          <w:szCs w:val="24"/>
          <w:highlight w:val="none"/>
          <w:lang w:eastAsia="zh-CN"/>
          <w14:textFill>
            <w14:solidFill>
              <w14:schemeClr w14:val="tx1"/>
            </w14:solidFill>
          </w14:textFill>
        </w:rPr>
        <w:t>（</w:t>
      </w:r>
      <w:r>
        <w:rPr>
          <w:rFonts w:hint="eastAsia" w:ascii="宋体" w:hAnsi="宋体" w:eastAsia="宋体" w:cs="宋体"/>
          <w:color w:val="000000" w:themeColor="text1"/>
          <w:kern w:val="1"/>
          <w:szCs w:val="24"/>
          <w:highlight w:val="none"/>
          <w14:textFill>
            <w14:solidFill>
              <w14:schemeClr w14:val="tx1"/>
            </w14:solidFill>
          </w14:textFill>
        </w:rPr>
        <w:t>其中3%为质量履约保证金，2%为工期履约保证金）</w:t>
      </w:r>
      <w:r>
        <w:rPr>
          <w:rFonts w:hint="eastAsia" w:ascii="宋体" w:hAnsi="宋体" w:eastAsia="宋体" w:cs="宋体"/>
          <w:color w:val="000000" w:themeColor="text1"/>
          <w:szCs w:val="24"/>
          <w:highlight w:val="none"/>
          <w:lang w:bidi="ar"/>
          <w14:textFill>
            <w14:solidFill>
              <w14:schemeClr w14:val="tx1"/>
            </w14:solidFill>
          </w14:textFill>
        </w:rPr>
        <w:t>。工程验收合格后30日内甲方无息退还合同履约保证金。</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21.2 </w:t>
      </w:r>
      <w:r>
        <w:rPr>
          <w:rFonts w:hint="eastAsia" w:ascii="宋体" w:hAnsi="宋体"/>
          <w:bCs/>
          <w:sz w:val="24"/>
        </w:rPr>
        <w:t>合同附件为本合同不可分割的组成部分，本合同连同附件</w:t>
      </w:r>
      <w:r>
        <w:rPr>
          <w:rFonts w:hint="eastAsia" w:ascii="宋体" w:hAnsi="宋体" w:eastAsia="宋体" w:cs="宋体"/>
          <w:color w:val="000000" w:themeColor="text1"/>
          <w:szCs w:val="24"/>
          <w:highlight w:val="none"/>
          <w:lang w:bidi="ar"/>
          <w14:textFill>
            <w14:solidFill>
              <w14:schemeClr w14:val="tx1"/>
            </w14:solidFill>
          </w14:textFill>
        </w:rPr>
        <w:t>一式柒份，甲方伍份，乙方贰份，自双方签字</w:t>
      </w:r>
      <w:r>
        <w:rPr>
          <w:rFonts w:hint="eastAsia" w:ascii="宋体" w:hAnsi="宋体" w:cs="宋体"/>
          <w:color w:val="000000" w:themeColor="text1"/>
          <w:szCs w:val="24"/>
          <w:highlight w:val="none"/>
          <w:lang w:eastAsia="zh-CN" w:bidi="ar"/>
          <w14:textFill>
            <w14:solidFill>
              <w14:schemeClr w14:val="tx1"/>
            </w14:solidFill>
          </w14:textFill>
        </w:rPr>
        <w:t>并</w:t>
      </w:r>
      <w:r>
        <w:rPr>
          <w:rFonts w:hint="eastAsia" w:ascii="宋体" w:hAnsi="宋体" w:eastAsia="宋体" w:cs="宋体"/>
          <w:color w:val="000000" w:themeColor="text1"/>
          <w:szCs w:val="24"/>
          <w:highlight w:val="none"/>
          <w:lang w:bidi="ar"/>
          <w14:textFill>
            <w14:solidFill>
              <w14:schemeClr w14:val="tx1"/>
            </w14:solidFill>
          </w14:textFill>
        </w:rPr>
        <w:t>盖章，甲方收到乙方合同履约保证金之日起生效。</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kern w:val="1"/>
          <w:highlight w:val="none"/>
          <w:lang w:val="en-US" w:eastAsia="zh-CN" w:bidi="ar"/>
          <w14:textFill>
            <w14:solidFill>
              <w14:schemeClr w14:val="tx1"/>
            </w14:solidFill>
          </w14:textFill>
        </w:rPr>
        <w:t xml:space="preserve">21.3 </w:t>
      </w:r>
      <w:r>
        <w:rPr>
          <w:rFonts w:hint="eastAsia" w:ascii="宋体" w:hAnsi="宋体" w:eastAsia="宋体" w:cs="宋体"/>
          <w:color w:val="000000" w:themeColor="text1"/>
          <w:kern w:val="1"/>
          <w:highlight w:val="none"/>
          <w:lang w:bidi="ar"/>
          <w14:textFill>
            <w14:solidFill>
              <w14:schemeClr w14:val="tx1"/>
            </w14:solidFill>
          </w14:textFill>
        </w:rPr>
        <w:t>本合同协议书、</w:t>
      </w:r>
      <w:r>
        <w:rPr>
          <w:rFonts w:hint="eastAsia" w:ascii="宋体" w:hAnsi="宋体" w:eastAsia="宋体" w:cs="宋体"/>
          <w:color w:val="000000" w:themeColor="text1"/>
          <w:highlight w:val="none"/>
          <w:lang w:bidi="ar"/>
          <w14:textFill>
            <w14:solidFill>
              <w14:schemeClr w14:val="tx1"/>
            </w14:solidFill>
          </w14:textFill>
        </w:rPr>
        <w:t>投标书及其附件、招标文件、投标答疑、询标记录、国家现行标准规范及有关技术文件、本工程设计施工图纸以及双方有关工程的洽商、变更等书面协议或文件均视为本合同的组成部分。</w:t>
      </w:r>
    </w:p>
    <w:p>
      <w:pPr>
        <w:keepNext w:val="0"/>
        <w:keepLines w:val="0"/>
        <w:pageBreakBefore w:val="0"/>
        <w:widowControl w:val="0"/>
        <w:tabs>
          <w:tab w:val="left" w:pos="55"/>
        </w:tabs>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lang w:val="en-US" w:eastAsia="zh-CN" w:bidi="ar"/>
          <w14:textFill>
            <w14:solidFill>
              <w14:schemeClr w14:val="tx1"/>
            </w14:solidFill>
          </w14:textFill>
        </w:rPr>
        <w:t xml:space="preserve">21.4 </w:t>
      </w:r>
      <w:r>
        <w:rPr>
          <w:rFonts w:hint="eastAsia" w:ascii="宋体" w:hAnsi="宋体" w:eastAsia="宋体" w:cs="宋体"/>
          <w:color w:val="000000" w:themeColor="text1"/>
          <w:szCs w:val="24"/>
          <w:highlight w:val="none"/>
          <w:lang w:bidi="ar"/>
          <w14:textFill>
            <w14:solidFill>
              <w14:schemeClr w14:val="tx1"/>
            </w14:solidFill>
          </w14:textFill>
        </w:rPr>
        <w:t>本合同未尽事宜双方另行协商，签订补充协议。</w:t>
      </w:r>
      <w:r>
        <w:rPr>
          <w:rFonts w:hint="eastAsia" w:ascii="宋体" w:hAnsi="宋体" w:eastAsia="宋体" w:cs="宋体"/>
          <w:b w:val="0"/>
          <w:spacing w:val="0"/>
          <w:sz w:val="24"/>
        </w:rPr>
        <w:t>补充协议作为合同附件，与本合同一并具有法律效力。</w:t>
      </w:r>
    </w:p>
    <w:p>
      <w:pPr>
        <w:keepNext w:val="0"/>
        <w:keepLines w:val="0"/>
        <w:pageBreakBefore w:val="0"/>
        <w:widowControl w:val="0"/>
        <w:tabs>
          <w:tab w:val="left" w:pos="600"/>
        </w:tabs>
        <w:kinsoku/>
        <w:wordWrap/>
        <w:overflowPunct/>
        <w:topLinePunct w:val="0"/>
        <w:autoSpaceDE/>
        <w:autoSpaceDN/>
        <w:bidi w:val="0"/>
        <w:adjustRightInd/>
        <w:snapToGrid/>
        <w:spacing w:beforeAutospacing="0" w:afterAutospacing="0" w:line="360" w:lineRule="auto"/>
        <w:ind w:left="0" w:leftChars="0" w:right="0" w:rightChars="0" w:firstLine="482" w:firstLineChars="200"/>
        <w:jc w:val="both"/>
        <w:textAlignment w:val="auto"/>
        <w:outlineLvl w:val="9"/>
        <w:rPr>
          <w:rFonts w:hint="eastAsia" w:ascii="宋体" w:hAnsi="宋体" w:eastAsia="宋体" w:cs="宋体"/>
          <w:b/>
          <w:bCs/>
          <w:color w:val="000000" w:themeColor="text1"/>
          <w:szCs w:val="24"/>
          <w:highlight w:val="none"/>
          <w:lang w:bidi="ar"/>
          <w14:textFill>
            <w14:solidFill>
              <w14:schemeClr w14:val="tx1"/>
            </w14:solidFill>
          </w14:textFill>
        </w:rPr>
      </w:pPr>
      <w:r>
        <w:rPr>
          <w:rFonts w:hint="eastAsia" w:ascii="宋体" w:hAnsi="宋体" w:eastAsia="宋体" w:cs="宋体"/>
          <w:b/>
          <w:bCs/>
          <w:color w:val="000000" w:themeColor="text1"/>
          <w:szCs w:val="24"/>
          <w:highlight w:val="none"/>
          <w14:textFill>
            <w14:solidFill>
              <w14:schemeClr w14:val="tx1"/>
            </w14:solidFill>
          </w14:textFill>
        </w:rPr>
        <w:t>二十</w:t>
      </w:r>
      <w:r>
        <w:rPr>
          <w:rFonts w:hint="eastAsia" w:ascii="宋体" w:hAnsi="宋体" w:cs="宋体"/>
          <w:b/>
          <w:bCs/>
          <w:color w:val="000000" w:themeColor="text1"/>
          <w:szCs w:val="24"/>
          <w:highlight w:val="none"/>
          <w:lang w:eastAsia="zh-CN"/>
          <w14:textFill>
            <w14:solidFill>
              <w14:schemeClr w14:val="tx1"/>
            </w14:solidFill>
          </w14:textFill>
        </w:rPr>
        <w:t>二</w:t>
      </w:r>
      <w:r>
        <w:rPr>
          <w:rFonts w:hint="eastAsia" w:ascii="宋体" w:hAnsi="宋体" w:eastAsia="宋体" w:cs="宋体"/>
          <w:b/>
          <w:bCs/>
          <w:color w:val="000000" w:themeColor="text1"/>
          <w:szCs w:val="24"/>
          <w:highlight w:val="none"/>
          <w:lang w:bidi="ar"/>
          <w14:textFill>
            <w14:solidFill>
              <w14:schemeClr w14:val="tx1"/>
            </w14:solidFill>
          </w14:textFill>
        </w:rPr>
        <w:t>、送达条款</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甲乙双方明确送达信息如下</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甲方确认的送达信息为：</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送达地址：河南省洛阳市开元大道开元壹号营销中心三楼</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联系人及联系方式：</w:t>
      </w:r>
      <w:r>
        <w:rPr>
          <w:rFonts w:hint="eastAsia" w:ascii="宋体" w:hAnsi="宋体" w:cs="宋体"/>
          <w:color w:val="000000" w:themeColor="text1"/>
          <w:sz w:val="24"/>
          <w:szCs w:val="24"/>
          <w:highlight w:val="none"/>
          <w:lang w:eastAsia="zh-CN"/>
          <w14:textFill>
            <w14:solidFill>
              <w14:schemeClr w14:val="tx1"/>
            </w14:solidFill>
          </w14:textFill>
        </w:rPr>
        <w:t>毛克予</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lang w:eastAsia="zh-CN"/>
          <w14:textFill>
            <w14:solidFill>
              <w14:schemeClr w14:val="tx1"/>
            </w14:solidFill>
          </w14:textFill>
        </w:rPr>
        <w:t>0379-60198086</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乙方确认的送达信息为：</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送达地址：洛阳市伊川县鸦岭镇先进制造产业园</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联系人及联系方式：</w:t>
      </w:r>
      <w:r>
        <w:rPr>
          <w:rFonts w:hint="eastAsia" w:ascii="宋体" w:hAnsi="宋体" w:cs="宋体"/>
          <w:color w:val="000000" w:themeColor="text1"/>
          <w:sz w:val="24"/>
          <w:szCs w:val="24"/>
          <w:highlight w:val="none"/>
          <w:lang w:val="en-US" w:eastAsia="zh-CN"/>
          <w14:textFill>
            <w14:solidFill>
              <w14:schemeClr w14:val="tx1"/>
            </w14:solidFill>
          </w14:textFill>
        </w:rPr>
        <w:t>康慧源，0379-68330099</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pStyle w:val="2"/>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9"/>
        <w:rPr>
          <w:rFonts w:hint="eastAsia" w:ascii="宋体" w:hAnsi="宋体" w:cs="宋体"/>
          <w:b/>
          <w:bCs/>
          <w:color w:val="000000" w:themeColor="text1"/>
          <w:szCs w:val="24"/>
          <w:highlight w:val="none"/>
          <w:lang w:eastAsia="zh-CN"/>
          <w14:textFill>
            <w14:solidFill>
              <w14:schemeClr w14:val="tx1"/>
            </w14:solidFill>
          </w14:textFill>
        </w:rPr>
      </w:pPr>
      <w:r>
        <w:rPr>
          <w:rFonts w:hint="eastAsia" w:ascii="宋体" w:hAnsi="宋体" w:eastAsia="宋体" w:cs="宋体"/>
          <w:b/>
          <w:bCs/>
          <w:color w:val="000000" w:themeColor="text1"/>
          <w:szCs w:val="24"/>
          <w:highlight w:val="none"/>
          <w14:textFill>
            <w14:solidFill>
              <w14:schemeClr w14:val="tx1"/>
            </w14:solidFill>
          </w14:textFill>
        </w:rPr>
        <w:t>二十</w:t>
      </w:r>
      <w:r>
        <w:rPr>
          <w:rFonts w:hint="eastAsia" w:ascii="宋体" w:hAnsi="宋体" w:cs="宋体"/>
          <w:b/>
          <w:bCs/>
          <w:color w:val="000000" w:themeColor="text1"/>
          <w:szCs w:val="24"/>
          <w:highlight w:val="none"/>
          <w:lang w:eastAsia="zh-CN"/>
          <w14:textFill>
            <w14:solidFill>
              <w14:schemeClr w14:val="tx1"/>
            </w14:solidFill>
          </w14:textFill>
        </w:rPr>
        <w:t>三、合同附件</w:t>
      </w:r>
    </w:p>
    <w:p>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val="0"/>
          <w:color w:val="000000" w:themeColor="text1"/>
          <w:sz w:val="24"/>
          <w:szCs w:val="24"/>
          <w:lang w:eastAsia="zh-CN"/>
          <w14:textFill>
            <w14:solidFill>
              <w14:schemeClr w14:val="tx1"/>
            </w14:solidFill>
          </w14:textFill>
        </w:rPr>
      </w:pPr>
      <w:r>
        <w:rPr>
          <w:rFonts w:hint="eastAsia"/>
          <w:b w:val="0"/>
          <w:bCs w:val="0"/>
          <w:color w:val="000000" w:themeColor="text1"/>
          <w:sz w:val="24"/>
          <w:szCs w:val="24"/>
          <w:lang w:eastAsia="zh-CN"/>
          <w14:textFill>
            <w14:solidFill>
              <w14:schemeClr w14:val="tx1"/>
            </w14:solidFill>
          </w14:textFill>
        </w:rPr>
        <w:t>附件一：主要材料设备品牌表</w:t>
      </w:r>
    </w:p>
    <w:p>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val="0"/>
          <w:color w:val="000000" w:themeColor="text1"/>
          <w:sz w:val="24"/>
          <w:szCs w:val="24"/>
          <w:lang w:eastAsia="zh-CN"/>
          <w14:textFill>
            <w14:solidFill>
              <w14:schemeClr w14:val="tx1"/>
            </w14:solidFill>
          </w14:textFill>
        </w:rPr>
      </w:pPr>
      <w:r>
        <w:rPr>
          <w:rFonts w:hint="eastAsia"/>
          <w:b w:val="0"/>
          <w:bCs w:val="0"/>
          <w:color w:val="000000" w:themeColor="text1"/>
          <w:sz w:val="24"/>
          <w:szCs w:val="24"/>
          <w:lang w:eastAsia="zh-CN"/>
          <w14:textFill>
            <w14:solidFill>
              <w14:schemeClr w14:val="tx1"/>
            </w14:solidFill>
          </w14:textFill>
        </w:rPr>
        <w:t>附件二：工程量清单及报价</w:t>
      </w:r>
    </w:p>
    <w:p>
      <w:pPr>
        <w:pStyle w:val="5"/>
        <w:spacing w:line="360" w:lineRule="auto"/>
        <w:ind w:firstLine="480" w:firstLineChars="200"/>
        <w:rPr>
          <w:rFonts w:hint="eastAsia" w:hAnsi="宋体" w:cs="宋体"/>
          <w:b w:val="0"/>
          <w:bCs w:val="0"/>
          <w:color w:val="000000" w:themeColor="text1"/>
          <w:sz w:val="24"/>
          <w:szCs w:val="24"/>
          <w:lang w:eastAsia="zh-CN"/>
          <w14:textFill>
            <w14:solidFill>
              <w14:schemeClr w14:val="tx1"/>
            </w14:solidFill>
          </w14:textFill>
        </w:rPr>
      </w:pPr>
      <w:r>
        <w:rPr>
          <w:rFonts w:hint="eastAsia" w:hAnsi="宋体" w:cs="宋体"/>
          <w:b w:val="0"/>
          <w:bCs w:val="0"/>
          <w:color w:val="000000" w:themeColor="text1"/>
          <w:sz w:val="24"/>
          <w:szCs w:val="24"/>
          <w:lang w:eastAsia="zh-CN"/>
          <w14:textFill>
            <w14:solidFill>
              <w14:schemeClr w14:val="tx1"/>
            </w14:solidFill>
          </w14:textFill>
        </w:rPr>
        <w:t>附件三：开元壹号62地块一期供配电设备报价汇总表</w:t>
      </w:r>
    </w:p>
    <w:p>
      <w:pPr>
        <w:pStyle w:val="2"/>
        <w:spacing w:line="360" w:lineRule="auto"/>
        <w:ind w:firstLine="480" w:firstLineChars="200"/>
        <w:rPr>
          <w:rFonts w:hint="eastAsia" w:ascii="宋体" w:hAnsi="宋体" w:cs="宋体"/>
          <w:color w:val="000000" w:themeColor="text1"/>
          <w:lang w:eastAsia="zh-CN"/>
          <w14:textFill>
            <w14:solidFill>
              <w14:schemeClr w14:val="tx1"/>
            </w14:solidFill>
          </w14:textFill>
        </w:rPr>
      </w:pPr>
      <w:r>
        <w:rPr>
          <w:rFonts w:hint="eastAsia" w:ascii="宋体" w:hAnsi="宋体" w:cs="宋体"/>
          <w:b w:val="0"/>
          <w:bCs w:val="0"/>
          <w:color w:val="000000" w:themeColor="text1"/>
          <w:sz w:val="24"/>
          <w:szCs w:val="24"/>
          <w:lang w:eastAsia="zh-CN"/>
          <w14:textFill>
            <w14:solidFill>
              <w14:schemeClr w14:val="tx1"/>
            </w14:solidFill>
          </w14:textFill>
        </w:rPr>
        <w:t>附件四：开元壹号62地块一期供配电设备明细报价表</w:t>
      </w:r>
    </w:p>
    <w:p>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val="0"/>
          <w:color w:val="000000" w:themeColor="text1"/>
          <w:sz w:val="24"/>
          <w:szCs w:val="24"/>
          <w:lang w:eastAsia="zh-CN"/>
          <w14:textFill>
            <w14:solidFill>
              <w14:schemeClr w14:val="tx1"/>
            </w14:solidFill>
          </w14:textFill>
        </w:rPr>
      </w:pPr>
      <w:r>
        <w:rPr>
          <w:rFonts w:hint="eastAsia"/>
          <w:b w:val="0"/>
          <w:bCs w:val="0"/>
          <w:color w:val="000000" w:themeColor="text1"/>
          <w:sz w:val="24"/>
          <w:szCs w:val="24"/>
          <w:lang w:eastAsia="zh-CN"/>
          <w14:textFill>
            <w14:solidFill>
              <w14:schemeClr w14:val="tx1"/>
            </w14:solidFill>
          </w14:textFill>
        </w:rPr>
        <w:t>附件五：廉政合作协议</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firstLine="480" w:firstLineChars="200"/>
        <w:jc w:val="both"/>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（以下无正文</w:t>
      </w:r>
      <w:r>
        <w:rPr>
          <w:rFonts w:hint="eastAsia" w:ascii="宋体" w:hAnsi="宋体" w:eastAsia="宋体" w:cs="宋体"/>
          <w:color w:val="000000" w:themeColor="text1"/>
          <w:sz w:val="24"/>
          <w:szCs w:val="24"/>
          <w:highlight w:val="none"/>
          <w14:textFill>
            <w14:solidFill>
              <w14:schemeClr w14:val="tx1"/>
            </w14:solidFill>
          </w14:textFill>
        </w:rPr>
        <w:t>）</w:t>
      </w:r>
    </w:p>
    <w:p>
      <w:pPr>
        <w:pStyle w:val="2"/>
        <w:rPr>
          <w:rFonts w:hint="eastAsia" w:ascii="宋体" w:hAnsi="宋体" w:eastAsia="宋体" w:cs="宋体"/>
          <w:color w:val="000000" w:themeColor="text1"/>
          <w:sz w:val="24"/>
          <w:szCs w:val="24"/>
          <w:highlight w:val="none"/>
          <w14:textFill>
            <w14:solidFill>
              <w14:schemeClr w14:val="tx1"/>
            </w14:solidFill>
          </w14:textFill>
        </w:rPr>
      </w:pPr>
    </w:p>
    <w:p>
      <w:pPr>
        <w:pStyle w:val="3"/>
        <w:autoSpaceDE/>
        <w:autoSpaceDN/>
        <w:adjustRightInd/>
        <w:spacing w:line="360" w:lineRule="auto"/>
        <w:jc w:val="both"/>
        <w:rPr>
          <w:rFonts w:hint="eastAsia" w:ascii="宋体" w:hAnsi="宋体" w:eastAsia="宋体" w:cs="宋体"/>
          <w:color w:val="000000" w:themeColor="text1"/>
          <w:sz w:val="24"/>
          <w:szCs w:val="24"/>
          <w:highlight w:val="none"/>
          <w14:textFill>
            <w14:solidFill>
              <w14:schemeClr w14:val="tx1"/>
            </w14:solidFill>
          </w14:textFill>
        </w:rPr>
      </w:pPr>
    </w:p>
    <w:p>
      <w:pPr>
        <w:pStyle w:val="4"/>
        <w:spacing w:line="360" w:lineRule="auto"/>
        <w:jc w:val="both"/>
        <w:rPr>
          <w:rFonts w:hint="eastAsia" w:ascii="宋体" w:hAnsi="宋体" w:eastAsia="宋体" w:cs="宋体"/>
          <w:color w:val="000000" w:themeColor="text1"/>
          <w:sz w:val="24"/>
          <w:szCs w:val="24"/>
          <w:highlight w:val="none"/>
          <w14:textFill>
            <w14:solidFill>
              <w14:schemeClr w14:val="tx1"/>
            </w14:solidFill>
          </w14:textFill>
        </w:rPr>
      </w:pPr>
    </w:p>
    <w:p>
      <w:pPr>
        <w:pStyle w:val="5"/>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pStyle w:val="3"/>
        <w:autoSpaceDE/>
        <w:autoSpaceDN/>
        <w:adjustRightInd/>
        <w:spacing w:line="360" w:lineRule="auto"/>
        <w:jc w:val="both"/>
        <w:rPr>
          <w:rFonts w:hint="eastAsia"/>
          <w:lang w:eastAsia="zh-CN"/>
        </w:rPr>
      </w:pPr>
      <w:r>
        <w:rPr>
          <w:rFonts w:hint="eastAsia"/>
          <w:lang w:eastAsia="zh-CN"/>
        </w:rPr>
        <w:t>（本页无正文，为双方签署页）</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 xml:space="preserve">甲      方：洛阳浩德鑫置地有限公司   </w:t>
      </w:r>
      <w:r>
        <w:rPr>
          <w:rFonts w:hint="eastAsia" w:ascii="宋体" w:hAnsi="宋体" w:cs="宋体"/>
          <w:color w:val="000000" w:themeColor="text1"/>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乙     方：河南龙键电力装备有限公司</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 xml:space="preserve">法定代表人：                         </w:t>
      </w:r>
      <w:r>
        <w:rPr>
          <w:rFonts w:hint="eastAsia" w:ascii="宋体" w:hAnsi="宋体" w:cs="宋体"/>
          <w:color w:val="000000" w:themeColor="text1"/>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法定代表人：</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 xml:space="preserve">委托代理人：                         </w:t>
      </w:r>
      <w:r>
        <w:rPr>
          <w:rFonts w:hint="eastAsia" w:ascii="宋体" w:hAnsi="宋体" w:cs="宋体"/>
          <w:color w:val="000000" w:themeColor="text1"/>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委托代理人：</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开户行：</w:t>
      </w:r>
      <w:r>
        <w:rPr>
          <w:rFonts w:hint="eastAsia" w:ascii="宋体" w:hAnsi="宋体" w:cs="宋体"/>
          <w:color w:val="000000" w:themeColor="text1"/>
          <w:kern w:val="0"/>
          <w:sz w:val="21"/>
          <w:szCs w:val="21"/>
          <w:lang w:eastAsia="zh-CN"/>
          <w14:textFill>
            <w14:solidFill>
              <w14:schemeClr w14:val="tx1"/>
            </w14:solidFill>
          </w14:textFill>
        </w:rPr>
        <w:t>洛阳农村商业银行股份有限公司李楼支行</w:t>
      </w:r>
      <w:r>
        <w:rPr>
          <w:rFonts w:hint="eastAsia" w:ascii="宋体" w:hAnsi="宋体" w:eastAsia="宋体" w:cs="宋体"/>
          <w:bCs/>
          <w:color w:val="000000" w:themeColor="text1"/>
          <w:sz w:val="21"/>
          <w:szCs w:val="21"/>
          <w:highlight w:val="none"/>
          <w14:textFill>
            <w14:solidFill>
              <w14:schemeClr w14:val="tx1"/>
            </w14:solidFill>
          </w14:textFill>
        </w:rPr>
        <w:t xml:space="preserve">   </w:t>
      </w:r>
      <w:r>
        <w:rPr>
          <w:rFonts w:hint="eastAsia" w:ascii="宋体" w:hAnsi="宋体" w:cs="宋体"/>
          <w:bCs/>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开户行：中国工商银行伊川支行</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账  号：</w:t>
      </w:r>
      <w:r>
        <w:rPr>
          <w:rFonts w:hint="eastAsia" w:ascii="宋体" w:hAnsi="宋体" w:cs="宋体"/>
          <w:color w:val="000000" w:themeColor="text1"/>
          <w:kern w:val="0"/>
          <w:sz w:val="24"/>
          <w:lang w:val="en-US" w:eastAsia="zh-CN"/>
          <w14:textFill>
            <w14:solidFill>
              <w14:schemeClr w14:val="tx1"/>
            </w14:solidFill>
          </w14:textFill>
        </w:rPr>
        <w:t>00000061411416707012</w:t>
      </w:r>
      <w:r>
        <w:rPr>
          <w:rFonts w:hint="eastAsia" w:ascii="宋体" w:hAnsi="宋体" w:eastAsia="宋体" w:cs="宋体"/>
          <w:color w:val="000000" w:themeColor="text1"/>
          <w:szCs w:val="24"/>
          <w:highlight w:val="none"/>
          <w14:textFill>
            <w14:solidFill>
              <w14:schemeClr w14:val="tx1"/>
            </w14:solidFill>
          </w14:textFill>
        </w:rPr>
        <w:t xml:space="preserve">  </w:t>
      </w:r>
      <w:r>
        <w:rPr>
          <w:rFonts w:hint="eastAsia" w:ascii="宋体" w:hAnsi="宋体" w:cs="宋体"/>
          <w:color w:val="000000" w:themeColor="text1"/>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账  号：1705022819200608065</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税  号：</w:t>
      </w:r>
      <w:r>
        <w:rPr>
          <w:rFonts w:hint="eastAsia" w:ascii="宋体" w:hAnsi="宋体" w:cs="宋体"/>
          <w:color w:val="000000" w:themeColor="text1"/>
          <w:kern w:val="0"/>
          <w:sz w:val="24"/>
          <w14:textFill>
            <w14:solidFill>
              <w14:schemeClr w14:val="tx1"/>
            </w14:solidFill>
          </w14:textFill>
        </w:rPr>
        <w:t>914103005542480325</w:t>
      </w:r>
      <w:r>
        <w:rPr>
          <w:rFonts w:hint="eastAsia" w:ascii="宋体" w:hAnsi="宋体" w:eastAsia="宋体" w:cs="宋体"/>
          <w:color w:val="000000" w:themeColor="text1"/>
          <w:szCs w:val="24"/>
          <w:highlight w:val="none"/>
          <w14:textFill>
            <w14:solidFill>
              <w14:schemeClr w14:val="tx1"/>
            </w14:solidFill>
          </w14:textFill>
        </w:rPr>
        <w:t xml:space="preserve">           </w:t>
      </w:r>
      <w:r>
        <w:rPr>
          <w:rFonts w:hint="eastAsia" w:ascii="宋体" w:hAnsi="宋体" w:cs="宋体"/>
          <w:color w:val="000000" w:themeColor="text1"/>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税  号：914103295651271569</w:t>
      </w:r>
    </w:p>
    <w:p>
      <w:pPr>
        <w:pStyle w:val="2"/>
        <w:spacing w:line="360" w:lineRule="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 xml:space="preserve">日  期：2021年08月   日             </w:t>
      </w:r>
      <w:r>
        <w:rPr>
          <w:rFonts w:hint="eastAsia" w:ascii="宋体" w:hAnsi="宋体" w:cs="宋体"/>
          <w:color w:val="000000" w:themeColor="text1"/>
          <w:lang w:val="en-US" w:eastAsia="zh-CN"/>
          <w14:textFill>
            <w14:solidFill>
              <w14:schemeClr w14:val="tx1"/>
            </w14:solidFill>
          </w14:textFill>
        </w:rPr>
        <w:t xml:space="preserve">    </w:t>
      </w:r>
      <w:r>
        <w:rPr>
          <w:rFonts w:hint="eastAsia" w:ascii="宋体" w:hAnsi="宋体" w:eastAsia="宋体" w:cs="宋体"/>
          <w:color w:val="000000" w:themeColor="text1"/>
          <w:lang w:val="en-US" w:eastAsia="zh-CN"/>
          <w14:textFill>
            <w14:solidFill>
              <w14:schemeClr w14:val="tx1"/>
            </w14:solidFill>
          </w14:textFill>
        </w:rPr>
        <w:t>日  期：2021年08月   日</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center"/>
        <w:textAlignment w:val="auto"/>
        <w:outlineLvl w:val="9"/>
        <w:rPr>
          <w:rFonts w:hint="eastAsia" w:ascii="宋体" w:hAnsi="宋体" w:eastAsia="宋体" w:cs="宋体"/>
          <w:b/>
          <w:bCs/>
          <w:color w:val="000000" w:themeColor="text1"/>
          <w:sz w:val="36"/>
          <w:szCs w:val="36"/>
          <w:highlight w:val="none"/>
          <w14:textFill>
            <w14:solidFill>
              <w14:schemeClr w14:val="tx1"/>
            </w14:solidFill>
          </w14:textFill>
        </w:rPr>
      </w:pPr>
      <w:r>
        <w:rPr>
          <w:rFonts w:hint="eastAsia" w:ascii="宋体" w:hAnsi="宋体" w:eastAsia="宋体" w:cs="宋体"/>
          <w:b/>
          <w:bCs/>
          <w:color w:val="000000" w:themeColor="text1"/>
          <w:sz w:val="36"/>
          <w:szCs w:val="36"/>
          <w:highlight w:val="none"/>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cs="宋体"/>
          <w:b/>
          <w:bCs/>
          <w:color w:val="000000" w:themeColor="text1"/>
          <w:sz w:val="24"/>
          <w:szCs w:val="24"/>
          <w:highlight w:val="none"/>
          <w:lang w:eastAsia="zh-CN"/>
          <w14:textFill>
            <w14:solidFill>
              <w14:schemeClr w14:val="tx1"/>
            </w14:solidFill>
          </w14:textFill>
        </w:rPr>
        <w:t>附件一：</w:t>
      </w:r>
      <w:r>
        <w:rPr>
          <w:rFonts w:hint="eastAsia"/>
          <w:b/>
          <w:bCs/>
          <w:color w:val="000000" w:themeColor="text1"/>
          <w:sz w:val="24"/>
          <w:szCs w:val="24"/>
          <w:lang w:eastAsia="zh-CN"/>
          <w14:textFill>
            <w14:solidFill>
              <w14:schemeClr w14:val="tx1"/>
            </w14:solidFill>
          </w14:textFill>
        </w:rPr>
        <w:t>主要材料设备品牌表</w:t>
      </w:r>
    </w:p>
    <w:tbl>
      <w:tblPr>
        <w:tblStyle w:val="10"/>
        <w:tblW w:w="0" w:type="auto"/>
        <w:tblInd w:w="638" w:type="dxa"/>
        <w:tblLayout w:type="fixed"/>
        <w:tblCellMar>
          <w:top w:w="0" w:type="dxa"/>
          <w:left w:w="108" w:type="dxa"/>
          <w:bottom w:w="0" w:type="dxa"/>
          <w:right w:w="108" w:type="dxa"/>
        </w:tblCellMar>
      </w:tblPr>
      <w:tblGrid>
        <w:gridCol w:w="2305"/>
        <w:gridCol w:w="5880"/>
      </w:tblGrid>
      <w:tr>
        <w:tblPrEx>
          <w:tblCellMar>
            <w:top w:w="0" w:type="dxa"/>
            <w:left w:w="108" w:type="dxa"/>
            <w:bottom w:w="0" w:type="dxa"/>
            <w:right w:w="108" w:type="dxa"/>
          </w:tblCellMar>
        </w:tblPrEx>
        <w:trPr>
          <w:trHeight w:val="90" w:hRule="atLeast"/>
        </w:trPr>
        <w:tc>
          <w:tcPr>
            <w:tcW w:w="230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1"/>
                <w:sz w:val="28"/>
                <w:szCs w:val="28"/>
                <w:highlight w:val="none"/>
                <w14:textFill>
                  <w14:solidFill>
                    <w14:schemeClr w14:val="tx1"/>
                  </w14:solidFill>
                </w14:textFill>
              </w:rPr>
            </w:pPr>
            <w:r>
              <w:rPr>
                <w:rFonts w:hint="eastAsia" w:ascii="宋体" w:hAnsi="宋体" w:cs="宋体"/>
                <w:color w:val="000000" w:themeColor="text1"/>
                <w:kern w:val="1"/>
                <w:sz w:val="28"/>
                <w:szCs w:val="28"/>
                <w:highlight w:val="none"/>
                <w14:textFill>
                  <w14:solidFill>
                    <w14:schemeClr w14:val="tx1"/>
                  </w14:solidFill>
                </w14:textFill>
              </w:rPr>
              <w:t>名 称</w:t>
            </w:r>
          </w:p>
        </w:tc>
        <w:tc>
          <w:tcPr>
            <w:tcW w:w="5880" w:type="dxa"/>
            <w:tcBorders>
              <w:top w:val="single" w:color="000000" w:sz="4" w:space="0"/>
              <w:bottom w:val="single" w:color="000000" w:sz="4" w:space="0"/>
              <w:right w:val="single" w:color="000000" w:sz="4" w:space="0"/>
            </w:tcBorders>
            <w:vAlign w:val="center"/>
          </w:tcPr>
          <w:p>
            <w:pPr>
              <w:widowControl/>
              <w:jc w:val="center"/>
              <w:rPr>
                <w:rFonts w:ascii="宋体" w:hAnsi="宋体" w:cs="宋体"/>
                <w:color w:val="000000" w:themeColor="text1"/>
                <w:kern w:val="1"/>
                <w:sz w:val="28"/>
                <w:szCs w:val="28"/>
                <w:highlight w:val="none"/>
                <w14:textFill>
                  <w14:solidFill>
                    <w14:schemeClr w14:val="tx1"/>
                  </w14:solidFill>
                </w14:textFill>
              </w:rPr>
            </w:pPr>
            <w:r>
              <w:rPr>
                <w:rFonts w:hint="eastAsia" w:ascii="宋体" w:hAnsi="宋体" w:cs="宋体"/>
                <w:color w:val="000000" w:themeColor="text1"/>
                <w:kern w:val="1"/>
                <w:sz w:val="28"/>
                <w:szCs w:val="28"/>
                <w:highlight w:val="none"/>
                <w14:textFill>
                  <w14:solidFill>
                    <w14:schemeClr w14:val="tx1"/>
                  </w14:solidFill>
                </w14:textFill>
              </w:rPr>
              <w:t>厂家或品牌</w:t>
            </w:r>
          </w:p>
        </w:tc>
      </w:tr>
      <w:tr>
        <w:tblPrEx>
          <w:tblCellMar>
            <w:top w:w="0" w:type="dxa"/>
            <w:left w:w="108" w:type="dxa"/>
            <w:bottom w:w="0" w:type="dxa"/>
            <w:right w:w="108" w:type="dxa"/>
          </w:tblCellMar>
        </w:tblPrEx>
        <w:trPr>
          <w:trHeight w:val="534" w:hRule="atLeast"/>
        </w:trPr>
        <w:tc>
          <w:tcPr>
            <w:tcW w:w="2305" w:type="dxa"/>
            <w:tcBorders>
              <w:left w:val="single" w:color="000000" w:sz="4" w:space="0"/>
              <w:bottom w:val="single" w:color="000000" w:sz="4" w:space="0"/>
              <w:right w:val="single" w:color="000000" w:sz="4" w:space="0"/>
            </w:tcBorders>
            <w:vAlign w:val="center"/>
          </w:tcPr>
          <w:p>
            <w:pPr>
              <w:widowControl/>
              <w:jc w:val="left"/>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 w:val="28"/>
                <w:szCs w:val="28"/>
                <w:highlight w:val="none"/>
                <w14:textFill>
                  <w14:solidFill>
                    <w14:schemeClr w14:val="tx1"/>
                  </w14:solidFill>
                </w14:textFill>
              </w:rPr>
              <w:t>高压真空断路器</w:t>
            </w:r>
          </w:p>
        </w:tc>
        <w:tc>
          <w:tcPr>
            <w:tcW w:w="5880" w:type="dxa"/>
            <w:tcBorders>
              <w:bottom w:val="single" w:color="000000" w:sz="4" w:space="0"/>
              <w:right w:val="single" w:color="000000" w:sz="4" w:space="0"/>
            </w:tcBorders>
            <w:vAlign w:val="center"/>
          </w:tcPr>
          <w:p>
            <w:pPr>
              <w:jc w:val="center"/>
              <w:rPr>
                <w:rFonts w:hint="eastAsia" w:ascii="宋体" w:hAnsi="宋体" w:eastAsia="宋体" w:cs="宋体"/>
                <w:color w:val="000000" w:themeColor="text1"/>
                <w:kern w:val="1"/>
                <w:sz w:val="28"/>
                <w:szCs w:val="28"/>
                <w:highlight w:val="none"/>
                <w:lang w:eastAsia="zh-CN"/>
                <w14:textFill>
                  <w14:solidFill>
                    <w14:schemeClr w14:val="tx1"/>
                  </w14:solidFill>
                </w14:textFill>
              </w:rPr>
            </w:pPr>
            <w:r>
              <w:rPr>
                <w:rFonts w:hint="eastAsia" w:ascii="Calibri" w:hAnsi="Calibri" w:cs="宋体"/>
                <w:color w:val="000000" w:themeColor="text1"/>
                <w:kern w:val="1"/>
                <w:sz w:val="28"/>
                <w:szCs w:val="28"/>
                <w:highlight w:val="none"/>
                <w14:textFill>
                  <w14:solidFill>
                    <w14:schemeClr w14:val="tx1"/>
                  </w14:solidFill>
                </w14:textFill>
              </w:rPr>
              <w:t>河南长征</w:t>
            </w:r>
          </w:p>
        </w:tc>
      </w:tr>
      <w:tr>
        <w:tblPrEx>
          <w:tblCellMar>
            <w:top w:w="0" w:type="dxa"/>
            <w:left w:w="108" w:type="dxa"/>
            <w:bottom w:w="0" w:type="dxa"/>
            <w:right w:w="108" w:type="dxa"/>
          </w:tblCellMar>
        </w:tblPrEx>
        <w:trPr>
          <w:trHeight w:val="397" w:hRule="atLeast"/>
        </w:trPr>
        <w:tc>
          <w:tcPr>
            <w:tcW w:w="2305" w:type="dxa"/>
            <w:tcBorders>
              <w:left w:val="single" w:color="000000" w:sz="4" w:space="0"/>
              <w:bottom w:val="single" w:color="000000" w:sz="4" w:space="0"/>
              <w:right w:val="single" w:color="000000" w:sz="4" w:space="0"/>
            </w:tcBorders>
            <w:vAlign w:val="center"/>
          </w:tcPr>
          <w:p>
            <w:pPr>
              <w:jc w:val="left"/>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 w:val="28"/>
                <w:szCs w:val="28"/>
                <w:highlight w:val="none"/>
                <w14:textFill>
                  <w14:solidFill>
                    <w14:schemeClr w14:val="tx1"/>
                  </w14:solidFill>
                </w14:textFill>
              </w:rPr>
              <w:t>变压器</w:t>
            </w:r>
          </w:p>
        </w:tc>
        <w:tc>
          <w:tcPr>
            <w:tcW w:w="5880" w:type="dxa"/>
            <w:tcBorders>
              <w:top w:val="single" w:color="000000" w:sz="4" w:space="0"/>
              <w:bottom w:val="single" w:color="000000" w:sz="4" w:space="0"/>
              <w:right w:val="single" w:color="000000" w:sz="4" w:space="0"/>
            </w:tcBorders>
            <w:vAlign w:val="center"/>
          </w:tcPr>
          <w:p>
            <w:pPr>
              <w:jc w:val="center"/>
              <w:rPr>
                <w:rFonts w:ascii="宋体" w:hAnsi="宋体" w:cs="宋体"/>
                <w:color w:val="000000" w:themeColor="text1"/>
                <w:kern w:val="1"/>
                <w:sz w:val="28"/>
                <w:szCs w:val="28"/>
                <w:highlight w:val="none"/>
                <w14:textFill>
                  <w14:solidFill>
                    <w14:schemeClr w14:val="tx1"/>
                  </w14:solidFill>
                </w14:textFill>
              </w:rPr>
            </w:pPr>
            <w:r>
              <w:rPr>
                <w:rFonts w:hint="eastAsia" w:ascii="Calibri" w:hAnsi="Calibri" w:cs="宋体"/>
                <w:color w:val="000000" w:themeColor="text1"/>
                <w:kern w:val="1"/>
                <w:sz w:val="28"/>
                <w:szCs w:val="28"/>
                <w:highlight w:val="none"/>
                <w14:textFill>
                  <w14:solidFill>
                    <w14:schemeClr w14:val="tx1"/>
                  </w14:solidFill>
                </w14:textFill>
              </w:rPr>
              <w:t>天力纯铜</w:t>
            </w:r>
          </w:p>
        </w:tc>
      </w:tr>
      <w:tr>
        <w:tblPrEx>
          <w:tblCellMar>
            <w:top w:w="0" w:type="dxa"/>
            <w:left w:w="108" w:type="dxa"/>
            <w:bottom w:w="0" w:type="dxa"/>
            <w:right w:w="108" w:type="dxa"/>
          </w:tblCellMar>
        </w:tblPrEx>
        <w:trPr>
          <w:trHeight w:val="397" w:hRule="atLeast"/>
        </w:trPr>
        <w:tc>
          <w:tcPr>
            <w:tcW w:w="2305" w:type="dxa"/>
            <w:tcBorders>
              <w:left w:val="single" w:color="000000" w:sz="4" w:space="0"/>
              <w:bottom w:val="single" w:color="000000" w:sz="4" w:space="0"/>
              <w:right w:val="single" w:color="000000" w:sz="4" w:space="0"/>
            </w:tcBorders>
            <w:vAlign w:val="center"/>
          </w:tcPr>
          <w:p>
            <w:pPr>
              <w:jc w:val="left"/>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 w:val="28"/>
                <w:szCs w:val="28"/>
                <w:highlight w:val="none"/>
                <w14:textFill>
                  <w14:solidFill>
                    <w14:schemeClr w14:val="tx1"/>
                  </w14:solidFill>
                </w14:textFill>
              </w:rPr>
              <w:t>继电保护</w:t>
            </w:r>
          </w:p>
        </w:tc>
        <w:tc>
          <w:tcPr>
            <w:tcW w:w="5880" w:type="dxa"/>
            <w:tcBorders>
              <w:bottom w:val="single" w:color="000000" w:sz="4" w:space="0"/>
              <w:right w:val="single" w:color="000000" w:sz="4" w:space="0"/>
            </w:tcBorders>
            <w:vAlign w:val="center"/>
          </w:tcPr>
          <w:p>
            <w:pPr>
              <w:jc w:val="center"/>
              <w:rPr>
                <w:rFonts w:hint="eastAsia" w:ascii="宋体" w:hAnsi="宋体" w:eastAsia="宋体" w:cs="宋体"/>
                <w:color w:val="000000" w:themeColor="text1"/>
                <w:kern w:val="1"/>
                <w:sz w:val="28"/>
                <w:szCs w:val="28"/>
                <w:highlight w:val="none"/>
                <w:lang w:eastAsia="zh-CN"/>
                <w14:textFill>
                  <w14:solidFill>
                    <w14:schemeClr w14:val="tx1"/>
                  </w14:solidFill>
                </w14:textFill>
              </w:rPr>
            </w:pPr>
            <w:r>
              <w:rPr>
                <w:rFonts w:ascii="Calibri" w:hAnsi="Calibri" w:cs="宋体"/>
                <w:color w:val="000000" w:themeColor="text1"/>
                <w:kern w:val="1"/>
                <w:sz w:val="28"/>
                <w:szCs w:val="28"/>
                <w:highlight w:val="none"/>
                <w14:textFill>
                  <w14:solidFill>
                    <w14:schemeClr w14:val="tx1"/>
                  </w14:solidFill>
                </w14:textFill>
              </w:rPr>
              <w:t>许继</w:t>
            </w:r>
            <w:r>
              <w:rPr>
                <w:rFonts w:hint="eastAsia" w:cs="宋体"/>
                <w:color w:val="000000" w:themeColor="text1"/>
                <w:kern w:val="1"/>
                <w:sz w:val="28"/>
                <w:szCs w:val="28"/>
                <w:highlight w:val="none"/>
                <w:lang w:eastAsia="zh-CN"/>
                <w14:textFill>
                  <w14:solidFill>
                    <w14:schemeClr w14:val="tx1"/>
                  </w14:solidFill>
                </w14:textFill>
              </w:rPr>
              <w:t>电气</w:t>
            </w:r>
          </w:p>
        </w:tc>
      </w:tr>
      <w:tr>
        <w:tblPrEx>
          <w:tblCellMar>
            <w:top w:w="0" w:type="dxa"/>
            <w:left w:w="108" w:type="dxa"/>
            <w:bottom w:w="0" w:type="dxa"/>
            <w:right w:w="108" w:type="dxa"/>
          </w:tblCellMar>
        </w:tblPrEx>
        <w:trPr>
          <w:trHeight w:val="397" w:hRule="atLeast"/>
        </w:trPr>
        <w:tc>
          <w:tcPr>
            <w:tcW w:w="230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themeColor="text1"/>
                <w:kern w:val="1"/>
                <w:sz w:val="28"/>
                <w:szCs w:val="28"/>
                <w:highlight w:val="none"/>
                <w:shd w:val="clear" w:color="auto" w:fill="FFFFFF"/>
                <w14:textFill>
                  <w14:solidFill>
                    <w14:schemeClr w14:val="tx1"/>
                  </w14:solidFill>
                </w14:textFill>
              </w:rPr>
            </w:pPr>
            <w:r>
              <w:rPr>
                <w:rFonts w:hint="eastAsia" w:ascii="宋体" w:hAnsi="宋体" w:cs="宋体"/>
                <w:color w:val="000000" w:themeColor="text1"/>
                <w:kern w:val="1"/>
                <w:sz w:val="28"/>
                <w:szCs w:val="28"/>
                <w:highlight w:val="none"/>
                <w14:textFill>
                  <w14:solidFill>
                    <w14:schemeClr w14:val="tx1"/>
                  </w14:solidFill>
                </w14:textFill>
              </w:rPr>
              <w:t>互感器</w:t>
            </w:r>
          </w:p>
        </w:tc>
        <w:tc>
          <w:tcPr>
            <w:tcW w:w="5880" w:type="dxa"/>
            <w:tcBorders>
              <w:bottom w:val="single" w:color="000000" w:sz="4" w:space="0"/>
              <w:right w:val="single" w:color="000000" w:sz="4" w:space="0"/>
            </w:tcBorders>
            <w:vAlign w:val="center"/>
          </w:tcPr>
          <w:p>
            <w:pPr>
              <w:widowControl/>
              <w:jc w:val="center"/>
              <w:rPr>
                <w:rFonts w:ascii="宋体" w:hAnsi="宋体" w:cs="宋体"/>
                <w:color w:val="000000" w:themeColor="text1"/>
                <w:kern w:val="1"/>
                <w:sz w:val="28"/>
                <w:szCs w:val="28"/>
                <w:highlight w:val="none"/>
                <w14:textFill>
                  <w14:solidFill>
                    <w14:schemeClr w14:val="tx1"/>
                  </w14:solidFill>
                </w14:textFill>
              </w:rPr>
            </w:pPr>
            <w:r>
              <w:rPr>
                <w:rFonts w:hint="eastAsia" w:ascii="宋体" w:hAnsi="宋体" w:cs="宋体"/>
                <w:color w:val="000000" w:themeColor="text1"/>
                <w:kern w:val="1"/>
                <w:sz w:val="28"/>
                <w:szCs w:val="28"/>
                <w:highlight w:val="none"/>
                <w14:textFill>
                  <w14:solidFill>
                    <w14:schemeClr w14:val="tx1"/>
                  </w14:solidFill>
                </w14:textFill>
              </w:rPr>
              <w:t>济源高新</w:t>
            </w:r>
          </w:p>
        </w:tc>
      </w:tr>
      <w:tr>
        <w:tblPrEx>
          <w:tblCellMar>
            <w:top w:w="0" w:type="dxa"/>
            <w:left w:w="108" w:type="dxa"/>
            <w:bottom w:w="0" w:type="dxa"/>
            <w:right w:w="108" w:type="dxa"/>
          </w:tblCellMar>
        </w:tblPrEx>
        <w:trPr>
          <w:trHeight w:val="397" w:hRule="atLeast"/>
        </w:trPr>
        <w:tc>
          <w:tcPr>
            <w:tcW w:w="230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themeColor="text1"/>
                <w:kern w:val="1"/>
                <w:sz w:val="28"/>
                <w:szCs w:val="28"/>
                <w:highlight w:val="none"/>
                <w:shd w:val="clear" w:color="auto" w:fill="FFFFFF"/>
                <w14:textFill>
                  <w14:solidFill>
                    <w14:schemeClr w14:val="tx1"/>
                  </w14:solidFill>
                </w14:textFill>
              </w:rPr>
            </w:pPr>
            <w:r>
              <w:rPr>
                <w:rFonts w:hint="eastAsia" w:ascii="宋体" w:hAnsi="宋体" w:cs="宋体"/>
                <w:color w:val="000000" w:themeColor="text1"/>
                <w:kern w:val="1"/>
                <w:sz w:val="28"/>
                <w:szCs w:val="28"/>
                <w:highlight w:val="none"/>
                <w14:textFill>
                  <w14:solidFill>
                    <w14:schemeClr w14:val="tx1"/>
                  </w14:solidFill>
                </w14:textFill>
              </w:rPr>
              <w:t>避雷器</w:t>
            </w:r>
          </w:p>
        </w:tc>
        <w:tc>
          <w:tcPr>
            <w:tcW w:w="5880" w:type="dxa"/>
            <w:tcBorders>
              <w:bottom w:val="single" w:color="000000" w:sz="4" w:space="0"/>
              <w:right w:val="single" w:color="000000" w:sz="4" w:space="0"/>
            </w:tcBorders>
            <w:vAlign w:val="center"/>
          </w:tcPr>
          <w:p>
            <w:pPr>
              <w:widowControl/>
              <w:jc w:val="center"/>
              <w:rPr>
                <w:rFonts w:ascii="宋体" w:hAnsi="宋体" w:cs="宋体"/>
                <w:color w:val="000000" w:themeColor="text1"/>
                <w:kern w:val="1"/>
                <w:sz w:val="28"/>
                <w:szCs w:val="28"/>
                <w:highlight w:val="none"/>
                <w14:textFill>
                  <w14:solidFill>
                    <w14:schemeClr w14:val="tx1"/>
                  </w14:solidFill>
                </w14:textFill>
              </w:rPr>
            </w:pPr>
            <w:r>
              <w:rPr>
                <w:rFonts w:hint="eastAsia" w:ascii="宋体" w:hAnsi="宋体" w:cs="宋体"/>
                <w:kern w:val="1"/>
                <w:sz w:val="28"/>
                <w:szCs w:val="28"/>
              </w:rPr>
              <w:t>新月电气</w:t>
            </w:r>
          </w:p>
        </w:tc>
      </w:tr>
      <w:tr>
        <w:tblPrEx>
          <w:tblCellMar>
            <w:top w:w="0" w:type="dxa"/>
            <w:left w:w="108" w:type="dxa"/>
            <w:bottom w:w="0" w:type="dxa"/>
            <w:right w:w="108" w:type="dxa"/>
          </w:tblCellMar>
        </w:tblPrEx>
        <w:trPr>
          <w:trHeight w:val="621" w:hRule="atLeast"/>
        </w:trPr>
        <w:tc>
          <w:tcPr>
            <w:tcW w:w="230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 w:val="28"/>
                <w:szCs w:val="28"/>
                <w:highlight w:val="none"/>
                <w14:textFill>
                  <w14:solidFill>
                    <w14:schemeClr w14:val="tx1"/>
                  </w14:solidFill>
                </w14:textFill>
              </w:rPr>
              <w:t>低压断路器</w:t>
            </w:r>
          </w:p>
        </w:tc>
        <w:tc>
          <w:tcPr>
            <w:tcW w:w="5880" w:type="dxa"/>
            <w:tcBorders>
              <w:bottom w:val="single" w:color="000000" w:sz="4" w:space="0"/>
              <w:right w:val="single" w:color="000000" w:sz="4" w:space="0"/>
            </w:tcBorders>
            <w:vAlign w:val="center"/>
          </w:tcPr>
          <w:p>
            <w:pPr>
              <w:jc w:val="center"/>
              <w:rPr>
                <w:rFonts w:ascii="宋体" w:hAnsi="宋体" w:cs="宋体"/>
                <w:color w:val="000000" w:themeColor="text1"/>
                <w:kern w:val="1"/>
                <w:sz w:val="28"/>
                <w:szCs w:val="28"/>
                <w:highlight w:val="none"/>
                <w14:textFill>
                  <w14:solidFill>
                    <w14:schemeClr w14:val="tx1"/>
                  </w14:solidFill>
                </w14:textFill>
              </w:rPr>
            </w:pPr>
            <w:r>
              <w:rPr>
                <w:rFonts w:hint="eastAsia" w:cs="宋体"/>
                <w:kern w:val="1"/>
                <w:sz w:val="28"/>
                <w:szCs w:val="28"/>
              </w:rPr>
              <w:t>正泰电器</w:t>
            </w:r>
          </w:p>
        </w:tc>
      </w:tr>
      <w:tr>
        <w:tblPrEx>
          <w:tblCellMar>
            <w:top w:w="0" w:type="dxa"/>
            <w:left w:w="108" w:type="dxa"/>
            <w:bottom w:w="0" w:type="dxa"/>
            <w:right w:w="108" w:type="dxa"/>
          </w:tblCellMar>
        </w:tblPrEx>
        <w:trPr>
          <w:trHeight w:val="397" w:hRule="atLeast"/>
        </w:trPr>
        <w:tc>
          <w:tcPr>
            <w:tcW w:w="230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 w:val="28"/>
                <w:szCs w:val="28"/>
                <w:highlight w:val="none"/>
                <w14:textFill>
                  <w14:solidFill>
                    <w14:schemeClr w14:val="tx1"/>
                  </w14:solidFill>
                </w14:textFill>
              </w:rPr>
              <w:t>插接母线</w:t>
            </w:r>
          </w:p>
        </w:tc>
        <w:tc>
          <w:tcPr>
            <w:tcW w:w="5880" w:type="dxa"/>
            <w:tcBorders>
              <w:bottom w:val="single" w:color="auto" w:sz="4" w:space="0"/>
              <w:right w:val="single" w:color="000000" w:sz="4" w:space="0"/>
            </w:tcBorders>
            <w:vAlign w:val="center"/>
          </w:tcPr>
          <w:p>
            <w:pPr>
              <w:widowControl/>
              <w:jc w:val="center"/>
              <w:rPr>
                <w:rFonts w:ascii="宋体" w:hAnsi="宋体" w:cs="宋体"/>
                <w:color w:val="000000" w:themeColor="text1"/>
                <w:kern w:val="1"/>
                <w:sz w:val="28"/>
                <w:szCs w:val="28"/>
                <w:highlight w:val="none"/>
                <w14:textFill>
                  <w14:solidFill>
                    <w14:schemeClr w14:val="tx1"/>
                  </w14:solidFill>
                </w14:textFill>
              </w:rPr>
            </w:pPr>
            <w:r>
              <w:rPr>
                <w:rFonts w:hint="eastAsia" w:ascii="宋体" w:hAnsi="宋体" w:cs="宋体"/>
                <w:kern w:val="1"/>
                <w:sz w:val="28"/>
                <w:szCs w:val="28"/>
              </w:rPr>
              <w:t>曼德西</w:t>
            </w:r>
          </w:p>
        </w:tc>
      </w:tr>
      <w:tr>
        <w:tblPrEx>
          <w:tblCellMar>
            <w:top w:w="0" w:type="dxa"/>
            <w:left w:w="108" w:type="dxa"/>
            <w:bottom w:w="0" w:type="dxa"/>
            <w:right w:w="108" w:type="dxa"/>
          </w:tblCellMar>
        </w:tblPrEx>
        <w:trPr>
          <w:trHeight w:val="397" w:hRule="atLeast"/>
        </w:trPr>
        <w:tc>
          <w:tcPr>
            <w:tcW w:w="2305" w:type="dxa"/>
            <w:tcBorders>
              <w:top w:val="single" w:color="000000" w:sz="4" w:space="0"/>
              <w:left w:val="single" w:color="000000" w:sz="4" w:space="0"/>
              <w:bottom w:val="single" w:color="000000" w:sz="4" w:space="0"/>
              <w:right w:val="single" w:color="auto" w:sz="4" w:space="0"/>
            </w:tcBorders>
            <w:vAlign w:val="center"/>
          </w:tcPr>
          <w:p>
            <w:pPr>
              <w:jc w:val="left"/>
              <w:rPr>
                <w:rFonts w:ascii="宋体" w:hAnsi="宋体" w:cs="宋体"/>
                <w:color w:val="000000" w:themeColor="text1"/>
                <w:kern w:val="1"/>
                <w:szCs w:val="21"/>
                <w:highlight w:val="none"/>
                <w14:textFill>
                  <w14:solidFill>
                    <w14:schemeClr w14:val="tx1"/>
                  </w14:solidFill>
                </w14:textFill>
              </w:rPr>
            </w:pPr>
            <w:r>
              <w:rPr>
                <w:rFonts w:hint="eastAsia" w:ascii="宋体" w:hAnsi="宋体" w:cs="宋体"/>
                <w:color w:val="000000" w:themeColor="text1"/>
                <w:kern w:val="1"/>
                <w:sz w:val="28"/>
                <w:szCs w:val="28"/>
                <w:highlight w:val="none"/>
                <w14:textFill>
                  <w14:solidFill>
                    <w14:schemeClr w14:val="tx1"/>
                  </w14:solidFill>
                </w14:textFill>
              </w:rPr>
              <w:t>电缆（国标）</w:t>
            </w:r>
          </w:p>
        </w:tc>
        <w:tc>
          <w:tcPr>
            <w:tcW w:w="58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themeColor="text1"/>
                <w:kern w:val="1"/>
                <w:sz w:val="28"/>
                <w:szCs w:val="28"/>
                <w:highlight w:val="none"/>
                <w14:textFill>
                  <w14:solidFill>
                    <w14:schemeClr w14:val="tx1"/>
                  </w14:solidFill>
                </w14:textFill>
              </w:rPr>
            </w:pPr>
            <w:r>
              <w:rPr>
                <w:rFonts w:hint="eastAsia" w:ascii="宋体" w:hAnsi="宋体" w:cs="宋体"/>
                <w:kern w:val="1"/>
                <w:sz w:val="28"/>
                <w:szCs w:val="28"/>
              </w:rPr>
              <w:t>弘泰线缆</w:t>
            </w:r>
          </w:p>
        </w:tc>
      </w:tr>
      <w:tr>
        <w:tblPrEx>
          <w:tblCellMar>
            <w:top w:w="0" w:type="dxa"/>
            <w:left w:w="108" w:type="dxa"/>
            <w:bottom w:w="0" w:type="dxa"/>
            <w:right w:w="108" w:type="dxa"/>
          </w:tblCellMar>
        </w:tblPrEx>
        <w:trPr>
          <w:trHeight w:val="397" w:hRule="atLeast"/>
        </w:trPr>
        <w:tc>
          <w:tcPr>
            <w:tcW w:w="818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60" w:lineRule="auto"/>
              <w:rPr>
                <w:rFonts w:hint="eastAsia" w:ascii="宋体" w:hAnsi="宋体" w:eastAsia="宋体" w:cs="宋体"/>
                <w:color w:val="000000" w:themeColor="text1"/>
                <w:kern w:val="1"/>
                <w:szCs w:val="24"/>
                <w:highlight w:val="none"/>
                <w:lang w:eastAsia="zh-CN"/>
                <w14:textFill>
                  <w14:solidFill>
                    <w14:schemeClr w14:val="tx1"/>
                  </w14:solidFill>
                </w14:textFill>
              </w:rPr>
            </w:pPr>
            <w:r>
              <w:rPr>
                <w:rFonts w:hint="eastAsia" w:ascii="宋体" w:hAnsi="宋体" w:cs="宋体"/>
                <w:color w:val="000000" w:themeColor="text1"/>
                <w:kern w:val="1"/>
                <w:szCs w:val="24"/>
                <w:highlight w:val="none"/>
                <w14:textFill>
                  <w14:solidFill>
                    <w14:schemeClr w14:val="tx1"/>
                  </w14:solidFill>
                </w14:textFill>
              </w:rPr>
              <w:t>1.主要材料以供电局能够通过验收为前提，乙方严格参照供电局要求品牌库内产品进行采购。</w:t>
            </w:r>
            <w:r>
              <w:rPr>
                <w:rFonts w:hint="eastAsia" w:ascii="宋体" w:hAnsi="宋体" w:cs="宋体"/>
                <w:color w:val="000000" w:themeColor="text1"/>
                <w:kern w:val="1"/>
                <w:szCs w:val="24"/>
                <w:highlight w:val="none"/>
                <w:lang w:eastAsia="zh-CN"/>
                <w14:textFill>
                  <w14:solidFill>
                    <w14:schemeClr w14:val="tx1"/>
                  </w14:solidFill>
                </w14:textFill>
              </w:rPr>
              <w:t>如采购的设备品牌不能通过供电局验收的，需按照供电局要求全部更换，产生的相关费用由乙方承担。</w:t>
            </w:r>
          </w:p>
          <w:p>
            <w:pPr>
              <w:spacing w:line="360" w:lineRule="auto"/>
              <w:rPr>
                <w:rFonts w:ascii="宋体" w:hAnsi="宋体" w:cs="宋体"/>
                <w:color w:val="000000" w:themeColor="text1"/>
                <w:kern w:val="1"/>
                <w:sz w:val="22"/>
                <w:szCs w:val="22"/>
                <w:highlight w:val="none"/>
                <w14:textFill>
                  <w14:solidFill>
                    <w14:schemeClr w14:val="tx1"/>
                  </w14:solidFill>
                </w14:textFill>
              </w:rPr>
            </w:pPr>
            <w:r>
              <w:rPr>
                <w:rFonts w:hint="eastAsia" w:ascii="宋体" w:hAnsi="宋体" w:cs="宋体"/>
                <w:color w:val="000000" w:themeColor="text1"/>
                <w:kern w:val="1"/>
                <w:szCs w:val="24"/>
                <w:highlight w:val="none"/>
                <w14:textFill>
                  <w14:solidFill>
                    <w14:schemeClr w14:val="tx1"/>
                  </w14:solidFill>
                </w14:textFill>
              </w:rPr>
              <w:t>2.甲方及现场监理将以此标准来进行验收，如进场材料或已安装的材料非以上要求，甲方有权不结算材料款。</w:t>
            </w:r>
          </w:p>
        </w:tc>
      </w:tr>
    </w:tbl>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ascii="宋体" w:hAnsi="宋体" w:cs="宋体"/>
          <w:b/>
          <w:bCs/>
          <w:color w:val="000000" w:themeColor="text1"/>
          <w:sz w:val="24"/>
          <w:szCs w:val="24"/>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ascii="宋体" w:hAnsi="宋体" w:cs="宋体"/>
          <w:b/>
          <w:bCs/>
          <w:color w:val="000000" w:themeColor="text1"/>
          <w:sz w:val="24"/>
          <w:szCs w:val="24"/>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ascii="宋体" w:hAnsi="宋体" w:cs="宋体"/>
          <w:b/>
          <w:bCs/>
          <w:color w:val="000000" w:themeColor="text1"/>
          <w:sz w:val="24"/>
          <w:szCs w:val="24"/>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ascii="宋体" w:hAnsi="宋体" w:cs="宋体"/>
          <w:b/>
          <w:bCs/>
          <w:color w:val="000000" w:themeColor="text1"/>
          <w:sz w:val="24"/>
          <w:szCs w:val="24"/>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ascii="宋体" w:hAnsi="宋体" w:cs="宋体"/>
          <w:b/>
          <w:bCs/>
          <w:color w:val="000000" w:themeColor="text1"/>
          <w:sz w:val="24"/>
          <w:szCs w:val="24"/>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ascii="宋体" w:hAnsi="宋体" w:cs="宋体"/>
          <w:b/>
          <w:bCs/>
          <w:color w:val="000000" w:themeColor="text1"/>
          <w:sz w:val="24"/>
          <w:szCs w:val="24"/>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ascii="宋体" w:hAnsi="宋体" w:cs="宋体"/>
          <w:b/>
          <w:bCs/>
          <w:color w:val="000000" w:themeColor="text1"/>
          <w:sz w:val="24"/>
          <w:szCs w:val="24"/>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ascii="宋体" w:hAnsi="宋体" w:cs="宋体"/>
          <w:b/>
          <w:bCs/>
          <w:color w:val="000000" w:themeColor="text1"/>
          <w:sz w:val="24"/>
          <w:szCs w:val="24"/>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ascii="宋体" w:hAnsi="宋体" w:cs="宋体"/>
          <w:b/>
          <w:bCs/>
          <w:color w:val="000000" w:themeColor="text1"/>
          <w:sz w:val="24"/>
          <w:szCs w:val="24"/>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ascii="宋体" w:hAnsi="宋体" w:cs="宋体"/>
          <w:b/>
          <w:bCs/>
          <w:color w:val="000000" w:themeColor="text1"/>
          <w:sz w:val="24"/>
          <w:szCs w:val="24"/>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ascii="宋体" w:hAnsi="宋体" w:cs="宋体"/>
          <w:b/>
          <w:bCs/>
          <w:color w:val="000000" w:themeColor="text1"/>
          <w:sz w:val="24"/>
          <w:szCs w:val="24"/>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ascii="宋体" w:hAnsi="宋体" w:cs="宋体"/>
          <w:b/>
          <w:bCs/>
          <w:color w:val="000000" w:themeColor="text1"/>
          <w:sz w:val="24"/>
          <w:szCs w:val="24"/>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ascii="宋体" w:hAnsi="宋体" w:cs="宋体"/>
          <w:b/>
          <w:bCs/>
          <w:color w:val="000000" w:themeColor="text1"/>
          <w:sz w:val="24"/>
          <w:szCs w:val="24"/>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ascii="宋体" w:hAnsi="宋体" w:cs="宋体"/>
          <w:b/>
          <w:bCs/>
          <w:color w:val="000000" w:themeColor="text1"/>
          <w:sz w:val="24"/>
          <w:szCs w:val="24"/>
          <w:highlight w:val="none"/>
          <w:lang w:eastAsia="zh-CN"/>
          <w14:textFill>
            <w14:solidFill>
              <w14:schemeClr w14:val="tx1"/>
            </w14:solidFill>
          </w14:textFill>
        </w:rPr>
      </w:pPr>
      <w:r>
        <w:rPr>
          <w:rFonts w:hint="eastAsia" w:ascii="宋体" w:hAnsi="宋体" w:cs="宋体"/>
          <w:b/>
          <w:bCs/>
          <w:color w:val="000000" w:themeColor="text1"/>
          <w:sz w:val="24"/>
          <w:szCs w:val="24"/>
          <w:highlight w:val="none"/>
          <w:lang w:eastAsia="zh-CN"/>
          <w14:textFill>
            <w14:solidFill>
              <w14:schemeClr w14:val="tx1"/>
            </w14:solidFill>
          </w14:textFill>
        </w:rPr>
        <w:t>附件二：</w:t>
      </w:r>
    </w:p>
    <w:tbl>
      <w:tblPr>
        <w:tblStyle w:val="10"/>
        <w:tblW w:w="10879" w:type="dxa"/>
        <w:jc w:val="center"/>
        <w:shd w:val="clear" w:color="auto" w:fill="auto"/>
        <w:tblLayout w:type="autofit"/>
        <w:tblCellMar>
          <w:top w:w="0" w:type="dxa"/>
          <w:left w:w="108" w:type="dxa"/>
          <w:bottom w:w="0" w:type="dxa"/>
          <w:right w:w="108" w:type="dxa"/>
        </w:tblCellMar>
      </w:tblPr>
      <w:tblGrid>
        <w:gridCol w:w="584"/>
        <w:gridCol w:w="1369"/>
        <w:gridCol w:w="3094"/>
        <w:gridCol w:w="458"/>
        <w:gridCol w:w="846"/>
        <w:gridCol w:w="1061"/>
        <w:gridCol w:w="1268"/>
        <w:gridCol w:w="1062"/>
        <w:gridCol w:w="1137"/>
      </w:tblGrid>
      <w:tr>
        <w:tblPrEx>
          <w:shd w:val="clear" w:color="auto" w:fill="auto"/>
          <w:tblCellMar>
            <w:top w:w="0" w:type="dxa"/>
            <w:left w:w="108" w:type="dxa"/>
            <w:bottom w:w="0" w:type="dxa"/>
            <w:right w:w="108" w:type="dxa"/>
          </w:tblCellMar>
        </w:tblPrEx>
        <w:trPr>
          <w:trHeight w:val="240" w:hRule="atLeast"/>
          <w:jc w:val="center"/>
        </w:trPr>
        <w:tc>
          <w:tcPr>
            <w:tcW w:w="584"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序号</w:t>
            </w:r>
          </w:p>
        </w:tc>
        <w:tc>
          <w:tcPr>
            <w:tcW w:w="1369"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项目名称</w:t>
            </w:r>
          </w:p>
        </w:tc>
        <w:tc>
          <w:tcPr>
            <w:tcW w:w="3094"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项目特征描述</w:t>
            </w:r>
          </w:p>
        </w:tc>
        <w:tc>
          <w:tcPr>
            <w:tcW w:w="458"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计量</w:t>
            </w: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单位</w:t>
            </w:r>
          </w:p>
        </w:tc>
        <w:tc>
          <w:tcPr>
            <w:tcW w:w="84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工程量</w:t>
            </w:r>
          </w:p>
        </w:tc>
        <w:tc>
          <w:tcPr>
            <w:tcW w:w="452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金 额(元)</w:t>
            </w:r>
          </w:p>
        </w:tc>
      </w:tr>
      <w:tr>
        <w:tblPrEx>
          <w:tblCellMar>
            <w:top w:w="0" w:type="dxa"/>
            <w:left w:w="108" w:type="dxa"/>
            <w:bottom w:w="0" w:type="dxa"/>
            <w:right w:w="108" w:type="dxa"/>
          </w:tblCellMar>
        </w:tblPrEx>
        <w:trPr>
          <w:trHeight w:val="240" w:hRule="atLeast"/>
          <w:jc w:val="center"/>
        </w:trPr>
        <w:tc>
          <w:tcPr>
            <w:tcW w:w="584"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themeColor="text1"/>
                <w:sz w:val="18"/>
                <w:szCs w:val="18"/>
                <w:u w:val="none"/>
                <w14:textFill>
                  <w14:solidFill>
                    <w14:schemeClr w14:val="tx1"/>
                  </w14:solidFill>
                </w14:textFill>
              </w:rPr>
            </w:pPr>
          </w:p>
        </w:tc>
        <w:tc>
          <w:tcPr>
            <w:tcW w:w="1369"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themeColor="text1"/>
                <w:sz w:val="18"/>
                <w:szCs w:val="18"/>
                <w:u w:val="none"/>
                <w14:textFill>
                  <w14:solidFill>
                    <w14:schemeClr w14:val="tx1"/>
                  </w14:solidFill>
                </w14:textFill>
              </w:rPr>
            </w:pPr>
          </w:p>
        </w:tc>
        <w:tc>
          <w:tcPr>
            <w:tcW w:w="3094"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themeColor="text1"/>
                <w:sz w:val="18"/>
                <w:szCs w:val="18"/>
                <w:u w:val="none"/>
                <w14:textFill>
                  <w14:solidFill>
                    <w14:schemeClr w14:val="tx1"/>
                  </w14:solidFill>
                </w14:textFill>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themeColor="text1"/>
                <w:sz w:val="18"/>
                <w:szCs w:val="18"/>
                <w:u w:val="none"/>
                <w14:textFill>
                  <w14:solidFill>
                    <w14:schemeClr w14:val="tx1"/>
                  </w14:solidFill>
                </w14:textFill>
              </w:rPr>
            </w:pPr>
          </w:p>
        </w:tc>
        <w:tc>
          <w:tcPr>
            <w:tcW w:w="84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themeColor="text1"/>
                <w:sz w:val="18"/>
                <w:szCs w:val="18"/>
                <w:u w:val="none"/>
                <w14:textFill>
                  <w14:solidFill>
                    <w14:schemeClr w14:val="tx1"/>
                  </w14:solidFill>
                </w14:textFill>
              </w:rPr>
            </w:pPr>
          </w:p>
        </w:tc>
        <w:tc>
          <w:tcPr>
            <w:tcW w:w="1061"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综合单价</w:t>
            </w:r>
          </w:p>
        </w:tc>
        <w:tc>
          <w:tcPr>
            <w:tcW w:w="1268"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合 价</w:t>
            </w:r>
          </w:p>
        </w:tc>
        <w:tc>
          <w:tcPr>
            <w:tcW w:w="21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其中</w:t>
            </w:r>
          </w:p>
        </w:tc>
      </w:tr>
      <w:tr>
        <w:tblPrEx>
          <w:tblCellMar>
            <w:top w:w="0" w:type="dxa"/>
            <w:left w:w="108" w:type="dxa"/>
            <w:bottom w:w="0" w:type="dxa"/>
            <w:right w:w="108" w:type="dxa"/>
          </w:tblCellMar>
        </w:tblPrEx>
        <w:trPr>
          <w:trHeight w:val="450" w:hRule="atLeast"/>
          <w:jc w:val="center"/>
        </w:trPr>
        <w:tc>
          <w:tcPr>
            <w:tcW w:w="584"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themeColor="text1"/>
                <w:sz w:val="18"/>
                <w:szCs w:val="18"/>
                <w:u w:val="none"/>
                <w14:textFill>
                  <w14:solidFill>
                    <w14:schemeClr w14:val="tx1"/>
                  </w14:solidFill>
                </w14:textFill>
              </w:rPr>
            </w:pPr>
          </w:p>
        </w:tc>
        <w:tc>
          <w:tcPr>
            <w:tcW w:w="1369"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themeColor="text1"/>
                <w:sz w:val="18"/>
                <w:szCs w:val="18"/>
                <w:u w:val="none"/>
                <w14:textFill>
                  <w14:solidFill>
                    <w14:schemeClr w14:val="tx1"/>
                  </w14:solidFill>
                </w14:textFill>
              </w:rPr>
            </w:pPr>
          </w:p>
        </w:tc>
        <w:tc>
          <w:tcPr>
            <w:tcW w:w="3094"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themeColor="text1"/>
                <w:sz w:val="18"/>
                <w:szCs w:val="18"/>
                <w:u w:val="none"/>
                <w14:textFill>
                  <w14:solidFill>
                    <w14:schemeClr w14:val="tx1"/>
                  </w14:solidFill>
                </w14:textFill>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themeColor="text1"/>
                <w:sz w:val="18"/>
                <w:szCs w:val="18"/>
                <w:u w:val="none"/>
                <w14:textFill>
                  <w14:solidFill>
                    <w14:schemeClr w14:val="tx1"/>
                  </w14:solidFill>
                </w14:textFill>
              </w:rPr>
            </w:pPr>
          </w:p>
        </w:tc>
        <w:tc>
          <w:tcPr>
            <w:tcW w:w="84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themeColor="text1"/>
                <w:sz w:val="18"/>
                <w:szCs w:val="18"/>
                <w:u w:val="none"/>
                <w14:textFill>
                  <w14:solidFill>
                    <w14:schemeClr w14:val="tx1"/>
                  </w14:solidFill>
                </w14:textFill>
              </w:rPr>
            </w:pPr>
          </w:p>
        </w:tc>
        <w:tc>
          <w:tcPr>
            <w:tcW w:w="1061"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themeColor="text1"/>
                <w:sz w:val="18"/>
                <w:szCs w:val="18"/>
                <w:u w:val="none"/>
                <w14:textFill>
                  <w14:solidFill>
                    <w14:schemeClr w14:val="tx1"/>
                  </w14:solidFill>
                </w14:textFill>
              </w:rPr>
            </w:pPr>
          </w:p>
        </w:tc>
        <w:tc>
          <w:tcPr>
            <w:tcW w:w="1268"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themeColor="text1"/>
                <w:sz w:val="18"/>
                <w:szCs w:val="18"/>
                <w:u w:val="none"/>
                <w14:textFill>
                  <w14:solidFill>
                    <w14:schemeClr w14:val="tx1"/>
                  </w14:solidFill>
                </w14:textFill>
              </w:rPr>
            </w:pP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主材价</w:t>
            </w: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主材</w:t>
            </w:r>
          </w:p>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品牌</w:t>
            </w:r>
          </w:p>
        </w:tc>
      </w:tr>
      <w:tr>
        <w:tblPrEx>
          <w:tblCellMar>
            <w:top w:w="0" w:type="dxa"/>
            <w:left w:w="108" w:type="dxa"/>
            <w:bottom w:w="0" w:type="dxa"/>
            <w:right w:w="108" w:type="dxa"/>
          </w:tblCellMar>
        </w:tblPrEx>
        <w:trPr>
          <w:trHeight w:val="699"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一</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高压进线部分</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1399332.53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 w:hAnsi="??" w:eastAsia="??" w:cs="??"/>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1.名称:10KV电力电缆</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2.型号:ZC-YJV22-8.7/10-3X400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3.敷设方式、部位:沿桥架敷设</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701.62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1226.78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860730.63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1084.38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1.名称:10KV电力电缆</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2.型号:ZC-YJV22-8.7/10-3X300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3.敷设方式、部位:沿桥架敷设</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345</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861.01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297050.05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754.36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1.名称:10KV电力电缆</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2.型号:ZC-YJLV22-8.7/10-3X300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3.敷设方式、部位:沿桥架敷设</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545</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207.07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112851.90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150.79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1.名称:10KV电力电缆</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2.型号:ZC-YJLV22-8.7/10-3X240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3.敷设方式、部位:沿桥架敷设</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615</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167.18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102814.14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125.40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57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电力电缆头</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1.名称:电缆终端头</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2.型号:3X400,户内冷缩</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3.规格:铜芯</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4.电压等级（kV):10KV</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878.94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3515.77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473.18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电力电缆头</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1.名称:电缆终端头</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2.型号:3X300,户内冷缩</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3.规格:铜芯</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4.电压等级（kV):10KV</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878.94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3515.77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473.18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57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电力电缆头</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1.名称:电缆终端头</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2.型号:3X300,户内冷缩</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3.规格:铝芯</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4.电压等级（kV):10KV</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678.72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2714.88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280.37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57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电力电缆头</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1.名称:电缆终端头</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2.型号:3X240,户内冷缩</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3.规格:铝芯</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4.电压等级（kV):10KV</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574.62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4596.93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180.37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电缆保护管</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1.名称:电缆保护管</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2.材质:SC管</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3.规格:φ200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4.敷设方式:埋地敷设</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5.其它:满足设计及规范要求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190.73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1525.82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150.73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电缆保护管</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1.名称:电缆埋管</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2.材质:PVC管</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3.规格:φ200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4.敷设方式:埋地敷设</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5.其它:满足设计及规范要求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80</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73.02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5841.65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55.65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41"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电缆检查井</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1.名称:电缆检查井（带有“牡丹花都“标识）</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2.其它:详见图纸，满足设计及规范要求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座</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4175.00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4175.00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2175.00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42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二</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电气设备安装</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14181573.26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 w:hAnsi="??" w:eastAsia="??" w:cs="??"/>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42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2.1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1#住宅配</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3797891.51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 w:hAnsi="??" w:eastAsia="??" w:cs="??"/>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42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2.11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设备类</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1277826.05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 w:hAnsi="??" w:eastAsia="??" w:cs="??"/>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127"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干式变压器</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1.名称:干式变压器（1B、2B）</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2.型号:SCB11-800kVA</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3.带保护外壳,下进侧出  </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4.含相关母线安装及调试，含10#热镀锌槽钢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91692.35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183384.71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78297.90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8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干式变压器</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1.名称:干式变压器（3B、4B）</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2.型号:SCB11-800kVA</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3.带保护外壳,下进侧出  </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4.含相关母线安装及调试，含10#热镀锌槽钢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91692.35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183384.71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78297.90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高压成套配电柜</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1.名称:10KV进线柜（AH1）</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2.规格:KYN28-12  1250A  25kA</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3.其他:含相关调试、附件安装，满足设计及规范要求，含10#热镀锌槽钢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42690.52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42690.52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35846.80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高压成套配电柜</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1.名称:10kVTV柜（AH2）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2.规格:KYN28-12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3.其他:含相关调试、附件安装，满足设计及规范要求，含10#热镀锌槽钢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23033.90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23033.90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20096.27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高压成套配电柜</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1.名称:10kV馈线柜（AH3~AH8）</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2.规格:KYN28-12  1250A  25kA</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3.其他:含相关调试、附件安装，满足设计及规范要求，含10#热镀锌槽钢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38453.24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230719.47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33200.94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高压成套配电柜</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1.名称:10kV联络柜（AH9）</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2.规格:KYN28-12  1250A  25kA</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3.其他:含相关调试、附件安装，满足设计及规范要求，含10#热镀锌槽钢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38906.69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38906.69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33622.40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高压成套配电柜</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1.名称:电源切换柜（QH）</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2.规格:内含一套2kVA  4小时/220VUPS</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3.其他:含相关调试、附件安装，满足设计及规范要求，含10#热镀锌槽钢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12924.63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12924.63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10335.97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4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高压母线桥</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1.名称:10KV封闭母线桥</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2.型号:TMY-3X(80X8)</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4323.31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17293.23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3276.21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9"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0.4KV铜排</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1.名称:0.4KV铜排</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2.型号:TMY-4X(80X10)+ 1X(60X8)</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4238.95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50867.36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3126.98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低压开关柜(屏）</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1.名称:0.4kV进线柜（1AL1、2AL1、3AL1、4AL1）</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2.规格:GCS</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29421.04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117684.15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25785.38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低压开关柜(屏）</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1.名称:0.4kV电容柜（1AL2、2AL2）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2.规格:GCS</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16794.95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33589.90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14407.56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低压开关柜(屏）</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1.名称:0.4kV电容柜（3AL2、4AL2）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2.规格:GCS</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16794.95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33589.90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14407.56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13</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低压开关柜(屏）</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1.名称:0.4kV馈线柜（1AL3、1AL4、2AL3、2AL4、3AL3、4AL3）</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2.规格:GCS</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37766.56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226599.37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33899.97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14</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低压开关柜(屏）</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1.名称:0.4kV联络柜（1AL5、3AL4）</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2.规格:GCS</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27325.53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54651.06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24195.37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15</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模拟板</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1.名称:模拟板</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9690.55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9690.55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7590.55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16</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信号放大器</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1.名称:信号放大器</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面</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4596.66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4596.66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3839.66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17</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安全检查设备</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1.名称:安全工器具</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2.规格:操作工器具,接地线,绝缘手套,绝缘鞋,高压验电器、绝缘垫等</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3.规格:详见图纸要求，满足设计及规范要求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套</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6958.33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13916.65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6383.79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18</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灭火器</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1.形式:专用灭火器材</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2.规格、型号:磷酸二氢氨灭火器</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具</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75.65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302.61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69.40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579"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2.12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住宅竖井</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856091.43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 w:hAnsi="??" w:eastAsia="??" w:cs="??"/>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始端箱</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1.名称:始端箱630A</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2.型号:详见设计图纸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574.15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6315.60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474.15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始端箱</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1.名称:始端箱400A</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2.型号:详见设计图纸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518.84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518.84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418.84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插接箱</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1.名称:插接箱250A</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2.型号:详见设计图纸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910.46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8194.18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610.46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插接箱</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1.名称:插接箱200A</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2.型号:详见设计图纸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771.30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1542.60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471.30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插接箱</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1.名称:插接箱180A</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2.型号:详见设计图纸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706.35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24016.03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406.35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插接箱</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1.名称:插接箱160A</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2.型号:详见设计图纸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659.96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6599.65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359.96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封闭母线</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1.名称:封闭母线 630A</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2.型号:详见设计图纸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3.其它:含相关调试、支架等附件安装，满足设计及规范要求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188.5</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1546.16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291450.99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1246.16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封闭母线</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1.名称:封闭母线 400A</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2.型号:详见设计图纸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3.其它:含相关调试、支架等附件安装，满足设计及规范要求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226.2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1317.37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297989.13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1017.37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悬挂式灭火器</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1.形式:悬挂式灭火器</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2.其它:含相关调试，满足设计及规范要求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具</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122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217.84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26576.42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199.85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新增热交换站低压分接箱</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1.名称:新增热交换站低压分接箱</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5625.34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5625.34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4181.21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新增热交换站电表箱</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1.名称:新增热交换站电表箱</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3094.99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3094.99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2490.25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电表箱</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1.名称:电表箱（6表位）</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2.型号:720X800X180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2182.01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4364.02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1864.80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13</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电表箱</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1.名称:电表箱（9表位）</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2.型号:720X1000X180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29</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2706.36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78484.47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2308.80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14</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电表箱</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1.名称:电表箱（12表位）</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2.型号:760X1067X180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3170.25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76085.99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2752.80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15</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电表箱</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电表箱</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1.名称:电表箱（1表位）</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2.型号:400X600X200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510.19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510.19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310.80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16</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电表箱</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电表箱</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1.名称:电表箱（1表位）</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2.型号:280*400*120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45</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510.19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22958.72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310.80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57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17</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1.名称:电力电缆</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2.型号:VV-3*2.5</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3.敷设方式、部位:沿桥架敷设</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112.5</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15.68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1764.27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12.88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501"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2.13</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10KV电缆</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17011.52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 w:hAnsi="??" w:eastAsia="??" w:cs="??"/>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1.名称:10KV电力电缆</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2.型号:ZC-YJLV22-8.7/10KV-3X240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3.敷设方式、部位:沿桥架敷设</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74.26</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167.18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12414.60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125.40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57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电力电缆头</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1.名称:电缆终端头</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2.型号:3X240,户内冷缩</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3.规格:铜芯</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4.电压等级（kV):10KV</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574.62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4596.93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180.37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519"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2.14</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0.4KV电缆</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1646962.51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 w:hAnsi="??" w:eastAsia="??" w:cs="??"/>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1.名称:电力电缆</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2.型号:ZC-YJV22-0.6/1-4X120+1X70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3.敷设方式、部位:沿桥架敷设</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1090</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464.65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506469.79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414.71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1.名称:电力电缆</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2.型号:NH-YJV22-0.6/1-4X120+1X70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3.敷设方式、部位:沿桥架敷设</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1930</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456.77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881572.73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404.71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1.名称:电力电缆</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2.型号:NH-YJV22-0.6/1-4X185+1X95</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3.敷设方式、部位:沿桥架敷设</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145</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699.49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101425.98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616.87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436"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电力电缆头</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1.名称:电缆终端头</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2.型号:4X120+1X70,户内冷缩</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3.规格:铜芯</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4.电压等级（kV):1KV</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46</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596.22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27426.22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295.86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57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电力电缆头</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1.名称:电缆终端头</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2.型号:4X185+1X95,户内冷缩</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3.规格:铜芯</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4.电压等级（kV):1KV</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769.50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1539.00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390.13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1.名称:电力电缆</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2.型号:ZC-YJV22-0.6/1-4X70+1X35</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3.敷设方式、部位:沿桥架敷设</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232.07</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265.98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61726.82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225.47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1.名称:电力电缆</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2.型号:ZC-YJV22-0.6/1-4X35+1X16</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3.敷设方式、部位:沿桥架敷设</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49.35</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147.38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7273.14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114.20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电力电缆头</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1.名称:电缆终端头</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2.型号:4X70+1X35,户内冷缩</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3.规格:铜芯</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4.电压等级（kV):1KV</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542.27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49888.74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262.72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57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电力电缆头</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1.名称:电缆终端头</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2.型号:4X35+1X16,户内冷缩</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3.规格:铜芯</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4.电压等级（kV):1KV</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20</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482.01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9640.10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240.82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42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2.2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2#住宅配</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3765067.08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 w:hAnsi="??" w:eastAsia="??" w:cs="??"/>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42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2.21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设备类</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1655994.16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 w:hAnsi="??" w:eastAsia="??" w:cs="??"/>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111"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干式变压器</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1.名称:干式变压器（5B、6B）</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2.型号:SCB11-800kVA</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3.带保护外壳,下进侧出  </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4.含相关母线安装及调试</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91692.35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183384.71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78297.90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8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干式变压器</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1.名称:干式变压器（7B、8B、9B、10B）</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2.型号:SCB11-630kVA </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3.带保护外壳,下进侧出  </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4.含相关母线安装及调试</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76847.92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307391.69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63305.16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高压成套配电柜</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1.名称:10KV进线柜（BH1）</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2.规格:KYN28-12  1250A  25kA</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3.其他:含相关调试、附件安装，满足设计及规范要求，含10#热镀锌槽钢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44305.89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44305.89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37348.22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高压成套配电柜</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1.名称:10kVTV柜（BH2）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2.规格:KYN28-12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3.其他:含相关调试、附件安装，满足设计及规范要求，含10#热镀锌槽钢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23344.74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23344.74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20385.18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高压成套配电柜</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1.名称:10kV馈线柜（BH3~BH10）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2.规格:KYN28-12  1250A  25kA</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3.其他:含相关调试、附件安装，满足设计及规范要求，含10#热镀锌槽钢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38764.09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310112.71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33489.85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高压成套配电柜</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1.名称:10kV联络柜（BH11）</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2.规格:KYN28-12  1250A  25kA</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3.其他:含相关调试、附件安装，满足设计及规范要求，含10#热镀锌槽钢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40160.89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40160.89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34753.97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高压成套配电柜</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1.名称:电源切换柜（QH）</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2.规格:内含一套2kVA  4小时/220VUPS</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3.其他:含相关调试、附件安装，满足设计及规范要求，含10#热镀锌槽钢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12924.63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12924.63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10335.97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0.4KV铜排</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1.名称:0.4KV铜排</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2.型号:TMY-4X(80X8)+ 1X(60X6)</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3501.00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42012.01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2572.88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0.4KV铜排</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1.名称:0.4KV铜排</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2.型号:TMY-4X(80X10)+ 1X(60X8)</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5110.44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30662.66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3126.98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低压开关柜(屏）</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1.名称:0.4kV进线柜（5AL1、6AL1、7AL1、8AL1、9AL1、10AL1）</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2.规格:GCS</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27814.58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166887.49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24292.23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低压开关柜(屏）</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1.名称:0.4kV电容柜（5AL2、6AL2）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2.规格:GCS</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16794.95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33589.90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14407.56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低压开关柜(屏）</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1.名称:0.4kV电容柜（7AL2、8AL2、9AL2、10AL2）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2.规格:GCS</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14650.17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58600.67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12414.00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57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13</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低压开关柜(屏）</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1.名称:0.4kV馈线柜（5AL3、5AL4、6AL3、6AL4、7AL3、8AL3、9AL3、10AL3）</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2.规格:GCS</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37086.68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296693.44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33268.05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461"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14</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低压开关柜(屏）</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1.名称:0.4kV联络柜（5AL5、7AL4、8AL4）</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2.规格:GCS</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25805.42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77416.27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22782.47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15</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模拟板</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1.名称:模拟板</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9690.55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9690.55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7590.55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16</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信号放大器</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1.名称:信号放大器</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面</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4596.66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4596.66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3839.66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87"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17</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安全检查设备</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1.名称:安全工器具</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2.规格:操作工器具,接地线,绝缘手套,绝缘鞋,高压验电器、绝缘垫等</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3.规格:详见图纸要求，满足设计及规范要求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套</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6958.33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13916.65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6383.79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18</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灭火器</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1.形式:专用灭火器材</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2.规格、型号:磷酸二氢氨灭火器</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具</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75.65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302.61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69.40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42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2.22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住宅竖井</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701036.04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 w:hAnsi="??" w:eastAsia="??" w:cs="??"/>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始端箱</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1.名称:始端箱630A</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2.型号:详见设计图纸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574.15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4593.16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474.15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插接箱</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1.名称:插接箱225A</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2.型号:详见设计图纸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854.80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1709.60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554.80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插接箱</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1.名称:插接箱200A</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2.型号:详见设计图纸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18</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771.30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13883.37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471.30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插接箱</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1.名称:插接箱180A</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2.型号:详见设计图纸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19</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706.35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13420.72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406.35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插接箱</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1.名称:插接箱160A</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2.型号:详见设计图纸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659.96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1319.93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359.96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插接箱</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1.名称:插接箱125A</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2.型号:详见设计图纸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632.13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1264.26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332.13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封闭母线</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1.名称:封闭母线 630A</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2.型号:详见设计图纸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3.其它:含相关调试、支架等附件安装，满足设计及规范要求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150.8</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1546.16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233160.79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1246.16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封闭母线</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1.名称:封闭母线 400A</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2.型号:详见设计图纸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3.其它:含相关调试、支架等附件安装，满足设计及规范要求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174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1317.37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229222.41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1017.37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悬挂式灭火器</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1.形式:悬挂式灭火器</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2.其它:含相关调试，满足设计及规范要求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具</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162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217.84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35290.00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199.85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热交换站低压分接箱</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1.名称:热交换站低压分接箱</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4891.15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4891.15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3478.52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幼儿园低压分接箱</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1.名称:幼儿园低压分接箱</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4891.15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4891.15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3478.52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热交换站集中表箱</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1.名称:热交换站集中表箱</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3094.99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3094.99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2490.25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13</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幼儿园集中表箱</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1.名称:幼儿园集中表箱</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3094.99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3094.99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2490.25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14</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电表箱</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1.名称:电表箱（6表位）</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2.型号:720X800X180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2182.01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2182.01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1864.80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15</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电表箱</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1.名称:电表箱（9表位）</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2.型号:720X1000X180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13</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2706.36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35182.69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2308.80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16</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电表箱</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1.名称:电表箱（12表位）</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2.型号:760X1067X180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29</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3170.25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91937.23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2752.80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17</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电表箱</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电表箱</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1.名称:电表箱（1表位）</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2.型号:400X600X200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510.19 </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1020.39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310.80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18</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电表箱</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电表箱</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1.名称:电表箱（1表位）</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2.型号:280*400*120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38</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510.19 </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19387.36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310.80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57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19</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1.名称:电力电缆</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2.型号:VV-3*2.5</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3.敷设方式、部位:沿桥架敷设</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95</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15.68 </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1489.82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12.88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48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2.23</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10KV电缆</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29708.43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 w:hAnsi="??" w:eastAsia="??" w:cs="??"/>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1.名称:10KV电力电缆</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2.型号:ZC-YJLV22-8.7/10KV-3X240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3.敷设方式、部位:沿桥架敷设</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136.46</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167.18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22813.04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125.40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57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电力电缆头</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1.名称:电缆终端头</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2.型号:3X240,户内冷缩</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3.规格:铜芯</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4.电压等级（kV):10KV</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574.62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6895.39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180.37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48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2.24</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0.4KV电缆</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1378328.45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 w:hAnsi="??" w:eastAsia="??" w:cs="??"/>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1.名称:电力电缆</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2.型号:NH-YJV22-0.6/1-4X120+1X70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3.敷设方式、部位:沿桥架敷设</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410.87</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459.21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188674.71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404.71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1.名称:电力电缆</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2.型号:NH-YJV22-0.6/1-4X185+1X95</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3.敷设方式、部位:沿桥架敷设</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1514.75</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702.97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1064821.78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616.87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57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电力电缆头</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1.名称:电缆终端头</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2.型号:4X120+1X70,户内冷缩</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3.规格:铜芯</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4.电压等级（kV):1KV</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26</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559.92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14557.80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295.86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57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电力电缆头</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1.名称:电缆终端头</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2.型号:4X185+1X95,户内冷缩</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3.规格:铜芯</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4.电压等级（kV):1KV</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710.62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2842.47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390.13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1.名称:电力电缆</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2.型号:ZC-YJV22-0.6/1-4X70+1X35</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3.敷设方式、部位:沿桥架敷设</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212.46</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264.60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56217.87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225.47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1.名称:电力电缆</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2.型号:ZC-YJV22-0.6/1-4X35+1X16</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3.敷设方式、部位:沿桥架敷设</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19.74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146.49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2891.72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114.20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57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电力电缆头</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1.名称:电缆终端头</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2.型号:4X70+1X35,户内冷缩</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3.规格:铜芯</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4.电压等级（kV):1KV</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542.27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44466.05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262.72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电力电缆头</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1.名称:电缆终端头</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2.型号:4X35+1X16,户内冷缩</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3.规格:铜芯</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4.电压等级（kV):1KV</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482.01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3856.04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240.82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48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2.3</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用户专用配部分</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2099261.78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 w:hAnsi="??" w:eastAsia="??" w:cs="??"/>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18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干式变压器</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1.名称:干式变压器（1G、2G、3G、4G）</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2.型号:SCB11-1250kVA  </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3.带保护外壳,下进侧出  </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4.含相关母线安装及调试</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118593.83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474375.33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99088.14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高压成套配电柜</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1.名称:10KV进线柜（FH1、EH1）</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2.规格:KYN28-12  1250A  25kA</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3.其他:含相关调试、附件安装，满足设计及规范要求，含10#热镀锌槽钢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43566.90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87133.81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36661.35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高压成套配电柜</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1.名称:10kV计量柜（FH2、EH2）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2.规格:KYN28-12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3.其他:含相关调试、附件安装，满足设计及规范要求，含10#热镀锌槽钢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25577.35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51154.70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21642.20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高压成套配电柜</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1.名称:10kVTV柜（FH3、EH3）</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2.规格:KYN28-12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3.其他:含相关调试、附件安装，满足设计及规范要求，含10#热镀锌槽钢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31930.76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63861.52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28365.60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高压成套配电柜</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1.名称:10kV馈线柜（FH4、FH5、FH6、EH4、EH5、EH6）</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2.规格:KYN28-12  1250A  25kA</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3.其他:含相关调试、附件安装，满足设计及规范要求，含10#热镀锌槽钢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39615.45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237692.67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34281.16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高压成套配电柜</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1.名称:电源切换柜（QH）</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2.规格:内含一套2kVA  4小时/220VUPS</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3.其他:含相关调试、附件安装，满足设计及规范要求，含10#热镀锌槽钢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14215.77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14215.77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10335.97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0.4KV铜排</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1.名称:0.4KV铜排</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2.型号:TMY-4X(120x10)+1x(80x8)</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5966.24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71594.84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4410.14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低压开关柜(屏）</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1.名称:0.4kV进线柜（1GL1、2GL1、3GL1、4GL1）</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2.规格:GCS</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42923.97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171695.88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38299.48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低压开关柜(屏）</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1.名称:0.4kV电容柜（1GL2、2GL2、3GL2、4GL2）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2.规格:GCS</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28648.01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114592.02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25400.25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低压开关柜(屏）</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1.名称:0.4kV馈线柜（1GL3~7、2GL3~7、3GL3~10、4GL3~9）</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2.规格:GCS</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25454.69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610912.65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22434.92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低压开关柜(屏）</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1.名称:0.4kV联络柜（1GL8、3GL9）</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2.规格:GCS</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38429.96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76859.92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34483.94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模拟板</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1.名称:模拟板</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8914.99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8914.99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6990.55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13</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信号放大器</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1.名称:信号放大器</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面</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4596.66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4596.66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3839.66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14</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安全检查设备</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1.名称:安全工器具</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2.规格:操作工器具,接地线,绝缘手套,绝缘鞋,高压验电器、绝缘垫等</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3.规格:详见图纸要求，满足设计及规范要求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套</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6494.44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12988.88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5958.20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15</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灭火器</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1.形式:专用灭火器材</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2.规格、型号:磷酸二氢氨灭火器</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具</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75.65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302.61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69.40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16</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1.名称:10KV电力电缆</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2.型号:ZC-YJLV22-8.7/10KV-3X240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3.敷设方式、部位:沿桥架敷设</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94.66</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167.18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15825.02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125.40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17</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1.名称:电力电缆</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2.型号:ZC-YJV22-0.6/1-4X25+1X16</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3.敷设方式、部位:沿桥架敷设</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650</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113.99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74091.56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83.99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57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18</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电力电缆头</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1.名称:电缆终端头</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2.型号:3X240,户内冷缩</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3.规格:铜芯</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4.电压等级（kV):10KV</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574.62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4596.93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180.37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57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19</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电力电缆头</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1.名称:电缆终端头</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2.型号:4X25+1X16,户内冷缩</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3.规格:铜芯</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4.电压等级（kV):1KV</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482.01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3856.04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240.82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66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2.4</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商业专变</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316836.73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 w:hAnsi="??" w:eastAsia="??" w:cs="??"/>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157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干式变压器</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1.名称:干式变压器（1S）</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2.型号:SCB11-1000kVA  </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3.带保护外壳,下进侧出  </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4.含相关母线安装及调试</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107580.57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107580.57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89708.98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28"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高压成套配电柜</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1.名称:10kV户内环网柜（1SH1）</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2.规格:负荷开关柜</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3.其他:含相关调试、附件安装，满足设计及规范要求，含10#热镀锌槽钢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14370.80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14370.80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10145.89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1"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高压成套配电柜</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1.名称:10kV户内环网柜（1SH2）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2.规格:计量柜</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3.其他:含相关调试、附件安装，满足设计及规范要求，含10#热镀锌槽钢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11729.66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11729.66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8761.14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高压成套配电柜</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1.名称:10kV户内环网柜（1SH3）</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2.规格:负荷开关-熔断器组合柜</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3.其他:含相关调试、附件安装，满足设计及规范要求，含10#热镀锌槽钢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26175.41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26175.41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21766.72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0.4KV铜排</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1.名称:0.4KV铜排</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2.型号:TMY-4X(100x10)+1x(80x8)</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8362.68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25088.04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3826.89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低压开关柜(屏）</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1.名称:0.4kV进线柜（1SL1）</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2.规格:GCS</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33448.70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33448.70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29509.08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低压开关柜(屏）</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1.名称:0.4kV电容柜（1SL2）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2.规格:GCS</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20478.34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20478.34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17813.76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低压开关柜(屏）</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1.名称:0.4kV馈线柜（1SL3、1SL4）</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2.规格:GCS</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23828.71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47657.42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20925.00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模拟板</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1.名称:模拟板</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9690.55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9690.55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7590.55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53"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信号放大器</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1.名称:信号放大器</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面</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4596.66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4596.66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3839.66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安全检查设备</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1.名称:安全工器具</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2.规格:操作工器具,接地线,绝缘手套,绝缘鞋,高压验电器、绝缘垫等</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3.规格:详见图纸要求，满足设计及规范要求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套</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6030.55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12061.10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5532.61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灭火器</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1.形式:专用灭火器材</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2.规格、型号:磷酸二氢氨灭火器</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具</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75.65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302.61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69.40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13</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1.名称:10KV电力电缆</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2.型号:ZC-YJLV22-8.7/10KV-3X240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3.敷设方式、部位:沿桥架敷设</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15</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167.18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2507.66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125.40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57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14</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电力电缆头</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1.名称:电缆终端头</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2.型号:3X240,户内冷缩</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3.规格:铜芯</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4.电压等级（kV):10KV</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574.62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1149.23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180.37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42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2.5</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充电桩专变</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269236.87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 w:hAnsi="??" w:eastAsia="??" w:cs="??"/>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157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干式变压器</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1.名称:干式变压器（2S）</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2.型号:SCB11-630kVA  </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3.带保护外壳,下进侧出  </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4.含相关母线安装及调试</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76847.92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76847.92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63305.16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高压成套配电柜</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1.名称:10kV户内环网柜（2SH1）</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2.规格:负荷开关柜</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3.其他:含相关调试、附件安装，满足设计及规范要求，含10#热镀锌槽钢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14370.80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14370.80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10145.89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高压成套配电柜</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1.名称:10kV户内环网柜（2SH2）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2.规格:计量柜</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3.其他:含相关调试、附件安装，满足设计及规范要求，含10#热镀锌槽钢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11729.66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11729.66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8761.14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高压成套配电柜</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1.名称:10kV户内环网柜（2SH3）</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2.规格:负荷开关-熔断器组合柜</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3.其他:含相关调试、附件安装，满足设计及规范要求，含10#热镀锌槽钢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15538.89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15538.89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11889.48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0.4KV铜排</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1.名称:0.4KV铜排</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2.型号:TMY-4X(80x8)+1x(60x6)</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5672.77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17018.30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2572.88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低压开关柜(屏）</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1.名称:0.4kV进线柜（2SL1）</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2.规格:GCS</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26041.25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26041.25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22621.84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低压开关柜(屏）</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1.名称:0.4kV电容柜（2SL2）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2.规格:GCS</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14556.39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14556.39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12314.47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低压开关柜(屏）</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1.名称:0.4kV馈线柜（2SL3、2SL4、2SL5）</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2.规格:GCS</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21530.29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64590.86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18790.64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模拟板</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1.名称:模拟板</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9690.55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9690.55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7590.55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信号放大器</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1.名称:信号放大器</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面</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4596.66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4596.66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3839.66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安全检查设备</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1.名称:安全工器具</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2.规格:操作工器具,接地线,绝缘手套,绝缘鞋,高压验电器、绝缘垫等</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3.规格:详见图纸要求，满足设计及规范要求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套</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5566.66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11133.32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5107.03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灭火器</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1.形式:专用灭火器材</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2.规格、型号:磷酸二氢氨灭火器</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具</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75.65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302.61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69.40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13</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1.名称:10KV电力电缆</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2.型号:ZC-YJLV22-8.7/10KV-3X240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3.敷设方式、部位:沿桥架敷设</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8.84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179.43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1586.19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125.40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72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14</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电力电缆头</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1.名称:电缆终端头</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2.型号:3X240,户内冷缩</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3.规格:铜芯</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4.电压等级（kV):10KV</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616.74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1233.48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180.37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6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2.6</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公寓楼双电源配</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2190024.86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 w:hAnsi="??" w:eastAsia="??" w:cs="??"/>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18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干式变压器</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1.名称:干式变压器（1T、2T、3T、4T）</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2.型号:SCB11-1250kVA  </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3.带保护外壳,下进侧出  </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4.含相关母线安装及调试</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118593.83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474375.33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99088.14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高压成套配电柜</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1.名称:10KV进线柜（CH1、CH16）</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2.规格:KYN28-12  1250A  25kA</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3.其他:含相关调试、附件安装，满足设计及规范要求，含10#热镀锌槽钢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43988.39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87976.77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36978.37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227"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高压成套配电柜</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1.名称:10kV计量柜（CH2、CH15）</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2.规格:KYN28-12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3.其他:含相关调试、附件安装，满足设计及规范要求，含10#热镀锌槽钢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25600.77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51201.54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21642.20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高压成套配电柜</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1.名称:10kVTV柜（CH3、CH14）</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2.规格:KYN28-12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3.其他:含相关调试、附件安装，满足设计及规范要求，含10#热镀锌槽钢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28830.64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57661.28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25459.62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高压成套配电柜</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1.名称:10kV馈线柜（CH4、CH5、CH6、CH7、CH10、CH11、CH12、CH13）</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2.规格:KYN28-12  1250A  25kA</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3.其他:含相关调试、附件安装，满足设计及规范要求，含10#热镀锌槽钢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39651.72 </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317213.78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34281.16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高压成套配电柜</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1.名称:10kV分段、隔离柜（CH8、CH9）</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2.规格:KYN28-12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3.其他:含相关调试、附件安装，满足设计及规范要求，含10#热镀锌槽钢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30613.73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61227.46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27515.44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1"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高压成套配电柜</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1.名称:电源切换柜（QH）</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2.规格:内含一套2kVA  4小时/220VUPS</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3.其他:含相关调试、附件安装，满足设计及规范要求，含10#热镀锌槽钢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14228.79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14228.79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10335.97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0.4KV铜排</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1.名称:0.4KV铜排</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2.型号:TMY-4X(120x10)+1x(80x8)</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5966.24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71594.84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4410.14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低压开关柜(屏）</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1.名称:0.4kV进线柜（1CL1、2CL1、3CL1、4CL1）</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2.规格:GCS</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43491.42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173965.68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37167.24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661"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低压开关柜(屏）</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1.名称:0.4kV电容柜（1CL2、2CL2、3CL2、4CL2）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2.规格:GCS</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28617.63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114470.50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25400.25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低压开关柜(屏）</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1.名称:0.4kV馈线柜（1CL3~9、2CL3~9、3CL3~8、4CL3~8）</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2.规格:GCS</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26</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24607.11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639784.99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21672.10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低压开关柜(屏）</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1.名称:0.4kV联络柜（1CL10、3CL9）</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2.规格:GCS</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38389.21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76778.42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34483.94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13</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模拟板</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1.名称:模拟板</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9690.55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9690.55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7590.55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14</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信号放大器</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1.名称:信号放大器</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面</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4596.66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4596.66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3839.66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15</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安全检查设备</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1.名称:安全工器具</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2.规格:操作工器具,接地线,绝缘手套,绝缘鞋,高压验电器、绝缘垫等</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3.规格:详见图纸要求，满足设计及规范要求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套</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5566.66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11133.32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5107.03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16</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灭火器</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1.形式:专用灭火器材</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2.规格、型号:磷酸二氢氨灭火器</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具</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75.65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302.60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69.40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17</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1.名称:10KV电力电缆</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2.型号:ZC-YJLV22-8.7/10KV-3X240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3.敷设方式、部位:沿桥架敷设</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115</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167.18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19225.41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125.40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57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18</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电力电缆头</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1.名称:电缆终端头</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2.型号:3X240,户内冷缩</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3.规格:铜芯</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4.电压等级（kV):10KV</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574.62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4596.93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180.37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42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2.7</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公寓楼单电源配</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1743254.43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 w:hAnsi="??" w:eastAsia="??" w:cs="??"/>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18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干式变压器</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1.名称:干式变压器（5T、6T、7T、8T）</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2.型号:SCB11-1250kVA  </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3.带保护外壳,下进侧出  </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4.含相关母线安装及调试</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118593.83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474375.33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99088.14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高压成套配电柜</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1.名称:10KV进线柜（DH1）</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2.规格:KYN28-12  1250A  25kA</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3.其他:含相关调试、附件安装，满足设计及规范要求，含10#热镀锌槽钢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43606.80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43606.80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36661.35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高压成套配电柜</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1.名称:10kV计量柜（DH2）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2.规格:KYN28-12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3.其他:含相关调试、附件安装，满足设计及规范要求，含10#热镀锌槽钢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25600.77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25600.77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21642.20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高压成套配电柜</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1.名称:10kVTV柜（DH3）</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2.规格:KYN28-12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3.其他:含相关调试、附件安装，满足设计及规范要求，含10#热镀锌槽钢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31960.00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31960.00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28365.60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高压成套配电柜</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1.名称:10kV馈线柜（DH4~8）</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2.规格:KYN28-12  1250A  25kA</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3.其他:含相关调试、附件安装，满足设计及规范要求，含10#热镀锌槽钢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39651.72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198258.61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34281.16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高压成套配电柜</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1.名称:电源切换柜（QH）</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2.规格:内含一套2kVA  4小时/220VUPS</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3.其他:含相关调试、附件安装，满足设计及规范要求，含10#热镀锌槽钢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14228.79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14228.79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10335.97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0.4KV铜排</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1.名称:0.4KV铜排</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2.型号:TMY-4X[2(120x10)]+1x(80x8)</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11902.80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142833.62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8820.14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低压开关柜(屏）</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1.名称:0.4kV进线柜（5DL1、6DL1、7DL1、8DL1）</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2.规格:GCS</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41275.71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165102.82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37167.24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低压开关柜(屏）</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1.名称:0.4kV电容柜（5DL2、6DL2、7DL2、8DL2）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2.规格:GCS</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28617.63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114470.50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25400.25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低压开关柜(屏）</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1.名称:0.4kV馈线柜（5DL3~5、6DL3~5、7DL3~5、8DL3~5）</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2.规格:GCS</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31082.39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372988.73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27691.52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低压开关柜(屏）</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1.名称:0.4kV联络柜（5DL6、7DL6）</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2.规格:GCS</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3.其它:含相关调试、附件安装，满足设计及规范要求，含10#热镀锌槽钢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38389.21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76778.42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34483.94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模拟板</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1.名称:模拟板</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9690.55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9690.55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7590.55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13</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信号放大器</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1.名称:信号放大器</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面</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4596.66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4596.66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3839.66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14</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安全检查设备</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1.名称:安全工器具</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2.规格:操作工器具,接地线,绝缘手套,绝缘鞋,高压验电器、绝缘垫等</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3.规格:详见图纸要求，满足设计及规范要求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套</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5566.66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11133.32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5107.03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15</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灭火器</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1.形式:专用灭火器材</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2.规格、型号:磷酸二氢氨灭火器</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具</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75.65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302.61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69.40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3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16</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1.名称:10KV电力电缆</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2.型号:ZC-YJLV22-8.7/10KV-3X240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3.敷设方式、部位:沿桥架敷设</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90</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167.18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15046.20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125.40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8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17</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电力电缆头</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1.名称:电缆终端头</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2.型号:3X240,户内冷缩</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3.规格:铜芯</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4.电压等级（kV):10KV</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616.74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4933.91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180.37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8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18</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共箱母线</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高压母线桥</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1.名称:10KV封闭母线桥</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2.型号:TMY-3X(80X10)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4668.35 </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37346.78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3640.16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48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三</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土建及配套安装</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1919094.21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3.1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土建部分（1#住宅配室内电缆沟、支架、室内装修）</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105789.71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电缆沟、地沟</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2.C25混凝土沟壁</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3.8mm厚花纹钢板盖板，拉防腐处理</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4.L63*6+L50*5电缆支架(热镀锌)</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5.L50*5角钢包边</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6.C25混凝土梁240mm*240mm</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7.20厚干混抹灰砂浆DP M10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84.7</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701.43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59411.36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细石混凝土楼地面</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2.150厚C20混凝土地面,地面采用高标号水泥抹面压光。</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114.9</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119.74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13758.57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墙面一般抹灰</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2.内墙面一般抹灰20mm厚，刷白</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249.78</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44.55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11127.70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天棚抹灰</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2.天棚面打磨两遍，装饰白水泥批白</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233.53</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57.44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13414.61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钢质防火门</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2.钢质防火门详见12YJ4-2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7.38</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458.17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3381.32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回填方</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2.电缆沟以外，室内回填土</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m3</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97.67</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32.27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3152.17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台阶</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2.台阶做法见12YJ1图集台阶1</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6.87</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55.26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379.63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水泥砂浆台阶面</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2.台阶面层做法见12YJ1图集台阶1</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6.87</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29.61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203.42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金属栏杆</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2.台阶栏杆详见图纸设计12YJ9-1图集107页,节点2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5.49</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175.03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960.94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3.2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土建部分（2#住宅配室内电缆沟、支架、室内装修）</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110403.21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20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电缆沟、地沟</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2.C25混凝土沟壁</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3.8mm厚花纹钢板盖板，拉防腐处理</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4.L63*6+L50*5电缆支架(热镀锌)</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5.L50*5角钢包边</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6.C25混凝土梁240mm*240mm</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7.20厚干混抹灰砂浆DP M10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104.33</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692.97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72297.64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细石混凝土楼地面</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2.150厚C20混凝土地面,地面采用高标号水泥抹面压光。</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69.56</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119.74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8329.38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墙面一般抹灰</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2.内墙面一般抹灰20mm厚，刷白</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236.94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44.55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10555.68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天棚抹灰</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2.天棚面打磨两遍，装饰白水泥批白</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210.02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57.44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12064.13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钢质防火门</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2.钢质防火门详见12YJ4-2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7.38</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458.17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3381.32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回填方</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2.电缆沟以外，室内回填土</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m3</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59.13</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32.27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1908.34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台阶</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2.台阶做法见12YJ1图集台阶1</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15.39</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55.28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850.76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水泥砂浆台阶面</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2.台阶面层做法见12YJ1图集台阶1</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15.39</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29.62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455.85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金属栏杆</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2.台阶栏杆详见图纸设计12YJ9-1图集107页,节点2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175.03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560.11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3.3</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土建部分（用户专用配室内电缆沟、支架、室内装修）</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112068.95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20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电缆沟、地沟</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2.C25混凝土沟壁</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3.8mm厚花纹钢板盖板，拉防腐处理</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4.L63*6+L50*5电缆支架(热镀锌)</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5.L50*5角钢包边</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6.C25混凝土梁240mm*240mm</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7.20厚干混抹灰砂浆DP M10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87.98</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728.18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64065.47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细石混凝土楼地面</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2.150厚C20混凝土地面,地面采用高标号水泥抹面压光。</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99.64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119.74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11931.27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墙面一般抹灰</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2.内墙面一般抹灰20mm厚，刷白</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294.75</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44.55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13131.12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天棚抹灰</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2.天棚面打磨两遍，装饰白水泥批白</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225.9</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57.44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12976.32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钢质防火门</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2.钢质防火门详见12YJ4-2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9.9</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458.17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4535.92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回填方</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2.电缆沟以外，室内回填土</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m3</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84.69</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32.27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2733.26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台阶</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2.台阶做法见12YJ1图集台阶1</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9.3</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55.27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514.01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水泥砂浆台阶面</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2.台阶面层做法见12YJ1图集台阶1</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9.3</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29.62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275.47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金属栏杆</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2.台阶栏杆详见图纸设计12YJ9-1图集107页,节点2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10.89</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175.03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1906.12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3.4</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土建部分（商业专配室内电缆沟、支架、室内装修）</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50910.45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20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电缆沟、地沟</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2.C25混凝土沟壁</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3.8mm厚花纹钢板盖板，拉防腐处理</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4.L63*6+L50*5电缆支架(热镀锌)</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5.L50*5角钢包边</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6.C25混凝土梁240mm*240mm</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7.20厚干混抹灰砂浆DP M10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27.59</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749.32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20673.75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细石混凝土楼地面</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2.150厚C20混凝土地面,地面采用高标号水泥抹面压光。</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39.34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119.74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4710.72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墙面一般抹灰</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2.内墙面一般抹灰20mm厚，刷白</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135.41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44.55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6032.52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天棚抹灰</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2.天棚面打磨两遍，装饰白水泥批白</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81.38</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57.44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4674.69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钢质防火门</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2.钢质防火门详见12YJ4-2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7.38</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458.17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3381.32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回填方</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2.电缆沟以外，室内回填土</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m3</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33.44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32.27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1079.23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台阶</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2.台阶做法见12YJ1图集台阶1</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6.95</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55.27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384.12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水泥砂浆台阶面</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2.台阶面层做法见12YJ1图集台阶1</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6.95</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29.61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205.79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金属栏杆</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2.台阶栏杆详见图纸设计12YJ9-1图集107页,节点2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7.29</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175.03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1276.00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15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砌块墙</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1.砌块规格、强度等级：强度级别A3,5,体积密度等级B06            2.墙体类型：200厚加气混凝土砌块  3.砂浆强度等级：M5专用砂浆砌筑   4.清单中已考虑与此项工作相关的一切费用。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m3</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14.92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569.19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8492.31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3.5</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土建部分（充电桩专配室内电缆沟、支架、室内装修）</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46561.02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20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电缆沟、地沟</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2.C25混凝土沟壁</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3.8mm厚花纹钢板盖板，拉防腐处理</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4.L63*6+L50*5电缆支架(热镀锌)</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5.L50*5角钢包边</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6.C25混凝土梁240mm*240mm</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7.20厚干混抹灰砂浆DP M10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30.35</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619.37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18798.02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细石混凝土楼地面</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2.150厚C20混凝土地面,地面采用高标号水泥抹面压光。</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42.66</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119.74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5108.27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墙面一般抹灰</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2.内墙面一般抹灰20mm厚，刷白</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144.75</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44.55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6448.61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天棚抹灰</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2.天棚面打磨两遍，装饰白水泥批白</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88.41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57.44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5078.52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钢质防火门</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2.钢质防火门详见12YJ4-2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7.38</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458.17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3381.32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回填方</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2.电缆沟以外，室内回填土</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m3</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36.26</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32.15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1165.70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台阶</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2.台阶做法见12YJ1图集台阶1</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5.97</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55.27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329.96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水泥砂浆台阶面</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2.台阶面层做法见12YJ1图集台阶1</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5.97</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29.61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176.77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金属栏杆</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2.台阶栏杆详见图纸设计12YJ9-1图集107页,节点2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7.19</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175.03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1258.50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1461"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砌块墙</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1.砌块规格、强度等级：强度级别A3,5,体积密度等级B06            2.墙体类型：200厚加气混凝土砌块  3.砂浆强度等级：M5专用砂浆砌筑   4.清单中已考虑与此项工作相关的一切费用。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m3</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8.46</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569.19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4815.35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3.6</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土建部分（公寓双电配室内电缆沟、支架、室内装修）</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129544.43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20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电缆沟、地沟</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2.C25混凝土沟壁</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3.8mm厚花纹钢板盖板，拉防腐处理</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4.L63*6+L50*5电缆支架(热镀锌)</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5.L50*5角钢包边</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6.C25混凝土梁240mm*240mm</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7.20厚干混抹灰砂浆DP M10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106.4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681.74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72536.97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细石混凝土楼地面</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2.150厚C20混凝土地面,地面采用高标号水泥抹面压光。</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125.02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119.74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14970.37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墙面一般抹灰</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2.内墙面一般抹灰20mm厚，刷白</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346.88</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44.55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15453.51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天棚抹灰</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2.天棚面打磨两遍，装饰白水泥批白</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276.86</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57.44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15903.60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钢质防火门</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2.钢质防火门详见12YJ4-2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9.9</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458.17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4535.92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回填方</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2.电缆沟以外，室内回填土</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m3</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106.27</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32.15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3416.40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台阶</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2.台阶做法见12YJ1图集台阶1</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10.09</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55.27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557.67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水泥砂浆台阶面</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2.台阶面层做法见12YJ1图集台阶1</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10.09</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29.62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298.86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金属栏杆</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2.台阶栏杆详见图纸设计12YJ9-1图集107页,节点2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10.69</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175.03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1871.12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3.7</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土建部分（公寓单电配室内电缆沟、支架、室内装修）</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81916.72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20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电缆沟、地沟</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2.C25混凝土沟壁</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3.8mm厚花纹钢板盖板，拉防腐处理</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4.L63*6+L50*5电缆支架(热镀锌)</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5.L50*5角钢包边</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6.C25混凝土梁240mm*240mm</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7.20厚干混抹灰砂浆DP M10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72.67</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645.64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46918.72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127"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细石混凝土楼地面</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2.150厚C20混凝土地面,地面采用高标号水泥抹面压光。</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67.17</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119.74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8043.19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墙面一般抹灰</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2.内墙面一般抹灰20mm厚，刷白</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265.34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44.55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11820.90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天棚抹灰</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2.天棚面打磨两遍，装饰白水泥批白</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145.2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57.44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8340.69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钢质防火门</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2.钢质防火门详见12YJ4-2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7.38</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458.17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3381.32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回填方</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2.电缆沟以外，室内回填土</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m3</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57.09</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32.15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1835.35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台阶</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2.台阶做法见12YJ1图集台阶1</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6.14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55.26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339.29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水泥砂浆台阶面</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2.台阶面层做法见12YJ1图集台阶1</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m2</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6.14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29.61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181.80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金属栏杆</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1.具体做法详见图纸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2.台阶栏杆详见图纸设计12YJ9-1图集107页,节点2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3.清单中已考虑与此项工作相关的一切费用。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6.03</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175.03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1055.46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3.8</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各专业用房照明、接地、通风、辅助设施、钢制竖井及桥架</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1281899.73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 w:hAnsi="??" w:eastAsia="??" w:cs="??"/>
                <w:i w:val="0"/>
                <w:iCs w:val="0"/>
                <w:color w:val="000000" w:themeColor="text1"/>
                <w:sz w:val="18"/>
                <w:szCs w:val="18"/>
                <w:u w:val="none"/>
                <w14:textFill>
                  <w14:solidFill>
                    <w14:schemeClr w14:val="tx1"/>
                  </w14:solidFill>
                </w14:textFill>
              </w:rPr>
            </w:pP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配电箱</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1.名称:照明配电箱</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2.型号:详见设计图纸</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3.安装方式:离地1.5米明装</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4.其它:含端子接线</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1967.52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13772.67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1598.40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轴流通风机</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1.名称:轴流风机</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2.型号:220V 550W </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3.配时间继电器 附带电机,尺寸不少于500,梁底100</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台</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1431.08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34345.80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1150.00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线槽</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1.名称:防火线槽</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2.规格:满足设计及规范要求</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1715.95</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17.32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29724.85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5223.99 </w:t>
            </w:r>
          </w:p>
        </w:tc>
        <w:tc>
          <w:tcPr>
            <w:tcW w:w="11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67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接线盒</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1.名称:接线盒</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2.材质:铁</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3.满足设计及规范要求</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367</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11.41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4187.70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8.00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4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配线</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1.名称:线槽配线</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2.型号:BV2.5mm2</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2103.26</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3.36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7075.86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1.86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4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配线</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1.名称线槽配线</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2.型号:BV4mm2</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1724.49</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4.75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8197.90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3.25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4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配线</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1.名称:线槽配线</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2.型号:BV6mm2</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541.62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6.69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3621.64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4.69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67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插座</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1.名称:单相双联二、三极插座</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2.规格:250V，16A</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3.安装方式:暗装，安装高度0.3米</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47</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27.09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1273.30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17.00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67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插座</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1.名称:应急灯插座</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2.规格:250V，15A</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3.安装方式:暗装，安装高度2.3米</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47</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23.34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1097.01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13.00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4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照明开关</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1.名称:暗装单极开关</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2.安装方式:暗装</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21.42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299.86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15.00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4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照明开关</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1.名称:暗装三极双控开关</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2.安装方式:暗装</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个</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16</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23.99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383.82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16.00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67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普通灯具</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1.名称:双管LED灯</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2.型号:安装高度3米</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3.规格:2*40W</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套</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44</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132.28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5820.38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92.28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13</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普通灯具</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1.名称:事故照明灯</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2.型号:NFE9121B/K-T1，带控制开关</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3.类型:全所停电状态下，能持续照明时间&gt;7小时</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套</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47</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70.77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3326.39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60.77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67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14</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普通灯具</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1.名称:单管LED灯(壁挂式)</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2.型号:壁挂式</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3.规格:40W</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套</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111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99.02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10990.68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79.02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67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15</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普通灯具</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1.名称:吸顶灯</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2.型号:附声光控节能开关</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3.规格:1*60W</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套</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17</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145.87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2479.86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115.87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4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16</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接地端子</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1.名称:接地端子</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2.其它:具体详见图纸设计</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处</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87</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106.32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9249.69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75.00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17</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接地母线</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1.名称:接地网、基础、设备接地</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2.材质:50*5mm热镀锌扁钢</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3.其它:含刷漆，满足设计及规范相关要求</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1180</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41.28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48710.17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15.00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4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18</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接地装置</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1.名称:接地网调试</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2.其它:满足设计及规范相关要求</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系统</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7</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1186.86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8308.05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0.00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19</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钢制竖井</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1.名称:0.4kV钢制垂直竖井（含支架及刷漆等）</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2.型号:800*800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3.其它:满足设计及规范相关要求</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65</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1720.59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111838.35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1436.22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20</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钢制竖井</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1.名称:0.4kV钢制垂直竖井（含支架及刷漆等）</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2.型号:1000*600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3.其它:满足设计及规范相关要求</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40</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1720.59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68823.60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1436.22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钢制竖井</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1.名称:10kV钢制垂直竖井（含支架及刷漆等）</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2.型号:1000*600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3.其它:满足设计及规范相关要求</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15</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1720.59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25808.85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1436.22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90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22</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钢制竖井</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1.名称:10kV钢制垂直竖井（含支架及刷漆等）</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2.型号:800*800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3.其它:满足设计及规范相关要求</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35</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1720.59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60220.65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1436.22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23</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桥架</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1.名称:10kV住宅桥架（含支架及刷漆等）</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2.型号:400*200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3.其它:满足设计及规范相关要求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232.12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254.78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59140.33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214.78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24</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桥架</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1.名称:10kV公用桥架（含支架及刷漆等）</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2.型号:400*200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3.其它:满足设计及规范相关要求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105.71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254.78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26933.16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214.78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25</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桥架</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1.名称:10kV公用及商业桥架（含支架及刷漆等）</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2.型号:600*200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3.其它:满足设计及规范相关要求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237.6</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348.53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82811.39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318.53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26</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桥架</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1.名称:10kV公用及商业桥架（含支架及刷漆等）</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2.型号:400*200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3.其它:满足设计及规范相关要求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18.51</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254.78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4716.04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214.78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27</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桥架</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1.名称:0.4kV桥架（含支架及刷漆等）</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2.型号:400*200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3.其它:满足设计及规范相关要求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204.83</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254.78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52187.29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214.78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28</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桥架</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1.名称:0.4kV桥架（含支架及刷漆等）</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2.型号:600*200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3.其它:满足设计及规范相关要求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195.19</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348.53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68030.12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318.53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29</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桥架</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1.名称:0.4kV桥架（含支架及刷漆等）</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2.型号:800*200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3.其它:满足设计及规范相关要求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123.53</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468.97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57931.39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418.97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30</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桥架</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1.名称:0.4kV桥架（含支架及刷漆等）</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2.型号:1000*200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3.其它:满足设计及规范相关要求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25.32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491.20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12437.17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441.20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31</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桥架</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1.名称:0.4kV桥架（含支架及刷漆等）</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2.型号:1200*200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3.其它:满足设计及规范相关要求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54.96</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527.58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28995.75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487.58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112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32</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桥架</w:t>
            </w:r>
          </w:p>
        </w:tc>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1.名称:住宅电井桥架（含支架及刷油等）</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2.型号:200*150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3.其它:满足设计及规范相关要求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m</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558.65</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227.71 </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127211.77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187.71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2250"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33</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环境监测系统</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1.名称:环境监测系统</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2.规格:含排水地漏、积水探测器、水位探测器、烟雾探测器、测温转发模块、电缆接头测温模块、网路球型摄像机、门状态检测器、智能门锁、移动探测器、温湿度传感器、辅助监控屏柜</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3.其它:含设备间的接线以及相关调试、附件安装，满足设计及规范要求</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4.含与之相关的一切费用</w:t>
            </w: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项</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150974.12 </w:t>
            </w: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301948.23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136500.00 </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 w:hAnsi="??" w:eastAsia="??" w:cs="??"/>
                <w:i w:val="0"/>
                <w:iCs w:val="0"/>
                <w:color w:val="000000" w:themeColor="text1"/>
                <w:sz w:val="18"/>
                <w:szCs w:val="18"/>
                <w:u w:val="none"/>
                <w14:textFill>
                  <w14:solidFill>
                    <w14:schemeClr w14:val="tx1"/>
                  </w14:solidFill>
                </w14:textFill>
              </w:rPr>
            </w:pPr>
            <w:r>
              <w:rPr>
                <w:rFonts w:hint="eastAsia" w:ascii="??" w:hAnsi="??" w:eastAsia="??" w:cs="??"/>
                <w:i w:val="0"/>
                <w:iCs w:val="0"/>
                <w:color w:val="000000" w:themeColor="text1"/>
                <w:kern w:val="0"/>
                <w:sz w:val="18"/>
                <w:szCs w:val="18"/>
                <w:u w:val="none"/>
                <w:lang w:val="en-US" w:eastAsia="zh-CN" w:bidi="ar"/>
                <w14:textFill>
                  <w14:solidFill>
                    <w14:schemeClr w14:val="tx1"/>
                  </w14:solidFill>
                </w14:textFill>
              </w:rPr>
              <w:t>满足甲方要求，且能通过电业局验收</w:t>
            </w:r>
          </w:p>
        </w:tc>
      </w:tr>
      <w:tr>
        <w:tblPrEx>
          <w:tblCellMar>
            <w:top w:w="0" w:type="dxa"/>
            <w:left w:w="108" w:type="dxa"/>
            <w:bottom w:w="0" w:type="dxa"/>
            <w:right w:w="108" w:type="dxa"/>
          </w:tblCellMar>
        </w:tblPrEx>
        <w:trPr>
          <w:trHeight w:val="699"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lang w:val="en-US" w:eastAsia="zh-CN" w:bidi="ar"/>
                <w14:textFill>
                  <w14:solidFill>
                    <w14:schemeClr w14:val="tx1"/>
                  </w14:solidFill>
                </w14:textFill>
              </w:rPr>
              <w:t>四</w:t>
            </w:r>
          </w:p>
        </w:tc>
        <w:tc>
          <w:tcPr>
            <w:tcW w:w="13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合计</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（一+二+三）</w:t>
            </w:r>
          </w:p>
        </w:tc>
        <w:tc>
          <w:tcPr>
            <w:tcW w:w="309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themeColor="text1"/>
                <w:sz w:val="18"/>
                <w:szCs w:val="18"/>
                <w:u w:val="none"/>
                <w14:textFill>
                  <w14:solidFill>
                    <w14:schemeClr w14:val="tx1"/>
                  </w14:solidFill>
                </w14:textFill>
              </w:rPr>
            </w:pPr>
          </w:p>
        </w:tc>
        <w:tc>
          <w:tcPr>
            <w:tcW w:w="4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themeColor="text1"/>
                <w:sz w:val="18"/>
                <w:szCs w:val="18"/>
                <w:u w:val="none"/>
                <w14:textFill>
                  <w14:solidFill>
                    <w14:schemeClr w14:val="tx1"/>
                  </w14:solidFill>
                </w14:textFill>
              </w:rPr>
            </w:pP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06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2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 xml:space="preserve">17500000.00 </w:t>
            </w: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3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themeColor="text1"/>
                <w:sz w:val="18"/>
                <w:szCs w:val="18"/>
                <w:u w:val="none"/>
                <w14:textFill>
                  <w14:solidFill>
                    <w14:schemeClr w14:val="tx1"/>
                  </w14:solidFill>
                </w14:textFill>
              </w:rPr>
            </w:pPr>
          </w:p>
        </w:tc>
      </w:tr>
    </w:tbl>
    <w:p>
      <w:pPr>
        <w:pStyle w:val="2"/>
        <w:rPr>
          <w:rFonts w:hint="eastAsia" w:ascii="宋体" w:hAnsi="宋体" w:cs="宋体"/>
          <w:b/>
          <w:bCs/>
          <w:color w:val="000000" w:themeColor="text1"/>
          <w:sz w:val="24"/>
          <w:szCs w:val="24"/>
          <w:highlight w:val="none"/>
          <w:lang w:eastAsia="zh-CN"/>
          <w14:textFill>
            <w14:solidFill>
              <w14:schemeClr w14:val="tx1"/>
            </w14:solidFill>
          </w14:textFill>
        </w:rPr>
      </w:pPr>
    </w:p>
    <w:p>
      <w:pPr>
        <w:pStyle w:val="3"/>
        <w:rPr>
          <w:rFonts w:hint="eastAsia"/>
          <w:color w:val="000000" w:themeColor="text1"/>
          <w:lang w:eastAsia="zh-CN"/>
          <w14:textFill>
            <w14:solidFill>
              <w14:schemeClr w14:val="tx1"/>
            </w14:solidFill>
          </w14:textFill>
        </w:rPr>
        <w:sectPr>
          <w:footerReference r:id="rId4" w:type="default"/>
          <w:pgSz w:w="11906" w:h="16838"/>
          <w:pgMar w:top="1304" w:right="1304" w:bottom="1304" w:left="1304" w:header="851" w:footer="850" w:gutter="0"/>
          <w:pgNumType w:fmt="decimal" w:start="1"/>
          <w:cols w:space="425" w:num="1"/>
          <w:docGrid w:type="lines" w:linePitch="312" w:charSpace="0"/>
        </w:sectPr>
      </w:pPr>
    </w:p>
    <w:p>
      <w:pPr>
        <w:pStyle w:val="3"/>
        <w:autoSpaceDE/>
        <w:autoSpaceDN/>
        <w:adjustRightInd/>
        <w:spacing w:line="360" w:lineRule="auto"/>
        <w:jc w:val="both"/>
        <w:rPr>
          <w:rFonts w:hint="eastAsia" w:ascii="宋体" w:hAnsi="宋体" w:cs="宋体"/>
          <w:b/>
          <w:bCs/>
          <w:color w:val="000000" w:themeColor="text1"/>
          <w:sz w:val="24"/>
          <w:szCs w:val="24"/>
          <w:highlight w:val="none"/>
          <w:lang w:eastAsia="zh-CN"/>
          <w14:textFill>
            <w14:solidFill>
              <w14:schemeClr w14:val="tx1"/>
            </w14:solidFill>
          </w14:textFill>
        </w:rPr>
      </w:pPr>
      <w:r>
        <w:rPr>
          <w:rFonts w:hint="eastAsia" w:ascii="宋体" w:hAnsi="宋体" w:cs="宋体"/>
          <w:b/>
          <w:bCs/>
          <w:color w:val="000000" w:themeColor="text1"/>
          <w:sz w:val="24"/>
          <w:szCs w:val="24"/>
          <w:highlight w:val="none"/>
          <w:lang w:eastAsia="zh-CN"/>
          <w14:textFill>
            <w14:solidFill>
              <w14:schemeClr w14:val="tx1"/>
            </w14:solidFill>
          </w14:textFill>
        </w:rPr>
        <w:t>附件</w:t>
      </w:r>
      <w:r>
        <w:rPr>
          <w:rFonts w:hint="eastAsia" w:hAnsi="宋体" w:cs="宋体"/>
          <w:b/>
          <w:bCs/>
          <w:color w:val="000000" w:themeColor="text1"/>
          <w:sz w:val="24"/>
          <w:szCs w:val="24"/>
          <w:highlight w:val="none"/>
          <w:lang w:eastAsia="zh-CN"/>
          <w14:textFill>
            <w14:solidFill>
              <w14:schemeClr w14:val="tx1"/>
            </w14:solidFill>
          </w14:textFill>
        </w:rPr>
        <w:t>三</w:t>
      </w:r>
      <w:r>
        <w:rPr>
          <w:rFonts w:hint="eastAsia" w:ascii="宋体" w:hAnsi="宋体" w:cs="宋体"/>
          <w:b/>
          <w:bCs/>
          <w:color w:val="000000" w:themeColor="text1"/>
          <w:sz w:val="24"/>
          <w:szCs w:val="24"/>
          <w:highlight w:val="none"/>
          <w:lang w:eastAsia="zh-CN"/>
          <w14:textFill>
            <w14:solidFill>
              <w14:schemeClr w14:val="tx1"/>
            </w14:solidFill>
          </w14:textFill>
        </w:rPr>
        <w:t>：</w:t>
      </w:r>
    </w:p>
    <w:tbl>
      <w:tblPr>
        <w:tblStyle w:val="10"/>
        <w:tblW w:w="14730" w:type="dxa"/>
        <w:jc w:val="center"/>
        <w:shd w:val="clear" w:color="auto" w:fill="auto"/>
        <w:tblLayout w:type="autofit"/>
        <w:tblCellMar>
          <w:top w:w="0" w:type="dxa"/>
          <w:left w:w="108" w:type="dxa"/>
          <w:bottom w:w="0" w:type="dxa"/>
          <w:right w:w="108" w:type="dxa"/>
        </w:tblCellMar>
      </w:tblPr>
      <w:tblGrid>
        <w:gridCol w:w="616"/>
        <w:gridCol w:w="1873"/>
        <w:gridCol w:w="2516"/>
        <w:gridCol w:w="3314"/>
        <w:gridCol w:w="813"/>
        <w:gridCol w:w="813"/>
        <w:gridCol w:w="1390"/>
        <w:gridCol w:w="1535"/>
        <w:gridCol w:w="1860"/>
      </w:tblGrid>
      <w:tr>
        <w:tblPrEx>
          <w:shd w:val="clear" w:color="auto" w:fill="auto"/>
          <w:tblCellMar>
            <w:top w:w="0" w:type="dxa"/>
            <w:left w:w="108" w:type="dxa"/>
            <w:bottom w:w="0" w:type="dxa"/>
            <w:right w:w="108" w:type="dxa"/>
          </w:tblCellMar>
        </w:tblPrEx>
        <w:trPr>
          <w:trHeight w:val="101" w:hRule="atLeast"/>
          <w:jc w:val="center"/>
        </w:trPr>
        <w:tc>
          <w:tcPr>
            <w:tcW w:w="14744"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8"/>
                <w:szCs w:val="28"/>
                <w:u w:val="none"/>
                <w14:textFill>
                  <w14:solidFill>
                    <w14:schemeClr w14:val="tx1"/>
                  </w14:solidFill>
                </w14:textFill>
              </w:rPr>
            </w:pPr>
            <w:r>
              <w:rPr>
                <w:rFonts w:hint="eastAsia" w:ascii="宋体" w:hAnsi="宋体" w:eastAsia="宋体" w:cs="宋体"/>
                <w:b/>
                <w:bCs/>
                <w:i w:val="0"/>
                <w:iCs w:val="0"/>
                <w:color w:val="000000" w:themeColor="text1"/>
                <w:kern w:val="0"/>
                <w:sz w:val="28"/>
                <w:szCs w:val="28"/>
                <w:u w:val="none"/>
                <w:lang w:val="en-US" w:eastAsia="zh-CN" w:bidi="ar"/>
                <w14:textFill>
                  <w14:solidFill>
                    <w14:schemeClr w14:val="tx1"/>
                  </w14:solidFill>
                </w14:textFill>
              </w:rPr>
              <w:t>开元壹号62地块一期供配电设备报价汇总表</w:t>
            </w:r>
          </w:p>
        </w:tc>
      </w:tr>
      <w:tr>
        <w:tblPrEx>
          <w:tblCellMar>
            <w:top w:w="0" w:type="dxa"/>
            <w:left w:w="108" w:type="dxa"/>
            <w:bottom w:w="0" w:type="dxa"/>
            <w:right w:w="108" w:type="dxa"/>
          </w:tblCellMar>
        </w:tblPrEx>
        <w:trPr>
          <w:trHeight w:val="270" w:hRule="atLeast"/>
          <w:jc w:val="center"/>
        </w:trPr>
        <w:tc>
          <w:tcPr>
            <w:tcW w:w="14744" w:type="dxa"/>
            <w:gridSpan w:val="9"/>
            <w:tcBorders>
              <w:top w:val="single" w:color="000000" w:sz="4" w:space="0"/>
              <w:left w:val="single" w:color="000000" w:sz="4" w:space="0"/>
              <w:bottom w:val="single" w:color="000000" w:sz="4" w:space="0"/>
              <w:right w:val="single" w:color="000000" w:sz="4" w:space="0"/>
            </w:tcBorders>
            <w:shd w:val="clear" w:color="auto" w:fill="CCFFCC"/>
            <w:vAlign w:val="center"/>
          </w:tcPr>
          <w:p>
            <w:pPr>
              <w:keepNext w:val="0"/>
              <w:keepLines w:val="0"/>
              <w:widowControl/>
              <w:suppressLineNumbers w:val="0"/>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住宅配</w:t>
            </w:r>
          </w:p>
        </w:tc>
      </w:tr>
      <w:tr>
        <w:tblPrEx>
          <w:tblCellMar>
            <w:top w:w="0" w:type="dxa"/>
            <w:left w:w="108" w:type="dxa"/>
            <w:bottom w:w="0" w:type="dxa"/>
            <w:right w:w="108" w:type="dxa"/>
          </w:tblCellMar>
        </w:tblPrEx>
        <w:trPr>
          <w:trHeight w:val="300" w:hRule="atLeast"/>
          <w:jc w:val="center"/>
        </w:trPr>
        <w:tc>
          <w:tcPr>
            <w:tcW w:w="615" w:type="dxa"/>
            <w:tcBorders>
              <w:top w:val="single" w:color="000000" w:sz="4" w:space="0"/>
              <w:left w:val="single" w:color="000000" w:sz="4" w:space="0"/>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1875"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w:t>
            </w:r>
          </w:p>
        </w:tc>
        <w:tc>
          <w:tcPr>
            <w:tcW w:w="2520"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箱柜名称</w:t>
            </w:r>
          </w:p>
        </w:tc>
        <w:tc>
          <w:tcPr>
            <w:tcW w:w="3315"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箱柜型号</w:t>
            </w:r>
          </w:p>
        </w:tc>
        <w:tc>
          <w:tcPr>
            <w:tcW w:w="814"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814"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91"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单价</w:t>
            </w:r>
          </w:p>
        </w:tc>
        <w:tc>
          <w:tcPr>
            <w:tcW w:w="1536"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总价</w:t>
            </w:r>
          </w:p>
        </w:tc>
        <w:tc>
          <w:tcPr>
            <w:tcW w:w="1864"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AH1</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进线柜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35846.80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35846.80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1-2</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AH2</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PT柜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20096.27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20096.27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AH3~AH8</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33200.94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199205.64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1-4</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AH9</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联络柜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33622.40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33622.40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1-5</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电源切换柜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2KVA 4小时</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10335.97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10335.97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1-6</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封闭母线桥</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TMY-3*(80*8)</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米</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3276.21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13104.84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1-7</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0.4KV铜排</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TMY-4*(80*10)+1*(60*8)</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米</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3126.98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37523.76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1#住宅配</w:t>
            </w:r>
          </w:p>
        </w:tc>
      </w:tr>
      <w:tr>
        <w:tblPrEx>
          <w:tblCellMar>
            <w:top w:w="0" w:type="dxa"/>
            <w:left w:w="108" w:type="dxa"/>
            <w:bottom w:w="0" w:type="dxa"/>
            <w:right w:w="108" w:type="dxa"/>
          </w:tblCellMar>
        </w:tblPrEx>
        <w:trPr>
          <w:trHeight w:val="54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1-8</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1AL1、2AL1、3AL1、4AL1</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电源进线柜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25785.38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103141.52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1#住宅配</w:t>
            </w:r>
          </w:p>
        </w:tc>
      </w:tr>
      <w:tr>
        <w:tblPrEx>
          <w:tblCellMar>
            <w:top w:w="0" w:type="dxa"/>
            <w:left w:w="108" w:type="dxa"/>
            <w:bottom w:w="0" w:type="dxa"/>
            <w:right w:w="108" w:type="dxa"/>
          </w:tblCellMar>
        </w:tblPrEx>
        <w:trPr>
          <w:trHeight w:val="54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1-9</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1AL2、2AL2、3AL2、4AL2</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低压电容柜(240kvar）</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14407.56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57630.24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1-10</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1AL3</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32882.45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32882.45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1-11</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1AL4</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34765.86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34765.86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1#住宅配</w:t>
            </w:r>
          </w:p>
        </w:tc>
      </w:tr>
      <w:tr>
        <w:tblPrEx>
          <w:tblCellMar>
            <w:top w:w="0" w:type="dxa"/>
            <w:left w:w="108" w:type="dxa"/>
            <w:bottom w:w="0" w:type="dxa"/>
            <w:right w:w="108" w:type="dxa"/>
          </w:tblCellMar>
        </w:tblPrEx>
        <w:trPr>
          <w:trHeight w:val="54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1-12</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2AL3、3AL3、4AL3</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33711.25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101133.75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1-13</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2AL4</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34617.73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34617.73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1-14</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1AL5、3AL4</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联络柜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24195.37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48390.74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1-15</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热交换站电缆分接箱</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900(高）*700（宽）*250（深）</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4181.21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4181.21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1-16</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热交换动力表箱</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750(高）*600（宽）*200（深）</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2490.25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2490.25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1-17</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电表箱</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6表位</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1864.80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3729.60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1-18</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电表箱</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9表位</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29</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2308.80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66955.20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1-19</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电表箱</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12表位</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66067.20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1-20</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电表箱</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1表位</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1-21</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电表箱</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1表位</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45</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13986.00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1-22</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BH1</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进线柜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37348.22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37348.22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1-23</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BH2</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PT柜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20385.18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20385.18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1-24</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BH3~BH10</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33489.85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267918.80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1-25</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BH11</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联络柜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34753.97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34753.97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1-26</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电源切换柜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2KVA 4小时</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10335.97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10335.97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1-27</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变压器至低压柜连接排</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TMY-4*(80*8)+1*(60*6)</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米</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2572.88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30874.56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1-28</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变压器至低压柜连接排</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TMY-4*(80*10)+1*(60*8)</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米</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3126.98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18761.88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1-29</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5AL1、6AL1</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电源进线柜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25785.38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51570.76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1-30</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5AL2、6AL2</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低压电容柜(240kvar）</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14407.56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28815.12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1-31</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5AL3、6AL3</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33711.25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67422.50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1-32</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5AL4、6AL4</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34765.86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69531.72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1-33</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5AL5</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联络柜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24195.37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24195.37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2#住宅配</w:t>
            </w:r>
          </w:p>
        </w:tc>
      </w:tr>
      <w:tr>
        <w:tblPrEx>
          <w:tblCellMar>
            <w:top w:w="0" w:type="dxa"/>
            <w:left w:w="108" w:type="dxa"/>
            <w:bottom w:w="0" w:type="dxa"/>
            <w:right w:w="108" w:type="dxa"/>
          </w:tblCellMar>
        </w:tblPrEx>
        <w:trPr>
          <w:trHeight w:val="54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1-34</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7AL1、8AL1、9AL1、10AL1</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电源进线柜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23545.66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94182.64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2#住宅配</w:t>
            </w:r>
          </w:p>
        </w:tc>
      </w:tr>
      <w:tr>
        <w:tblPrEx>
          <w:tblCellMar>
            <w:top w:w="0" w:type="dxa"/>
            <w:left w:w="108" w:type="dxa"/>
            <w:bottom w:w="0" w:type="dxa"/>
            <w:right w:w="108" w:type="dxa"/>
          </w:tblCellMar>
        </w:tblPrEx>
        <w:trPr>
          <w:trHeight w:val="54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1-35</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7AL2、8AL2、9AL2、10AL2</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低压电容柜(180kvar）</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12414.00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49656.00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2#住宅配</w:t>
            </w:r>
          </w:p>
        </w:tc>
      </w:tr>
      <w:tr>
        <w:tblPrEx>
          <w:tblCellMar>
            <w:top w:w="0" w:type="dxa"/>
            <w:left w:w="108" w:type="dxa"/>
            <w:bottom w:w="0" w:type="dxa"/>
            <w:right w:w="108" w:type="dxa"/>
          </w:tblCellMar>
        </w:tblPrEx>
        <w:trPr>
          <w:trHeight w:val="54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1-36</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7AL3、8AL3、10AL3</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32645.89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97937.67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1-37</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9AL3</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31252.53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31252.53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1-38</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7AL4、9AL4</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联络柜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22076.02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44152.04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1-39</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热交换站电缆分接箱</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900(高）*700（宽）*250（深）</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3478.52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3478.52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1-40</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幼儿园低压分接箱</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900(高）*700（宽）*250（深）</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3478.52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3478.52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1-41</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热交换动力表箱</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750(高）*600（宽）*200（深）</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2490.25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2490.25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1-42</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幼儿园集中表箱</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750(高）*600（宽）*200（深）</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2490.25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2490.25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1-43</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电表箱</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6表位</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1864.80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1864.80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1-44</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电表箱</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9表位</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2308.80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30014.40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1-45</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电表箱</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12表位</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29</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79831.20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1-46</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电表箱</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1表位</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621.60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1-47</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电表箱</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1表位</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38</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11810.40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2#住宅配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合计</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315"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285</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2035193.10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14744" w:type="dxa"/>
            <w:gridSpan w:val="9"/>
            <w:tcBorders>
              <w:top w:val="single" w:color="000000" w:sz="4" w:space="0"/>
              <w:left w:val="single" w:color="000000" w:sz="4" w:space="0"/>
              <w:bottom w:val="single" w:color="000000" w:sz="4" w:space="0"/>
              <w:right w:val="single" w:color="000000" w:sz="4" w:space="0"/>
            </w:tcBorders>
            <w:shd w:val="clear" w:color="auto" w:fill="CCFFCC"/>
            <w:vAlign w:val="center"/>
          </w:tcPr>
          <w:p>
            <w:pPr>
              <w:keepNext w:val="0"/>
              <w:keepLines w:val="0"/>
              <w:widowControl/>
              <w:suppressLineNumbers w:val="0"/>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专用配</w:t>
            </w:r>
          </w:p>
        </w:tc>
      </w:tr>
      <w:tr>
        <w:tblPrEx>
          <w:tblCellMar>
            <w:top w:w="0" w:type="dxa"/>
            <w:left w:w="108" w:type="dxa"/>
            <w:bottom w:w="0" w:type="dxa"/>
            <w:right w:w="108" w:type="dxa"/>
          </w:tblCellMar>
        </w:tblPrEx>
        <w:trPr>
          <w:trHeight w:val="300" w:hRule="atLeast"/>
          <w:jc w:val="center"/>
        </w:trPr>
        <w:tc>
          <w:tcPr>
            <w:tcW w:w="615" w:type="dxa"/>
            <w:tcBorders>
              <w:top w:val="single" w:color="000000" w:sz="4" w:space="0"/>
              <w:left w:val="single" w:color="000000" w:sz="4" w:space="0"/>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1875"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w:t>
            </w:r>
          </w:p>
        </w:tc>
        <w:tc>
          <w:tcPr>
            <w:tcW w:w="2520"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箱柜名称</w:t>
            </w:r>
          </w:p>
        </w:tc>
        <w:tc>
          <w:tcPr>
            <w:tcW w:w="3315"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箱柜型号</w:t>
            </w:r>
          </w:p>
        </w:tc>
        <w:tc>
          <w:tcPr>
            <w:tcW w:w="814"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814"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91"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单价</w:t>
            </w:r>
          </w:p>
        </w:tc>
        <w:tc>
          <w:tcPr>
            <w:tcW w:w="1536"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总价</w:t>
            </w:r>
          </w:p>
        </w:tc>
        <w:tc>
          <w:tcPr>
            <w:tcW w:w="1864"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2-1</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EH1、FH1</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进线柜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36661.35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73322.70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专用配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2-2</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EH2、FH2</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计量柜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21642.20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43284.40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专用配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2-3</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EH3、FH3</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PT柜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28365.60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56731.20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专用配</w:t>
            </w:r>
          </w:p>
        </w:tc>
      </w:tr>
      <w:tr>
        <w:tblPrEx>
          <w:tblCellMar>
            <w:top w:w="0" w:type="dxa"/>
            <w:left w:w="108" w:type="dxa"/>
            <w:bottom w:w="0" w:type="dxa"/>
            <w:right w:w="108" w:type="dxa"/>
          </w:tblCellMar>
        </w:tblPrEx>
        <w:trPr>
          <w:trHeight w:val="54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2-4</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EH4~EH6、FH4~FH6</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馈线柜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34281.16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205686.96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专用配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2-5</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电源切换柜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2KVA 4小时</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10335.97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10335.97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专用配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2-6</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变压器至低压柜连接排</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TMY-4*(120*10)+1*(80*8)</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米</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4410.14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52921.68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专用配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2-7</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1GL1、2GL1</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电源进线柜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40949.76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81899.52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专用配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2-8</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3GL1、4GL1</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电源进线柜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35649.20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71298.40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专用配</w:t>
            </w:r>
          </w:p>
        </w:tc>
      </w:tr>
      <w:tr>
        <w:tblPrEx>
          <w:tblCellMar>
            <w:top w:w="0" w:type="dxa"/>
            <w:left w:w="108" w:type="dxa"/>
            <w:bottom w:w="0" w:type="dxa"/>
            <w:right w:w="108" w:type="dxa"/>
          </w:tblCellMar>
        </w:tblPrEx>
        <w:trPr>
          <w:trHeight w:val="54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2-9</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1GL2、2GL2、3GL2、4GL2</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低压电容柜(360kvar）</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25400.25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101601.00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专用配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2-10</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1GL3~4、2GL3~4</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21902.13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87608.52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专用配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2-11</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1GL5、2GL5</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21318.84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42637.68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专用配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2-12</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1GL6、2GL6</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21034.73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42069.46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专用配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2-13</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1GL7、2GL7</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21509.82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43019.64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专用配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2-14</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1GL8、3GL10</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联络柜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34483.94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68967.88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专用配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2-15</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3GL3、4GL3</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20068.14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40136.28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专用配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2-16</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3GL4、4GL4</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20895.44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41790.88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专用配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2-17</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3GL5、4GL5</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21659.58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43319.16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专用配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2-18</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3GL6、4GL6</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36966.78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73933.56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专用配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2-19</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3GL7、4GL7</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20313.51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40627.02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专用配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2-20</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3GL8、4GL8</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21705.74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43411.48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专用配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2-21</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3GL9、4GL9</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19942.17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39884.34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专用配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合计</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315"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59</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1304487.73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14744" w:type="dxa"/>
            <w:gridSpan w:val="9"/>
            <w:tcBorders>
              <w:top w:val="single" w:color="000000" w:sz="4" w:space="0"/>
              <w:left w:val="single" w:color="000000" w:sz="4" w:space="0"/>
              <w:bottom w:val="single" w:color="000000" w:sz="4" w:space="0"/>
              <w:right w:val="single" w:color="000000" w:sz="4" w:space="0"/>
            </w:tcBorders>
            <w:shd w:val="clear" w:color="auto" w:fill="CCFFCC"/>
            <w:vAlign w:val="center"/>
          </w:tcPr>
          <w:p>
            <w:pPr>
              <w:keepNext w:val="0"/>
              <w:keepLines w:val="0"/>
              <w:widowControl/>
              <w:suppressLineNumbers w:val="0"/>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商业专变</w:t>
            </w:r>
          </w:p>
        </w:tc>
      </w:tr>
      <w:tr>
        <w:tblPrEx>
          <w:tblCellMar>
            <w:top w:w="0" w:type="dxa"/>
            <w:left w:w="108" w:type="dxa"/>
            <w:bottom w:w="0" w:type="dxa"/>
            <w:right w:w="108" w:type="dxa"/>
          </w:tblCellMar>
        </w:tblPrEx>
        <w:trPr>
          <w:trHeight w:val="300" w:hRule="atLeast"/>
          <w:jc w:val="center"/>
        </w:trPr>
        <w:tc>
          <w:tcPr>
            <w:tcW w:w="615" w:type="dxa"/>
            <w:tcBorders>
              <w:top w:val="single" w:color="000000" w:sz="4" w:space="0"/>
              <w:left w:val="single" w:color="000000" w:sz="4" w:space="0"/>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1875"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w:t>
            </w:r>
          </w:p>
        </w:tc>
        <w:tc>
          <w:tcPr>
            <w:tcW w:w="2520"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箱柜名称</w:t>
            </w:r>
          </w:p>
        </w:tc>
        <w:tc>
          <w:tcPr>
            <w:tcW w:w="3315"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箱柜型号</w:t>
            </w:r>
          </w:p>
        </w:tc>
        <w:tc>
          <w:tcPr>
            <w:tcW w:w="814"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814"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91"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单价</w:t>
            </w:r>
          </w:p>
        </w:tc>
        <w:tc>
          <w:tcPr>
            <w:tcW w:w="1536"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总价</w:t>
            </w:r>
          </w:p>
        </w:tc>
        <w:tc>
          <w:tcPr>
            <w:tcW w:w="1864"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3-1</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1SH1</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进线柜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HXGN-12</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10145.89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10145.89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商业专变</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3-2</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1SH2</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计量柜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HXGN-12</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8761.14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8761.14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商业专变</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3-3</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1SH3</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HXGN-12</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21766.72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21766.72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商业专变</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3-4</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变压器至低压柜连接排</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TMY-4*(100*10)+1*(80*8)</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米</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3826.89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11480.67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商业专变</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3-5</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1SL1</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电源进线柜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29509.08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29509.08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商业专变</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3-6</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1SL2</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低压电容柜(300kvar）</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17813.76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17813.76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商业专变</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3-7</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1SL3</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21433.89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21433.89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商业专变</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3-8</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1SL4</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20416.10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20416.10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商业专变</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合计</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315"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141327.25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14744" w:type="dxa"/>
            <w:gridSpan w:val="9"/>
            <w:tcBorders>
              <w:top w:val="single" w:color="000000" w:sz="4" w:space="0"/>
              <w:left w:val="single" w:color="000000" w:sz="4" w:space="0"/>
              <w:bottom w:val="single" w:color="000000" w:sz="4" w:space="0"/>
              <w:right w:val="single" w:color="000000" w:sz="4" w:space="0"/>
            </w:tcBorders>
            <w:shd w:val="clear" w:color="auto" w:fill="CCFFCC"/>
            <w:vAlign w:val="center"/>
          </w:tcPr>
          <w:p>
            <w:pPr>
              <w:keepNext w:val="0"/>
              <w:keepLines w:val="0"/>
              <w:widowControl/>
              <w:suppressLineNumbers w:val="0"/>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充电桩专变</w:t>
            </w:r>
          </w:p>
        </w:tc>
      </w:tr>
      <w:tr>
        <w:tblPrEx>
          <w:tblCellMar>
            <w:top w:w="0" w:type="dxa"/>
            <w:left w:w="108" w:type="dxa"/>
            <w:bottom w:w="0" w:type="dxa"/>
            <w:right w:w="108" w:type="dxa"/>
          </w:tblCellMar>
        </w:tblPrEx>
        <w:trPr>
          <w:trHeight w:val="300" w:hRule="atLeast"/>
          <w:jc w:val="center"/>
        </w:trPr>
        <w:tc>
          <w:tcPr>
            <w:tcW w:w="615" w:type="dxa"/>
            <w:tcBorders>
              <w:top w:val="single" w:color="000000" w:sz="4" w:space="0"/>
              <w:left w:val="single" w:color="000000" w:sz="4" w:space="0"/>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1875"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w:t>
            </w:r>
          </w:p>
        </w:tc>
        <w:tc>
          <w:tcPr>
            <w:tcW w:w="2520"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箱柜名称</w:t>
            </w:r>
          </w:p>
        </w:tc>
        <w:tc>
          <w:tcPr>
            <w:tcW w:w="3315"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箱柜型号</w:t>
            </w:r>
          </w:p>
        </w:tc>
        <w:tc>
          <w:tcPr>
            <w:tcW w:w="814"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814"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91"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单价</w:t>
            </w:r>
          </w:p>
        </w:tc>
        <w:tc>
          <w:tcPr>
            <w:tcW w:w="1536"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总价</w:t>
            </w:r>
          </w:p>
        </w:tc>
        <w:tc>
          <w:tcPr>
            <w:tcW w:w="1864"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4-1</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2SH1</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进线柜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HXGN-12</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10145.89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10145.89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充电桩专变</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4-2</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2SH2</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计量柜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HXGN-12</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8761.14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8761.14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充电桩专变</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4-3</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2SH3</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HXGN-12</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11889.48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11889.48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充电桩专变</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4-4</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变压器至低压柜连接排</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TMY-4*(80*8)+1*(60*6)</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米</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2572.88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7718.64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充电桩专变</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4-5</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2SL1</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电源进线柜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22621.84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22621.84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充电桩专变</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4-6</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2SL2</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低压电容柜(180kvar）</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12314.47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12314.47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充电桩专变</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4-7</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2SL3</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19892.79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19892.79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充电桩专变</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4-8</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2SL4~5</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18239.56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36479.12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充电桩专变</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合计</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315"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129823.37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14744" w:type="dxa"/>
            <w:gridSpan w:val="9"/>
            <w:tcBorders>
              <w:top w:val="single" w:color="000000" w:sz="4" w:space="0"/>
              <w:left w:val="single" w:color="000000" w:sz="4" w:space="0"/>
              <w:bottom w:val="single" w:color="000000" w:sz="4" w:space="0"/>
              <w:right w:val="single" w:color="000000" w:sz="4" w:space="0"/>
            </w:tcBorders>
            <w:shd w:val="clear" w:color="auto" w:fill="CCFFCC"/>
            <w:vAlign w:val="center"/>
          </w:tcPr>
          <w:p>
            <w:pPr>
              <w:keepNext w:val="0"/>
              <w:keepLines w:val="0"/>
              <w:widowControl/>
              <w:suppressLineNumbers w:val="0"/>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公寓楼双电源配</w:t>
            </w:r>
          </w:p>
        </w:tc>
      </w:tr>
      <w:tr>
        <w:tblPrEx>
          <w:tblCellMar>
            <w:top w:w="0" w:type="dxa"/>
            <w:left w:w="108" w:type="dxa"/>
            <w:bottom w:w="0" w:type="dxa"/>
            <w:right w:w="108" w:type="dxa"/>
          </w:tblCellMar>
        </w:tblPrEx>
        <w:trPr>
          <w:trHeight w:val="300" w:hRule="atLeast"/>
          <w:jc w:val="center"/>
        </w:trPr>
        <w:tc>
          <w:tcPr>
            <w:tcW w:w="615" w:type="dxa"/>
            <w:tcBorders>
              <w:top w:val="single" w:color="000000" w:sz="4" w:space="0"/>
              <w:left w:val="single" w:color="000000" w:sz="4" w:space="0"/>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1875"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w:t>
            </w:r>
          </w:p>
        </w:tc>
        <w:tc>
          <w:tcPr>
            <w:tcW w:w="2520"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箱柜名称</w:t>
            </w:r>
          </w:p>
        </w:tc>
        <w:tc>
          <w:tcPr>
            <w:tcW w:w="3315"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箱柜型号</w:t>
            </w:r>
          </w:p>
        </w:tc>
        <w:tc>
          <w:tcPr>
            <w:tcW w:w="814"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814"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91"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单价</w:t>
            </w:r>
          </w:p>
        </w:tc>
        <w:tc>
          <w:tcPr>
            <w:tcW w:w="1536"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总价</w:t>
            </w:r>
          </w:p>
        </w:tc>
        <w:tc>
          <w:tcPr>
            <w:tcW w:w="1864"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5-1</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CH1、CH16</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进线柜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36978.37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73956.74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公寓楼双电源配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5-2</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CH2、CH15</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计量柜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21642.20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43284.40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公寓楼双电源配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5-3</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CH3</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PT柜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28365.60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28365.60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公寓楼双电源配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5-4</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CH14</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PT柜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22553.64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22553.64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公寓楼双电源配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5-5</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CH4~7、CH10~13</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馈线柜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34281.16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274249.28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公寓楼双电源配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5-6</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CH8</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分段柜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33750.09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33750.09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公寓楼双电源配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5-7</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CH9</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隔离柜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21280.79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21280.79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公寓楼双电源配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5-8</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电源切换柜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2KVA 4小时</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10335.97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10335.97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公寓楼双电源配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5-9</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变压器至低压柜连接排</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TMY-4*(120*10)+1*(80*8)</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米</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4410.14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52921.68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公寓楼双电源配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5-10</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1CL1、2CL1</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电源进线柜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39226.98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78453.96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公寓楼双电源配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5-11</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3CL1、4CL1</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电源进线柜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35107.49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70214.98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公寓楼双电源配</w:t>
            </w:r>
          </w:p>
        </w:tc>
      </w:tr>
      <w:tr>
        <w:tblPrEx>
          <w:tblCellMar>
            <w:top w:w="0" w:type="dxa"/>
            <w:left w:w="108" w:type="dxa"/>
            <w:bottom w:w="0" w:type="dxa"/>
            <w:right w:w="108" w:type="dxa"/>
          </w:tblCellMar>
        </w:tblPrEx>
        <w:trPr>
          <w:trHeight w:val="54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5-12</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1CL2、2CL2、3CL2、4CL2</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低压电容柜(360kvar）</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25400.25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101601.00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公寓楼双电源配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5-13</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1CL3、2CL3</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19945.82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39891.64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公寓楼双电源配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5-14</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1CL4、2CL4</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21091.45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42182.90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公寓楼双电源配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5-15</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1CL5、2CL5</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21012.40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42024.80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公寓楼双电源配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5-16</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1CL6、2CL6</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22185.15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44370.30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公寓楼双电源配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5-17</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1CL7、2CL7</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19511.89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39023.78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公寓楼双电源配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5-18</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1CL8、2CL8</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32400.73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64801.46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公寓楼双电源配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5-19</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1CL9、2CL9</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20546.56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41093.12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公寓楼双电源配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5-20</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1CL10、3CL9</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联络柜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34483.94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68967.88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公寓楼双电源配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5-21</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3CL3、4CL3</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21131.08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42262.16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公寓楼双电源配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5-22</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3CL4、4CL4</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20068.14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40136.28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公寓楼双电源配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5-23</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3CL5、4CL5</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20667.84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41335.68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公寓楼双电源配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5-24</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3CL6、4CL6</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21212.99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42425.98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公寓楼双电源配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5-25</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3CL7、4CL7</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20871.81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41743.62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公寓楼双电源配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5-26</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3CL8、4CL8</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21091.45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42182.90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公寓楼双电源配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合计</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315"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65</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1443410.63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14744" w:type="dxa"/>
            <w:gridSpan w:val="9"/>
            <w:tcBorders>
              <w:top w:val="single" w:color="000000" w:sz="4" w:space="0"/>
              <w:left w:val="single" w:color="000000" w:sz="4" w:space="0"/>
              <w:bottom w:val="single" w:color="000000" w:sz="4" w:space="0"/>
              <w:right w:val="single" w:color="000000" w:sz="4" w:space="0"/>
            </w:tcBorders>
            <w:shd w:val="clear" w:color="auto" w:fill="CCFFCC"/>
            <w:vAlign w:val="center"/>
          </w:tcPr>
          <w:p>
            <w:pPr>
              <w:keepNext w:val="0"/>
              <w:keepLines w:val="0"/>
              <w:widowControl/>
              <w:suppressLineNumbers w:val="0"/>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公寓楼单电源配</w:t>
            </w:r>
          </w:p>
        </w:tc>
      </w:tr>
      <w:tr>
        <w:tblPrEx>
          <w:tblCellMar>
            <w:top w:w="0" w:type="dxa"/>
            <w:left w:w="108" w:type="dxa"/>
            <w:bottom w:w="0" w:type="dxa"/>
            <w:right w:w="108" w:type="dxa"/>
          </w:tblCellMar>
        </w:tblPrEx>
        <w:trPr>
          <w:trHeight w:val="300" w:hRule="atLeast"/>
          <w:jc w:val="center"/>
        </w:trPr>
        <w:tc>
          <w:tcPr>
            <w:tcW w:w="615" w:type="dxa"/>
            <w:tcBorders>
              <w:top w:val="single" w:color="000000" w:sz="4" w:space="0"/>
              <w:left w:val="single" w:color="000000" w:sz="4" w:space="0"/>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1875"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w:t>
            </w:r>
          </w:p>
        </w:tc>
        <w:tc>
          <w:tcPr>
            <w:tcW w:w="2520"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箱柜名称</w:t>
            </w:r>
          </w:p>
        </w:tc>
        <w:tc>
          <w:tcPr>
            <w:tcW w:w="3315"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箱柜型号</w:t>
            </w:r>
          </w:p>
        </w:tc>
        <w:tc>
          <w:tcPr>
            <w:tcW w:w="814"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814"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91"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单价</w:t>
            </w:r>
          </w:p>
        </w:tc>
        <w:tc>
          <w:tcPr>
            <w:tcW w:w="1536"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总价</w:t>
            </w:r>
          </w:p>
        </w:tc>
        <w:tc>
          <w:tcPr>
            <w:tcW w:w="1864"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6-1</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DH1</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进线柜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36661.35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36661.35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公寓楼单电源配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6-2</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DH2</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计量柜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21642.20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21642.20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公寓楼单电源配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6-3</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DH3</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PT柜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28365.60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28365.60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公寓楼单电源配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6-4</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DH4~8</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馈线柜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34281.16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171405.80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公寓楼单电源配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6-5</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电源切换柜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2KVA 4小时</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10335.97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10335.97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公寓楼单电源配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6-6</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变压器至低压柜连接排</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TMY-4*2(120*10)+1*(80*8)</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米</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8820.14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105841.68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公寓楼单电源配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6-7</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5DL1、6DL1</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电源进线柜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39226.98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78453.96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公寓楼单电源配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6-8</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7DL1、8DL1</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电源进线柜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35107.49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70214.98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公寓楼单电源配</w:t>
            </w:r>
          </w:p>
        </w:tc>
      </w:tr>
      <w:tr>
        <w:tblPrEx>
          <w:tblCellMar>
            <w:top w:w="0" w:type="dxa"/>
            <w:left w:w="108" w:type="dxa"/>
            <w:bottom w:w="0" w:type="dxa"/>
            <w:right w:w="108" w:type="dxa"/>
          </w:tblCellMar>
        </w:tblPrEx>
        <w:trPr>
          <w:trHeight w:val="54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6-9</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5DL2、6DL2、7DL2、8DL2</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低压电容柜(360kvar）</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25400.25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101601.00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公寓楼单电源配</w:t>
            </w:r>
          </w:p>
        </w:tc>
      </w:tr>
      <w:tr>
        <w:tblPrEx>
          <w:tblCellMar>
            <w:top w:w="0" w:type="dxa"/>
            <w:left w:w="108" w:type="dxa"/>
            <w:bottom w:w="0" w:type="dxa"/>
            <w:right w:w="108" w:type="dxa"/>
          </w:tblCellMar>
        </w:tblPrEx>
        <w:trPr>
          <w:trHeight w:val="54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6-10</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5DL3~4、6DL3~4、7DL3</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26883.23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134416.15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公寓楼单电源配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6-11</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5DL5</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19567.85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19567.85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公寓楼单电源配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6-12</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5DL6、7DL6</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联络柜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34483.94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68967.88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公寓楼单电源配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6-13</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6DL5</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20001.15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20001.15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公寓楼单电源配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6-14</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7DL4</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36962.02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36962.02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公寓楼单电源配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6-15</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7DL5、8DL4</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34463.63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68927.26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公寓楼单电源配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6-16</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8DL3</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22928.10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22928.10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公寓楼单电源配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6-17</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8DL5</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29495.65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29495.65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公寓楼单电源配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6-18</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封闭母线桥</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TMY-3*(80*10)</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米</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3640.16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29121.28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公寓楼单电源配</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合计</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315"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1054909.88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14744" w:type="dxa"/>
            <w:gridSpan w:val="9"/>
            <w:tcBorders>
              <w:top w:val="single" w:color="000000" w:sz="4" w:space="0"/>
              <w:left w:val="single" w:color="000000" w:sz="4" w:space="0"/>
              <w:bottom w:val="single" w:color="000000" w:sz="4" w:space="0"/>
              <w:right w:val="single" w:color="000000" w:sz="4" w:space="0"/>
            </w:tcBorders>
            <w:shd w:val="clear" w:color="auto" w:fill="CCFFCC"/>
            <w:vAlign w:val="center"/>
          </w:tcPr>
          <w:p>
            <w:pPr>
              <w:keepNext w:val="0"/>
              <w:keepLines w:val="0"/>
              <w:widowControl/>
              <w:suppressLineNumbers w:val="0"/>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变压器</w:t>
            </w:r>
          </w:p>
        </w:tc>
      </w:tr>
      <w:tr>
        <w:tblPrEx>
          <w:tblCellMar>
            <w:top w:w="0" w:type="dxa"/>
            <w:left w:w="108" w:type="dxa"/>
            <w:bottom w:w="0" w:type="dxa"/>
            <w:right w:w="108" w:type="dxa"/>
          </w:tblCellMar>
        </w:tblPrEx>
        <w:trPr>
          <w:trHeight w:val="300" w:hRule="atLeast"/>
          <w:jc w:val="center"/>
        </w:trPr>
        <w:tc>
          <w:tcPr>
            <w:tcW w:w="615" w:type="dxa"/>
            <w:tcBorders>
              <w:top w:val="single" w:color="000000" w:sz="4" w:space="0"/>
              <w:left w:val="single" w:color="000000" w:sz="4" w:space="0"/>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1875"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w:t>
            </w:r>
          </w:p>
        </w:tc>
        <w:tc>
          <w:tcPr>
            <w:tcW w:w="2520"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箱柜名称</w:t>
            </w:r>
          </w:p>
        </w:tc>
        <w:tc>
          <w:tcPr>
            <w:tcW w:w="3315"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箱柜型号</w:t>
            </w:r>
          </w:p>
        </w:tc>
        <w:tc>
          <w:tcPr>
            <w:tcW w:w="814"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814"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91"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单价</w:t>
            </w:r>
          </w:p>
        </w:tc>
        <w:tc>
          <w:tcPr>
            <w:tcW w:w="1536"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总价</w:t>
            </w:r>
          </w:p>
        </w:tc>
        <w:tc>
          <w:tcPr>
            <w:tcW w:w="1864"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7-1</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干式变压器（含外壳）</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SCB11-1250KVA</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99088.14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1189057.68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7-2</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干式变压器（含外壳）</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SCB11-1000KVA</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89708.98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89708.98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7-3</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干式变压器（含外壳）</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SCB11-800KVA</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78297.90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469787.40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7-4</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干式变压器（含外壳）</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SCB11-630KVA</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63305.16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316525.80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合计</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315"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2065079.86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14744" w:type="dxa"/>
            <w:gridSpan w:val="9"/>
            <w:tcBorders>
              <w:top w:val="single" w:color="000000" w:sz="4" w:space="0"/>
              <w:left w:val="single" w:color="000000" w:sz="4" w:space="0"/>
              <w:bottom w:val="single" w:color="000000" w:sz="4" w:space="0"/>
              <w:right w:val="single" w:color="000000" w:sz="4" w:space="0"/>
            </w:tcBorders>
            <w:shd w:val="clear" w:color="auto" w:fill="CCFFCC"/>
            <w:vAlign w:val="center"/>
          </w:tcPr>
          <w:p>
            <w:pPr>
              <w:keepNext w:val="0"/>
              <w:keepLines w:val="0"/>
              <w:widowControl/>
              <w:suppressLineNumbers w:val="0"/>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配电箱</w:t>
            </w:r>
          </w:p>
        </w:tc>
      </w:tr>
      <w:tr>
        <w:tblPrEx>
          <w:tblCellMar>
            <w:top w:w="0" w:type="dxa"/>
            <w:left w:w="108" w:type="dxa"/>
            <w:bottom w:w="0" w:type="dxa"/>
            <w:right w:w="108" w:type="dxa"/>
          </w:tblCellMar>
        </w:tblPrEx>
        <w:trPr>
          <w:trHeight w:val="300" w:hRule="atLeast"/>
          <w:jc w:val="center"/>
        </w:trPr>
        <w:tc>
          <w:tcPr>
            <w:tcW w:w="615" w:type="dxa"/>
            <w:tcBorders>
              <w:top w:val="single" w:color="000000" w:sz="4" w:space="0"/>
              <w:left w:val="single" w:color="000000" w:sz="4" w:space="0"/>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1875"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w:t>
            </w:r>
          </w:p>
        </w:tc>
        <w:tc>
          <w:tcPr>
            <w:tcW w:w="2520"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箱柜名称</w:t>
            </w:r>
          </w:p>
        </w:tc>
        <w:tc>
          <w:tcPr>
            <w:tcW w:w="3315"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箱柜型号</w:t>
            </w:r>
          </w:p>
        </w:tc>
        <w:tc>
          <w:tcPr>
            <w:tcW w:w="814"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814"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91"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单价</w:t>
            </w:r>
          </w:p>
        </w:tc>
        <w:tc>
          <w:tcPr>
            <w:tcW w:w="1536"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总价</w:t>
            </w:r>
          </w:p>
        </w:tc>
        <w:tc>
          <w:tcPr>
            <w:tcW w:w="1864"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8-1</w:t>
            </w: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配电箱</w:t>
            </w:r>
          </w:p>
        </w:tc>
        <w:tc>
          <w:tcPr>
            <w:tcW w:w="331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照明配电箱</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1598.40 </w:t>
            </w: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11188.80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8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合计</w:t>
            </w:r>
          </w:p>
        </w:tc>
        <w:tc>
          <w:tcPr>
            <w:tcW w:w="2520"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315"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8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1391" w:type="dxa"/>
            <w:tcBorders>
              <w:top w:val="single" w:color="000000" w:sz="4" w:space="0"/>
              <w:left w:val="nil"/>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11188.80 </w:t>
            </w:r>
          </w:p>
        </w:tc>
        <w:tc>
          <w:tcPr>
            <w:tcW w:w="1864" w:type="dxa"/>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bl>
    <w:p>
      <w:pPr>
        <w:pStyle w:val="4"/>
        <w:spacing w:line="360" w:lineRule="auto"/>
        <w:jc w:val="both"/>
        <w:rPr>
          <w:rFonts w:hint="eastAsia" w:ascii="宋体" w:hAnsi="宋体" w:cs="宋体"/>
          <w:b/>
          <w:bCs/>
          <w:color w:val="000000" w:themeColor="text1"/>
          <w:sz w:val="24"/>
          <w:szCs w:val="24"/>
          <w:highlight w:val="none"/>
          <w:lang w:eastAsia="zh-CN"/>
          <w14:textFill>
            <w14:solidFill>
              <w14:schemeClr w14:val="tx1"/>
            </w14:solidFill>
          </w14:textFill>
        </w:rPr>
      </w:pPr>
    </w:p>
    <w:p>
      <w:pPr>
        <w:pStyle w:val="5"/>
        <w:rPr>
          <w:rFonts w:hint="eastAsia" w:ascii="宋体" w:hAnsi="宋体" w:cs="宋体"/>
          <w:b/>
          <w:bCs/>
          <w:color w:val="000000" w:themeColor="text1"/>
          <w:sz w:val="24"/>
          <w:szCs w:val="24"/>
          <w:highlight w:val="none"/>
          <w:lang w:eastAsia="zh-CN"/>
          <w14:textFill>
            <w14:solidFill>
              <w14:schemeClr w14:val="tx1"/>
            </w14:solidFill>
          </w14:textFill>
        </w:rPr>
      </w:pPr>
    </w:p>
    <w:p>
      <w:pPr>
        <w:pStyle w:val="2"/>
        <w:rPr>
          <w:rFonts w:hint="eastAsia" w:ascii="宋体" w:hAnsi="宋体" w:cs="宋体"/>
          <w:b/>
          <w:bCs/>
          <w:color w:val="000000" w:themeColor="text1"/>
          <w:sz w:val="24"/>
          <w:szCs w:val="24"/>
          <w:highlight w:val="none"/>
          <w:lang w:eastAsia="zh-CN"/>
          <w14:textFill>
            <w14:solidFill>
              <w14:schemeClr w14:val="tx1"/>
            </w14:solidFill>
          </w14:textFill>
        </w:rPr>
      </w:pPr>
    </w:p>
    <w:p>
      <w:pPr>
        <w:pStyle w:val="3"/>
        <w:rPr>
          <w:rFonts w:hint="eastAsia"/>
          <w:color w:val="000000" w:themeColor="text1"/>
          <w:lang w:eastAsia="zh-CN"/>
          <w14:textFill>
            <w14:solidFill>
              <w14:schemeClr w14:val="tx1"/>
            </w14:solidFill>
          </w14:textFill>
        </w:rPr>
      </w:pPr>
    </w:p>
    <w:p>
      <w:pPr>
        <w:pStyle w:val="5"/>
        <w:spacing w:line="360" w:lineRule="auto"/>
        <w:rPr>
          <w:rFonts w:hint="eastAsia" w:ascii="宋体" w:hAnsi="宋体" w:cs="宋体"/>
          <w:b/>
          <w:bCs/>
          <w:color w:val="000000" w:themeColor="text1"/>
          <w:sz w:val="24"/>
          <w:szCs w:val="24"/>
          <w:highlight w:val="none"/>
          <w:lang w:eastAsia="zh-CN"/>
          <w14:textFill>
            <w14:solidFill>
              <w14:schemeClr w14:val="tx1"/>
            </w14:solidFill>
          </w14:textFill>
        </w:rPr>
      </w:pPr>
      <w:r>
        <w:rPr>
          <w:rFonts w:hint="eastAsia" w:ascii="宋体" w:hAnsi="宋体" w:cs="宋体"/>
          <w:b/>
          <w:bCs/>
          <w:color w:val="000000" w:themeColor="text1"/>
          <w:sz w:val="24"/>
          <w:szCs w:val="24"/>
          <w:highlight w:val="none"/>
          <w:lang w:eastAsia="zh-CN"/>
          <w14:textFill>
            <w14:solidFill>
              <w14:schemeClr w14:val="tx1"/>
            </w14:solidFill>
          </w14:textFill>
        </w:rPr>
        <w:t>附件</w:t>
      </w:r>
      <w:r>
        <w:rPr>
          <w:rFonts w:hint="eastAsia" w:hAnsi="宋体" w:cs="宋体"/>
          <w:b/>
          <w:bCs/>
          <w:color w:val="000000" w:themeColor="text1"/>
          <w:sz w:val="24"/>
          <w:szCs w:val="24"/>
          <w:highlight w:val="none"/>
          <w:lang w:eastAsia="zh-CN"/>
          <w14:textFill>
            <w14:solidFill>
              <w14:schemeClr w14:val="tx1"/>
            </w14:solidFill>
          </w14:textFill>
        </w:rPr>
        <w:t>四</w:t>
      </w:r>
      <w:r>
        <w:rPr>
          <w:rFonts w:hint="eastAsia" w:ascii="宋体" w:hAnsi="宋体" w:cs="宋体"/>
          <w:b/>
          <w:bCs/>
          <w:color w:val="000000" w:themeColor="text1"/>
          <w:sz w:val="24"/>
          <w:szCs w:val="24"/>
          <w:highlight w:val="none"/>
          <w:lang w:eastAsia="zh-CN"/>
          <w14:textFill>
            <w14:solidFill>
              <w14:schemeClr w14:val="tx1"/>
            </w14:solidFill>
          </w14:textFill>
        </w:rPr>
        <w:t>：</w:t>
      </w:r>
    </w:p>
    <w:tbl>
      <w:tblPr>
        <w:tblStyle w:val="10"/>
        <w:tblW w:w="15556" w:type="dxa"/>
        <w:jc w:val="center"/>
        <w:shd w:val="clear" w:color="auto" w:fill="auto"/>
        <w:tblLayout w:type="fixed"/>
        <w:tblCellMar>
          <w:top w:w="0" w:type="dxa"/>
          <w:left w:w="108" w:type="dxa"/>
          <w:bottom w:w="0" w:type="dxa"/>
          <w:right w:w="108" w:type="dxa"/>
        </w:tblCellMar>
      </w:tblPr>
      <w:tblGrid>
        <w:gridCol w:w="700"/>
        <w:gridCol w:w="2800"/>
        <w:gridCol w:w="3889"/>
        <w:gridCol w:w="790"/>
        <w:gridCol w:w="1187"/>
        <w:gridCol w:w="1319"/>
        <w:gridCol w:w="1362"/>
        <w:gridCol w:w="2260"/>
        <w:gridCol w:w="1249"/>
      </w:tblGrid>
      <w:tr>
        <w:tblPrEx>
          <w:shd w:val="clear" w:color="auto" w:fill="auto"/>
          <w:tblCellMar>
            <w:top w:w="0" w:type="dxa"/>
            <w:left w:w="108" w:type="dxa"/>
            <w:bottom w:w="0" w:type="dxa"/>
            <w:right w:w="108" w:type="dxa"/>
          </w:tblCellMar>
        </w:tblPrEx>
        <w:trPr>
          <w:trHeight w:val="939" w:hRule="atLeast"/>
          <w:jc w:val="center"/>
        </w:trPr>
        <w:tc>
          <w:tcPr>
            <w:tcW w:w="15556"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8"/>
                <w:szCs w:val="28"/>
                <w:u w:val="none"/>
                <w14:textFill>
                  <w14:solidFill>
                    <w14:schemeClr w14:val="tx1"/>
                  </w14:solidFill>
                </w14:textFill>
              </w:rPr>
            </w:pPr>
            <w:r>
              <w:rPr>
                <w:rFonts w:hint="eastAsia" w:ascii="宋体" w:hAnsi="宋体" w:eastAsia="宋体" w:cs="宋体"/>
                <w:b/>
                <w:bCs/>
                <w:i w:val="0"/>
                <w:iCs w:val="0"/>
                <w:color w:val="000000" w:themeColor="text1"/>
                <w:kern w:val="0"/>
                <w:sz w:val="28"/>
                <w:szCs w:val="28"/>
                <w:u w:val="none"/>
                <w:lang w:val="en-US" w:eastAsia="zh-CN" w:bidi="ar"/>
                <w14:textFill>
                  <w14:solidFill>
                    <w14:schemeClr w14:val="tx1"/>
                  </w14:solidFill>
                </w14:textFill>
              </w:rPr>
              <w:t>开元壹号62地块一期供配电设备明细报价表</w:t>
            </w:r>
          </w:p>
        </w:tc>
      </w:tr>
      <w:tr>
        <w:tblPrEx>
          <w:tblCellMar>
            <w:top w:w="0" w:type="dxa"/>
            <w:left w:w="108" w:type="dxa"/>
            <w:bottom w:w="0" w:type="dxa"/>
            <w:right w:w="108" w:type="dxa"/>
          </w:tblCellMar>
        </w:tblPrEx>
        <w:trPr>
          <w:trHeight w:val="300" w:hRule="atLeast"/>
          <w:jc w:val="center"/>
        </w:trPr>
        <w:tc>
          <w:tcPr>
            <w:tcW w:w="14307" w:type="dxa"/>
            <w:gridSpan w:val="8"/>
            <w:tcBorders>
              <w:top w:val="single" w:color="000000" w:sz="4" w:space="0"/>
              <w:left w:val="single" w:color="000000" w:sz="4" w:space="0"/>
              <w:bottom w:val="single" w:color="000000" w:sz="4" w:space="0"/>
              <w:right w:val="nil"/>
            </w:tcBorders>
            <w:shd w:val="clear" w:color="auto" w:fill="C6EFCE"/>
            <w:noWrap/>
            <w:vAlign w:val="center"/>
          </w:tcPr>
          <w:p>
            <w:pPr>
              <w:keepNext w:val="0"/>
              <w:keepLines w:val="0"/>
              <w:widowControl/>
              <w:suppressLineNumbers w:val="0"/>
              <w:jc w:val="left"/>
              <w:textAlignment w:val="center"/>
              <w:rPr>
                <w:rFonts w:ascii="??" w:hAnsi="??" w:eastAsia="??" w:cs="??"/>
                <w:b/>
                <w:bCs/>
                <w:i w:val="0"/>
                <w:iCs w:val="0"/>
                <w:color w:val="000000" w:themeColor="text1"/>
                <w:sz w:val="22"/>
                <w:szCs w:val="22"/>
                <w:u w:val="none"/>
                <w14:textFill>
                  <w14:solidFill>
                    <w14:schemeClr w14:val="tx1"/>
                  </w14:solidFill>
                </w14:textFill>
              </w:rPr>
            </w:pPr>
            <w:r>
              <w:rPr>
                <w:rFonts w:hint="default" w:ascii="??" w:hAnsi="??" w:eastAsia="??" w:cs="??"/>
                <w:b/>
                <w:bCs/>
                <w:i w:val="0"/>
                <w:iCs w:val="0"/>
                <w:color w:val="000000" w:themeColor="text1"/>
                <w:kern w:val="0"/>
                <w:sz w:val="22"/>
                <w:szCs w:val="22"/>
                <w:u w:val="none"/>
                <w:lang w:val="en-US" w:eastAsia="zh-CN" w:bidi="ar"/>
                <w14:textFill>
                  <w14:solidFill>
                    <w14:schemeClr w14:val="tx1"/>
                  </w14:solidFill>
                </w14:textFill>
              </w:rPr>
              <w:t>住宅配</w:t>
            </w:r>
          </w:p>
        </w:tc>
        <w:tc>
          <w:tcPr>
            <w:tcW w:w="1249" w:type="dxa"/>
            <w:tcBorders>
              <w:top w:val="single" w:color="000000" w:sz="4" w:space="0"/>
              <w:left w:val="nil"/>
              <w:bottom w:val="single" w:color="000000" w:sz="4" w:space="0"/>
              <w:right w:val="single" w:color="000000" w:sz="4" w:space="0"/>
            </w:tcBorders>
            <w:shd w:val="clear" w:color="auto" w:fill="C6EFCE"/>
            <w:vAlign w:val="center"/>
          </w:tcPr>
          <w:p>
            <w:pPr>
              <w:rPr>
                <w:rFonts w:hint="default" w:ascii="??" w:hAnsi="??" w:eastAsia="??" w:cs="??"/>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柜号：AH1</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进线柜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备注:1#住宅配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金  额</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品牌</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真空断路器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VS1-12 1250-25KA 手车式</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7179.48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7179.48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河南长征</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LZZBJ9-10 600/5A 0.2S/0.5/5P20 20/20/30VA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932.40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2797.20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高压熔断器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XRNP1-12 12/0.5A（带支架）</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46.62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93.24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苏熔电气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JDZ10-10 10/0.22KV 50/2000VA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2086.80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2086.80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微机保护装置</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WGB-870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许继电气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避雷器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HY5WZ-17/45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新月电气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42L6-A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开关状态仪</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13.6704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971.15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39.872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2832.51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40*6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497.28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高压柜壳体</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800*1500*2300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国内优质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小母线</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XMX-1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30123.36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2711.10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3012.34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35846.80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35846.80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1-2</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柜号：AH2</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PT柜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备注:1#住宅配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熔断器+避雷器手车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10KV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高压熔断器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XRNP1-12 12/0.5A（带支架）</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46.62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139.86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苏熔电气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JSZGF-10 0.2/0.5/6P 60/90/120VA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3418.80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3418.80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避雷器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HY5WZ-17/45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新月电气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42L6-V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86.32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开关状态仪</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13.6704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971.15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60*6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22.428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1593.29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40*6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497.28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高压柜壳体</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1000*1500*2300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6082.80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6082.80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国内优质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小母线</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XMX-1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16887.62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1519.89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1688.76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20096.27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20096.27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柜号：AH3~AH8</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备注:1#住宅配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真空断路器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VS1-12 1250-25KA 手车式</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7179.48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7179.48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河南长征</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LZZBJ9-10 */5A 0.2S/0.5/5P20 20/20/30VA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843.60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2530.80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微机保护装置</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WGB-870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许继电气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避雷器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HY5WZ-17/45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新月电气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42L6-A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64.74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开关状态仪</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零序互感器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LJK-120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接地刀</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JN15-10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龙键配套</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13.6704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971.15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29.904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2124.38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40*6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497.28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高压柜壳体</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800*1500*2300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国内优质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小母线</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XMX-1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27899.95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2511.00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2790.00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33200.94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199205.64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1-4</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柜号：AH9</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联络柜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备注:1#住宅配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真空断路器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VS1-12 1250-25KA 手车式</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7179.48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7179.48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河南长征</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LZZBJ9-10 600/5A 0.2S/0.5/5P20 20/20/30VA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932.40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2797.20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微机保护装置</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WGB-870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许继电气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避雷器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HY5WZ-17/45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新月电气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42L6-A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开关状态仪</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零序互感器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LJK-120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13.6704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971.15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39.872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2832.51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40*6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497.28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高压柜壳体</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800*1500*2300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国内优质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小母线</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XMX-1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28254.12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2542.87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2825.41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33622.40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33622.40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1-8</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柜号：1AL1、2AL1、3AL1、4AL1</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电源进线柜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备注:1#住宅配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智能框架断路器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NXA20N16-MD3-AC230V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8311.97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8311.97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三锁二钥匙</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LMZJ1-0.66 80I 1200/5 0.2S</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111.00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333.00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BH-0.66Ⅰ 1500/5 φ80 0.5级</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75.48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301.92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多功能仪表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KC9600S</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科辰电子</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交流微型断路器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NXB-63 4P C63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电涌保护器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NXU-Ⅱ 100kA/275V 4P</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22.784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1618.58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TMY-60*8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92.56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6575.46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低压进线柜（GCS）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FC-500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21668.39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1950.16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2166.84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25785.38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103141.54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1-9</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柜号：1AL2、2AL2、3AL2、4AL2</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低压电容柜(240kvar）</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备注:1#住宅配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隔离开关熔断器组</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QSA-630A+RT36-3(NT3) 630A 3个</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1398.44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1398.44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40I 600/5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93.24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多功能仪表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KC9600S</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科辰电子</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交流微型断路器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NXB-63 4P C63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电涌保护器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NXU-Ⅱ 100kA/275V 4P</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交流微型断路器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NXB-63 3P D63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25.81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206.48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切换电容器交流接触器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CJ19-63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热过载继电器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JR36-63/40~63A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49.91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399.28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低压并联电容器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BSMJ0.45 30-3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159.84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1278.72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功率因数控制器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JKW5C-10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116.24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116.24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22.784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1618.58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TMY-60*8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TMY-40*6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14.952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1062.19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铜线</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TX-1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42.62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340.96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低压电容柜（GCS）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FC-750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666.00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666.00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12107.19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1089.65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1210.72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14407.56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57630.22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1-10</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柜号：1AL3</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备注:1#住宅配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塑壳漏电断路器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NM8NL-630S EN 630 4C RCD1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3138.46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9415.38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塑壳漏电断路器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NM8NL-400S EN 400 4C RCD1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2873.84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2873.84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40I 600/5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279.72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400/5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66.60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多功能仪表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KC7200S</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532.80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科辰电子</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17.088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1213.93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TMY-60*8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TMY-100*6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10.68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758.71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600A 四极 3单元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843.60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2530.80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400A 四极 2单元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666.00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666.00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四极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5.34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379.35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27632.31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2486.91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2763.23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32882.45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32882.45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1-11</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柜号：1AL4</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备注:1#住宅配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塑壳漏电断路器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NM8NL-630S EN 630 4C RCD1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3138.46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6276.92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NXMS-160H/3300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554.41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2217.64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NXMS-160H/3300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554.41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2217.64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40I 600/5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186.48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250/5 以下</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426.24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多功能仪表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KC7200S</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科辰电子</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17.088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1213.93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TMY-60*8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TMY-100*6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10.68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758.71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600A 四极 3单元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843.60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1687.20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125A 四极 1/2单元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3907.20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四极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17.088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1213.93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TMY-15*3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9.612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682.84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29215.01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2629.35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2921.50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34765.86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34765.86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1-12</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柜号：2AL3、3AL3、4AL3</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备注:1#住宅配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塑壳漏电断路器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NM8NL-630S EN 630 4C RCD1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3138.46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12553.84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40I 600/5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372.96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多功能仪表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KC7200S</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532.80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科辰电子</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17.088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1213.93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TMY-60*8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TMY-100*6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10.68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758.71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600A 四极 3单元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843.60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3374.40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四极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2427.86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28328.78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2549.59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2832.88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33711.25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101133.74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1-13</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柜号：2AL4</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备注:1#住宅配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塑壳漏电断路器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NM8NL-630S EN 630 4C RCD1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3138.46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6276.92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塑壳漏电断路器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NM8NL-250S EN 250 4C RCD1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2071.61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2071.61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NXMS-160H/3300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554.41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3326.46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40I 600/5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186.48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250/5 以下</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372.96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多功能仪表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KC7200S</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1198.80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科辰电子</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17.088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1213.93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TMY-60*8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TMY-100*6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10.68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758.71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600A 四极 3单元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843.60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1687.20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250A 四极 1单元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125A 三极 1/2单元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399.60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2397.60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四极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17.088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1213.93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TMY-20*4</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2.848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202.32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TMY-15*3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7.209</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512.13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29090.53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2618.15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2909.05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34617.73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34617.73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1-14</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柜号：1AL5、3AL4</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联络柜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备注:1#住宅配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智能框架断路器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NXA20N16-MD3-AC230V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8311.97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8311.97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三锁二钥匙</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BH-0.66Ⅰ 1500/5 φ80 0.5级</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75.48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多功能仪表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KC9600S</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科辰电子</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22.784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1618.58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TMY-60*8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85.44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6069.66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低压联络柜（GCS）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FC-500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20332.24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1829.90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2033.22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24195.37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48390.73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1-15</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900(高）*700（宽）*250（深）</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热交换站电缆分接箱</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备注:1#住宅配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NXM-400S/3300 315A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425.93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425.93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NXM-250S/3300 250A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192.96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771.84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30*6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69.26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554.77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20*4</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4.272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69.26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295.88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壳体</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900*700*200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932.40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932.40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3513.62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316.23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351.36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4181.21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4181.21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1-16</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750(高）*600（宽）*200（深）</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热交换动力表箱</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备注:1#住宅配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塑壳漏电断路器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NXMLE-250S/4340A 225A C AC230V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410.87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410.87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NXM-250S/3300 200A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192.96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192.96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250/5 以下</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53.28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20*4</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2.136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69.26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147.94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壳体</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750*600*200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754.80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754.80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2092.65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188.34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209.27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2490.25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2490.25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1-22</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柜号：BH1</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进线柜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备注:2#住宅配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真空断路器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VS1-12 1250-25KA 手车式</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7179.48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7179.48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河南长征</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LZZBJ9-10 600/5A 0.2S/0.5/5P20 20/20/30VA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932.40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2797.20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高压熔断器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XRNP1-12 12/0.5A（带支架）</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46.62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93.24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苏熔电气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JDZ10-10 10/0.22KV 50/2000VA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2086.80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2086.80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微机保护装置</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WGB-870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许继电气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避雷器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HY5WZ-17/45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新月电气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42L6-A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开关状态仪</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零序互感器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LJK-120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17.088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1213.93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49.84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3540.63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40*6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497.28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高压柜壳体</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800*1500*2300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国内优质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小母线</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XMX-1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31385.06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2824.66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3138.51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37348.22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37348.22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1-23</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柜号：BH2</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PT柜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备注:2#住宅配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熔断器+避雷器手车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10KV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高压熔断器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XRNP1-12 12/0.5A（带支架）</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46.62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139.86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苏熔电气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JSZGF-10 0.2/0.5/6P 60/90/120VA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3418.80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3418.80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避雷器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HY5WZ-17/45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新月电气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42L6-V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86.32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开关状态仪</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17.088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1213.93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60*6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22.428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1593.29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40*6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497.28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高压柜壳体</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1000*1500*2300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6082.80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6082.80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国内优质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小母线</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XMX-1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17130.40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1541.74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1713.04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20385.18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20385.18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1-24</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柜号：BH3~BH10</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备注:2#住宅配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真空断路器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VS1-12 1250-25KA 手车式</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7179.48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7179.48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河南长征</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LZZBJ9-10 */5A 0.2S/0.5/5P20 20/20/30VA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843.60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2530.80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微机保护装置</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WGB-870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许继电气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避雷器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HY5WZ-17/45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新月电气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42L6-A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64.74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开关状态仪</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零序互感器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LJK-120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接地刀</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JN15-10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龙键配套</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17.088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1213.93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29.904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2124.38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40*6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497.28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高压柜壳体</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800*1500*2300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国内优质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小母线</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XMX-1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28142.73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2532.85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2814.27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33489.85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267918.79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1-25</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柜号：BH11</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联络柜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备注:2#住宅配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真空断路器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VS1-12 1250-25KA 手车式</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7179.48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7179.48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河南长征</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LZZBJ9-10 600/5A 0.2S/0.5/5P20 20/20/30VA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932.40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2797.20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微机保护装置</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WGB-870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许继电气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避雷器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HY5WZ-17/45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新月电气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42L6-A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开关状态仪</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零序互感器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LJK-120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17.088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1213.93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49.84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3540.63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40*6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497.28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高压柜壳体</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800*1500*2300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国内优质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小母线</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XMX-1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29205.02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2628.45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2920.50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34753.97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34753.97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1-29</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柜号：5AL1、6AL1</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电源进线柜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备注:2#住宅配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智能框架断路器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NXA20N16-MD3-AC230V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8311.97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8311.97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三锁二钥匙</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LMZJ1-0.66 80I 1200/5 0.2S</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111.00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333.00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BH-0.66Ⅰ 1500/5 φ80 0.5级</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75.48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301.92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多功能仪表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KC9600S</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科辰电子</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交流微型断路器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NXB-63 4P C63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电涌保护器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NXU-Ⅱ 100kA/275V 4P</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22.784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1618.58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TMY-60*8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92.56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6575.46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低压进线柜（GCS）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FC-500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21668.39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1950.16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2166.84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25785.38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51570.77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1-30</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柜号：5AL2、6AL2</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低压电容柜(240kvar）</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备注:2#住宅配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隔离开关熔断器组</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QSA-630A+RT36-3(NT3) 630A 3个</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1398.44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1398.44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40I 600/5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93.24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多功能仪表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KC9600S</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科辰电子</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交流微型断路器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NXB-63 4P C63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电涌保护器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NXU-Ⅱ 100kA/275V 4P</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交流微型断路器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NXB-63 3P D63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25.81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206.48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切换电容器交流接触器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CJ19-63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热过载继电器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JR36-63/40~63A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49.91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399.28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低压并联电容器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BSMJ0.45 30-3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159.84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1278.72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功率因数控制器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JKW5C-10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116.24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116.24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22.784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1618.58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TMY-60*8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TMY-40*6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14.952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1062.19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铜线</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TX-1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42.62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340.96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低压电容柜（GCS）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FC-750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666.00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666.00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12107.19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1089.65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1210.72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14407.56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28815.11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1-31</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柜号：5AL3、6AL3</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备注:2#住宅配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塑壳漏电断路器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NM8NL-630S EN 630 4C RCD1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3138.46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12553.84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40I 600/5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372.96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多功能仪表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KC7200S</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532.80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科辰电子</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17.088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1213.93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TMY-60*8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TMY-100*6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10.68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758.71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600A 四极 3单元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843.60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3374.40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四极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2427.86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28328.78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2549.59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2832.88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33711.25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67422.50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1-32</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柜号：5AL4、6AL4</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备注:2#住宅配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塑壳漏电断路器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NM8NL-630S EN 630 4C RCD1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3138.46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6276.92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NXMS-160H/3300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554.41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1108.82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NXMS-160H/3300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554.41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3326.46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40I 600/5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186.48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250/5 以下</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426.24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多功能仪表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KC7200S</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科辰电子</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17.088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1213.93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TMY-60*8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TMY-100*6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10.68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758.71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600A 四极 3单元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843.60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1687.20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125A 四极 1/2单元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3907.20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四极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17.088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1213.93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TMY-15*3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9.612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682.84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29215.01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2629.35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2921.50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34765.86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69531.72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1-33</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柜号：5AL5</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联络柜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备注:2#住宅配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智能框架断路器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NXA20N16-MD3-AC230V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8311.97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8311.97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三锁二钥匙</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BH-0.66Ⅰ 1500/5 φ80 0.5级</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75.48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多功能仪表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KC9600S</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科辰电子</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22.784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1618.58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TMY-60*8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85.44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6069.66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低压联络柜（GCS）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FC-500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20332.24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1829.90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2033.22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24195.37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24195.37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1-34</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柜号：7AL1、8AL1、9AL1、10AL1</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电源进线柜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备注:2#住宅配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智能框架断路器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NXA20N12-MD3-AC230V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8129.36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8129.36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三锁二钥匙</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LMZJ1-0.66 80I 1000/5 0.2S</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111.00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333.00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BH-0.66Ⅰ 1200/5 φ80 0.5级</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75.48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301.92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多功能仪表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KC9600S</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科辰电子</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交流微型断路器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NXB-63 4P C63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电涌保护器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NXU-Ⅱ 100kA/275V 4P</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18.2272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1294.86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TMY-60*6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74.048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5260.37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低压进线柜（GCS）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FC-500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19786.27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1780.76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1978.63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23545.66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94182.65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1-35</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柜号：7AL2、8AL2、9AL2、10AL2</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低压电容柜(180kvar）</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备注:2#住宅配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隔离开关熔断器组</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QSA-400A+RT36-2(NT2) 400A 3个</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597.26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597.26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400/5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66.60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多功能仪表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KC9600S</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科辰电子</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交流微型断路器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NXB-63 4P C63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电涌保护器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NXU-Ⅱ 100kA/275V 4P</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交流微型断路器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NXB-63 3P D40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24.76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222.84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切换电容器交流接触器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CJ19-43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102.12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919.08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热过载继电器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JR36-63/40~63A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49.91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449.19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低压并联电容器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BSMJ0.45 20-3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124.32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1118.88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功率因数控制器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JKW5C-10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116.24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116.24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18.2272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1294.86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TMY-60*6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11.214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796.64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铜线</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TX-1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42.62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383.58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低压电容柜（GCS）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FC-750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666.00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666.00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10431.93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938.87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1043.19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12414.00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49655.99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1-36</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柜号：7AL3、8AL3、10AL3</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备注:2#住宅配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塑壳漏电断路器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NM8NL-630S EN 630 4C RCD1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3138.46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12553.84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40I 600/5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372.96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多功能仪表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KC7200S</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532.80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科辰电子</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13.6704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971.15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TMY-60*6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1.9224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136.57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TMY-100*6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10.68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758.71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600A 四极 3单元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843.60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3374.40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四极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27433.52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2469.02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2743.35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32645.89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97937.67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1-37</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柜号：9AL3</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备注:2#住宅配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塑壳漏电断路器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NM8NL-630S EN 630 4C RCD1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3138.46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9415.38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塑壳漏电断路器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NM8NL-250S EN 250 4C RCD1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2071.61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2071.61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40I 600/5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279.72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250/5 以下</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53.28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多功能仪表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KC7200S</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532.80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科辰电子</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13.6704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971.15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TMY-60*6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1.9224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136.57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TMY-100*6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10.68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758.71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600A 四极 3单元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843.60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2530.80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250A 四极 1单元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四极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TMY-20*4</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2.848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202.32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26262.63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2363.64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2626.26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31252.53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31252.53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1-38</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柜号：7AL4、9AL4</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联络柜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备注:2#住宅配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智能框架断路器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NXA20N12-MD3-AC230V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8129.36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8129.36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三锁二钥匙</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BH-0.66Ⅰ 1200/5 φ80 0.5级</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75.48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多功能仪表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KC9600S</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科辰电子</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18.2272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1294.86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TMY-60*6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68.352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4855.73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低压联络柜（GCS）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FC-500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18551.28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1669.62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1855.13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22076.02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44152.05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1-39</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900(高）*700（宽）*250（深）</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热交换站电缆分接箱</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备注:2#住宅配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NXM-250S/3300 250A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192.96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192.96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NXM-250S/3300 200A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192.96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771.84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20*4</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69.26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493.13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壳体</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900*700*200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932.40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932.40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2923.13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263.08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292.31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3478.52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3478.52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1-40</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900(高）*700（宽）*250（深）</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幼儿园低压分接箱</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备注:2#住宅配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NXM-250S/3300 200A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192.96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192.96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NXM-250S/3300 180A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192.96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771.84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20*4</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69.26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493.13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壳体</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900*700*200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932.40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932.40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2923.13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263.08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292.31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3478.52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3478.52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1-41</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750(高）*600（宽）*200（深）</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热交换动力表箱</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备注:2#住宅配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塑壳漏电断路器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NXMLE-250S/4340A 180A C AC230V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410.87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410.87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NXM-250S/3300 160A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192.96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192.96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250/5 以下</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53.28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20*4</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2.136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69.26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147.94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壳体</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750*600*200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754.80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754.80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2092.65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188.34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209.27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2490.25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2490.25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1-42</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750(高）*600（宽）*200（深）</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幼儿园集中表箱</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备注:2#住宅配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塑壳漏电断路器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NXMLE-250S/4340A 160A C AC230V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410.87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410.87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NXM-250S/3300 125A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192.96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192.96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250/5 以下</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53.28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20*4</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2.136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69.26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147.94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壳体</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750*600*200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754.80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754.80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2092.65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188.34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209.27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2490.25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2490.25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14307" w:type="dxa"/>
            <w:gridSpan w:val="8"/>
            <w:tcBorders>
              <w:top w:val="single" w:color="000000" w:sz="4" w:space="0"/>
              <w:left w:val="single" w:color="000000" w:sz="4" w:space="0"/>
              <w:bottom w:val="single" w:color="000000" w:sz="4" w:space="0"/>
              <w:right w:val="nil"/>
            </w:tcBorders>
            <w:shd w:val="clear" w:color="auto" w:fill="C6EFCE"/>
            <w:noWrap/>
            <w:vAlign w:val="center"/>
          </w:tcPr>
          <w:p>
            <w:pPr>
              <w:keepNext w:val="0"/>
              <w:keepLines w:val="0"/>
              <w:widowControl/>
              <w:suppressLineNumbers w:val="0"/>
              <w:jc w:val="left"/>
              <w:textAlignment w:val="center"/>
              <w:rPr>
                <w:rFonts w:hint="default" w:ascii="??" w:hAnsi="??" w:eastAsia="??" w:cs="??"/>
                <w:b/>
                <w:bCs/>
                <w:i w:val="0"/>
                <w:iCs w:val="0"/>
                <w:color w:val="000000" w:themeColor="text1"/>
                <w:sz w:val="22"/>
                <w:szCs w:val="22"/>
                <w:u w:val="none"/>
                <w14:textFill>
                  <w14:solidFill>
                    <w14:schemeClr w14:val="tx1"/>
                  </w14:solidFill>
                </w14:textFill>
              </w:rPr>
            </w:pPr>
            <w:r>
              <w:rPr>
                <w:rFonts w:hint="default" w:ascii="??" w:hAnsi="??" w:eastAsia="??" w:cs="??"/>
                <w:b/>
                <w:bCs/>
                <w:i w:val="0"/>
                <w:iCs w:val="0"/>
                <w:color w:val="000000" w:themeColor="text1"/>
                <w:kern w:val="0"/>
                <w:sz w:val="22"/>
                <w:szCs w:val="22"/>
                <w:u w:val="none"/>
                <w:lang w:val="en-US" w:eastAsia="zh-CN" w:bidi="ar"/>
                <w14:textFill>
                  <w14:solidFill>
                    <w14:schemeClr w14:val="tx1"/>
                  </w14:solidFill>
                </w14:textFill>
              </w:rPr>
              <w:t>专用配</w:t>
            </w:r>
          </w:p>
        </w:tc>
        <w:tc>
          <w:tcPr>
            <w:tcW w:w="1249" w:type="dxa"/>
            <w:tcBorders>
              <w:top w:val="single" w:color="000000" w:sz="4" w:space="0"/>
              <w:left w:val="nil"/>
              <w:bottom w:val="single" w:color="000000" w:sz="4" w:space="0"/>
              <w:right w:val="single" w:color="000000" w:sz="4" w:space="0"/>
            </w:tcBorders>
            <w:shd w:val="clear" w:color="auto" w:fill="C6EFCE"/>
            <w:vAlign w:val="center"/>
          </w:tcPr>
          <w:p>
            <w:pPr>
              <w:rPr>
                <w:rFonts w:hint="default" w:ascii="??" w:hAnsi="??" w:eastAsia="??" w:cs="??"/>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2-1</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柜号：EH1、FH1</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进线柜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备注:专用配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真空断路器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VS1-12 1250-25KA 手车式</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7179.48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7179.48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河南长征</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微机保护装置</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WGB-870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许继电气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高压熔断器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XRNP1-12 12/0.5A（带支架）</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46.62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93.24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苏熔电气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JDZ10-10 10/0.1/0.22KV 50/2000VA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2086.80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2086.80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LZZBJ9-10 200/5A 0.2S/0.5/5P20 20/20/30VA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843.60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2530.80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避雷器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HY5WZ-17/45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新月电气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开关状态仪</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42L6-A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17.088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1213.93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49.84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3540.63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40*6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497.28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高压柜壳体</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800*1500*2300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国内优质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小母线</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XMX-1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30807.86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2772.71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3080.79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36661.35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73322.71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2-2</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柜号：EH2、FH2</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计量柜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备注:专用配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LZZBJ9-10 0.2s</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1154.40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高压熔断器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XRNP1-12 12/0.5A（带支架）</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46.62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139.86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苏熔电气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JDZ10-10 10/0.1KV 0.2</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754.80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1509.60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开关状态仪</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17.088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1213.93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5058.05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40*6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497.28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高压柜壳体</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800*1500*2300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国内优质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小母线</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XMX-1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18186.72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1636.80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1818.67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21642.20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43284.39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2-3</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柜号：EH3、FH3</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PT柜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备注:专用配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熔断器+避雷器手车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10KV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高压熔断器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XRNP1-12 12/0.5A（带支架）</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46.62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139.86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苏熔电气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JSZGF-10 0.2/0.5/6P 60/90/120VA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3418.80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3418.80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微机保护装置</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WGB-870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许继电气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开关状态仪</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避雷器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HY5WZ-17/45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新月电气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42L6-V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万能转换开关</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LW5-16/3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28.44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28.44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17.088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1213.93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49.84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3540.63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40*6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497.28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高压柜壳体</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800*1500*2300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国内优质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小母线</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XMX-1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23836.64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2145.30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2383.66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28365.60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56731.20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2-4</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柜号：EH4~EH6、FH4~FH6</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馈线柜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备注:专用配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真空断路器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VS1-12 1250-25KA 手车式</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7179.48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7179.48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河南长征</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LZZBJ9-10 */5A 0.2S/0.5/5P20 20/20/30VA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843.60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2530.80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避雷器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HY5WZ-17/45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新月电气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微机保护装置</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WGB-870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许继电气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42L6-A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开关状态仪</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接地刀</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JN15-10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龙键配套</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零序互感器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LJK-120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17.088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1213.93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39.872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2832.51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40*6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497.28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高压柜壳体</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800*1500*2300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国内优质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小母线</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XMX-1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28807.70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2592.69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2880.77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34281.16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205686.98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2-7</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柜号：1GL1、2GL1</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电源进线柜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备注:专用配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智能框架断路器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NXA32N25-MD3-AC230V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12991.55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12991.55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三锁二钥匙</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BH-0.66Ⅰ 2500/5 φ120 0.5级</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102.12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408.48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49.56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万能转换开关</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LW5-16/3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28.44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28.44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天正电气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交流微型断路器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NXB-63 4P C63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电涌保护器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NXU-Ⅱ 100kA/275V 4P</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NXM-63H/3300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106.84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320.52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NXM-125H/3200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132.72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398.16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250/5 以下</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319.68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99T1-A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239.76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2427.86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4.5568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323.72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9104.49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40*6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6.408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455.22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125A 三极 1单元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399.60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2397.60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15*3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7.209</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512.13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三极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40*6  2/1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低压进线柜（GCS）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FC-500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34411.56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3097.04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3441.16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27</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40949.76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81899.51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2-8</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柜号：3GL1、4GL1</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电源进线柜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备注:专用配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智能框架断路器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NXA32N25-MD3-AC230V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12991.55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12991.55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三锁二钥匙</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BH-0.66Ⅰ 2500/5 φ120 0.5级</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102.12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408.48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49.56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万能转换开关</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LW5-16/3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28.44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28.44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天正电气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交流微型断路器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NXB-63 4P C63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电涌保护器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NXU-Ⅱ 100kA/275V 4P</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2427.86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4.5568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323.72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9104.49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40*6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6.408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455.22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低压进线柜（GCS）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FC-500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29957.31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2696.16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2995.73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35649.20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71298.40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2-9</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柜号：1GL2、2GL2、3GL2、4GL2</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低压电容柜(360kvar）</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备注:专用配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隔离开关熔断器组</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HH15-800A/3（QSA）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2301.34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2301.34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50I 800/5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39.96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119.88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49.56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交流微型断路器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NXB-63 4P C63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电涌保护器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NXU-Ⅱ 100kA/275V 4P</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交流微型断路器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NXB-63 3P D63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25.81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309.72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热过载继电器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JR36-63/40~63A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49.91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598.92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切换电容器交流接触器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CJ19-63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1598.40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电抗器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CKSG-2.1/0.45-7%</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427.57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5130.84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低压并联电容器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BSMJ0.45 30-3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159.84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1918.08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功率因数控制器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JKW5C-12</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2427.86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4.5568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323.72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TMY-40*10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24.92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1770.32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铜线</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TX-1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42.62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511.44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低压电容柜（GCS）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FC-750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666.00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666.00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21344.75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1921.03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2134.48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25400.25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101601.01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2-10</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柜号：1GL3~4、2GL3~4</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备注:专用配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NXM-400S/3340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514.88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2059.52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NXM-250H/3340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262.62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787.86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400/5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250/5 以下</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159.84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346.92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400A 三极 2单元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2308.80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250A 三极 1单元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三极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16.02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1138.06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TMY-20*3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4.806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341.42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18405.15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1656.46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1840.52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21902.13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87608.51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2-11</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柜号：1GL5、2GL5</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备注:专用配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NXM-630S/3340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743.14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2972.56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40I 600/5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372.96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198.24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630A 三极 3单元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754.80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3019.20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三极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17914.99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1612.35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1791.50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21318.84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42637.68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2-12</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柜号：1GL6、2GL6</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备注:专用配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NXM-630S/3340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743.14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1486.28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NXM-400S/3340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514.88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1029.76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NXM-250H/3340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262.62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262.62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40I 600/5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186.48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400/5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250/5 以下</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53.28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247.80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630A 三极 3单元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754.80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1509.60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400A 三极 2单元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1154.40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250A 三极 1单元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三极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569.03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TMY-20*3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1.602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113.81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17676.24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1590.86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1767.62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26</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21034.73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42069.45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2-13</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柜号：1GL7、2GL7</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备注:专用配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NXM-400S/3340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514.88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1029.76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NXM-250H/3340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262.62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1313.10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NXM-125H/3200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132.72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132.72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400/5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250/5 以下</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319.68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396.48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400A 三极 2单元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1154.40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250A 三极 1单元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2442.00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125A 三极 1单元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399.60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399.60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三极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569.03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TMY-20*3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569.03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TMY-15*3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1.2015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85.35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18075.48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1626.79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1807.55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21509.82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43019.64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2-14</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柜号：1GL8、3GL10</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联络柜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备注:专用配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智能框架断路器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NXA32N25-MD3-AC230V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12991.55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12991.55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三锁二钥匙</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BH-0.66Ⅰ 2500/5 φ120 0.5级</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102.12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306.36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49.56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万能转换开关</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LW5-16/3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28.44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28.44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天正电气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2427.86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4.5568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323.72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9104.49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低压进线柜（GCS）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FC-500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28978.10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2608.03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2897.81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34483.94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68967.88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2-15</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柜号：3GL3、4GL3</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备注:专用配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NXM-250H/3340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262.62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1313.10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NXM-125H/3340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173.67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694.68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250/5 以下</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27</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479.52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27</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446.04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TMY-100*6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10.68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758.71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250A 三极 1单元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2442.00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125A 三极 1单元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399.60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1598.40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三极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2353.20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2353.20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TMY-20*3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569.03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TMY-15*3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4.806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341.42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16863.98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1517.76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1686.40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20068.14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40136.27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2-16</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柜号：3GL4、4GL4</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备注:专用配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NXM-630S/3200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654.19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2616.76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40I 600/5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372.96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198.24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630A 三极 3单元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754.80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3019.20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三极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17559.19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1580.33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1755.92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20895.44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41790.87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2-17</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柜号：3GL5、4GL5</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备注:专用配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NXM-630S/3340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743.14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1486.28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NXM-400S/3340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514.88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1544.64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40I 600/5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186.48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400/5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199.80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247.80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630A 三极 3单元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754.80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1509.60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400A 三极 2单元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1731.60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三极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12.015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853.55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18201.33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1638.12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1820.13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21659.58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43319.17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2-18</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柜号：3GL6、4GL6</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备注:专用配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智能框架断路器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NXA20N12-MD3-AC230V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8129.36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16258.72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80I 1200/5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346.32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99.12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113.92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8092.88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31064.52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2795.81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3106.45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36966.78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73933.56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2-19</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柜号：3GL7、4GL7</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备注:专用配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NXM-250H/3340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262.62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1575.72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NXM-125H/3340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173.67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521.01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250/5 以下</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27</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479.52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27</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446.04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TMY-100*6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10.68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758.71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250A 三极 1单元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2930.40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125A 三极 1单元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399.60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1198.80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三极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2353.20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2353.20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TMY-20*3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9.612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682.84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TMY-15*3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3.6045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256.06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17070.18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1536.32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1707.02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20313.51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40627.03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2-20</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柜号：3GL8、4GL8</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备注:专用配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NXM-250H/3340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262.62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2363.58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250/5 以下</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27</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479.52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27</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446.04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250A 三极 1单元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4395.60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三极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TMY-20*3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14.418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1024.25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18240.12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1641.61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1824.01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21705.74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43411.49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2-21</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柜号：3GL9、4GL9</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备注:专用配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NXM-630S/3340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743.14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1486.28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NXM-400S/3340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514.88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1029.76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40I 600/5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186.48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400/5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247.80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630A 三极 3单元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754.80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1509.60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400A 三极 2单元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1154.40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三极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569.03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16758.13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1508.23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1675.81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19942.17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39884.35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14307" w:type="dxa"/>
            <w:gridSpan w:val="8"/>
            <w:tcBorders>
              <w:top w:val="single" w:color="000000" w:sz="4" w:space="0"/>
              <w:left w:val="single" w:color="000000" w:sz="4" w:space="0"/>
              <w:bottom w:val="single" w:color="000000" w:sz="4" w:space="0"/>
              <w:right w:val="nil"/>
            </w:tcBorders>
            <w:shd w:val="clear" w:color="auto" w:fill="C6EFCE"/>
            <w:noWrap/>
            <w:vAlign w:val="center"/>
          </w:tcPr>
          <w:p>
            <w:pPr>
              <w:keepNext w:val="0"/>
              <w:keepLines w:val="0"/>
              <w:widowControl/>
              <w:suppressLineNumbers w:val="0"/>
              <w:jc w:val="left"/>
              <w:textAlignment w:val="center"/>
              <w:rPr>
                <w:rFonts w:hint="default" w:ascii="??" w:hAnsi="??" w:eastAsia="??" w:cs="??"/>
                <w:b/>
                <w:bCs/>
                <w:i w:val="0"/>
                <w:iCs w:val="0"/>
                <w:color w:val="000000" w:themeColor="text1"/>
                <w:sz w:val="22"/>
                <w:szCs w:val="22"/>
                <w:u w:val="none"/>
                <w14:textFill>
                  <w14:solidFill>
                    <w14:schemeClr w14:val="tx1"/>
                  </w14:solidFill>
                </w14:textFill>
              </w:rPr>
            </w:pPr>
            <w:r>
              <w:rPr>
                <w:rFonts w:hint="default" w:ascii="??" w:hAnsi="??" w:eastAsia="??" w:cs="??"/>
                <w:b/>
                <w:bCs/>
                <w:i w:val="0"/>
                <w:iCs w:val="0"/>
                <w:color w:val="000000" w:themeColor="text1"/>
                <w:kern w:val="0"/>
                <w:sz w:val="22"/>
                <w:szCs w:val="22"/>
                <w:u w:val="none"/>
                <w:lang w:val="en-US" w:eastAsia="zh-CN" w:bidi="ar"/>
                <w14:textFill>
                  <w14:solidFill>
                    <w14:schemeClr w14:val="tx1"/>
                  </w14:solidFill>
                </w14:textFill>
              </w:rPr>
              <w:t>商业专变</w:t>
            </w:r>
          </w:p>
        </w:tc>
        <w:tc>
          <w:tcPr>
            <w:tcW w:w="1249" w:type="dxa"/>
            <w:tcBorders>
              <w:top w:val="single" w:color="000000" w:sz="4" w:space="0"/>
              <w:left w:val="nil"/>
              <w:bottom w:val="single" w:color="000000" w:sz="4" w:space="0"/>
              <w:right w:val="single" w:color="000000" w:sz="4" w:space="0"/>
            </w:tcBorders>
            <w:shd w:val="clear" w:color="auto" w:fill="C6EFCE"/>
            <w:vAlign w:val="center"/>
          </w:tcPr>
          <w:p>
            <w:pPr>
              <w:rPr>
                <w:rFonts w:hint="default" w:ascii="??" w:hAnsi="??" w:eastAsia="??" w:cs="??"/>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3-1</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柜号：1SH1</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HXGN-12</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进线柜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备注:商业专变</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真空负荷开关</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FZN25-12/630-25KA 电动</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3996.00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3996.00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浙江如发</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避雷器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HY5WZ-17/45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新月电气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开关状态仪</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电缆故障指示器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EKL-4</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温湿度控制器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ETK-WK</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11.125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69.26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770.52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高压柜壳体</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650*1000*2200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FC-500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国内优质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RG-500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8525.96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767.34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852.60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10145.89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10145.89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3-2</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柜号：1SH2</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HXGN-12</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计量柜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备注:商业专变</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高压熔断器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XRNP1-12 12/0.5A（带支架）</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46.62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139.86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苏熔电气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JDZ10-10 10/0.1KV 0.2</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754.80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1509.60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LZZBJ9-10 75/5 0.2S</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1154.40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开关状态仪</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温湿度控制器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ETK-WK</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15.575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69.26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1078.72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高压柜壳体</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FC-500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国内优质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RG-500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7362.30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662.61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736.23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8761.14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8761.14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3-3</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柜号：1SH3</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HXGN-12</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备注:商业专变</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真空断路器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VS1-12 630-25KA 固定式</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河南长征</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隔离开关</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GN19-10D/630A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许开集团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避雷器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HY5WZ-17/45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新月电气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微机保护装置</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WGB-870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许继电气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开关状态仪</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LZZBJ9-10 75/5 0.5/10P10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666.00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电缆故障指示器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EKL-4</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温湿度控制器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ETK-WK</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15.575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69.26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1078.72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高压柜壳体</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FC-500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国内优质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RG-500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18291.36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1646.22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1829.14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21766.72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21766.72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3-5</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柜号：1SL1</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电源进线柜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备注:商业专变</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智能框架断路器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NXA20N20-MD3-AC230V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10537.63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10537.63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BH-0.66Ⅰ2000/5 φ100 0.5级</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75.48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301.92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49.56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万能转换开关</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LW5-16/3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28.44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28.44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天正电气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交流微型断路器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NXB-63 4P C63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电涌保护器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NXU-Ⅱ 100kA/275V 4P</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TMY-100*10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28.48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2023.22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4.5568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323.72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TMY-100*10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106.8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7587.07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低压进线柜（GCS）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FC-500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24797.55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2231.78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2479.76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29509.08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29509.08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3-6</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柜号：1SL2</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低压电容柜(300kvar）</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备注:商业专变</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隔离开关熔断器组</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HH15-800A/3（QSA）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2301.34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2301.34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50I 800/5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39.96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119.88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49.56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交流微型断路器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NXB-63 4P C63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电涌保护器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NXU-Ⅱ 100kA/275V 4P</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交流微型断路器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NXB-63 3P D63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25.81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258.10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热过载继电器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JR36-63/40~63A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49.91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499.10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切换电容器交流接触器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CJ19-63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低压并联电容器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BSMJ0.45 30-3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159.84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1598.40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功率因数控制器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JKW5C-10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116.24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116.24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TMY-100*10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28.48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2023.22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4.5568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323.72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TMY-40*10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24.92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1770.32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铜线</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TX-1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42.62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426.20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低压电容柜（GCS）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FC-750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666.00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666.00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14969.55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1347.26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1496.96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17813.76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17813.76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3-7</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柜号：1SL3</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备注:商业专变</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NXM-250H/3300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221.67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1773.36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NXM-63H/3300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106.84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213.68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250/5 以下</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532.80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TMY-100*10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21.36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1517.41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TMY-40*6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6.408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455.22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250A 三极 1单元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3907.20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125A 三极 1单元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399.60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三极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TMY-20*3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TMY-15*3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2.403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170.71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18011.67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1621.05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1801.17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21433.89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21433.89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3-8</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柜号：1SL4</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备注:商业专变</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NXM-400S/3300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425.93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425.93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NXM-250H/3300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221.67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1551.69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400/5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66.60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250/5 以下</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372.96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396.48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TMY-100*10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21.36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1517.41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TMY-40*6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6.408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455.22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250A 三极 1单元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3418.80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400A 三极 2单元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三极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4.806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341.42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TMY-20*3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11.214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796.64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17156.39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1544.08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1715.64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20416.10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20416.10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14307" w:type="dxa"/>
            <w:gridSpan w:val="8"/>
            <w:tcBorders>
              <w:top w:val="single" w:color="000000" w:sz="4" w:space="0"/>
              <w:left w:val="single" w:color="000000" w:sz="4" w:space="0"/>
              <w:bottom w:val="single" w:color="000000" w:sz="4" w:space="0"/>
              <w:right w:val="nil"/>
            </w:tcBorders>
            <w:shd w:val="clear" w:color="auto" w:fill="C6EFCE"/>
            <w:noWrap/>
            <w:vAlign w:val="center"/>
          </w:tcPr>
          <w:p>
            <w:pPr>
              <w:keepNext w:val="0"/>
              <w:keepLines w:val="0"/>
              <w:widowControl/>
              <w:suppressLineNumbers w:val="0"/>
              <w:jc w:val="left"/>
              <w:textAlignment w:val="center"/>
              <w:rPr>
                <w:rFonts w:hint="default" w:ascii="??" w:hAnsi="??" w:eastAsia="??" w:cs="??"/>
                <w:b/>
                <w:bCs/>
                <w:i w:val="0"/>
                <w:iCs w:val="0"/>
                <w:color w:val="000000" w:themeColor="text1"/>
                <w:sz w:val="22"/>
                <w:szCs w:val="22"/>
                <w:u w:val="none"/>
                <w14:textFill>
                  <w14:solidFill>
                    <w14:schemeClr w14:val="tx1"/>
                  </w14:solidFill>
                </w14:textFill>
              </w:rPr>
            </w:pPr>
            <w:r>
              <w:rPr>
                <w:rFonts w:hint="default" w:ascii="??" w:hAnsi="??" w:eastAsia="??" w:cs="??"/>
                <w:b/>
                <w:bCs/>
                <w:i w:val="0"/>
                <w:iCs w:val="0"/>
                <w:color w:val="000000" w:themeColor="text1"/>
                <w:kern w:val="0"/>
                <w:sz w:val="22"/>
                <w:szCs w:val="22"/>
                <w:u w:val="none"/>
                <w:lang w:val="en-US" w:eastAsia="zh-CN" w:bidi="ar"/>
                <w14:textFill>
                  <w14:solidFill>
                    <w14:schemeClr w14:val="tx1"/>
                  </w14:solidFill>
                </w14:textFill>
              </w:rPr>
              <w:t>充电桩专变</w:t>
            </w:r>
          </w:p>
        </w:tc>
        <w:tc>
          <w:tcPr>
            <w:tcW w:w="1249" w:type="dxa"/>
            <w:tcBorders>
              <w:top w:val="single" w:color="000000" w:sz="4" w:space="0"/>
              <w:left w:val="nil"/>
              <w:bottom w:val="single" w:color="000000" w:sz="4" w:space="0"/>
              <w:right w:val="single" w:color="000000" w:sz="4" w:space="0"/>
            </w:tcBorders>
            <w:shd w:val="clear" w:color="auto" w:fill="C6EFCE"/>
            <w:vAlign w:val="center"/>
          </w:tcPr>
          <w:p>
            <w:pPr>
              <w:rPr>
                <w:rFonts w:hint="default" w:ascii="??" w:hAnsi="??" w:eastAsia="??" w:cs="??"/>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4-1</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柜号：2SH1</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HXGN-12</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进线柜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备注:充电桩专变</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真空负荷开关</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FZN25-12/630-25KA 电动</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3996.00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3996.00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浙江如发</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避雷器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HY5WZ-17/45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新月电气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开关状态仪</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电缆故障指示器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EKL-4</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温湿度控制器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ETK-WK</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11.125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69.26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770.52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高压柜壳体</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650*1000*2200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FC-500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国内优质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RG-500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8525.96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767.34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852.60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10145.89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10145.89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4-2</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柜号：2SH2</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HXGN-12</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计量柜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备注:充电桩专变</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高压熔断器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XRNP1-12 12/0.5A（带支架）</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46.62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139.86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苏熔电气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JDZ10-10 10/0.1KV 0.2</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754.80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1509.60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LZZBJ9-10 50/5 0.2S</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1154.40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开关状态仪</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温湿度控制器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ETK-WK</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15.575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69.26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1078.72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高压柜壳体</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FC-500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国内优质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RG-500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7362.30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662.61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736.23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8761.14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8761.14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4-3</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柜号：2SH3</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HXGN-12</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备注:充电桩专变</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真空负荷开关</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FZN25-12DR/630-25KA 电动</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4306.80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4306.80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浙江如发</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避雷器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HY5WZ-17/45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新月电气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开关状态仪</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LZZBJ9-10 50/5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1154.40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电缆故障指示器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EKL-4</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温湿度控制器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ETK-WK</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11.125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69.26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770.52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高压柜壳体</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FC-500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国内优质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RG-500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9991.16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999.12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11889.48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11889.48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4-5</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柜号：2SL1</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电源进线柜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备注:充电桩专变</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智能框架断路器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NXA20N12-MD3-AC230V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8129.36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8129.36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三锁二钥匙</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BH-0.66Ⅰ1200/5 φ100 0.5级</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75.48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301.92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49.56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万能转换开关</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LW5-16/3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28.44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28.44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天正电气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交流微型断路器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NXB-63 4P C63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电涌保护器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NXU-Ⅱ 100kA/275V 4P</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18.2272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1294.86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TMY-60*6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68.352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4855.73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低压进线柜（GCS）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FC-500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19009.95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1710.90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1901.00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22621.84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22621.84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4-6</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柜号：2SL2</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低压电容柜(180kvar）</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备注:充电桩专变</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隔离开关熔断器组</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QSA-400A+RT36-2(NT2) 400A 3个</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597.26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597.26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400/5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66.60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49.56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交流微型断路器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NXB-63 4P C63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电涌保护器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NXU-Ⅱ 100kA/275V 4P</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交流微型断路器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NXB-63 3P D40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24.76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222.84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切换电容器交流接触器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CJ19-43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102.12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919.08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热过载继电器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JR36-63/40~63A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49.91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449.19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低压并联电容器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BSMJ0.45 20-3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124.32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1118.88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功率因数控制器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JKW5C-10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116.24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116.24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18.2272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1294.86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TMY-60*6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11.214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796.64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铜线</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TX-1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42.62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383.58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低压电容柜（GCS）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FC-750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666.00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666.00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10348.29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931.35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1034.83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12314.47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12314.47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4-7</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柜号：2SL3</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备注:充电桩专变</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NXM-400S/3300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425.93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2129.65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NXM-63H/3300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106.84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213.68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400/5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333.00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250/5 以下</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346.92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13.6704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971.15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TMY-60*6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1.9224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136.57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TMY-100*6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10.68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758.71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400A 三极 2单元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2886.00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125A 三极 1单元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399.60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三极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2353.20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2353.20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24.03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1707.09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TMY-15*3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2.403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170.71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16716.63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1504.50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1671.66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19892.79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19892.79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4-8</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柜号：2SL4~5</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备注:充电桩专变</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NXM-400S/3300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425.93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2129.65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400/5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333.00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247.80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13.6704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971.15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TMY-60*6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1.9224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136.57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TMY-100*6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10.68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758.71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400A 三极 2单元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2886.00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三极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2353.20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2353.20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24.03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1707.09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15327.36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1379.46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1532.74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18239.56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36479.12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14307" w:type="dxa"/>
            <w:gridSpan w:val="8"/>
            <w:tcBorders>
              <w:top w:val="single" w:color="000000" w:sz="4" w:space="0"/>
              <w:left w:val="single" w:color="000000" w:sz="4" w:space="0"/>
              <w:bottom w:val="single" w:color="000000" w:sz="4" w:space="0"/>
              <w:right w:val="nil"/>
            </w:tcBorders>
            <w:shd w:val="clear" w:color="auto" w:fill="C6EFCE"/>
            <w:noWrap/>
            <w:vAlign w:val="center"/>
          </w:tcPr>
          <w:p>
            <w:pPr>
              <w:keepNext w:val="0"/>
              <w:keepLines w:val="0"/>
              <w:widowControl/>
              <w:suppressLineNumbers w:val="0"/>
              <w:jc w:val="left"/>
              <w:textAlignment w:val="center"/>
              <w:rPr>
                <w:rFonts w:hint="default" w:ascii="??" w:hAnsi="??" w:eastAsia="??" w:cs="??"/>
                <w:b/>
                <w:bCs/>
                <w:i w:val="0"/>
                <w:iCs w:val="0"/>
                <w:color w:val="000000" w:themeColor="text1"/>
                <w:sz w:val="22"/>
                <w:szCs w:val="22"/>
                <w:u w:val="none"/>
                <w14:textFill>
                  <w14:solidFill>
                    <w14:schemeClr w14:val="tx1"/>
                  </w14:solidFill>
                </w14:textFill>
              </w:rPr>
            </w:pPr>
            <w:r>
              <w:rPr>
                <w:rFonts w:hint="default" w:ascii="??" w:hAnsi="??" w:eastAsia="??" w:cs="??"/>
                <w:b/>
                <w:bCs/>
                <w:i w:val="0"/>
                <w:iCs w:val="0"/>
                <w:color w:val="000000" w:themeColor="text1"/>
                <w:kern w:val="0"/>
                <w:sz w:val="22"/>
                <w:szCs w:val="22"/>
                <w:u w:val="none"/>
                <w:lang w:val="en-US" w:eastAsia="zh-CN" w:bidi="ar"/>
                <w14:textFill>
                  <w14:solidFill>
                    <w14:schemeClr w14:val="tx1"/>
                  </w14:solidFill>
                </w14:textFill>
              </w:rPr>
              <w:t>公寓楼双电源配</w:t>
            </w:r>
          </w:p>
        </w:tc>
        <w:tc>
          <w:tcPr>
            <w:tcW w:w="1249" w:type="dxa"/>
            <w:tcBorders>
              <w:top w:val="single" w:color="000000" w:sz="4" w:space="0"/>
              <w:left w:val="nil"/>
              <w:bottom w:val="single" w:color="000000" w:sz="4" w:space="0"/>
              <w:right w:val="single" w:color="000000" w:sz="4" w:space="0"/>
            </w:tcBorders>
            <w:shd w:val="clear" w:color="auto" w:fill="C6EFCE"/>
            <w:vAlign w:val="center"/>
          </w:tcPr>
          <w:p>
            <w:pPr>
              <w:rPr>
                <w:rFonts w:hint="default" w:ascii="??" w:hAnsi="??" w:eastAsia="??" w:cs="??"/>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5-1</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柜号：CH1、CH16</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进线柜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备注:公寓楼双电源配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真空断路器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VS1-12 1250-25KA 手车式</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7179.48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7179.48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河南长征</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微机保护装置</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WGB-870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许继电气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高压熔断器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XRNP1-12 12/0.5A（带支架）</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46.62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93.24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苏熔电气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JDZ10-10 10/0.1/0.22KV 50/2000VA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2086.80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2086.80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LZZBJ9-10 600/5A 0.2S/0.5/5P20 20/20/30VA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932.40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2797.20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避雷器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HY5WZ-17/45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新月电气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开关状态仪</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42L6-A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17.088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1213.93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49.84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3540.63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40*6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497.28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高压柜壳体</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800*1500*2300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国内优质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小母线</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XMX-1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31074.26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2796.68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3107.43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36978.37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73956.74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5-2</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柜号：CH2、CH15</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计量柜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备注:公寓楼双电源配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LZZBJ9-10 0.2S</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1154.40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高压熔断器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XRNP1-12 12/0.5A（带支架）</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46.62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139.86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苏熔电气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JDZ10-10 10/0.1KV 0.2</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754.80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1509.60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开关状态仪</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17.088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1213.93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5058.05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40*6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497.28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高压柜壳体</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800*1500*2300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国内优质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小母线</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XMX-1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18186.72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1636.80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1818.67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21642.20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43284.39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5-3</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柜号：CH3</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PT柜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备注:公寓楼双电源配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熔断器+避雷器手车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10KV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高压熔断器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XRNP1-12 12/0.5A（带支架）</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46.62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139.86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苏熔电气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JSZGF-10 0.2/0.5/6P 60/90/120VA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3418.80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3418.80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微机保护装置</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WGB-870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许继电气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开关状态仪</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避雷器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HY5WZ-17/45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新月电气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42L6-V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万能转换开关</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LW5-16/3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28.44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28.44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17.088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1213.93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49.84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3540.63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40*6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497.28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高压柜壳体</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800*1500*2300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国内优质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小母线</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XMX-1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23836.64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2145.30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2383.66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28365.60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28365.60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5-4</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柜号：CH14</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PT柜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备注:公寓楼双电源配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熔断器+避雷器手车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10KV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高压熔断器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XRNP1-12 12/0.5A（带支架）</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46.62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139.86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苏熔电气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JSZGF-10 0.2/0.5/6P 60/90/120VA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3418.80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3418.80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开关状态仪</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避雷器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HY5WZ-17/45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新月电气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42L6-V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万能转换开关</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LW5-16/3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28.44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28.44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17.088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1213.93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49.84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3540.63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40*6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497.28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高压柜壳体</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800*1500*2300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国内优质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小母线</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XMX-1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18952.64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1705.74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1895.26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22553.64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22553.64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5-5</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柜号：CH4~7、CH10~13</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馈线柜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备注:公寓楼双电源配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真空断路器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VS1-12 1250-25KA 手车式</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7179.48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7179.48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河南长征</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LZZBJ9-10 */5A 0.2S/0.5/5P20 20/20/30VA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843.60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2530.80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避雷器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HY5WZ-17/45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新月电气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微机保护装置</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WGB-870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许继电气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42L6-A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开关状态仪</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接地刀</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JN15-10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龙键配套</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零序互感器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LJK-120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17.088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1213.93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39.872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2832.51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40*6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497.28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高压柜壳体</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800*1500*2300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国内优质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小母线</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XMX-1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28807.70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2592.69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2880.77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34281.16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274249.30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5-6</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柜号：CH8</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分段柜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备注:公寓楼双电源配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真空断路器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VS1-12 1250-25KA 手车式</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7179.48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7179.48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河南长征</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微机保护装置</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WGB-870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许继电气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LZZBJ9-10 600/5A 0.5/5P20 20/30VA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754.80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避雷器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HY5WZ-17/45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新月电气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开关状态仪</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42L6-A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17.088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1213.93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49.84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3540.63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40*6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497.28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高压柜壳体</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800*1500*2300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国内优质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小母线</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XMX-1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28361.42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2552.53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2836.14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33750.09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33750.09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5-7</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柜号：CH9</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隔离柜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备注:公寓楼双电源配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隔离手车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1250A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3996.00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3996.00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开关状态仪</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42L6-A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17.088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1213.93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49.84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3540.63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40*6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497.28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高压柜壳体</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800*1500*2300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国内优质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小母线</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XMX-1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17883.02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1609.47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1788.30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21280.79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21280.79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5-10</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柜号：1CL1、2CL1</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电源进线柜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备注:公寓楼双电源配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智能框架断路器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NXA32N25-MD3-AC230V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12991.55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12991.55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三锁二钥匙</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BH-0.66Ⅰ 2500/5 φ120 0.5级</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102.12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408.48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49.56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万能转换开关</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LW5-16/3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28.44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28.44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天正电气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交流微型断路器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NXB-63 4P C63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电涌保护器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NXU-Ⅱ 100kA/275V 4P</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NXM-63H/3300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106.84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427.36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250/5 以下</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213.12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99T1-A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159.84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2427.86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4.5568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323.72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9104.49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40*6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6.408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455.22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125A 三极 1单元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399.60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1598.40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15*3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4.806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341.42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三极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40*6  2/1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低压进线柜（GCS）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FC-500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32963.85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2966.75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3296.39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26</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39226.98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78453.96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5-11</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柜号：3CL1、4CL1</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电源进线柜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备注:公寓楼双电源配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智能框架断路器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NXA32N25-MD3-AC230V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12991.55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12991.55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三锁二钥匙</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BH-0.66Ⅰ 2500/5 φ120 0.5级</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102.12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408.48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49.56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万能转换开关</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LW5-16/3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28.44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28.44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天正电气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交流微型断路器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NXB-63 4P C63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电涌保护器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NXU-Ⅱ 100kA/275V 4P</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2427.86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4.5568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323.72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9104.49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低压进线柜（GCS）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FC-500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29502.09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2655.19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2950.21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35107.49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70214.97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5-12</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柜号：1CL2、2CL2、3CL2、4CL2</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低压电容柜(360kvar）</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备注:公寓楼双电源配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隔离开关熔断器组</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HH15-800A/3（QSA）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2301.34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2301.34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50I 800/5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39.96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119.88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49.56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交流微型断路器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NXB-63 4P C63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电涌保护器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NXU-Ⅱ 100kA/275V 4P</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交流微型断路器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NXB-63 3P D63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25.81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309.72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热过载继电器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JR36-63/40~63A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49.91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598.92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切换电容器交流接触器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CJ19-63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1598.40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电抗器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CKSG-2.1/0.45-7%</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427.57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5130.84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低压并联电容器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BSMJ0.45 30-3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159.84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1918.08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功率因数控制器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JKW5C-12</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2427.86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4.5568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323.72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TMY-40*10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24.92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1770.32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铜线</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TX-1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42.62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511.44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低压电容柜（GCS）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FC-750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666.00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666.00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21344.75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1921.03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2134.48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25400.25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101601.01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5-13</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柜号：1CL3、2CL3</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备注:公寓楼双电源配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NXM-250H/3340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262.62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262.62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NXM-250H/3200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221.67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443.34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NXM-125H/3340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173.67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347.34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NXM-125H/3200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132.72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663.60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250/5 以下</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532.80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330.40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TMY-100*6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10.68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758.71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250A 三极 1单元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125A 三极 1单元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399.60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2797.20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三极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2353.20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2353.20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TMY-20*3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4.806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341.42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TMY-15*3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8.4105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597.48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16761.19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1508.51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1676.12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19945.82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39891.63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5-14</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柜号：1CL4、2CL4</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备注:公寓楼双电源配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NXM-400S/3340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514.88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1544.64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NXM-400S/3200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425.93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425.93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NXM-250H/3340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262.62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525.24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NXM-250H/3200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221.67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221.67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400/5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250/5 以下</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159.84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346.92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TMY-100*6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10.68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758.71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400A 三极 2单元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2308.80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250A 三极 1单元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三极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2353.20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2353.20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16.02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1138.06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TMY-20*3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4.806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341.42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17723.91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1595.15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1772.39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21091.45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42182.91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5-15</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柜号：1CL5、2CL5</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备注:公寓楼双电源配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NXM-400S/3340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514.88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514.88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NXM-400S/3200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425.93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425.93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NXM-250H/3340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262.62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262.62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NXM-250H/3200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221.67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665.01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NXM-125H/3340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173.67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173.67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NXM-125H/3200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132.72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132.72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400/5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250/5 以下</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319.68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396.48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400A 三极 2单元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1154.40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250A 三极 1单元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1953.60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125A 三极 1单元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399.60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三极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569.03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TMY-20*3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6.408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455.22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TMY-15*3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2.403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170.71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17657.48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1589.17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1765.75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28</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21012.40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42024.80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5-16</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柜号：1CL6、2CL6</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备注:公寓楼双电源配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NXM-400S/3340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514.88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1544.64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NXM-250H/3200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221.67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1108.35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400/5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199.80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250/5 以下</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396.48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400A 三极 2单元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1731.60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250A 三极 1单元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2442.00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三极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12.015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853.55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TMY-20*3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569.03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18642.98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1677.87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1864.30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22185.15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44370.29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5-17</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柜号：1CL7、2CL7</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备注:公寓楼双电源配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NXM-400S/3340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514.88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514.88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NXM-250H/3200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221.67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221.67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NXM-125H/3340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173.67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521.01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NXM-125H/3200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132.72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398.16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400/5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66.60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250/5 以下</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372.96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396.48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400A 三极 2单元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250A 三极 1单元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125A 三极 1单元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399.60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2397.60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三极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4.005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284.52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TMY-20*3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1.602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113.81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TMY-15*3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7.209</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512.13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16396.55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1475.69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1639.66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26</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19511.89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39023.79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5-18</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柜号：1CL8、2CL8</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备注:公寓楼双电源配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智能框架断路器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NXA20N08-MD3-AC230V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7531.65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15063.30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NXM-250H/3340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262.62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262.62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60I 800/5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39.96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239.76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250/5 以下</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53.28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148.68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250A 三极 1单元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TMY-60*6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64.08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4552.24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TMY-20*4</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2.136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151.74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27227.50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2450.48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2722.75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32400.73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64801.45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5-19</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柜号：1CL9、2CL9</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备注:公寓楼双电源配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NXM-400S/3340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514.88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514.88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NXM-400S/3200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425.93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425.93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NXM-250H/3340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262.62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1313.10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400/5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250/5 以下</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346.92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400A 三极 2单元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1154.40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250A 三极 1单元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2442.00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三极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569.03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TMY-20*3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569.03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17266.02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1553.94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1726.60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20546.56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41093.13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5-20</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柜号：1CL10、3CL9</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联络柜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备注:公寓楼双电源配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智能框架断路器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NXA32N25-MD3-AC230V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12991.55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12991.55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三锁二钥匙</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BH-0.66Ⅰ 2500/5 φ120 0.5级</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102.12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306.36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49.56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万能转换开关</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LW5-16/3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28.44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28.44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天正电气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2427.86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4.5568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323.72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9104.49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低压进线柜（GCS）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FC-500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28978.10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2608.03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2897.81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34483.94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68967.88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5-21</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柜号：3CL3、4CL3</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备注:公寓楼双电源配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NXM-400S/3340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514.88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1544.64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NXM-250H/3340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262.62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262.62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NXM-250H/3200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221.67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665.01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400/5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199.80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250/5 以下</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213.12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346.92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400A 三极 2单元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1731.60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250A 三极 1单元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1953.60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三极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12.015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853.55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TMY-20*3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6.408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455.22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17757.21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1598.15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1775.72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21131.08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42262.16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5-22</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柜号：3CL4、4CL4</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备注:公寓楼双电源配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NXM-250H/3340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262.62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1313.10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NXM-125H/3340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173.67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694.68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250/5 以下</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27</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479.52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27</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446.04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TMY-100*6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10.68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758.71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250A 三极 1单元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2442.00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125A 三极 1单元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399.60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1598.40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三极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2353.20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2353.20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TMY-20*3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569.03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TMY-15*3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4.806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341.42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16863.98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1517.76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1686.40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20068.14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40136.27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5-23</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柜号：3CL5、4CL5</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备注:公寓楼双电源配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NXM-400S/3340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514.88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514.88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NXM-400S/3200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425.93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425.93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NXM-250H/3340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262.62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262.62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NXM-250H/3200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221.67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221.67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NXM-125H/3340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173.67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694.68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400/5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250/5 以下</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319.68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396.48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400A 三极 2单元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1154.40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250A 三极 1单元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976.80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125A 三极 1单元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399.60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1598.40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三极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569.03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TMY-20*3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3.204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227.61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TMY-15*3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4.806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341.42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17367.93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1563.11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1736.79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27</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20667.84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41335.67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5-24</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柜号：3CL6、4CL6</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备注:公寓楼双电源配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NXM-630S/3200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654.19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654.19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NXM-630S/3340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743.14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2229.42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40I 600/5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372.96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198.24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630A 三极 3单元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754.80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3019.20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三极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17826.04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1604.34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1782.60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21212.99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42425.98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5-25</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柜号：3CL7、4CL7</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备注:公寓楼双电源配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NXM-630S/3340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743.14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743.14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NXM-400S/3340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514.88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1029.76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NXM-400S/3200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425.93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425.93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NXM-125H/3340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173.67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347.34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40I 600/5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93.24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400/5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199.80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250/5 以下</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297.36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630A 三极 3单元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754.80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754.80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400A 三极 2单元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1731.60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125A 三极 1单元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399.60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三极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6.408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455.22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12.015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853.55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TMY-15*3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2.403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170.71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17539.34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1578.54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1753.93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27</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20871.81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41743.63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5-26</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柜号：3CL8、4CL8</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备注:公寓楼双电源配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NXM-400S/3340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514.88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1544.64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NXM-400S/3200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425.93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425.93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NXM-250H/3340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262.62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525.24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NXM-250H/3200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221.67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221.67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400/5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250/5 以下</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159.84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346.92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TMY-100*6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10.68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758.71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400A 三极 2单元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2308.80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250A 三极 1单元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三极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2353.20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2353.20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16.02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1138.06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TMY-20*3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4.806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341.42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17723.91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1595.15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1772.39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21091.45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42182.91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14307" w:type="dxa"/>
            <w:gridSpan w:val="8"/>
            <w:tcBorders>
              <w:top w:val="single" w:color="000000" w:sz="4" w:space="0"/>
              <w:left w:val="single" w:color="000000" w:sz="4" w:space="0"/>
              <w:bottom w:val="single" w:color="000000" w:sz="4" w:space="0"/>
              <w:right w:val="nil"/>
            </w:tcBorders>
            <w:shd w:val="clear" w:color="auto" w:fill="C6EFCE"/>
            <w:noWrap/>
            <w:vAlign w:val="center"/>
          </w:tcPr>
          <w:p>
            <w:pPr>
              <w:keepNext w:val="0"/>
              <w:keepLines w:val="0"/>
              <w:widowControl/>
              <w:suppressLineNumbers w:val="0"/>
              <w:jc w:val="left"/>
              <w:textAlignment w:val="center"/>
              <w:rPr>
                <w:rFonts w:hint="default" w:ascii="??" w:hAnsi="??" w:eastAsia="??" w:cs="??"/>
                <w:b/>
                <w:bCs/>
                <w:i w:val="0"/>
                <w:iCs w:val="0"/>
                <w:color w:val="000000" w:themeColor="text1"/>
                <w:sz w:val="22"/>
                <w:szCs w:val="22"/>
                <w:u w:val="none"/>
                <w14:textFill>
                  <w14:solidFill>
                    <w14:schemeClr w14:val="tx1"/>
                  </w14:solidFill>
                </w14:textFill>
              </w:rPr>
            </w:pPr>
            <w:r>
              <w:rPr>
                <w:rFonts w:hint="default" w:ascii="??" w:hAnsi="??" w:eastAsia="??" w:cs="??"/>
                <w:b/>
                <w:bCs/>
                <w:i w:val="0"/>
                <w:iCs w:val="0"/>
                <w:color w:val="000000" w:themeColor="text1"/>
                <w:kern w:val="0"/>
                <w:sz w:val="22"/>
                <w:szCs w:val="22"/>
                <w:u w:val="none"/>
                <w:lang w:val="en-US" w:eastAsia="zh-CN" w:bidi="ar"/>
                <w14:textFill>
                  <w14:solidFill>
                    <w14:schemeClr w14:val="tx1"/>
                  </w14:solidFill>
                </w14:textFill>
              </w:rPr>
              <w:t>公寓楼单电源配</w:t>
            </w:r>
          </w:p>
        </w:tc>
        <w:tc>
          <w:tcPr>
            <w:tcW w:w="1249" w:type="dxa"/>
            <w:tcBorders>
              <w:top w:val="single" w:color="000000" w:sz="4" w:space="0"/>
              <w:left w:val="nil"/>
              <w:bottom w:val="single" w:color="000000" w:sz="4" w:space="0"/>
              <w:right w:val="single" w:color="000000" w:sz="4" w:space="0"/>
            </w:tcBorders>
            <w:shd w:val="clear" w:color="auto" w:fill="C6EFCE"/>
            <w:vAlign w:val="center"/>
          </w:tcPr>
          <w:p>
            <w:pPr>
              <w:rPr>
                <w:rFonts w:hint="default" w:ascii="??" w:hAnsi="??" w:eastAsia="??" w:cs="??"/>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6-1</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柜号：DH1</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进线柜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备注:公寓楼单电源配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真空断路器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VS1-12 1250-25KA 手车式</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7179.48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7179.48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河南长征</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微机保护装置</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WGB-870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许继电气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高压熔断器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XRNP1-12 12/0.5A（带支架）</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46.62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93.24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苏熔电气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JDZ10-10 10/0.1/0.22KV 50/2000VA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2086.80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2086.80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LZZBJ9-10 400/5A 0.2S/0.5/5P20 20/20/30VA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843.60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2530.80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避雷器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HY5WZ-17/45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新月电气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开关状态仪</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42L6-A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17.088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1213.93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49.84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3540.63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40*6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497.28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高压柜壳体</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800*1500*2300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国内优质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小母线</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XMX-1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30807.86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2772.71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3080.79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36661.35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36661.35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6-2</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柜号：DH2</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计量柜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备注:公寓楼单电源配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LZZBJ9-10 0.2S</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1154.40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高压熔断器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XRNP1-12 12/0.5A（带支架）</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46.62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139.86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JDZ10-10 10/0.1KV 0.2</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754.80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1509.60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开关状态仪</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17.088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1213.93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5058.05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40*6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497.28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高压柜壳体</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800*1500*2300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国内优质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小母线</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XMX-1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18186.72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1636.80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1818.67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21642.20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21642.20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6-3</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柜号：DH3</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PT柜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备注:公寓楼单电源配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熔断器+避雷器手车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10KV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高压熔断器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XRNP1-12 12/0.5A（带支架）</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46.62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139.86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苏熔电气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JSZGF-10 0.2/0.5/6P 60/90/120VA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3418.80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3418.80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微机保护装置</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WGB-870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许继电气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开关状态仪</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避雷器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HY5WZ-17/45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新月电气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42L6-V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万能转换开关</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LW5-16/3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28.44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28.44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17.088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1213.93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49.84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3540.63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40*6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497.28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高压柜壳体</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800*1500*2300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国内优质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小母线</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XMX-1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23836.64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2145.30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2383.66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28365.60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28365.60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6-4</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柜号：DH4~8</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KYN28A-12</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馈线柜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备注:公寓楼单电源配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真空断路器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VS1-12 1250-25KA 手车式</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7179.48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7179.48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河南长征</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LZZBJ9-10 */5A 0.2S/0.5/5P20 20/20/30VA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843.60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2530.80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避雷器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HY5WZ-17/45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146.52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新月电气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微机保护装置</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WGB-870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4884.00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许继电气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42L6-A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21.58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开关状态仪</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杭州超电</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接地刀</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JN15-10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龙键配套</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零序互感器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LJK-120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济源高新</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17.088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1213.93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39.872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2832.51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40*6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497.28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高压柜壳体</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800*1500*2300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5994.00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国内优质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小母线</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XMX-1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RG-1200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1065.60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28807.70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2592.69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2880.77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34281.16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171405.82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6-7</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柜号：5DL1、6DL1</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电源进线柜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备注:公寓楼单电源配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智能框架断路器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NXA32N25-MD3-AC230V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12991.55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12991.55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三锁二钥匙</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BH-0.66Ⅰ 2500/5 φ120 0.5级</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102.12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408.48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49.56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万能转换开关</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LW5-16/3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28.44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28.44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天正电气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交流微型断路器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NXB-63 4P C63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电涌保护器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NXU-Ⅱ 100kA/275V 4P</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NXM-63H/3300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106.84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427.36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250/5 以下</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213.12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99T1-A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159.84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2427.86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4.5568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323.72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9104.49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40*6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6.408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455.22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125A 三极 1单元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399.60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1598.40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 15*3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4.806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341.42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三极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40*6  2/1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266.40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低压进线柜（GCS）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FC-500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32963.85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2966.75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3296.39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26</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39226.98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78453.96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6-8</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柜号：7DL1、8DL1</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电源进线柜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备注:公寓楼单电源配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智能框架断路器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NXA32N25-MD3-AC230V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12991.55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12991.55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三锁二钥匙</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BH-0.66Ⅰ 2500/5 φ120 0.5级</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102.12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408.48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49.56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万能转换开关</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LW5-16/3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28.44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28.44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天正电气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交流微型断路器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NXB-63 4P C63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电涌保护器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NXU-Ⅱ 100kA/275V 4P</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2427.86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4.5568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323.72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9104.49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低压进线柜（GCS）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FC-500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29502.09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2655.19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2950.21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35107.49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70214.97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6-9</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柜号：5DL2、6DL2、7DL2、8DL2</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低压电容柜(360kvar）</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备注:公寓楼单电源配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隔离开关熔断器组</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HH15-800A/3（QSA）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2301.34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2301.34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50I 800/5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39.96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119.88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49.56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交流微型断路器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NXB-63 4P C63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32.23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电涌保护器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NXU-Ⅱ 100kA/275V 4P</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389.64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交流微型断路器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NXB-63 3P D63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25.81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309.72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热过载继电器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JR36-63/40~63A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49.91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598.92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切换电容器交流接触器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CJ19-63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1598.40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电抗器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CKSG-2.1/0.45-7%</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427.57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5130.84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低压并联电容器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BSMJ0.45 30-3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159.84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1918.08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功率因数控制器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JKW5C-12</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佑朗电气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2427.86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4.5568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323.72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TMY-40*10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24.92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1770.32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铜线</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TX-1</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组</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42.62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511.44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低压电容柜（GCS）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FC-750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666.00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666.00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21344.75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1921.03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2134.48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25400.25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101601.01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6-10</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柜号：5DL3~4、6DL3~4、7DL3</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备注:公寓楼单电源配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NXM-800S/3340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1013.76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4055.04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40I 800/5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372.96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198.24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44.856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3186.57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800A 三极 3单元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932.40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3729.60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三极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TMY-40*8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2427.86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22590.95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2033.19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2259.10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26883.23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134416.15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6-11</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柜号：5DL5</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备注:公寓楼单电源配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NXM-400S/3340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514.88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2574.40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400/5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333.00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247.80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TMY-100*6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10.68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758.71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400A 三极 2单元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2886.00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三极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2353.20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2353.20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20.025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1422.58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16443.57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1479.92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1644.36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19567.85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19567.85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6-12</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柜号：5DL6、7DL6</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联络柜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备注:公寓楼单电源配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智能框架断路器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NXA32N25-MD3-AC230V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12991.55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12991.55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三锁二钥匙</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BH-0.66Ⅰ 2500/5 φ120 0.5级</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102.12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306.36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49.56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电压表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万能转换开关</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LW5-16/3</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28.44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28.44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天正电气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2427.86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4.5568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323.72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9104.49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低压进线柜（GCS）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2264.40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FC-500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444.00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28978.10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2608.03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2897.81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34483.94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68967.88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6-13</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柜号：6DL5</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备注:公寓楼单电源配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NXM-630S/3340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743.14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1486.28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NXM-400S/3340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514.88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1029.76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40I 600/5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186.48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400/5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133.20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297.36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630A 三极 3单元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754.80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1509.60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400A 三极 2单元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1154.40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三极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569.03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16807.69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1512.69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1680.77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20001.15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20001.15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6-14</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柜号：7DL4</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备注:公寓楼单电源配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智能框架断路器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NXA20N10-MD3-AC230V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7833.80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7833.80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智能框架断路器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NXA20N08-MD3-AC230V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7531.65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7531.65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NXM-400S/3340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514.88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514.88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80I 1000/5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173.16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40I 800/5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93.24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400/5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66.60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148.68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400A 三极 2单元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三极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TMY-60*8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51.264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3641.79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TMY-40*8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8.544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606.97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4.806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341.42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31060.52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2795.45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3106.05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36962.02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36962.02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6-15</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柜号：7DL5、8DL4</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备注:公寓楼单电源配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智能框架断路器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NXA20N10-MD3-AC230V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7833.80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15667.60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80I 1000/5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346.32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99.12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TMY-60*8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85.44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6069.66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28961.03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2606.49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2896.10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34463.63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68927.25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6-16</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柜号：8DL3</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备注:公寓楼单电源配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NXM-630S/3340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743.14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1486.28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NXM-800S/3340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1013.76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2027.52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40I 600/5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186.48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800/5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39.96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239.76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297.36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630A 三极 3单元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754.80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1509.60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800A 三极 3单元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932.40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1864.80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三极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TMY-40*8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17.088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1213.93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19267.31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1734.06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1926.73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22928.10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22928.10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540" w:hRule="atLeast"/>
          <w:jc w:val="center"/>
        </w:trPr>
        <w:tc>
          <w:tcPr>
            <w:tcW w:w="700" w:type="dxa"/>
            <w:tcBorders>
              <w:top w:val="single" w:color="000000" w:sz="4" w:space="0"/>
              <w:left w:val="single" w:color="000000" w:sz="4" w:space="0"/>
              <w:bottom w:val="single" w:color="000000" w:sz="4" w:space="0"/>
              <w:right w:val="nil"/>
            </w:tcBorders>
            <w:shd w:val="clear" w:color="auto" w:fill="CC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6-17</w:t>
            </w:r>
          </w:p>
        </w:tc>
        <w:tc>
          <w:tcPr>
            <w:tcW w:w="280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柜号：8DL5</w:t>
            </w:r>
          </w:p>
        </w:tc>
        <w:tc>
          <w:tcPr>
            <w:tcW w:w="3889"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w:t>
            </w:r>
          </w:p>
        </w:tc>
        <w:tc>
          <w:tcPr>
            <w:tcW w:w="3296" w:type="dxa"/>
            <w:gridSpan w:val="3"/>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GCS</w:t>
            </w:r>
          </w:p>
        </w:tc>
        <w:tc>
          <w:tcPr>
            <w:tcW w:w="1362"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名称：</w:t>
            </w:r>
          </w:p>
        </w:tc>
        <w:tc>
          <w:tcPr>
            <w:tcW w:w="2260" w:type="dxa"/>
            <w:tcBorders>
              <w:top w:val="single" w:color="000000" w:sz="4" w:space="0"/>
              <w:left w:val="nil"/>
              <w:bottom w:val="single" w:color="000000" w:sz="4" w:space="0"/>
              <w:right w:val="nil"/>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低压出线柜</w:t>
            </w:r>
          </w:p>
        </w:tc>
        <w:tc>
          <w:tcPr>
            <w:tcW w:w="1249" w:type="dxa"/>
            <w:tcBorders>
              <w:top w:val="single" w:color="000000" w:sz="4" w:space="0"/>
              <w:left w:val="nil"/>
              <w:bottom w:val="single" w:color="000000" w:sz="4" w:space="0"/>
              <w:right w:val="single" w:color="000000" w:sz="4" w:space="0"/>
            </w:tcBorders>
            <w:shd w:val="clear" w:color="auto" w:fill="CC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备注:公寓楼单电源配</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280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元件名称</w:t>
            </w:r>
          </w:p>
        </w:tc>
        <w:tc>
          <w:tcPr>
            <w:tcW w:w="388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型号规格</w:t>
            </w:r>
          </w:p>
        </w:tc>
        <w:tc>
          <w:tcPr>
            <w:tcW w:w="79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w:t>
            </w:r>
          </w:p>
        </w:tc>
        <w:tc>
          <w:tcPr>
            <w:tcW w:w="1187"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数量</w:t>
            </w:r>
          </w:p>
        </w:tc>
        <w:tc>
          <w:tcPr>
            <w:tcW w:w="1319"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   价</w:t>
            </w:r>
          </w:p>
        </w:tc>
        <w:tc>
          <w:tcPr>
            <w:tcW w:w="1362"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   价</w:t>
            </w:r>
          </w:p>
        </w:tc>
        <w:tc>
          <w:tcPr>
            <w:tcW w:w="2260" w:type="dxa"/>
            <w:tcBorders>
              <w:top w:val="single" w:color="000000" w:sz="4" w:space="0"/>
              <w:left w:val="nil"/>
              <w:bottom w:val="nil"/>
              <w:right w:val="single" w:color="000000" w:sz="4" w:space="0"/>
            </w:tcBorders>
            <w:shd w:val="clear" w:color="auto" w:fill="D9D9D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生产厂家</w:t>
            </w:r>
          </w:p>
        </w:tc>
        <w:tc>
          <w:tcPr>
            <w:tcW w:w="1249" w:type="dxa"/>
            <w:tcBorders>
              <w:top w:val="single" w:color="000000" w:sz="4" w:space="0"/>
              <w:left w:val="nil"/>
              <w:bottom w:val="nil"/>
              <w:right w:val="single" w:color="000000" w:sz="4" w:space="0"/>
            </w:tcBorders>
            <w:shd w:val="clear" w:color="auto" w:fill="D9D9D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智能框架断路器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NXA20N10-MD3-AC230V</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7833.80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7833.80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NXM-630S/3340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743.14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743.14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交流塑壳断路器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NXM-400S/3340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514.88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514.88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正泰电器</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80I 1000/5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173.16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40I 600/5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31.08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93.24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电流互感器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BH-0.66 30I 400/5 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66.60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电流表</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6L2-A</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16.52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148.68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三奥电气</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TMY-120*10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25.632</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1820.90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TMY-80*8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3.4176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242.79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12.816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910.45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TMY-50*5</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6.675</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474.19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低压抽屉柜（GCS）</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600*1000*2200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1820.40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400A 三极 2单元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577.20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抽屉单元</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600A 三极 3单元</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666.00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666.00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垂直排 三极</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2752.80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龙键电力</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16</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铜排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TMY-60*8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51.264</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3641.79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TMY-30*8</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6.408</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455.22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抽屉排</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TMY-30*6</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kg</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4.806</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341.42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洛铜集团</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辅材</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FC-800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710.40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人工</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RG-900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项</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799.20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21</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小计</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24786.26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22</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管理费</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2230.76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23</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利润</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2478.63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24</w:t>
            </w:r>
          </w:p>
        </w:tc>
        <w:tc>
          <w:tcPr>
            <w:tcW w:w="2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税率</w:t>
            </w:r>
          </w:p>
        </w:tc>
        <w:tc>
          <w:tcPr>
            <w:tcW w:w="3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0.00 </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25</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单台合计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29495.65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总计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righ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29495.65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15556" w:type="dxa"/>
            <w:gridSpan w:val="9"/>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sz w:val="22"/>
                <w:szCs w:val="22"/>
                <w:u w:val="none"/>
                <w14:textFill>
                  <w14:solidFill>
                    <w14:schemeClr w14:val="tx1"/>
                  </w14:solidFill>
                </w14:textFill>
              </w:rPr>
              <w:t>变压器</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序号</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柜号</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箱柜名称</w:t>
            </w: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单位</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数量</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单价</w:t>
            </w: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总价</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生产厂家</w:t>
            </w: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备注</w:t>
            </w: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7-1</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干式变压器（含外壳）</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SCB11-1250KVA</w:t>
            </w: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12</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 xml:space="preserve">99088.14 </w:t>
            </w: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 xml:space="preserve">1189057.68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天力</w:t>
            </w:r>
            <w:r>
              <w:rPr>
                <w:rFonts w:hint="eastAsia" w:ascii="宋体" w:hAnsi="宋体" w:cs="宋体"/>
                <w:i w:val="0"/>
                <w:iCs w:val="0"/>
                <w:color w:val="000000"/>
                <w:kern w:val="0"/>
                <w:sz w:val="22"/>
                <w:szCs w:val="22"/>
                <w:u w:val="none"/>
                <w:lang w:val="en-US" w:eastAsia="zh-CN" w:bidi="ar"/>
              </w:rPr>
              <w:t>纯铜</w:t>
            </w: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7-2</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干式变压器（含外壳）</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SCB11-1000KVA</w:t>
            </w: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 xml:space="preserve">89708.98 </w:t>
            </w: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 xml:space="preserve">89708.98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天力</w:t>
            </w:r>
            <w:r>
              <w:rPr>
                <w:rFonts w:hint="eastAsia" w:ascii="宋体" w:hAnsi="宋体" w:cs="宋体"/>
                <w:i w:val="0"/>
                <w:iCs w:val="0"/>
                <w:color w:val="000000"/>
                <w:kern w:val="0"/>
                <w:sz w:val="22"/>
                <w:szCs w:val="22"/>
                <w:u w:val="none"/>
                <w:lang w:val="en-US" w:eastAsia="zh-CN" w:bidi="ar"/>
              </w:rPr>
              <w:t>纯铜</w:t>
            </w: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7-3</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干式变压器（含外壳）</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SCB11-800KVA</w:t>
            </w: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 xml:space="preserve">78297.90 </w:t>
            </w: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 xml:space="preserve">469787.40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天力</w:t>
            </w:r>
            <w:r>
              <w:rPr>
                <w:rFonts w:hint="eastAsia" w:ascii="宋体" w:hAnsi="宋体" w:cs="宋体"/>
                <w:i w:val="0"/>
                <w:iCs w:val="0"/>
                <w:color w:val="000000"/>
                <w:kern w:val="0"/>
                <w:sz w:val="22"/>
                <w:szCs w:val="22"/>
                <w:u w:val="none"/>
                <w:lang w:val="en-US" w:eastAsia="zh-CN" w:bidi="ar"/>
              </w:rPr>
              <w:t>纯铜</w:t>
            </w: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7-4</w:t>
            </w: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干式变压器（含外壳）</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SCB11-630KVA</w:t>
            </w: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 xml:space="preserve">63305.16 </w:t>
            </w: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 xml:space="preserve">316525.80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天力</w:t>
            </w:r>
            <w:r>
              <w:rPr>
                <w:rFonts w:hint="eastAsia" w:ascii="宋体" w:hAnsi="宋体" w:cs="宋体"/>
                <w:i w:val="0"/>
                <w:iCs w:val="0"/>
                <w:color w:val="000000"/>
                <w:kern w:val="0"/>
                <w:sz w:val="22"/>
                <w:szCs w:val="22"/>
                <w:u w:val="none"/>
                <w:lang w:val="en-US" w:eastAsia="zh-CN" w:bidi="ar"/>
              </w:rPr>
              <w:t>纯铜</w:t>
            </w: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0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合计</w:t>
            </w:r>
          </w:p>
        </w:tc>
        <w:tc>
          <w:tcPr>
            <w:tcW w:w="388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9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台</w:t>
            </w:r>
          </w:p>
        </w:tc>
        <w:tc>
          <w:tcPr>
            <w:tcW w:w="1187"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24</w:t>
            </w:r>
          </w:p>
        </w:tc>
        <w:tc>
          <w:tcPr>
            <w:tcW w:w="1319"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62"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 xml:space="preserve">2065079.86 </w:t>
            </w:r>
          </w:p>
        </w:tc>
        <w:tc>
          <w:tcPr>
            <w:tcW w:w="2260" w:type="dxa"/>
            <w:tcBorders>
              <w:top w:val="single" w:color="000000" w:sz="4" w:space="0"/>
              <w:left w:val="single" w:color="000000" w:sz="4" w:space="0"/>
              <w:bottom w:val="single" w:color="000000" w:sz="4" w:space="0"/>
              <w:right w:val="single" w:color="000000" w:sz="4" w:space="0"/>
            </w:tcBorders>
            <w:shd w:val="clear" w:color="auto" w:fill="FFCC99"/>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49" w:type="dxa"/>
            <w:tcBorders>
              <w:top w:val="single" w:color="000000" w:sz="4" w:space="0"/>
              <w:left w:val="single" w:color="000000" w:sz="4" w:space="0"/>
              <w:bottom w:val="single" w:color="000000" w:sz="4" w:space="0"/>
              <w:right w:val="single" w:color="000000" w:sz="4" w:space="0"/>
            </w:tcBorders>
            <w:shd w:val="clear" w:color="auto" w:fill="FFCC99"/>
            <w:vAlign w:val="center"/>
          </w:tcPr>
          <w:p>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bl>
    <w:p>
      <w:pPr>
        <w:pStyle w:val="2"/>
        <w:rPr>
          <w:rFonts w:hint="eastAsia"/>
          <w:color w:val="000000" w:themeColor="text1"/>
          <w:lang w:eastAsia="zh-CN"/>
          <w14:textFill>
            <w14:solidFill>
              <w14:schemeClr w14:val="tx1"/>
            </w14:solidFill>
          </w14:textFill>
        </w:rPr>
      </w:pPr>
    </w:p>
    <w:p>
      <w:pPr>
        <w:pStyle w:val="4"/>
        <w:jc w:val="both"/>
        <w:rPr>
          <w:rFonts w:hint="eastAsia"/>
          <w:color w:val="000000" w:themeColor="text1"/>
          <w:lang w:eastAsia="zh-CN"/>
          <w14:textFill>
            <w14:solidFill>
              <w14:schemeClr w14:val="tx1"/>
            </w14:solidFill>
          </w14:textFill>
        </w:rPr>
      </w:pPr>
    </w:p>
    <w:p>
      <w:pPr>
        <w:pStyle w:val="5"/>
        <w:rPr>
          <w:rFonts w:hint="eastAsia"/>
          <w:color w:val="000000" w:themeColor="text1"/>
          <w:lang w:eastAsia="zh-CN"/>
          <w14:textFill>
            <w14:solidFill>
              <w14:schemeClr w14:val="tx1"/>
            </w14:solidFill>
          </w14:textFill>
        </w:rPr>
        <w:sectPr>
          <w:pgSz w:w="16838" w:h="11906" w:orient="landscape"/>
          <w:pgMar w:top="1304" w:right="1304" w:bottom="1304" w:left="1304" w:header="851" w:footer="850" w:gutter="0"/>
          <w:pgNumType w:fmt="decimal"/>
          <w:cols w:space="0" w:num="1"/>
          <w:rtlGutter w:val="0"/>
          <w:docGrid w:type="lines" w:linePitch="332" w:charSpace="0"/>
        </w:sectPr>
      </w:pPr>
    </w:p>
    <w:p>
      <w:pPr>
        <w:pStyle w:val="3"/>
        <w:autoSpaceDE/>
        <w:autoSpaceDN/>
        <w:adjustRightInd/>
        <w:spacing w:line="360" w:lineRule="auto"/>
        <w:jc w:val="both"/>
        <w:rPr>
          <w:rFonts w:hint="eastAsia"/>
          <w:color w:val="000000" w:themeColor="text1"/>
          <w:lang w:eastAsia="zh-CN"/>
          <w14:textFill>
            <w14:solidFill>
              <w14:schemeClr w14:val="tx1"/>
            </w14:solidFill>
          </w14:textFill>
        </w:rPr>
      </w:pPr>
      <w:r>
        <w:rPr>
          <w:rFonts w:hint="eastAsia" w:ascii="宋体" w:hAnsi="宋体" w:cs="宋体"/>
          <w:b/>
          <w:bCs/>
          <w:color w:val="000000" w:themeColor="text1"/>
          <w:sz w:val="24"/>
          <w:szCs w:val="24"/>
          <w:highlight w:val="none"/>
          <w:lang w:eastAsia="zh-CN"/>
          <w14:textFill>
            <w14:solidFill>
              <w14:schemeClr w14:val="tx1"/>
            </w14:solidFill>
          </w14:textFill>
        </w:rPr>
        <w:t>附件</w:t>
      </w:r>
      <w:r>
        <w:rPr>
          <w:rFonts w:hint="eastAsia" w:hAnsi="宋体" w:cs="宋体"/>
          <w:b/>
          <w:bCs/>
          <w:color w:val="000000" w:themeColor="text1"/>
          <w:sz w:val="24"/>
          <w:szCs w:val="24"/>
          <w:highlight w:val="none"/>
          <w:lang w:eastAsia="zh-CN"/>
          <w14:textFill>
            <w14:solidFill>
              <w14:schemeClr w14:val="tx1"/>
            </w14:solidFill>
          </w14:textFill>
        </w:rPr>
        <w:t>五</w:t>
      </w:r>
      <w:r>
        <w:rPr>
          <w:rFonts w:hint="eastAsia" w:ascii="宋体" w:hAnsi="宋体" w:cs="宋体"/>
          <w:b/>
          <w:bCs/>
          <w:color w:val="000000" w:themeColor="text1"/>
          <w:sz w:val="24"/>
          <w:szCs w:val="24"/>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center"/>
        <w:textAlignment w:val="auto"/>
        <w:outlineLvl w:val="9"/>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廉政合作协议</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ascii="宋体" w:hAnsi="宋体" w:eastAsia="宋体" w:cs="宋体"/>
          <w:color w:val="000000" w:themeColor="text1"/>
          <w:szCs w:val="32"/>
          <w:highlight w:val="none"/>
          <w:lang w:val="en-US" w:eastAsia="zh-CN"/>
          <w14:textFill>
            <w14:solidFill>
              <w14:schemeClr w14:val="tx1"/>
            </w14:solidFill>
          </w14:textFill>
        </w:rPr>
      </w:pPr>
      <w:r>
        <w:rPr>
          <w:rFonts w:hint="eastAsia" w:ascii="宋体" w:hAnsi="宋体" w:eastAsia="宋体" w:cs="宋体"/>
          <w:color w:val="000000" w:themeColor="text1"/>
          <w:szCs w:val="32"/>
          <w:highlight w:val="none"/>
          <w14:textFill>
            <w14:solidFill>
              <w14:schemeClr w14:val="tx1"/>
            </w14:solidFill>
          </w14:textFill>
        </w:rPr>
        <w:t>甲方：</w:t>
      </w:r>
      <w:r>
        <w:rPr>
          <w:rFonts w:hint="eastAsia" w:ascii="宋体" w:hAnsi="宋体" w:cs="宋体"/>
          <w:color w:val="000000" w:themeColor="text1"/>
          <w:szCs w:val="3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Cs w:val="32"/>
          <w:highlight w:val="none"/>
          <w:u w:val="single"/>
          <w14:textFill>
            <w14:solidFill>
              <w14:schemeClr w14:val="tx1"/>
            </w14:solidFill>
          </w14:textFill>
        </w:rPr>
        <w:t>洛阳浩德鑫置地有限公司</w:t>
      </w:r>
      <w:r>
        <w:rPr>
          <w:rFonts w:hint="eastAsia" w:ascii="宋体" w:hAnsi="宋体" w:cs="宋体"/>
          <w:color w:val="000000" w:themeColor="text1"/>
          <w:szCs w:val="32"/>
          <w:highlight w:val="none"/>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right="0" w:rightChars="0"/>
        <w:jc w:val="both"/>
        <w:textAlignment w:val="auto"/>
        <w:outlineLvl w:val="9"/>
        <w:rPr>
          <w:rFonts w:hint="eastAsia" w:ascii="宋体" w:hAnsi="宋体" w:eastAsia="宋体" w:cs="宋体"/>
          <w:color w:val="000000" w:themeColor="text1"/>
          <w:szCs w:val="32"/>
          <w:highlight w:val="none"/>
          <w14:textFill>
            <w14:solidFill>
              <w14:schemeClr w14:val="tx1"/>
            </w14:solidFill>
          </w14:textFill>
        </w:rPr>
      </w:pPr>
      <w:r>
        <w:rPr>
          <w:rFonts w:hint="eastAsia" w:ascii="宋体" w:hAnsi="宋体" w:eastAsia="宋体" w:cs="宋体"/>
          <w:color w:val="000000" w:themeColor="text1"/>
          <w:szCs w:val="32"/>
          <w:highlight w:val="none"/>
          <w14:textFill>
            <w14:solidFill>
              <w14:schemeClr w14:val="tx1"/>
            </w14:solidFill>
          </w14:textFill>
        </w:rPr>
        <w:t>乙方：</w:t>
      </w:r>
      <w:r>
        <w:rPr>
          <w:rFonts w:hint="eastAsia" w:ascii="宋体" w:hAnsi="宋体" w:eastAsia="宋体" w:cs="宋体"/>
          <w:color w:val="000000" w:themeColor="text1"/>
          <w:szCs w:val="24"/>
          <w:highlight w:val="none"/>
          <w:u w:val="single"/>
          <w14:textFill>
            <w14:solidFill>
              <w14:schemeClr w14:val="tx1"/>
            </w14:solidFill>
          </w14:textFill>
        </w:rPr>
        <w:t>河南龙键电力装备有限公司</w:t>
      </w:r>
    </w:p>
    <w:p>
      <w:pPr>
        <w:keepNext w:val="0"/>
        <w:keepLines w:val="0"/>
        <w:pageBreakBefore w:val="0"/>
        <w:widowControl w:val="0"/>
        <w:tabs>
          <w:tab w:val="left" w:pos="0"/>
        </w:tabs>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为加强工程项目建设期间的廉政管理，确保项目高效优质按期竣工，甲、乙双方经协商签定本协议并做为双方共同遵守的廉政行为准则。</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2" w:firstLineChars="200"/>
        <w:jc w:val="both"/>
        <w:textAlignment w:val="auto"/>
        <w:outlineLvl w:val="9"/>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一．甲方责任</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1．甲方有责任向乙方介绍本单位有关廉政管理的各项制度和规定。</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2．甲方有责任对本单位项目管理人员进行廉政教育。</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3．甲方人员应严格遵守本单位有关廉政管理的规定，不得接受乙方的宴请，不得接受任何形式的实物、现金或礼券。</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4．甲方在项目建设期间发现甲方人员任何形式的索贿受贿行为，均应及时采取措施予以制止，并及时通报乙方单位领导。</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5．甲方人员如违反廉政管理制度及本协议规定，甲方应视情节轻重、影响大小给予处罚。</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6．对于乙方举报甲方人员违反廉政规定的情况，甲方应及时进行调查，根据调查情况进行处理。</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2" w:firstLineChars="200"/>
        <w:jc w:val="both"/>
        <w:textAlignment w:val="auto"/>
        <w:outlineLvl w:val="9"/>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二．乙方责任</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1．乙方应保证乙方有关人员了解甲方有关廉政管理的各项制度及本协议的规定，并遵照执行。</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2．乙方不得宴请甲方人员，不得以任何形式赠送实物、现金或礼券。</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3．乙方在项目建设期间发现乙方人员任何向甲方人员行贿行为，均应及时采取措施予以制止，并及时通报甲方单位领导。</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4．乙方有责任接受甲方对乙方在项目建设期间廉政管理执行情况的监督。</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keepNext w:val="0"/>
        <w:keepLines w:val="0"/>
        <w:pageBreakBefore w:val="0"/>
        <w:widowControl w:val="0"/>
        <w:kinsoku/>
        <w:wordWrap/>
        <w:overflowPunct/>
        <w:topLinePunct w:val="0"/>
        <w:autoSpaceDE/>
        <w:autoSpaceDN/>
        <w:bidi w:val="0"/>
        <w:adjustRightInd/>
        <w:snapToGrid/>
        <w:spacing w:beforeAutospacing="0" w:afterAutospacing="0" w:line="336" w:lineRule="auto"/>
        <w:ind w:left="0" w:leftChars="0" w:right="0" w:righ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6．如因乙方或其人员在项目建设期间贿赂甲方人员，被检查机关立案查处的，甲方有权中止合同履行或解除合同，由此给甲方造成的损失，均由乙方负责赔偿。</w:t>
      </w:r>
    </w:p>
    <w:p>
      <w:pPr>
        <w:keepNext w:val="0"/>
        <w:keepLines w:val="0"/>
        <w:pageBreakBefore w:val="0"/>
        <w:widowControl w:val="0"/>
        <w:kinsoku/>
        <w:wordWrap/>
        <w:overflowPunct/>
        <w:topLinePunct w:val="0"/>
        <w:autoSpaceDE/>
        <w:autoSpaceDN/>
        <w:bidi w:val="0"/>
        <w:adjustRightInd/>
        <w:snapToGrid/>
        <w:spacing w:beforeAutospacing="0" w:afterAutospacing="0" w:line="336" w:lineRule="auto"/>
        <w:ind w:left="0" w:leftChars="0" w:right="0" w:rightChars="0" w:firstLine="482" w:firstLineChars="200"/>
        <w:jc w:val="both"/>
        <w:textAlignment w:val="auto"/>
        <w:outlineLvl w:val="9"/>
        <w:rPr>
          <w:rFonts w:hint="eastAsia" w:ascii="宋体" w:hAnsi="宋体" w:eastAsia="宋体" w:cs="宋体"/>
          <w:b/>
          <w:bCs/>
          <w:i w:val="0"/>
          <w:iCs w:val="0"/>
          <w:color w:val="000000" w:themeColor="text1"/>
          <w:sz w:val="24"/>
          <w:szCs w:val="28"/>
          <w:highlight w:val="none"/>
          <w14:textFill>
            <w14:solidFill>
              <w14:schemeClr w14:val="tx1"/>
            </w14:solidFill>
          </w14:textFill>
        </w:rPr>
      </w:pPr>
      <w:r>
        <w:rPr>
          <w:rFonts w:hint="eastAsia" w:ascii="宋体" w:hAnsi="宋体" w:eastAsia="宋体" w:cs="宋体"/>
          <w:b/>
          <w:bCs/>
          <w:i w:val="0"/>
          <w:iCs w:val="0"/>
          <w:color w:val="000000" w:themeColor="text1"/>
          <w:sz w:val="24"/>
          <w:szCs w:val="28"/>
          <w:highlight w:val="none"/>
          <w14:textFill>
            <w14:solidFill>
              <w14:schemeClr w14:val="tx1"/>
            </w14:solidFill>
          </w14:textFill>
        </w:rPr>
        <w:t>三、为维护甲乙双方的合法利益，营造良好的商务环境，甲方建立多种举报渠道（如</w:t>
      </w:r>
    </w:p>
    <w:p>
      <w:pPr>
        <w:keepNext w:val="0"/>
        <w:keepLines w:val="0"/>
        <w:pageBreakBefore w:val="0"/>
        <w:widowControl w:val="0"/>
        <w:kinsoku/>
        <w:wordWrap/>
        <w:overflowPunct/>
        <w:topLinePunct w:val="0"/>
        <w:autoSpaceDE/>
        <w:autoSpaceDN/>
        <w:bidi w:val="0"/>
        <w:adjustRightInd/>
        <w:snapToGrid/>
        <w:spacing w:beforeAutospacing="0" w:afterAutospacing="0" w:line="336" w:lineRule="auto"/>
        <w:ind w:left="0" w:leftChars="0" w:right="0" w:rightChars="0" w:firstLine="482" w:firstLineChars="200"/>
        <w:jc w:val="both"/>
        <w:textAlignment w:val="auto"/>
        <w:outlineLvl w:val="9"/>
        <w:rPr>
          <w:rFonts w:hint="eastAsia" w:ascii="宋体" w:hAnsi="宋体" w:eastAsia="宋体" w:cs="宋体"/>
          <w:b/>
          <w:bCs/>
          <w:i w:val="0"/>
          <w:iCs w:val="0"/>
          <w:color w:val="000000" w:themeColor="text1"/>
          <w:sz w:val="24"/>
          <w:szCs w:val="28"/>
          <w:highlight w:val="none"/>
          <w14:textFill>
            <w14:solidFill>
              <w14:schemeClr w14:val="tx1"/>
            </w14:solidFill>
          </w14:textFill>
        </w:rPr>
      </w:pPr>
      <w:r>
        <w:rPr>
          <w:rFonts w:hint="eastAsia" w:ascii="宋体" w:hAnsi="宋体" w:eastAsia="宋体" w:cs="宋体"/>
          <w:b/>
          <w:bCs/>
          <w:i w:val="0"/>
          <w:iCs w:val="0"/>
          <w:color w:val="000000" w:themeColor="text1"/>
          <w:sz w:val="24"/>
          <w:szCs w:val="28"/>
          <w:highlight w:val="none"/>
          <w14:textFill>
            <w14:solidFill>
              <w14:schemeClr w14:val="tx1"/>
            </w14:solidFill>
          </w14:textFill>
        </w:rPr>
        <w:t>下）。甲方</w:t>
      </w:r>
      <w:r>
        <w:rPr>
          <w:rFonts w:hint="eastAsia" w:ascii="宋体" w:hAnsi="宋体" w:eastAsia="宋体" w:cs="宋体"/>
          <w:b/>
          <w:bCs/>
          <w:i w:val="0"/>
          <w:iCs w:val="0"/>
          <w:color w:val="000000" w:themeColor="text1"/>
          <w:sz w:val="24"/>
          <w:szCs w:val="28"/>
          <w:highlight w:val="none"/>
          <w:lang w:eastAsia="zh-CN"/>
          <w14:textFill>
            <w14:solidFill>
              <w14:schemeClr w14:val="tx1"/>
            </w14:solidFill>
          </w14:textFill>
        </w:rPr>
        <w:t>审计监察</w:t>
      </w:r>
      <w:r>
        <w:rPr>
          <w:rFonts w:hint="eastAsia" w:ascii="宋体" w:hAnsi="宋体" w:eastAsia="宋体" w:cs="宋体"/>
          <w:b/>
          <w:bCs/>
          <w:i w:val="0"/>
          <w:iCs w:val="0"/>
          <w:color w:val="000000" w:themeColor="text1"/>
          <w:sz w:val="24"/>
          <w:szCs w:val="28"/>
          <w:highlight w:val="none"/>
          <w14:textFill>
            <w14:solidFill>
              <w14:schemeClr w14:val="tx1"/>
            </w14:solidFill>
          </w14:textFill>
        </w:rPr>
        <w:t>人员将恪守职业道德，严格履行保密义务！</w:t>
      </w:r>
    </w:p>
    <w:p>
      <w:pPr>
        <w:spacing w:line="360" w:lineRule="auto"/>
        <w:ind w:firstLine="480" w:firstLineChars="200"/>
        <w:rPr>
          <w:rFonts w:ascii="宋体" w:hAnsi="宋体" w:cs="宋体"/>
          <w:b w:val="0"/>
          <w:bCs/>
          <w:color w:val="000000" w:themeColor="text1"/>
          <w:sz w:val="24"/>
          <w:szCs w:val="28"/>
          <w14:textFill>
            <w14:solidFill>
              <w14:schemeClr w14:val="tx1"/>
            </w14:solidFill>
          </w14:textFill>
        </w:rPr>
      </w:pPr>
      <w:r>
        <w:rPr>
          <w:rFonts w:hint="eastAsia" w:ascii="宋体" w:hAnsi="宋体" w:cs="宋体"/>
          <w:b w:val="0"/>
          <w:bCs/>
          <w:color w:val="000000" w:themeColor="text1"/>
          <w:sz w:val="24"/>
          <w:szCs w:val="28"/>
          <w14:textFill>
            <w14:solidFill>
              <w14:schemeClr w14:val="tx1"/>
            </w14:solidFill>
          </w14:textFill>
        </w:rPr>
        <w:t>（1）微信小程序举报（扫描右侧二维码进入程序，举报信息直达董事长）；</w:t>
      </w:r>
    </w:p>
    <w:p>
      <w:pPr>
        <w:spacing w:line="360" w:lineRule="auto"/>
        <w:ind w:firstLine="482" w:firstLineChars="200"/>
        <w:rPr>
          <w:rFonts w:ascii="宋体" w:hAnsi="宋体" w:cs="宋体"/>
          <w:color w:val="000000" w:themeColor="text1"/>
          <w:sz w:val="24"/>
          <w:szCs w:val="28"/>
          <w14:textFill>
            <w14:solidFill>
              <w14:schemeClr w14:val="tx1"/>
            </w14:solidFill>
          </w14:textFill>
        </w:rPr>
      </w:pPr>
      <w:r>
        <w:rPr>
          <w:rFonts w:hint="eastAsia" w:ascii="宋体" w:hAnsi="宋体" w:cs="宋体"/>
          <w:b/>
          <w:color w:val="000000" w:themeColor="text1"/>
          <w:sz w:val="24"/>
          <w:szCs w:val="28"/>
          <w14:textFill>
            <w14:solidFill>
              <w14:schemeClr w14:val="tx1"/>
            </w14:solidFill>
          </w14:textFill>
        </w:rPr>
        <w:drawing>
          <wp:anchor distT="0" distB="0" distL="114300" distR="114300" simplePos="0" relativeHeight="251660288" behindDoc="0" locked="0" layoutInCell="1" allowOverlap="1">
            <wp:simplePos x="0" y="0"/>
            <wp:positionH relativeFrom="column">
              <wp:posOffset>4175760</wp:posOffset>
            </wp:positionH>
            <wp:positionV relativeFrom="paragraph">
              <wp:posOffset>185420</wp:posOffset>
            </wp:positionV>
            <wp:extent cx="1123315" cy="1123315"/>
            <wp:effectExtent l="0" t="0" r="635" b="635"/>
            <wp:wrapNone/>
            <wp:docPr id="2" name="图片 1"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32dc313b898daf07a491037a11ba2c8"/>
                    <pic:cNvPicPr>
                      <a:picLocks noChangeAspect="1"/>
                    </pic:cNvPicPr>
                  </pic:nvPicPr>
                  <pic:blipFill>
                    <a:blip r:embed="rId6"/>
                    <a:stretch>
                      <a:fillRect/>
                    </a:stretch>
                  </pic:blipFill>
                  <pic:spPr>
                    <a:xfrm>
                      <a:off x="0" y="0"/>
                      <a:ext cx="1123315" cy="1123315"/>
                    </a:xfrm>
                    <a:prstGeom prst="rect">
                      <a:avLst/>
                    </a:prstGeom>
                    <a:noFill/>
                    <a:ln>
                      <a:noFill/>
                    </a:ln>
                  </pic:spPr>
                </pic:pic>
              </a:graphicData>
            </a:graphic>
          </wp:anchor>
        </w:drawing>
      </w:r>
      <w:r>
        <w:rPr>
          <w:rFonts w:hint="eastAsia" w:ascii="宋体" w:hAnsi="宋体" w:cs="宋体"/>
          <w:color w:val="000000" w:themeColor="text1"/>
          <w:sz w:val="24"/>
          <w:szCs w:val="28"/>
          <w14:textFill>
            <w14:solidFill>
              <w14:schemeClr w14:val="tx1"/>
            </w14:solidFill>
          </w14:textFill>
        </w:rPr>
        <w:t>（</w:t>
      </w:r>
      <w:r>
        <w:rPr>
          <w:rFonts w:hint="eastAsia" w:ascii="宋体" w:hAnsi="宋体" w:cs="宋体"/>
          <w:color w:val="000000" w:themeColor="text1"/>
          <w:sz w:val="24"/>
          <w:szCs w:val="28"/>
          <w:lang w:val="en-US" w:eastAsia="zh-CN"/>
          <w14:textFill>
            <w14:solidFill>
              <w14:schemeClr w14:val="tx1"/>
            </w14:solidFill>
          </w14:textFill>
        </w:rPr>
        <w:t>2</w:t>
      </w:r>
      <w:r>
        <w:rPr>
          <w:rFonts w:hint="eastAsia" w:ascii="宋体" w:hAnsi="宋体" w:cs="宋体"/>
          <w:color w:val="000000" w:themeColor="text1"/>
          <w:sz w:val="24"/>
          <w:szCs w:val="28"/>
          <w14:textFill>
            <w14:solidFill>
              <w14:schemeClr w14:val="tx1"/>
            </w14:solidFill>
          </w14:textFill>
        </w:rPr>
        <w:t>）邮箱：hddcfkb@Foxmail.com</w:t>
      </w:r>
    </w:p>
    <w:p>
      <w:pPr>
        <w:spacing w:line="360" w:lineRule="auto"/>
        <w:ind w:firstLine="480" w:firstLineChars="200"/>
        <w:rPr>
          <w:rFonts w:hint="default" w:ascii="宋体" w:hAnsi="宋体" w:eastAsia="宋体" w:cs="宋体"/>
          <w:color w:val="000000" w:themeColor="text1"/>
          <w:sz w:val="24"/>
          <w:szCs w:val="28"/>
          <w:lang w:val="en-US" w:eastAsia="zh-CN"/>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w:t>
      </w:r>
      <w:r>
        <w:rPr>
          <w:rFonts w:hint="eastAsia" w:ascii="宋体" w:hAnsi="宋体" w:cs="宋体"/>
          <w:color w:val="000000" w:themeColor="text1"/>
          <w:sz w:val="24"/>
          <w:szCs w:val="28"/>
          <w:lang w:val="en-US" w:eastAsia="zh-CN"/>
          <w14:textFill>
            <w14:solidFill>
              <w14:schemeClr w14:val="tx1"/>
            </w14:solidFill>
          </w14:textFill>
        </w:rPr>
        <w:t>3</w:t>
      </w:r>
      <w:r>
        <w:rPr>
          <w:rFonts w:hint="eastAsia" w:ascii="宋体" w:hAnsi="宋体" w:cs="宋体"/>
          <w:color w:val="000000" w:themeColor="text1"/>
          <w:sz w:val="24"/>
          <w:szCs w:val="28"/>
          <w14:textFill>
            <w14:solidFill>
              <w14:schemeClr w14:val="tx1"/>
            </w14:solidFill>
          </w14:textFill>
        </w:rPr>
        <w:t>）电话：</w:t>
      </w:r>
      <w:r>
        <w:rPr>
          <w:rFonts w:hint="eastAsia" w:ascii="宋体" w:hAnsi="宋体" w:cs="宋体"/>
          <w:color w:val="000000" w:themeColor="text1"/>
          <w:sz w:val="24"/>
          <w:szCs w:val="28"/>
          <w:lang w:eastAsia="zh-CN"/>
          <w14:textFill>
            <w14:solidFill>
              <w14:schemeClr w14:val="tx1"/>
            </w14:solidFill>
          </w14:textFill>
        </w:rPr>
        <w:t>集团首席风控官</w:t>
      </w:r>
      <w:r>
        <w:rPr>
          <w:rFonts w:hint="eastAsia" w:ascii="宋体" w:hAnsi="宋体" w:cs="宋体"/>
          <w:color w:val="000000" w:themeColor="text1"/>
          <w:sz w:val="24"/>
          <w:szCs w:val="28"/>
          <w14:textFill>
            <w14:solidFill>
              <w14:schemeClr w14:val="tx1"/>
            </w14:solidFill>
          </w14:textFill>
        </w:rPr>
        <w:t>：1</w:t>
      </w:r>
      <w:r>
        <w:rPr>
          <w:rFonts w:hint="eastAsia" w:ascii="宋体" w:hAnsi="宋体" w:cs="宋体"/>
          <w:color w:val="000000" w:themeColor="text1"/>
          <w:sz w:val="24"/>
          <w:szCs w:val="28"/>
          <w:lang w:val="en-US" w:eastAsia="zh-CN"/>
          <w14:textFill>
            <w14:solidFill>
              <w14:schemeClr w14:val="tx1"/>
            </w14:solidFill>
          </w14:textFill>
        </w:rPr>
        <w:t>3903793259</w:t>
      </w:r>
    </w:p>
    <w:p>
      <w:pPr>
        <w:spacing w:line="360" w:lineRule="auto"/>
        <w:ind w:firstLine="480" w:firstLineChars="200"/>
        <w:rPr>
          <w:rFonts w:ascii="宋体" w:hAnsi="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w:t>
      </w:r>
      <w:r>
        <w:rPr>
          <w:rFonts w:hint="eastAsia" w:ascii="宋体" w:hAnsi="宋体" w:cs="宋体"/>
          <w:color w:val="000000" w:themeColor="text1"/>
          <w:sz w:val="24"/>
          <w:szCs w:val="28"/>
          <w:lang w:val="en-US" w:eastAsia="zh-CN"/>
          <w14:textFill>
            <w14:solidFill>
              <w14:schemeClr w14:val="tx1"/>
            </w14:solidFill>
          </w14:textFill>
        </w:rPr>
        <w:t>4</w:t>
      </w:r>
      <w:r>
        <w:rPr>
          <w:rFonts w:hint="eastAsia" w:ascii="宋体" w:hAnsi="宋体" w:cs="宋体"/>
          <w:color w:val="000000" w:themeColor="text1"/>
          <w:sz w:val="24"/>
          <w:szCs w:val="28"/>
          <w14:textFill>
            <w14:solidFill>
              <w14:schemeClr w14:val="tx1"/>
            </w14:solidFill>
          </w14:textFill>
        </w:rPr>
        <w:t>）电话：</w:t>
      </w:r>
      <w:r>
        <w:rPr>
          <w:rFonts w:hint="eastAsia" w:ascii="宋体" w:hAnsi="宋体" w:cs="宋体"/>
          <w:color w:val="000000" w:themeColor="text1"/>
          <w:sz w:val="24"/>
          <w:szCs w:val="28"/>
          <w:lang w:eastAsia="zh-CN"/>
          <w14:textFill>
            <w14:solidFill>
              <w14:schemeClr w14:val="tx1"/>
            </w14:solidFill>
          </w14:textFill>
        </w:rPr>
        <w:t>集团审计总监</w:t>
      </w:r>
      <w:r>
        <w:rPr>
          <w:rFonts w:hint="eastAsia" w:ascii="宋体" w:hAnsi="宋体" w:cs="宋体"/>
          <w:color w:val="000000" w:themeColor="text1"/>
          <w:sz w:val="24"/>
          <w:szCs w:val="28"/>
          <w14:textFill>
            <w14:solidFill>
              <w14:schemeClr w14:val="tx1"/>
            </w14:solidFill>
          </w14:textFill>
        </w:rPr>
        <w:t>：</w:t>
      </w:r>
      <w:r>
        <w:rPr>
          <w:rFonts w:ascii="宋体" w:hAnsi="宋体" w:cs="宋体"/>
          <w:color w:val="000000" w:themeColor="text1"/>
          <w:sz w:val="24"/>
          <w:szCs w:val="28"/>
          <w14:textFill>
            <w14:solidFill>
              <w14:schemeClr w14:val="tx1"/>
            </w14:solidFill>
          </w14:textFill>
        </w:rPr>
        <w:t>1</w:t>
      </w:r>
      <w:r>
        <w:rPr>
          <w:rFonts w:hint="eastAsia" w:ascii="宋体" w:hAnsi="宋体" w:cs="宋体"/>
          <w:color w:val="000000" w:themeColor="text1"/>
          <w:sz w:val="24"/>
          <w:szCs w:val="28"/>
          <w14:textFill>
            <w14:solidFill>
              <w14:schemeClr w14:val="tx1"/>
            </w14:solidFill>
          </w14:textFill>
        </w:rPr>
        <w:t>8137710188</w:t>
      </w:r>
    </w:p>
    <w:p>
      <w:pPr>
        <w:spacing w:line="360" w:lineRule="auto"/>
        <w:ind w:firstLine="480" w:firstLineChars="200"/>
        <w:rPr>
          <w:rFonts w:hint="default" w:ascii="宋体" w:hAnsi="宋体" w:eastAsia="宋体" w:cs="宋体"/>
          <w:color w:val="000000" w:themeColor="text1"/>
          <w:sz w:val="24"/>
          <w:szCs w:val="28"/>
          <w:lang w:val="en-US" w:eastAsia="zh-CN"/>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w:t>
      </w:r>
      <w:r>
        <w:rPr>
          <w:rFonts w:hint="eastAsia" w:ascii="宋体" w:hAnsi="宋体" w:cs="宋体"/>
          <w:color w:val="000000" w:themeColor="text1"/>
          <w:sz w:val="24"/>
          <w:szCs w:val="28"/>
          <w:lang w:val="en-US" w:eastAsia="zh-CN"/>
          <w14:textFill>
            <w14:solidFill>
              <w14:schemeClr w14:val="tx1"/>
            </w14:solidFill>
          </w14:textFill>
        </w:rPr>
        <w:t>5</w:t>
      </w:r>
      <w:r>
        <w:rPr>
          <w:rFonts w:hint="eastAsia" w:ascii="宋体" w:hAnsi="宋体" w:cs="宋体"/>
          <w:color w:val="000000" w:themeColor="text1"/>
          <w:sz w:val="24"/>
          <w:szCs w:val="28"/>
          <w14:textFill>
            <w14:solidFill>
              <w14:schemeClr w14:val="tx1"/>
            </w14:solidFill>
          </w14:textFill>
        </w:rPr>
        <w:t>）电话：</w:t>
      </w:r>
      <w:r>
        <w:rPr>
          <w:rFonts w:hint="eastAsia" w:ascii="宋体" w:hAnsi="宋体" w:cs="宋体"/>
          <w:color w:val="000000" w:themeColor="text1"/>
          <w:sz w:val="24"/>
          <w:szCs w:val="28"/>
          <w:lang w:eastAsia="zh-CN"/>
          <w14:textFill>
            <w14:solidFill>
              <w14:schemeClr w14:val="tx1"/>
            </w14:solidFill>
          </w14:textFill>
        </w:rPr>
        <w:t>地产风控总监</w:t>
      </w:r>
      <w:r>
        <w:rPr>
          <w:rFonts w:hint="eastAsia" w:ascii="宋体" w:hAnsi="宋体" w:cs="宋体"/>
          <w:color w:val="000000" w:themeColor="text1"/>
          <w:sz w:val="24"/>
          <w:szCs w:val="28"/>
          <w14:textFill>
            <w14:solidFill>
              <w14:schemeClr w14:val="tx1"/>
            </w14:solidFill>
          </w14:textFill>
        </w:rPr>
        <w:t>：</w:t>
      </w:r>
      <w:r>
        <w:rPr>
          <w:rFonts w:ascii="宋体" w:hAnsi="宋体" w:cs="宋体"/>
          <w:color w:val="000000" w:themeColor="text1"/>
          <w:sz w:val="24"/>
          <w:szCs w:val="28"/>
          <w14:textFill>
            <w14:solidFill>
              <w14:schemeClr w14:val="tx1"/>
            </w14:solidFill>
          </w14:textFill>
        </w:rPr>
        <w:t>1</w:t>
      </w:r>
      <w:r>
        <w:rPr>
          <w:rFonts w:hint="eastAsia" w:ascii="宋体" w:hAnsi="宋体" w:cs="宋体"/>
          <w:color w:val="000000" w:themeColor="text1"/>
          <w:sz w:val="24"/>
          <w:szCs w:val="28"/>
          <w14:textFill>
            <w14:solidFill>
              <w14:schemeClr w14:val="tx1"/>
            </w14:solidFill>
          </w14:textFill>
        </w:rPr>
        <w:t>8</w:t>
      </w:r>
      <w:r>
        <w:rPr>
          <w:rFonts w:hint="eastAsia" w:ascii="宋体" w:hAnsi="宋体" w:cs="宋体"/>
          <w:color w:val="000000" w:themeColor="text1"/>
          <w:sz w:val="24"/>
          <w:szCs w:val="28"/>
          <w:lang w:val="en-US" w:eastAsia="zh-CN"/>
          <w14:textFill>
            <w14:solidFill>
              <w14:schemeClr w14:val="tx1"/>
            </w14:solidFill>
          </w14:textFill>
        </w:rPr>
        <w:t>638357973</w:t>
      </w:r>
    </w:p>
    <w:p>
      <w:pPr>
        <w:spacing w:line="360" w:lineRule="auto"/>
        <w:ind w:firstLine="480" w:firstLineChars="200"/>
        <w:rPr>
          <w:rFonts w:hint="default" w:ascii="宋体" w:hAnsi="宋体" w:eastAsia="宋体" w:cs="宋体"/>
          <w:color w:val="000000" w:themeColor="text1"/>
          <w:sz w:val="24"/>
          <w:szCs w:val="28"/>
          <w:lang w:val="en-US" w:eastAsia="zh-CN"/>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w:t>
      </w:r>
      <w:r>
        <w:rPr>
          <w:rFonts w:hint="eastAsia" w:ascii="宋体" w:hAnsi="宋体" w:cs="宋体"/>
          <w:color w:val="000000" w:themeColor="text1"/>
          <w:sz w:val="24"/>
          <w:szCs w:val="28"/>
          <w:lang w:val="en-US" w:eastAsia="zh-CN"/>
          <w14:textFill>
            <w14:solidFill>
              <w14:schemeClr w14:val="tx1"/>
            </w14:solidFill>
          </w14:textFill>
        </w:rPr>
        <w:t>6</w:t>
      </w:r>
      <w:r>
        <w:rPr>
          <w:rFonts w:hint="eastAsia" w:ascii="宋体" w:hAnsi="宋体" w:cs="宋体"/>
          <w:color w:val="000000" w:themeColor="text1"/>
          <w:sz w:val="24"/>
          <w:szCs w:val="28"/>
          <w14:textFill>
            <w14:solidFill>
              <w14:schemeClr w14:val="tx1"/>
            </w14:solidFill>
          </w14:textFill>
        </w:rPr>
        <w:t>）电话：</w:t>
      </w:r>
      <w:r>
        <w:rPr>
          <w:rFonts w:hint="eastAsia" w:ascii="宋体" w:hAnsi="宋体" w:cs="宋体"/>
          <w:color w:val="000000" w:themeColor="text1"/>
          <w:sz w:val="24"/>
          <w:szCs w:val="28"/>
          <w:lang w:eastAsia="zh-CN"/>
          <w14:textFill>
            <w14:solidFill>
              <w14:schemeClr w14:val="tx1"/>
            </w14:solidFill>
          </w14:textFill>
        </w:rPr>
        <w:t>地产风控经理</w:t>
      </w:r>
      <w:r>
        <w:rPr>
          <w:rFonts w:hint="eastAsia" w:ascii="宋体" w:hAnsi="宋体" w:cs="宋体"/>
          <w:color w:val="000000" w:themeColor="text1"/>
          <w:sz w:val="24"/>
          <w:szCs w:val="28"/>
          <w14:textFill>
            <w14:solidFill>
              <w14:schemeClr w14:val="tx1"/>
            </w14:solidFill>
          </w14:textFill>
        </w:rPr>
        <w:t>：</w:t>
      </w:r>
      <w:r>
        <w:rPr>
          <w:rFonts w:hint="eastAsia" w:ascii="宋体" w:hAnsi="宋体" w:cs="宋体"/>
          <w:color w:val="000000" w:themeColor="text1"/>
          <w:sz w:val="24"/>
          <w:szCs w:val="28"/>
          <w:lang w:val="en-US" w:eastAsia="zh-CN"/>
          <w14:textFill>
            <w14:solidFill>
              <w14:schemeClr w14:val="tx1"/>
            </w14:solidFill>
          </w14:textFill>
        </w:rPr>
        <w:t>15670305910</w:t>
      </w:r>
    </w:p>
    <w:p>
      <w:pPr>
        <w:keepNext w:val="0"/>
        <w:keepLines w:val="0"/>
        <w:pageBreakBefore w:val="0"/>
        <w:widowControl w:val="0"/>
        <w:kinsoku/>
        <w:wordWrap/>
        <w:overflowPunct/>
        <w:topLinePunct w:val="0"/>
        <w:autoSpaceDE/>
        <w:autoSpaceDN/>
        <w:bidi w:val="0"/>
        <w:adjustRightInd/>
        <w:snapToGrid/>
        <w:spacing w:beforeAutospacing="0" w:afterAutospacing="0" w:line="336" w:lineRule="auto"/>
        <w:ind w:left="0" w:leftChars="0" w:right="0" w:righ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szCs w:val="28"/>
          <w:lang w:eastAsia="zh-CN"/>
          <w14:textFill>
            <w14:solidFill>
              <w14:schemeClr w14:val="tx1"/>
            </w14:solidFill>
          </w14:textFill>
        </w:rPr>
        <w:t>（</w:t>
      </w:r>
      <w:r>
        <w:rPr>
          <w:rFonts w:hint="eastAsia" w:ascii="宋体" w:hAnsi="宋体" w:cs="宋体"/>
          <w:color w:val="000000" w:themeColor="text1"/>
          <w:sz w:val="24"/>
          <w:szCs w:val="28"/>
          <w:lang w:val="en-US" w:eastAsia="zh-CN"/>
          <w14:textFill>
            <w14:solidFill>
              <w14:schemeClr w14:val="tx1"/>
            </w14:solidFill>
          </w14:textFill>
        </w:rPr>
        <w:t>7</w:t>
      </w:r>
      <w:r>
        <w:rPr>
          <w:rFonts w:hint="eastAsia" w:ascii="宋体" w:hAnsi="宋体" w:cs="宋体"/>
          <w:color w:val="000000" w:themeColor="text1"/>
          <w:sz w:val="24"/>
          <w:szCs w:val="28"/>
          <w:lang w:eastAsia="zh-CN"/>
          <w14:textFill>
            <w14:solidFill>
              <w14:schemeClr w14:val="tx1"/>
            </w14:solidFill>
          </w14:textFill>
        </w:rPr>
        <w:t>）</w:t>
      </w:r>
      <w:r>
        <w:rPr>
          <w:rFonts w:hint="eastAsia" w:ascii="宋体" w:hAnsi="宋体" w:cs="宋体"/>
          <w:color w:val="000000" w:themeColor="text1"/>
          <w:sz w:val="24"/>
          <w:szCs w:val="28"/>
          <w14:textFill>
            <w14:solidFill>
              <w14:schemeClr w14:val="tx1"/>
            </w14:solidFill>
          </w14:textFill>
        </w:rPr>
        <w:t>直接和风控部人员约定场所当面举报。</w:t>
      </w:r>
    </w:p>
    <w:p>
      <w:pPr>
        <w:keepNext w:val="0"/>
        <w:keepLines w:val="0"/>
        <w:pageBreakBefore w:val="0"/>
        <w:widowControl w:val="0"/>
        <w:kinsoku/>
        <w:wordWrap/>
        <w:overflowPunct/>
        <w:topLinePunct w:val="0"/>
        <w:autoSpaceDE/>
        <w:autoSpaceDN/>
        <w:bidi w:val="0"/>
        <w:adjustRightInd/>
        <w:snapToGrid/>
        <w:spacing w:beforeAutospacing="0" w:afterAutospacing="0" w:line="336" w:lineRule="auto"/>
        <w:ind w:left="0" w:leftChars="0" w:right="0" w:rightChars="0" w:firstLine="482" w:firstLineChars="200"/>
        <w:jc w:val="both"/>
        <w:textAlignment w:val="auto"/>
        <w:outlineLvl w:val="9"/>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四、甲乙双方发现对方工作人员有下列行为之一的，可通过第三条约定的渠道进行举报：</w:t>
      </w:r>
    </w:p>
    <w:p>
      <w:pPr>
        <w:keepNext w:val="0"/>
        <w:keepLines w:val="0"/>
        <w:pageBreakBefore w:val="0"/>
        <w:widowControl w:val="0"/>
        <w:kinsoku/>
        <w:wordWrap/>
        <w:overflowPunct/>
        <w:topLinePunct w:val="0"/>
        <w:autoSpaceDE/>
        <w:autoSpaceDN/>
        <w:bidi w:val="0"/>
        <w:adjustRightInd/>
        <w:snapToGrid/>
        <w:spacing w:beforeAutospacing="0" w:afterAutospacing="0" w:line="336" w:lineRule="auto"/>
        <w:ind w:left="0" w:leftChars="0" w:right="0" w:righ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1.推诿扯皮、有责不负、处事消极、渎职失职、弄虚作假等行为。</w:t>
      </w:r>
    </w:p>
    <w:p>
      <w:pPr>
        <w:keepNext w:val="0"/>
        <w:keepLines w:val="0"/>
        <w:pageBreakBefore w:val="0"/>
        <w:widowControl w:val="0"/>
        <w:kinsoku/>
        <w:wordWrap/>
        <w:overflowPunct/>
        <w:topLinePunct w:val="0"/>
        <w:autoSpaceDE/>
        <w:autoSpaceDN/>
        <w:bidi w:val="0"/>
        <w:adjustRightInd/>
        <w:snapToGrid/>
        <w:spacing w:beforeAutospacing="0" w:afterAutospacing="0" w:line="336" w:lineRule="auto"/>
        <w:ind w:left="0" w:leftChars="0" w:right="0" w:righ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2.以权谋私、滥用职权、处事不公、隐瞒事故、违章指挥造成公司严重事故隐患的行为。</w:t>
      </w:r>
    </w:p>
    <w:p>
      <w:pPr>
        <w:keepNext w:val="0"/>
        <w:keepLines w:val="0"/>
        <w:pageBreakBefore w:val="0"/>
        <w:widowControl w:val="0"/>
        <w:kinsoku/>
        <w:wordWrap/>
        <w:overflowPunct/>
        <w:topLinePunct w:val="0"/>
        <w:autoSpaceDE/>
        <w:autoSpaceDN/>
        <w:bidi w:val="0"/>
        <w:adjustRightInd/>
        <w:snapToGrid/>
        <w:spacing w:beforeAutospacing="0" w:afterAutospacing="0" w:line="336" w:lineRule="auto"/>
        <w:ind w:left="0" w:leftChars="0" w:right="0" w:righ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3.贪污、受贿、盗窃、欺上瞒下等违法乱纪行为。</w:t>
      </w:r>
    </w:p>
    <w:p>
      <w:pPr>
        <w:keepNext w:val="0"/>
        <w:keepLines w:val="0"/>
        <w:pageBreakBefore w:val="0"/>
        <w:widowControl w:val="0"/>
        <w:kinsoku/>
        <w:wordWrap/>
        <w:overflowPunct/>
        <w:topLinePunct w:val="0"/>
        <w:autoSpaceDE/>
        <w:autoSpaceDN/>
        <w:bidi w:val="0"/>
        <w:adjustRightInd/>
        <w:snapToGrid/>
        <w:spacing w:beforeAutospacing="0" w:afterAutospacing="0" w:line="336" w:lineRule="auto"/>
        <w:ind w:left="0" w:leftChars="0" w:right="0" w:righ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4.出卖、泄露公司商业机密等危害公司行为。</w:t>
      </w:r>
    </w:p>
    <w:p>
      <w:pPr>
        <w:keepNext w:val="0"/>
        <w:keepLines w:val="0"/>
        <w:pageBreakBefore w:val="0"/>
        <w:widowControl w:val="0"/>
        <w:kinsoku/>
        <w:wordWrap/>
        <w:overflowPunct/>
        <w:topLinePunct w:val="0"/>
        <w:autoSpaceDE/>
        <w:autoSpaceDN/>
        <w:bidi w:val="0"/>
        <w:adjustRightInd/>
        <w:snapToGrid/>
        <w:spacing w:beforeAutospacing="0" w:afterAutospacing="0" w:line="336" w:lineRule="auto"/>
        <w:ind w:left="0" w:leftChars="0" w:right="0" w:righ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5.重大经济活动未按公司制度、流程执行的违规违纪行为。</w:t>
      </w:r>
    </w:p>
    <w:p>
      <w:pPr>
        <w:keepNext w:val="0"/>
        <w:keepLines w:val="0"/>
        <w:pageBreakBefore w:val="0"/>
        <w:widowControl w:val="0"/>
        <w:kinsoku/>
        <w:wordWrap/>
        <w:overflowPunct/>
        <w:topLinePunct w:val="0"/>
        <w:autoSpaceDE/>
        <w:autoSpaceDN/>
        <w:bidi w:val="0"/>
        <w:adjustRightInd/>
        <w:snapToGrid/>
        <w:spacing w:beforeAutospacing="0" w:afterAutospacing="0" w:line="336" w:lineRule="auto"/>
        <w:ind w:left="0" w:leftChars="0" w:right="0" w:righ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6.利用职权，任人唯亲，拉帮结派，搞小利益团体或对同事正当行使权利进行打击报复的行为。</w:t>
      </w:r>
    </w:p>
    <w:p>
      <w:pPr>
        <w:keepNext w:val="0"/>
        <w:keepLines w:val="0"/>
        <w:pageBreakBefore w:val="0"/>
        <w:widowControl w:val="0"/>
        <w:kinsoku/>
        <w:wordWrap/>
        <w:overflowPunct/>
        <w:topLinePunct w:val="0"/>
        <w:autoSpaceDE/>
        <w:autoSpaceDN/>
        <w:bidi w:val="0"/>
        <w:adjustRightInd/>
        <w:snapToGrid/>
        <w:spacing w:beforeAutospacing="0" w:afterAutospacing="0" w:line="336" w:lineRule="auto"/>
        <w:ind w:left="0" w:leftChars="0" w:right="0" w:righ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7.故意涂改公司文件或以公司名义谋私利，损害公司荣誉和利益的行为。</w:t>
      </w:r>
    </w:p>
    <w:p>
      <w:pPr>
        <w:keepNext w:val="0"/>
        <w:keepLines w:val="0"/>
        <w:pageBreakBefore w:val="0"/>
        <w:widowControl w:val="0"/>
        <w:kinsoku/>
        <w:wordWrap/>
        <w:overflowPunct/>
        <w:topLinePunct w:val="0"/>
        <w:autoSpaceDE/>
        <w:autoSpaceDN/>
        <w:bidi w:val="0"/>
        <w:adjustRightInd/>
        <w:snapToGrid/>
        <w:spacing w:beforeAutospacing="0" w:afterAutospacing="0" w:line="336" w:lineRule="auto"/>
        <w:ind w:left="0" w:leftChars="0" w:right="0" w:righ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8.私自侵占、挪用公司财物，损坏公司重要设备或资产的行为。</w:t>
      </w:r>
    </w:p>
    <w:p>
      <w:pPr>
        <w:keepNext w:val="0"/>
        <w:keepLines w:val="0"/>
        <w:pageBreakBefore w:val="0"/>
        <w:widowControl w:val="0"/>
        <w:kinsoku/>
        <w:wordWrap/>
        <w:overflowPunct/>
        <w:topLinePunct w:val="0"/>
        <w:autoSpaceDE/>
        <w:autoSpaceDN/>
        <w:bidi w:val="0"/>
        <w:adjustRightInd/>
        <w:snapToGrid/>
        <w:spacing w:beforeAutospacing="0" w:afterAutospacing="0" w:line="336" w:lineRule="auto"/>
        <w:ind w:left="0" w:leftChars="0" w:right="0" w:righ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9.破坏团队和谐，故意挑拨员工之间关系，对同事恶意侮辱、陷害、制造事端的行为。</w:t>
      </w:r>
    </w:p>
    <w:p>
      <w:pPr>
        <w:keepNext w:val="0"/>
        <w:keepLines w:val="0"/>
        <w:pageBreakBefore w:val="0"/>
        <w:widowControl w:val="0"/>
        <w:kinsoku/>
        <w:wordWrap/>
        <w:overflowPunct/>
        <w:topLinePunct w:val="0"/>
        <w:autoSpaceDE/>
        <w:autoSpaceDN/>
        <w:bidi w:val="0"/>
        <w:adjustRightInd/>
        <w:snapToGrid/>
        <w:spacing w:beforeAutospacing="0" w:afterAutospacing="0" w:line="336" w:lineRule="auto"/>
        <w:ind w:left="0" w:leftChars="0" w:right="0" w:righ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10.妄议集团经营、管理、决策部署、会议决议，对正当行使职权的执法部门、员工进行设置障碍、诋毁、恶意侮辱的行为。</w:t>
      </w:r>
    </w:p>
    <w:p>
      <w:pPr>
        <w:keepNext w:val="0"/>
        <w:keepLines w:val="0"/>
        <w:pageBreakBefore w:val="0"/>
        <w:widowControl w:val="0"/>
        <w:kinsoku/>
        <w:wordWrap/>
        <w:overflowPunct/>
        <w:topLinePunct w:val="0"/>
        <w:autoSpaceDE/>
        <w:autoSpaceDN/>
        <w:bidi w:val="0"/>
        <w:adjustRightInd/>
        <w:snapToGrid/>
        <w:spacing w:beforeAutospacing="0" w:afterAutospacing="0" w:line="336" w:lineRule="auto"/>
        <w:ind w:left="0" w:leftChars="0" w:right="0" w:rightChars="0" w:firstLine="480" w:firstLineChars="200"/>
        <w:jc w:val="both"/>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11.其它违反法律或者</w:t>
      </w:r>
      <w:r>
        <w:rPr>
          <w:rFonts w:hint="eastAsia" w:ascii="宋体" w:hAnsi="宋体" w:eastAsia="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公司相关制度的行为。</w:t>
      </w:r>
    </w:p>
    <w:p>
      <w:pPr>
        <w:keepNext w:val="0"/>
        <w:keepLines w:val="0"/>
        <w:pageBreakBefore w:val="0"/>
        <w:widowControl w:val="0"/>
        <w:kinsoku/>
        <w:wordWrap/>
        <w:overflowPunct/>
        <w:topLinePunct w:val="0"/>
        <w:autoSpaceDE/>
        <w:autoSpaceDN/>
        <w:bidi w:val="0"/>
        <w:adjustRightInd/>
        <w:snapToGrid/>
        <w:spacing w:beforeAutospacing="0" w:afterAutospacing="0" w:line="336" w:lineRule="auto"/>
        <w:ind w:left="0" w:leftChars="0" w:right="0" w:rightChars="0" w:firstLine="480" w:firstLineChars="200"/>
        <w:jc w:val="both"/>
        <w:textAlignment w:val="auto"/>
        <w:outlineLvl w:val="9"/>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（以下无正文）</w:t>
      </w:r>
    </w:p>
    <w:p>
      <w:pPr>
        <w:keepNext w:val="0"/>
        <w:keepLines w:val="0"/>
        <w:pageBreakBefore w:val="0"/>
        <w:widowControl w:val="0"/>
        <w:kinsoku/>
        <w:wordWrap/>
        <w:overflowPunct/>
        <w:topLinePunct w:val="0"/>
        <w:autoSpaceDE/>
        <w:autoSpaceDN/>
        <w:bidi w:val="0"/>
        <w:adjustRightInd/>
        <w:snapToGrid/>
        <w:spacing w:beforeAutospacing="0" w:afterAutospacing="0" w:line="336" w:lineRule="auto"/>
        <w:ind w:left="0" w:leftChars="0" w:right="0" w:rightChars="0" w:firstLine="480" w:firstLineChars="200"/>
        <w:jc w:val="both"/>
        <w:textAlignment w:val="auto"/>
        <w:outlineLvl w:val="9"/>
        <w:rPr>
          <w:rFonts w:hint="eastAsia" w:ascii="宋体" w:hAnsi="宋体" w:eastAsia="宋体" w:cs="宋体"/>
          <w:color w:val="000000" w:themeColor="text1"/>
          <w:sz w:val="24"/>
          <w:szCs w:val="32"/>
          <w:highlight w:val="none"/>
          <w:lang w:val="en-US" w:eastAsia="zh-CN"/>
          <w14:textFill>
            <w14:solidFill>
              <w14:schemeClr w14:val="tx1"/>
            </w14:solidFill>
          </w14:textFill>
        </w:rPr>
      </w:pPr>
      <w:r>
        <w:rPr>
          <w:rFonts w:hint="eastAsia" w:ascii="宋体" w:hAnsi="宋体" w:eastAsia="宋体" w:cs="宋体"/>
          <w:color w:val="000000" w:themeColor="text1"/>
          <w:sz w:val="24"/>
          <w:szCs w:val="32"/>
          <w:highlight w:val="none"/>
          <w14:textFill>
            <w14:solidFill>
              <w14:schemeClr w14:val="tx1"/>
            </w14:solidFill>
          </w14:textFill>
        </w:rPr>
        <w:t>甲方：</w:t>
      </w:r>
      <w:r>
        <w:rPr>
          <w:rFonts w:hint="eastAsia" w:ascii="宋体" w:hAnsi="宋体" w:eastAsia="宋体" w:cs="宋体"/>
          <w:color w:val="000000" w:themeColor="text1"/>
          <w:sz w:val="24"/>
          <w:szCs w:val="32"/>
          <w:highlight w:val="none"/>
          <w:lang w:eastAsia="zh-CN"/>
          <w14:textFill>
            <w14:solidFill>
              <w14:schemeClr w14:val="tx1"/>
            </w14:solidFill>
          </w14:textFill>
        </w:rPr>
        <w:t>洛阳浩德鑫置地限公司</w:t>
      </w:r>
      <w:r>
        <w:rPr>
          <w:rFonts w:hint="eastAsia" w:ascii="宋体" w:hAnsi="宋体" w:eastAsia="宋体" w:cs="宋体"/>
          <w:color w:val="000000" w:themeColor="text1"/>
          <w:sz w:val="24"/>
          <w:szCs w:val="32"/>
          <w:highlight w:val="none"/>
          <w14:textFill>
            <w14:solidFill>
              <w14:schemeClr w14:val="tx1"/>
            </w14:solidFill>
          </w14:textFill>
        </w:rPr>
        <w:t xml:space="preserve">          </w:t>
      </w:r>
      <w:r>
        <w:rPr>
          <w:rFonts w:hint="eastAsia" w:ascii="宋体" w:hAnsi="宋体" w:eastAsia="宋体" w:cs="宋体"/>
          <w:color w:val="000000" w:themeColor="text1"/>
          <w:sz w:val="24"/>
          <w:szCs w:val="32"/>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32"/>
          <w:highlight w:val="none"/>
          <w14:textFill>
            <w14:solidFill>
              <w14:schemeClr w14:val="tx1"/>
            </w14:solidFill>
          </w14:textFill>
        </w:rPr>
        <w:t>乙方：</w:t>
      </w:r>
      <w:r>
        <w:rPr>
          <w:rFonts w:hint="eastAsia" w:ascii="宋体" w:hAnsi="宋体" w:eastAsia="宋体" w:cs="宋体"/>
          <w:color w:val="000000" w:themeColor="text1"/>
          <w:szCs w:val="24"/>
          <w:highlight w:val="none"/>
          <w14:textFill>
            <w14:solidFill>
              <w14:schemeClr w14:val="tx1"/>
            </w14:solidFill>
          </w14:textFill>
        </w:rPr>
        <w:t>河南龙键电力装备有限公司</w:t>
      </w:r>
    </w:p>
    <w:p>
      <w:pPr>
        <w:spacing w:line="336" w:lineRule="auto"/>
        <w:ind w:firstLine="480" w:firstLineChars="200"/>
        <w:outlineLvl w:val="9"/>
      </w:pPr>
      <w:r>
        <w:rPr>
          <w:rFonts w:hint="eastAsia" w:ascii="宋体" w:hAnsi="宋体" w:eastAsia="宋体" w:cs="宋体"/>
          <w:color w:val="000000" w:themeColor="text1"/>
          <w:sz w:val="24"/>
          <w:szCs w:val="32"/>
          <w:highlight w:val="none"/>
          <w:lang w:val="en-US" w:eastAsia="zh-CN"/>
          <w14:textFill>
            <w14:solidFill>
              <w14:schemeClr w14:val="tx1"/>
            </w14:solidFill>
          </w14:textFill>
        </w:rPr>
        <w:t>日期：2021年0</w:t>
      </w:r>
      <w:r>
        <w:rPr>
          <w:rFonts w:hint="eastAsia" w:ascii="宋体" w:hAnsi="宋体" w:cs="宋体"/>
          <w:color w:val="000000" w:themeColor="text1"/>
          <w:sz w:val="24"/>
          <w:szCs w:val="32"/>
          <w:highlight w:val="none"/>
          <w:lang w:val="en-US" w:eastAsia="zh-CN"/>
          <w14:textFill>
            <w14:solidFill>
              <w14:schemeClr w14:val="tx1"/>
            </w14:solidFill>
          </w14:textFill>
        </w:rPr>
        <w:t>8</w:t>
      </w:r>
      <w:r>
        <w:rPr>
          <w:rFonts w:hint="eastAsia" w:ascii="宋体" w:hAnsi="宋体" w:eastAsia="宋体" w:cs="宋体"/>
          <w:color w:val="000000" w:themeColor="text1"/>
          <w:sz w:val="24"/>
          <w:szCs w:val="32"/>
          <w:highlight w:val="none"/>
          <w:lang w:val="en-US" w:eastAsia="zh-CN"/>
          <w14:textFill>
            <w14:solidFill>
              <w14:schemeClr w14:val="tx1"/>
            </w14:solidFill>
          </w14:textFill>
        </w:rPr>
        <w:t xml:space="preserve">月   </w:t>
      </w:r>
      <w:r>
        <w:rPr>
          <w:rFonts w:hint="eastAsia" w:ascii="宋体" w:hAnsi="宋体" w:cs="宋体"/>
          <w:color w:val="000000" w:themeColor="text1"/>
          <w:sz w:val="24"/>
          <w:szCs w:val="32"/>
          <w:highlight w:val="none"/>
          <w:lang w:val="en-US" w:eastAsia="zh-CN"/>
          <w14:textFill>
            <w14:solidFill>
              <w14:schemeClr w14:val="tx1"/>
            </w14:solidFill>
          </w14:textFill>
        </w:rPr>
        <w:t>日</w:t>
      </w:r>
      <w:r>
        <w:rPr>
          <w:rFonts w:hint="eastAsia" w:ascii="宋体" w:hAnsi="宋体" w:eastAsia="宋体" w:cs="宋体"/>
          <w:color w:val="000000" w:themeColor="text1"/>
          <w:sz w:val="24"/>
          <w:szCs w:val="32"/>
          <w:highlight w:val="none"/>
          <w:lang w:val="en-US" w:eastAsia="zh-CN"/>
          <w14:textFill>
            <w14:solidFill>
              <w14:schemeClr w14:val="tx1"/>
            </w14:solidFill>
          </w14:textFill>
        </w:rPr>
        <w:t xml:space="preserve">                    日期：2021年0</w:t>
      </w:r>
      <w:r>
        <w:rPr>
          <w:rFonts w:hint="eastAsia" w:ascii="宋体" w:hAnsi="宋体" w:cs="宋体"/>
          <w:color w:val="000000" w:themeColor="text1"/>
          <w:sz w:val="24"/>
          <w:szCs w:val="32"/>
          <w:highlight w:val="none"/>
          <w:lang w:val="en-US" w:eastAsia="zh-CN"/>
          <w14:textFill>
            <w14:solidFill>
              <w14:schemeClr w14:val="tx1"/>
            </w14:solidFill>
          </w14:textFill>
        </w:rPr>
        <w:t>8</w:t>
      </w:r>
      <w:r>
        <w:rPr>
          <w:rFonts w:hint="eastAsia" w:ascii="宋体" w:hAnsi="宋体" w:eastAsia="宋体" w:cs="宋体"/>
          <w:color w:val="000000" w:themeColor="text1"/>
          <w:sz w:val="24"/>
          <w:szCs w:val="32"/>
          <w:highlight w:val="none"/>
          <w:lang w:val="en-US" w:eastAsia="zh-CN"/>
          <w14:textFill>
            <w14:solidFill>
              <w14:schemeClr w14:val="tx1"/>
            </w14:solidFill>
          </w14:textFill>
        </w:rPr>
        <w:t xml:space="preserve">月   </w:t>
      </w:r>
      <w:r>
        <w:rPr>
          <w:rFonts w:hint="eastAsia" w:ascii="宋体" w:hAnsi="宋体" w:cs="宋体"/>
          <w:color w:val="000000" w:themeColor="text1"/>
          <w:sz w:val="24"/>
          <w:szCs w:val="32"/>
          <w:highlight w:val="none"/>
          <w:lang w:val="en-US" w:eastAsia="zh-CN"/>
          <w14:textFill>
            <w14:solidFill>
              <w14:schemeClr w14:val="tx1"/>
            </w14:solidFill>
          </w14:textFill>
        </w:rPr>
        <w:t>日</w:t>
      </w:r>
    </w:p>
    <w:sectPr>
      <w:pgSz w:w="11906" w:h="16838"/>
      <w:pgMar w:top="1304" w:right="1304" w:bottom="1304" w:left="1304" w:header="850" w:footer="850" w:gutter="0"/>
      <w:pgNumType w:fmt="decimal"/>
      <w:cols w:space="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160</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160</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pPr>
    <w:r>
      <w:drawing>
        <wp:inline distT="0" distB="0" distL="0" distR="0">
          <wp:extent cx="1019175" cy="314325"/>
          <wp:effectExtent l="0" t="0" r="9525" b="9525"/>
          <wp:docPr id="5" name="图片 5"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浩德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19175" cy="3143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nforcement="0"/>
  <w:defaultTabStop w:val="420"/>
  <w:drawingGridVerticalSpacing w:val="16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710749"/>
    <w:rsid w:val="07584A41"/>
    <w:rsid w:val="102D7AD5"/>
    <w:rsid w:val="115E11D5"/>
    <w:rsid w:val="179C503F"/>
    <w:rsid w:val="1CEC0E35"/>
    <w:rsid w:val="1D710749"/>
    <w:rsid w:val="22E37170"/>
    <w:rsid w:val="24C06C5F"/>
    <w:rsid w:val="26212344"/>
    <w:rsid w:val="267257A8"/>
    <w:rsid w:val="29C654A8"/>
    <w:rsid w:val="2B927BBC"/>
    <w:rsid w:val="2C5548B8"/>
    <w:rsid w:val="2D5F492D"/>
    <w:rsid w:val="30517990"/>
    <w:rsid w:val="31917F8E"/>
    <w:rsid w:val="33620F41"/>
    <w:rsid w:val="3B9C00DE"/>
    <w:rsid w:val="3BA97910"/>
    <w:rsid w:val="41862061"/>
    <w:rsid w:val="42540CA8"/>
    <w:rsid w:val="42A6314C"/>
    <w:rsid w:val="430C5CCF"/>
    <w:rsid w:val="436A582D"/>
    <w:rsid w:val="45D5296F"/>
    <w:rsid w:val="4B5519B9"/>
    <w:rsid w:val="5C680C49"/>
    <w:rsid w:val="5EEF2F18"/>
    <w:rsid w:val="69E35B40"/>
    <w:rsid w:val="6EEB3DC9"/>
    <w:rsid w:val="712D0541"/>
    <w:rsid w:val="7C83554D"/>
    <w:rsid w:val="7EF375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7"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spacing w:line="360" w:lineRule="auto"/>
    </w:pPr>
    <w:rPr>
      <w:rFonts w:ascii="Times New Roman" w:hAnsi="Times New Roman"/>
      <w:szCs w:val="20"/>
    </w:rPr>
  </w:style>
  <w:style w:type="paragraph" w:customStyle="1" w:styleId="3">
    <w:name w:val="Default"/>
    <w:next w:val="4"/>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
    <w:name w:val="大标题"/>
    <w:basedOn w:val="1"/>
    <w:next w:val="5"/>
    <w:qFormat/>
    <w:uiPriority w:val="0"/>
    <w:pPr>
      <w:jc w:val="center"/>
    </w:pPr>
    <w:rPr>
      <w:rFonts w:ascii="Arial" w:hAnsi="Arial"/>
      <w:b/>
      <w:sz w:val="28"/>
      <w:szCs w:val="24"/>
    </w:rPr>
  </w:style>
  <w:style w:type="paragraph" w:styleId="5">
    <w:name w:val="Body Text First Indent 2"/>
    <w:basedOn w:val="6"/>
    <w:next w:val="2"/>
    <w:qFormat/>
    <w:uiPriority w:val="0"/>
    <w:pPr>
      <w:ind w:left="0" w:leftChars="0" w:firstLine="0" w:firstLineChars="0"/>
    </w:pPr>
  </w:style>
  <w:style w:type="paragraph" w:styleId="6">
    <w:name w:val="Body Text Indent"/>
    <w:basedOn w:val="1"/>
    <w:next w:val="2"/>
    <w:qFormat/>
    <w:uiPriority w:val="99"/>
    <w:pPr>
      <w:ind w:firstLine="645"/>
    </w:pPr>
    <w:rPr>
      <w:rFonts w:ascii="宋体"/>
      <w:sz w:val="32"/>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7"/>
    <w:pPr>
      <w:widowControl/>
      <w:spacing w:before="100" w:beforeAutospacing="1" w:after="100" w:afterAutospacing="1"/>
      <w:jc w:val="left"/>
    </w:pPr>
    <w:rPr>
      <w:rFonts w:ascii="宋体"/>
      <w:kern w:val="0"/>
      <w:szCs w:val="24"/>
    </w:rPr>
  </w:style>
  <w:style w:type="paragraph" w:customStyle="1" w:styleId="12">
    <w:name w:val="p0"/>
    <w:basedOn w:val="1"/>
    <w:qFormat/>
    <w:uiPriority w:val="99"/>
    <w:pPr>
      <w:widowControl/>
    </w:pPr>
    <w:rPr>
      <w:rFonts w:ascii="Times New Roman" w:hAnsi="Times New Roman"/>
      <w:kern w:val="0"/>
      <w:szCs w:val="21"/>
    </w:rPr>
  </w:style>
  <w:style w:type="character" w:customStyle="1" w:styleId="13">
    <w:name w:val="ca-10"/>
    <w:basedOn w:val="11"/>
    <w:qFormat/>
    <w:uiPriority w:val="0"/>
  </w:style>
  <w:style w:type="character" w:customStyle="1" w:styleId="14">
    <w:name w:val="ca-12"/>
    <w:basedOn w:val="11"/>
    <w:qFormat/>
    <w:uiPriority w:val="0"/>
  </w:style>
  <w:style w:type="paragraph" w:customStyle="1" w:styleId="15">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2021-08-07T02:05:00Z</dcterms:created>
  <dc:creator>Administrator</dc:creator>
  <cp:lastModifiedBy>Administrator</cp:lastModifiedBy>
  <dcterms:modified xsi:type="dcterms:W3CDTF">2021-08-23T10:34:40Z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A79A4503E02544D19320014945BD9630</vt:lpwstr>
  </property>
</Properties>
</file>