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1" w:name="_GoBack"/>
      <w:bookmarkEnd w:id="1"/>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pStyle w:val="9"/>
        <w:widowControl w:val="0"/>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pStyle w:val="9"/>
        <w:widowControl w:val="0"/>
        <w:spacing w:line="360" w:lineRule="auto"/>
        <w:jc w:val="center"/>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28"/>
          <w:highlight w:val="none"/>
          <w14:textFill>
            <w14:solidFill>
              <w14:schemeClr w14:val="tx1"/>
            </w14:solidFill>
          </w14:textFill>
        </w:rPr>
        <w:t>宜阳山水文苑项目</w:t>
      </w:r>
      <w:r>
        <w:rPr>
          <w:rFonts w:hint="eastAsia" w:ascii="宋体" w:hAnsi="宋体" w:eastAsia="宋体" w:cs="宋体"/>
          <w:b/>
          <w:bCs/>
          <w:color w:val="000000" w:themeColor="text1"/>
          <w:sz w:val="48"/>
          <w:szCs w:val="48"/>
          <w:highlight w:val="none"/>
          <w14:textFill>
            <w14:solidFill>
              <w14:schemeClr w14:val="tx1"/>
            </w14:solidFill>
          </w14:textFill>
        </w:rPr>
        <w:t>电线电缆供货合同</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firstLine="2409" w:firstLineChars="80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成本代码：3.2.1</w:t>
      </w:r>
    </w:p>
    <w:p>
      <w:pPr>
        <w:spacing w:line="360" w:lineRule="auto"/>
        <w:ind w:firstLine="2409" w:firstLineChars="80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合同编号：SSWY.01-JA-094</w:t>
      </w:r>
    </w:p>
    <w:p>
      <w:pPr>
        <w:spacing w:line="360" w:lineRule="auto"/>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ind w:firstLine="2108" w:firstLineChars="70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甲    方：</w:t>
      </w:r>
      <w:r>
        <w:rPr>
          <w:rFonts w:hint="eastAsia" w:ascii="宋体" w:hAnsi="宋体" w:eastAsia="宋体" w:cs="宋体"/>
          <w:b/>
          <w:bCs/>
          <w:color w:val="000000" w:themeColor="text1"/>
          <w:sz w:val="30"/>
          <w:szCs w:val="30"/>
          <w:highlight w:val="none"/>
          <w:u w:val="single"/>
          <w14:textFill>
            <w14:solidFill>
              <w14:schemeClr w14:val="tx1"/>
            </w14:solidFill>
          </w14:textFill>
        </w:rPr>
        <w:t>洛阳莘子园置业有限公司</w:t>
      </w:r>
      <w:r>
        <w:rPr>
          <w:rFonts w:hint="eastAsia" w:ascii="宋体" w:hAnsi="宋体" w:eastAsia="宋体" w:cs="宋体"/>
          <w:b/>
          <w:bCs/>
          <w:color w:val="000000" w:themeColor="text1"/>
          <w:sz w:val="30"/>
          <w:szCs w:val="30"/>
          <w:highlight w:val="none"/>
          <w14:textFill>
            <w14:solidFill>
              <w14:schemeClr w14:val="tx1"/>
            </w14:solidFill>
          </w14:textFill>
        </w:rPr>
        <w:t xml:space="preserve">    </w:t>
      </w:r>
    </w:p>
    <w:p>
      <w:pPr>
        <w:spacing w:line="360" w:lineRule="auto"/>
        <w:ind w:firstLine="2108" w:firstLineChars="700"/>
        <w:rPr>
          <w:rFonts w:hint="eastAsia" w:ascii="宋体" w:hAnsi="宋体" w:eastAsia="宋体" w:cs="宋体"/>
          <w:b/>
          <w:bCs/>
          <w:color w:val="000000" w:themeColor="text1"/>
          <w:sz w:val="30"/>
          <w:szCs w:val="30"/>
          <w:highlight w:val="none"/>
          <w:u w:val="singl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乙    方：</w:t>
      </w:r>
      <w:r>
        <w:rPr>
          <w:rFonts w:hint="eastAsia" w:ascii="宋体" w:hAnsi="宋体" w:eastAsia="宋体" w:cs="宋体"/>
          <w:b/>
          <w:bCs/>
          <w:color w:val="000000" w:themeColor="text1"/>
          <w:sz w:val="30"/>
          <w:szCs w:val="30"/>
          <w:highlight w:val="none"/>
          <w:u w:val="single"/>
          <w14:textFill>
            <w14:solidFill>
              <w14:schemeClr w14:val="tx1"/>
            </w14:solidFill>
          </w14:textFill>
        </w:rPr>
        <w:t xml:space="preserve"> 郑缆科技股份有限公司 </w:t>
      </w:r>
    </w:p>
    <w:p>
      <w:pPr>
        <w:spacing w:line="360" w:lineRule="auto"/>
        <w:ind w:firstLine="2108" w:firstLineChars="700"/>
        <w:rPr>
          <w:rFonts w:hint="eastAsia" w:ascii="宋体" w:hAnsi="宋体" w:eastAsia="宋体" w:cs="宋体"/>
          <w:b/>
          <w:bCs/>
          <w:color w:val="000000" w:themeColor="text1"/>
          <w:sz w:val="30"/>
          <w:szCs w:val="30"/>
          <w:highlight w:val="none"/>
          <w:u w:val="singl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签订日期：</w:t>
      </w:r>
      <w:r>
        <w:rPr>
          <w:rFonts w:hint="eastAsia" w:ascii="宋体" w:hAnsi="宋体" w:eastAsia="宋体" w:cs="宋体"/>
          <w:b/>
          <w:bCs/>
          <w:color w:val="000000" w:themeColor="text1"/>
          <w:sz w:val="30"/>
          <w:szCs w:val="30"/>
          <w:highlight w:val="none"/>
          <w:u w:val="single"/>
          <w14:textFill>
            <w14:solidFill>
              <w14:schemeClr w14:val="tx1"/>
            </w14:solidFill>
          </w14:textFill>
        </w:rPr>
        <w:t xml:space="preserve">   2021年08月   日   </w:t>
      </w:r>
    </w:p>
    <w:p>
      <w:pPr>
        <w:pStyle w:val="9"/>
        <w:widowControl w:val="0"/>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pStyle w:val="9"/>
        <w:widowControl w:val="0"/>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pStyle w:val="9"/>
        <w:widowControl w:val="0"/>
        <w:spacing w:line="360" w:lineRule="auto"/>
        <w:ind w:firstLine="643" w:firstLineChars="200"/>
        <w:jc w:val="center"/>
        <w:rPr>
          <w:rFonts w:hint="eastAsia" w:ascii="宋体" w:hAnsi="宋体" w:eastAsia="宋体" w:cs="宋体"/>
          <w:b/>
          <w:color w:val="000000" w:themeColor="text1"/>
          <w:sz w:val="32"/>
          <w:szCs w:val="32"/>
          <w:highlight w:val="none"/>
          <w14:textFill>
            <w14:solidFill>
              <w14:schemeClr w14:val="tx1"/>
            </w14:solidFill>
          </w14:textFill>
        </w:rPr>
        <w:sectPr>
          <w:headerReference r:id="rId3" w:type="default"/>
          <w:pgSz w:w="11906" w:h="16838"/>
          <w:pgMar w:top="1304" w:right="1304" w:bottom="1304" w:left="1304" w:header="851" w:footer="850" w:gutter="0"/>
          <w:cols w:space="425" w:num="1"/>
          <w:docGrid w:type="lines" w:linePitch="312" w:charSpace="0"/>
        </w:sectPr>
      </w:pPr>
    </w:p>
    <w:p>
      <w:pPr>
        <w:pStyle w:val="9"/>
        <w:widowControl w:val="0"/>
        <w:spacing w:line="360" w:lineRule="auto"/>
        <w:ind w:firstLine="643"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宜阳山水文苑项目电线电缆供货合同</w:t>
      </w:r>
    </w:p>
    <w:p>
      <w:pPr>
        <w:spacing w:line="360" w:lineRule="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甲方：</w:t>
      </w:r>
      <w:r>
        <w:rPr>
          <w:rFonts w:hint="eastAsia" w:ascii="宋体" w:hAnsi="宋体" w:eastAsia="宋体" w:cs="宋体"/>
          <w:b/>
          <w:bCs/>
          <w:color w:val="000000" w:themeColor="text1"/>
          <w:sz w:val="24"/>
          <w:szCs w:val="24"/>
          <w:highlight w:val="none"/>
          <w:u w:val="single"/>
          <w14:textFill>
            <w14:solidFill>
              <w14:schemeClr w14:val="tx1"/>
            </w14:solidFill>
          </w14:textFill>
        </w:rPr>
        <w:t>洛阳莘子园置业有限公司</w:t>
      </w:r>
    </w:p>
    <w:p>
      <w:pPr>
        <w:spacing w:line="360" w:lineRule="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乙方：</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郑缆科技股份有限公司 </w:t>
      </w:r>
    </w:p>
    <w:p>
      <w:pPr>
        <w:pStyle w:val="3"/>
        <w:spacing w:after="0" w:line="360"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依照《中华人民共和国民法典》、《中华人民共和国建筑法》及其它有关法律、行政法规，遵循平等、自愿、公平和诚实信用的原则，双方协商一致，订立本合同。</w:t>
      </w:r>
    </w:p>
    <w:p>
      <w:pPr>
        <w:pStyle w:val="3"/>
        <w:spacing w:after="0" w:line="360" w:lineRule="auto"/>
        <w:ind w:left="0" w:leftChars="0"/>
        <w:rPr>
          <w:rFonts w:hint="eastAsia" w:ascii="宋体" w:hAnsi="宋体" w:eastAsia="宋体" w:cs="宋体"/>
          <w:b/>
          <w:color w:val="000000" w:themeColor="text1"/>
          <w:kern w:val="24"/>
          <w:sz w:val="24"/>
          <w:szCs w:val="24"/>
          <w:highlight w:val="none"/>
          <w14:textFill>
            <w14:solidFill>
              <w14:schemeClr w14:val="tx1"/>
            </w14:solidFill>
          </w14:textFill>
        </w:rPr>
      </w:pPr>
      <w:r>
        <w:rPr>
          <w:rFonts w:hint="eastAsia" w:ascii="宋体" w:hAnsi="宋体" w:eastAsia="宋体" w:cs="宋体"/>
          <w:b/>
          <w:color w:val="000000" w:themeColor="text1"/>
          <w:kern w:val="24"/>
          <w:sz w:val="24"/>
          <w:szCs w:val="24"/>
          <w:highlight w:val="none"/>
          <w14:textFill>
            <w14:solidFill>
              <w14:schemeClr w14:val="tx1"/>
            </w14:solidFill>
          </w14:textFill>
        </w:rPr>
        <w:t>一、工程概况</w:t>
      </w:r>
    </w:p>
    <w:p>
      <w:pPr>
        <w:pStyle w:val="3"/>
        <w:spacing w:after="0" w:line="360"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1.1 工程名称：宜阳山水文苑项目电线电缆供货</w:t>
      </w:r>
      <w:r>
        <w:rPr>
          <w:rFonts w:hint="eastAsia" w:ascii="宋体" w:hAnsi="宋体" w:eastAsia="宋体" w:cs="宋体"/>
          <w:color w:val="000000" w:themeColor="text1"/>
          <w:kern w:val="24"/>
          <w:sz w:val="24"/>
          <w:szCs w:val="24"/>
          <w:highlight w:val="none"/>
          <w14:textFill>
            <w14:solidFill>
              <w14:schemeClr w14:val="tx1"/>
            </w14:solidFill>
          </w14:textFill>
        </w:rPr>
        <w:t>。</w:t>
      </w:r>
    </w:p>
    <w:p>
      <w:pPr>
        <w:pStyle w:val="3"/>
        <w:spacing w:after="0" w:line="360"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1.2 工程地点：洛阳市宜阳县滨河北路与锦龙大桥交汇处东北角。</w:t>
      </w:r>
    </w:p>
    <w:p>
      <w:pPr>
        <w:pStyle w:val="3"/>
        <w:spacing w:after="0" w:line="360" w:lineRule="auto"/>
        <w:ind w:left="0" w:leftChars="0"/>
        <w:rPr>
          <w:rFonts w:hint="eastAsia" w:ascii="宋体" w:hAnsi="宋体" w:eastAsia="宋体" w:cs="宋体"/>
          <w:b/>
          <w:color w:val="000000" w:themeColor="text1"/>
          <w:kern w:val="24"/>
          <w:sz w:val="24"/>
          <w:szCs w:val="24"/>
          <w:highlight w:val="none"/>
          <w14:textFill>
            <w14:solidFill>
              <w14:schemeClr w14:val="tx1"/>
            </w14:solidFill>
          </w14:textFill>
        </w:rPr>
      </w:pPr>
      <w:r>
        <w:rPr>
          <w:rFonts w:hint="eastAsia" w:ascii="宋体" w:hAnsi="宋体" w:eastAsia="宋体" w:cs="宋体"/>
          <w:b/>
          <w:color w:val="000000" w:themeColor="text1"/>
          <w:kern w:val="24"/>
          <w:sz w:val="24"/>
          <w:szCs w:val="24"/>
          <w:highlight w:val="none"/>
          <w14:textFill>
            <w14:solidFill>
              <w14:schemeClr w14:val="tx1"/>
            </w14:solidFill>
          </w14:textFill>
        </w:rPr>
        <w:t>二、供货范围</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bCs/>
          <w:color w:val="000000" w:themeColor="text1"/>
          <w:kern w:val="24"/>
          <w:sz w:val="24"/>
          <w:szCs w:val="24"/>
          <w:highlight w:val="none"/>
          <w14:textFill>
            <w14:solidFill>
              <w14:schemeClr w14:val="tx1"/>
            </w14:solidFill>
          </w14:textFill>
        </w:rPr>
        <w:t>乙方负责宜阳山水文苑项目电线电缆</w:t>
      </w:r>
      <w:r>
        <w:rPr>
          <w:rFonts w:hint="eastAsia" w:ascii="宋体" w:hAnsi="宋体" w:eastAsia="宋体" w:cs="宋体"/>
          <w:color w:val="000000" w:themeColor="text1"/>
          <w:kern w:val="24"/>
          <w:sz w:val="24"/>
          <w:szCs w:val="24"/>
          <w:highlight w:val="none"/>
          <w14:textFill>
            <w14:solidFill>
              <w14:schemeClr w14:val="tx1"/>
            </w14:solidFill>
          </w14:textFill>
        </w:rPr>
        <w:t>的生产供应。合同清单量为暂定量，乙方每次排产时需向甲方书面确认。需按施工方每次申报线缆的规格、型号、数量并经甲方工程部确认后的书面确认单安排生产供货。</w:t>
      </w:r>
    </w:p>
    <w:p>
      <w:pPr>
        <w:pStyle w:val="3"/>
        <w:spacing w:after="0" w:line="360" w:lineRule="auto"/>
        <w:ind w:left="0" w:leftChars="0"/>
        <w:rPr>
          <w:rFonts w:hint="eastAsia" w:ascii="宋体" w:hAnsi="宋体" w:eastAsia="宋体" w:cs="宋体"/>
          <w:b/>
          <w:color w:val="000000" w:themeColor="text1"/>
          <w:kern w:val="24"/>
          <w:sz w:val="24"/>
          <w:szCs w:val="24"/>
          <w:highlight w:val="none"/>
          <w14:textFill>
            <w14:solidFill>
              <w14:schemeClr w14:val="tx1"/>
            </w14:solidFill>
          </w14:textFill>
        </w:rPr>
      </w:pPr>
      <w:r>
        <w:rPr>
          <w:rFonts w:hint="eastAsia" w:ascii="宋体" w:hAnsi="宋体" w:eastAsia="宋体" w:cs="宋体"/>
          <w:b/>
          <w:color w:val="000000" w:themeColor="text1"/>
          <w:kern w:val="24"/>
          <w:sz w:val="24"/>
          <w:szCs w:val="24"/>
          <w:highlight w:val="none"/>
          <w14:textFill>
            <w14:solidFill>
              <w14:schemeClr w14:val="tx1"/>
            </w14:solidFill>
          </w14:textFill>
        </w:rPr>
        <w:t>三、交货日期及交货地点</w:t>
      </w:r>
    </w:p>
    <w:p>
      <w:pPr>
        <w:pStyle w:val="3"/>
        <w:spacing w:after="0" w:line="360"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3.1 交货日期：每批次供货自接到甲方通知之日起15日历天内运输并卸货到现场车辆可以到达的指定位置。</w:t>
      </w:r>
    </w:p>
    <w:p>
      <w:pPr>
        <w:pStyle w:val="3"/>
        <w:spacing w:after="0" w:line="360"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3.2 交货地点：洛阳市宜阳县滨河北路与锦龙大桥交汇处东北角，宜阳山水文苑项目内。</w:t>
      </w:r>
    </w:p>
    <w:p>
      <w:pPr>
        <w:pStyle w:val="3"/>
        <w:spacing w:after="0" w:line="360" w:lineRule="auto"/>
        <w:ind w:left="0" w:leftChars="0"/>
        <w:rPr>
          <w:rFonts w:hint="eastAsia" w:ascii="宋体" w:hAnsi="宋体" w:eastAsia="宋体" w:cs="宋体"/>
          <w:b/>
          <w:color w:val="000000" w:themeColor="text1"/>
          <w:kern w:val="24"/>
          <w:sz w:val="24"/>
          <w:szCs w:val="24"/>
          <w:highlight w:val="none"/>
          <w14:textFill>
            <w14:solidFill>
              <w14:schemeClr w14:val="tx1"/>
            </w14:solidFill>
          </w14:textFill>
        </w:rPr>
      </w:pPr>
      <w:r>
        <w:rPr>
          <w:rFonts w:hint="eastAsia" w:ascii="宋体" w:hAnsi="宋体" w:eastAsia="宋体" w:cs="宋体"/>
          <w:b/>
          <w:color w:val="000000" w:themeColor="text1"/>
          <w:kern w:val="24"/>
          <w:sz w:val="24"/>
          <w:szCs w:val="24"/>
          <w:highlight w:val="none"/>
          <w14:textFill>
            <w14:solidFill>
              <w14:schemeClr w14:val="tx1"/>
            </w14:solidFill>
          </w14:textFill>
        </w:rPr>
        <w:t>四、质量要求</w:t>
      </w:r>
    </w:p>
    <w:p>
      <w:pPr>
        <w:pStyle w:val="3"/>
        <w:spacing w:after="0" w:line="360"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4.1 质量标准：产品质量合格，符合甲方要求，各种参数能达到国家标准，并满足图纸、规范及技术标准要求。</w:t>
      </w:r>
    </w:p>
    <w:p>
      <w:pPr>
        <w:pStyle w:val="3"/>
        <w:spacing w:after="0" w:line="360"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4.2 乙方必须保证电线、电缆的原材料为合格产品，并向甲方提供原材料产品的合格证、检测报告等证明材料，由甲方存档、使用。提供的电线电缆产品应符合国家、地方与行业相关标准和本协议的约定，在各标准不一致的情况下执行高标准，还应包括但不限于以下标准：</w:t>
      </w:r>
    </w:p>
    <w:p>
      <w:pPr>
        <w:pStyle w:val="3"/>
        <w:spacing w:after="0" w:line="360"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GB 50303-2015《建筑电气工程施工质量验收规范》</w:t>
      </w:r>
    </w:p>
    <w:p>
      <w:pPr>
        <w:pStyle w:val="3"/>
        <w:spacing w:after="0" w:line="360"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GB/T 12666.1-2008《单根电线电缆燃烧试验方法》</w:t>
      </w:r>
    </w:p>
    <w:p>
      <w:pPr>
        <w:pStyle w:val="3"/>
        <w:spacing w:after="0" w:line="360"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GB/T 2951.12-2008《电缆和光缆绝缘和护套材料通用试验方法》</w:t>
      </w:r>
    </w:p>
    <w:p>
      <w:pPr>
        <w:pStyle w:val="3"/>
        <w:spacing w:after="0" w:line="360"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GB/T 3048-2007《电线线缆电性能实验方法》</w:t>
      </w:r>
    </w:p>
    <w:p>
      <w:pPr>
        <w:pStyle w:val="3"/>
        <w:spacing w:after="0" w:line="360"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GB/T 7594-1987《电线电缆橡皮绝缘和橡皮护套》</w:t>
      </w:r>
    </w:p>
    <w:p>
      <w:pPr>
        <w:pStyle w:val="3"/>
        <w:spacing w:after="0" w:line="360"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GB 50168-2016《电气装置安装工程电缆线路施工及验收规范》</w:t>
      </w:r>
    </w:p>
    <w:p>
      <w:pPr>
        <w:pStyle w:val="3"/>
        <w:spacing w:after="0" w:line="360"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GB 50217-2018《电力工程电缆设计规范》</w:t>
      </w:r>
    </w:p>
    <w:p>
      <w:pPr>
        <w:pStyle w:val="3"/>
        <w:spacing w:after="0" w:line="360"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GB/T 12706.1-2008《挤包绝缘电力电缆及附件》</w:t>
      </w:r>
    </w:p>
    <w:p>
      <w:pPr>
        <w:pStyle w:val="3"/>
        <w:spacing w:after="0" w:line="360"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GB 50411-2014《建筑节能工程施工验收规范》</w:t>
      </w:r>
    </w:p>
    <w:p>
      <w:pPr>
        <w:pStyle w:val="3"/>
        <w:spacing w:after="0" w:line="360"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4.3 按规定经相关质量监督部门复检合格，每种规格电缆均按本合同约定的要求分盘包装，每盘电线、电缆中间均不能出现断头，电缆每米长度偏差不得大于-0.5%。若不能满足以上要求，甲方可采取拒收、退货等处理方法，并追究乙方违约责任，同时乙方承担甲方因此发生的损失。</w:t>
      </w:r>
    </w:p>
    <w:p>
      <w:pPr>
        <w:pStyle w:val="3"/>
        <w:spacing w:after="0" w:line="360" w:lineRule="auto"/>
        <w:ind w:left="0" w:leftChars="0"/>
        <w:rPr>
          <w:rFonts w:hint="eastAsia" w:ascii="宋体" w:hAnsi="宋体" w:eastAsia="宋体" w:cs="宋体"/>
          <w:b/>
          <w:bCs/>
          <w:color w:val="000000" w:themeColor="text1"/>
          <w:kern w:val="24"/>
          <w:sz w:val="24"/>
          <w:szCs w:val="24"/>
          <w:highlight w:val="none"/>
          <w14:textFill>
            <w14:solidFill>
              <w14:schemeClr w14:val="tx1"/>
            </w14:solidFill>
          </w14:textFill>
        </w:rPr>
      </w:pPr>
      <w:r>
        <w:rPr>
          <w:rFonts w:hint="eastAsia" w:ascii="宋体" w:hAnsi="宋体" w:eastAsia="宋体" w:cs="宋体"/>
          <w:b/>
          <w:bCs/>
          <w:color w:val="000000" w:themeColor="text1"/>
          <w:kern w:val="24"/>
          <w:sz w:val="24"/>
          <w:szCs w:val="24"/>
          <w:highlight w:val="none"/>
          <w14:textFill>
            <w14:solidFill>
              <w14:schemeClr w14:val="tx1"/>
            </w14:solidFill>
          </w14:textFill>
        </w:rPr>
        <w:t>五、合同价款与支付</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5.1 本合同采用</w:t>
      </w:r>
      <w:r>
        <w:rPr>
          <w:rFonts w:hint="eastAsia" w:ascii="宋体" w:hAnsi="宋体" w:eastAsia="宋体" w:cs="宋体"/>
          <w:color w:val="000000" w:themeColor="text1"/>
          <w:kern w:val="24"/>
          <w:sz w:val="24"/>
          <w:szCs w:val="24"/>
          <w:highlight w:val="none"/>
          <w:u w:val="single"/>
          <w14:textFill>
            <w14:solidFill>
              <w14:schemeClr w14:val="tx1"/>
            </w14:solidFill>
          </w14:textFill>
        </w:rPr>
        <w:t>可调综合单价</w:t>
      </w:r>
      <w:r>
        <w:rPr>
          <w:rFonts w:hint="eastAsia" w:ascii="宋体" w:hAnsi="宋体" w:eastAsia="宋体" w:cs="宋体"/>
          <w:color w:val="000000" w:themeColor="text1"/>
          <w:kern w:val="24"/>
          <w:sz w:val="24"/>
          <w:szCs w:val="24"/>
          <w:highlight w:val="none"/>
          <w14:textFill>
            <w14:solidFill>
              <w14:schemeClr w14:val="tx1"/>
            </w14:solidFill>
          </w14:textFill>
        </w:rPr>
        <w:t>方式，</w:t>
      </w:r>
      <w:r>
        <w:rPr>
          <w:rFonts w:hint="eastAsia" w:ascii="宋体" w:hAnsi="宋体" w:eastAsia="宋体" w:cs="宋体"/>
          <w:color w:val="000000" w:themeColor="text1"/>
          <w:kern w:val="24"/>
          <w:sz w:val="24"/>
          <w:szCs w:val="24"/>
          <w:highlight w:val="none"/>
          <w14:textFill>
            <w14:solidFill>
              <w14:schemeClr w14:val="tx1"/>
            </w14:solidFill>
          </w14:textFill>
        </w:rPr>
        <w:t>合同暂定总价为：¥</w:t>
      </w:r>
      <w:r>
        <w:rPr>
          <w:rFonts w:hint="eastAsia" w:ascii="宋体" w:hAnsi="宋体" w:eastAsia="宋体" w:cs="宋体"/>
          <w:color w:val="000000" w:themeColor="text1"/>
          <w:kern w:val="24"/>
          <w:sz w:val="24"/>
          <w:szCs w:val="24"/>
          <w:highlight w:val="none"/>
          <w:u w:val="single"/>
          <w14:textFill>
            <w14:solidFill>
              <w14:schemeClr w14:val="tx1"/>
            </w14:solidFill>
          </w14:textFill>
        </w:rPr>
        <w:t>2,644,098.91</w:t>
      </w:r>
      <w:r>
        <w:rPr>
          <w:rFonts w:hint="eastAsia" w:ascii="宋体" w:hAnsi="宋体" w:eastAsia="宋体" w:cs="宋体"/>
          <w:color w:val="000000" w:themeColor="text1"/>
          <w:kern w:val="24"/>
          <w:sz w:val="24"/>
          <w:szCs w:val="24"/>
          <w:highlight w:val="none"/>
          <w14:textFill>
            <w14:solidFill>
              <w14:schemeClr w14:val="tx1"/>
            </w14:solidFill>
          </w14:textFill>
        </w:rPr>
        <w:t>元（人民币大写</w:t>
      </w:r>
      <w:r>
        <w:rPr>
          <w:rFonts w:hint="eastAsia" w:ascii="宋体" w:hAnsi="宋体" w:eastAsia="宋体" w:cs="宋体"/>
          <w:color w:val="000000" w:themeColor="text1"/>
          <w:kern w:val="24"/>
          <w:sz w:val="24"/>
          <w:szCs w:val="24"/>
          <w:highlight w:val="none"/>
          <w:u w:val="single"/>
          <w14:textFill>
            <w14:solidFill>
              <w14:schemeClr w14:val="tx1"/>
            </w14:solidFill>
          </w14:textFill>
        </w:rPr>
        <w:t>贰佰陆拾肆万肆仟零玖拾捌元玖角壹分）</w:t>
      </w:r>
      <w:r>
        <w:rPr>
          <w:rFonts w:hint="eastAsia" w:ascii="宋体" w:hAnsi="宋体" w:eastAsia="宋体" w:cs="宋体"/>
          <w:color w:val="000000" w:themeColor="text1"/>
          <w:kern w:val="24"/>
          <w:sz w:val="24"/>
          <w:szCs w:val="24"/>
          <w:highlight w:val="none"/>
          <w14:textFill>
            <w14:solidFill>
              <w14:schemeClr w14:val="tx1"/>
            </w14:solidFill>
          </w14:textFill>
        </w:rPr>
        <w:t>。其中不含税价款为：¥</w:t>
      </w:r>
      <w:r>
        <w:rPr>
          <w:rFonts w:hint="eastAsia" w:ascii="宋体" w:hAnsi="宋体" w:eastAsia="宋体" w:cs="宋体"/>
          <w:color w:val="000000" w:themeColor="text1"/>
          <w:kern w:val="24"/>
          <w:sz w:val="24"/>
          <w:szCs w:val="24"/>
          <w:highlight w:val="none"/>
          <w:u w:val="single"/>
          <w14:textFill>
            <w14:solidFill>
              <w14:schemeClr w14:val="tx1"/>
            </w14:solidFill>
          </w14:textFill>
        </w:rPr>
        <w:t>2,339,910.54</w:t>
      </w:r>
      <w:r>
        <w:rPr>
          <w:rFonts w:hint="eastAsia" w:ascii="宋体" w:hAnsi="宋体" w:eastAsia="宋体" w:cs="宋体"/>
          <w:color w:val="000000" w:themeColor="text1"/>
          <w:kern w:val="24"/>
          <w:sz w:val="24"/>
          <w:szCs w:val="24"/>
          <w:highlight w:val="none"/>
          <w14:textFill>
            <w14:solidFill>
              <w14:schemeClr w14:val="tx1"/>
            </w14:solidFill>
          </w14:textFill>
        </w:rPr>
        <w:t>元（人民币大写</w:t>
      </w:r>
      <w:r>
        <w:rPr>
          <w:rFonts w:hint="eastAsia" w:ascii="宋体" w:hAnsi="宋体" w:eastAsia="宋体" w:cs="宋体"/>
          <w:color w:val="000000" w:themeColor="text1"/>
          <w:kern w:val="24"/>
          <w:sz w:val="24"/>
          <w:szCs w:val="24"/>
          <w:highlight w:val="none"/>
          <w:u w:val="single"/>
          <w14:textFill>
            <w14:solidFill>
              <w14:schemeClr w14:val="tx1"/>
            </w14:solidFill>
          </w14:textFill>
        </w:rPr>
        <w:t>贰佰叁拾叁万玖仟玖佰壹拾元伍角肆分）</w:t>
      </w:r>
      <w:r>
        <w:rPr>
          <w:rFonts w:hint="eastAsia" w:ascii="宋体" w:hAnsi="宋体" w:eastAsia="宋体" w:cs="宋体"/>
          <w:color w:val="000000" w:themeColor="text1"/>
          <w:kern w:val="24"/>
          <w:sz w:val="24"/>
          <w:szCs w:val="24"/>
          <w:highlight w:val="none"/>
          <w14:textFill>
            <w14:solidFill>
              <w14:schemeClr w14:val="tx1"/>
            </w14:solidFill>
          </w14:textFill>
        </w:rPr>
        <w:t>，税金为：¥</w:t>
      </w:r>
      <w:r>
        <w:rPr>
          <w:rFonts w:hint="eastAsia" w:ascii="宋体" w:hAnsi="宋体" w:eastAsia="宋体" w:cs="宋体"/>
          <w:color w:val="000000" w:themeColor="text1"/>
          <w:kern w:val="24"/>
          <w:sz w:val="24"/>
          <w:szCs w:val="24"/>
          <w:highlight w:val="none"/>
          <w:u w:val="single"/>
          <w14:textFill>
            <w14:solidFill>
              <w14:schemeClr w14:val="tx1"/>
            </w14:solidFill>
          </w14:textFill>
        </w:rPr>
        <w:t>304,188.37</w:t>
      </w:r>
      <w:r>
        <w:rPr>
          <w:rFonts w:hint="eastAsia" w:ascii="宋体" w:hAnsi="宋体" w:eastAsia="宋体" w:cs="宋体"/>
          <w:color w:val="000000" w:themeColor="text1"/>
          <w:kern w:val="24"/>
          <w:sz w:val="24"/>
          <w:szCs w:val="24"/>
          <w:highlight w:val="none"/>
          <w14:textFill>
            <w14:solidFill>
              <w14:schemeClr w14:val="tx1"/>
            </w14:solidFill>
          </w14:textFill>
        </w:rPr>
        <w:t>元（人民币大写</w:t>
      </w:r>
      <w:r>
        <w:rPr>
          <w:rFonts w:hint="eastAsia" w:ascii="宋体" w:hAnsi="宋体" w:eastAsia="宋体" w:cs="宋体"/>
          <w:color w:val="000000" w:themeColor="text1"/>
          <w:kern w:val="24"/>
          <w:sz w:val="24"/>
          <w:szCs w:val="24"/>
          <w:highlight w:val="none"/>
          <w:u w:val="single"/>
          <w14:textFill>
            <w14:solidFill>
              <w14:schemeClr w14:val="tx1"/>
            </w14:solidFill>
          </w14:textFill>
        </w:rPr>
        <w:t>叁拾万零肆仟壹佰捌拾捌元叁角柒分）</w:t>
      </w:r>
      <w:r>
        <w:rPr>
          <w:rFonts w:hint="eastAsia" w:ascii="宋体" w:hAnsi="宋体" w:eastAsia="宋体" w:cs="宋体"/>
          <w:color w:val="000000" w:themeColor="text1"/>
          <w:kern w:val="24"/>
          <w:sz w:val="24"/>
          <w:szCs w:val="24"/>
          <w:highlight w:val="none"/>
          <w14:textFill>
            <w14:solidFill>
              <w14:schemeClr w14:val="tx1"/>
            </w14:solidFill>
          </w14:textFill>
        </w:rPr>
        <w:t>，税率为</w:t>
      </w:r>
      <w:r>
        <w:rPr>
          <w:rFonts w:hint="eastAsia" w:ascii="宋体" w:hAnsi="宋体" w:eastAsia="宋体" w:cs="宋体"/>
          <w:color w:val="000000" w:themeColor="text1"/>
          <w:kern w:val="24"/>
          <w:sz w:val="24"/>
          <w:szCs w:val="24"/>
          <w:highlight w:val="none"/>
          <w:u w:val="single"/>
          <w14:textFill>
            <w14:solidFill>
              <w14:schemeClr w14:val="tx1"/>
            </w14:solidFill>
          </w14:textFill>
        </w:rPr>
        <w:t xml:space="preserve"> 13 </w:t>
      </w:r>
      <w:r>
        <w:rPr>
          <w:rFonts w:hint="eastAsia" w:ascii="宋体" w:hAnsi="宋体" w:eastAsia="宋体" w:cs="宋体"/>
          <w:color w:val="000000" w:themeColor="text1"/>
          <w:kern w:val="24"/>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5.2 付款方式：</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5.2.1 本合同无预付款，分批次供货分批次付款；</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 xml:space="preserve">5.2.2 </w:t>
      </w:r>
      <w:r>
        <w:rPr>
          <w:rFonts w:hint="eastAsia" w:ascii="宋体" w:hAnsi="宋体" w:eastAsia="宋体" w:cs="宋体"/>
          <w:color w:val="000000" w:themeColor="text1"/>
          <w:kern w:val="24"/>
          <w:sz w:val="24"/>
          <w:szCs w:val="24"/>
          <w:highlight w:val="none"/>
          <w:shd w:val="clear" w:color="auto" w:fill="FFFFFF"/>
          <w14:textFill>
            <w14:solidFill>
              <w14:schemeClr w14:val="tx1"/>
            </w14:solidFill>
          </w14:textFill>
        </w:rPr>
        <w:t>每次线缆供货完毕，经甲方相关部门、监理单位及施工总承包单位验收无质量问题且核对无误后，</w:t>
      </w:r>
      <w:r>
        <w:rPr>
          <w:rFonts w:hint="eastAsia" w:ascii="宋体" w:hAnsi="宋体" w:eastAsia="宋体" w:cs="宋体"/>
          <w:color w:val="000000" w:themeColor="text1"/>
          <w:kern w:val="24"/>
          <w:sz w:val="24"/>
          <w:szCs w:val="24"/>
          <w:highlight w:val="none"/>
          <w:shd w:val="clear" w:color="auto" w:fill="FFFFFF"/>
          <w14:textFill>
            <w14:solidFill>
              <w14:schemeClr w14:val="tx1"/>
            </w14:solidFill>
          </w14:textFill>
        </w:rPr>
        <w:t>28</w:t>
      </w:r>
      <w:r>
        <w:rPr>
          <w:rFonts w:hint="eastAsia" w:ascii="宋体" w:hAnsi="宋体" w:eastAsia="宋体" w:cs="宋体"/>
          <w:color w:val="000000" w:themeColor="text1"/>
          <w:kern w:val="24"/>
          <w:sz w:val="24"/>
          <w:szCs w:val="24"/>
          <w:highlight w:val="none"/>
          <w:shd w:val="clear" w:color="auto" w:fill="FFFFFF"/>
          <w14:textFill>
            <w14:solidFill>
              <w14:schemeClr w14:val="tx1"/>
            </w14:solidFill>
          </w14:textFill>
        </w:rPr>
        <w:t>个工作日内甲方支付乙方该次线缆供货总金额的</w:t>
      </w:r>
      <w:r>
        <w:rPr>
          <w:rFonts w:hint="eastAsia" w:ascii="宋体" w:hAnsi="宋体" w:eastAsia="宋体" w:cs="宋体"/>
          <w:color w:val="000000" w:themeColor="text1"/>
          <w:kern w:val="24"/>
          <w:sz w:val="24"/>
          <w:szCs w:val="24"/>
          <w:highlight w:val="none"/>
          <w:u w:val="single"/>
          <w:shd w:val="clear" w:color="auto" w:fill="FFFFFF"/>
          <w14:textFill>
            <w14:solidFill>
              <w14:schemeClr w14:val="tx1"/>
            </w14:solidFill>
          </w14:textFill>
        </w:rPr>
        <w:t xml:space="preserve"> 97 </w:t>
      </w:r>
      <w:r>
        <w:rPr>
          <w:rFonts w:hint="eastAsia" w:ascii="宋体" w:hAnsi="宋体" w:eastAsia="宋体" w:cs="宋体"/>
          <w:color w:val="000000" w:themeColor="text1"/>
          <w:kern w:val="24"/>
          <w:sz w:val="24"/>
          <w:szCs w:val="24"/>
          <w:highlight w:val="none"/>
          <w:shd w:val="clear" w:color="auto" w:fill="FFFFFF"/>
          <w14:textFill>
            <w14:solidFill>
              <w14:schemeClr w14:val="tx1"/>
            </w14:solidFill>
          </w14:textFill>
        </w:rPr>
        <w:t>%</w:t>
      </w:r>
      <w:r>
        <w:rPr>
          <w:rFonts w:hint="eastAsia" w:ascii="宋体" w:hAnsi="宋体" w:eastAsia="宋体" w:cs="宋体"/>
          <w:color w:val="000000" w:themeColor="text1"/>
          <w:kern w:val="24"/>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5.2.3 全部货物供货完成，整体工程通过竣工验收后，乙方需</w:t>
      </w:r>
      <w:r>
        <w:rPr>
          <w:rFonts w:hint="eastAsia" w:ascii="宋体" w:hAnsi="宋体" w:eastAsia="宋体" w:cs="宋体"/>
          <w:color w:val="000000" w:themeColor="text1"/>
          <w:kern w:val="24"/>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kern w:val="24"/>
          <w:sz w:val="24"/>
          <w:szCs w:val="24"/>
          <w:highlight w:val="none"/>
          <w14:textFill>
            <w14:solidFill>
              <w14:schemeClr w14:val="tx1"/>
            </w14:solidFill>
          </w14:textFill>
        </w:rPr>
        <w:t>个月内按甲方要求提交完整的结算资料，并配合甲方办理相关结算手续。否则甲方有权不支付质保金。</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5.2.4 剩余结算金额的</w:t>
      </w:r>
      <w:r>
        <w:rPr>
          <w:rFonts w:hint="eastAsia" w:ascii="宋体" w:hAnsi="宋体" w:eastAsia="宋体" w:cs="宋体"/>
          <w:color w:val="000000" w:themeColor="text1"/>
          <w:kern w:val="24"/>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kern w:val="24"/>
          <w:sz w:val="24"/>
          <w:szCs w:val="24"/>
          <w:highlight w:val="none"/>
          <w14:textFill>
            <w14:solidFill>
              <w14:schemeClr w14:val="tx1"/>
            </w14:solidFill>
          </w14:textFill>
        </w:rPr>
        <w:t>%为质保金，质保期</w:t>
      </w:r>
      <w:r>
        <w:rPr>
          <w:rFonts w:hint="eastAsia" w:ascii="宋体" w:hAnsi="宋体" w:eastAsia="宋体" w:cs="宋体"/>
          <w:color w:val="000000" w:themeColor="text1"/>
          <w:kern w:val="24"/>
          <w:sz w:val="24"/>
          <w:szCs w:val="24"/>
          <w:highlight w:val="none"/>
          <w:u w:val="single"/>
          <w14:textFill>
            <w14:solidFill>
              <w14:schemeClr w14:val="tx1"/>
            </w14:solidFill>
          </w14:textFill>
        </w:rPr>
        <w:t>两</w:t>
      </w:r>
      <w:r>
        <w:rPr>
          <w:rFonts w:hint="eastAsia" w:ascii="宋体" w:hAnsi="宋体" w:eastAsia="宋体" w:cs="宋体"/>
          <w:color w:val="000000" w:themeColor="text1"/>
          <w:kern w:val="24"/>
          <w:sz w:val="24"/>
          <w:szCs w:val="24"/>
          <w:highlight w:val="none"/>
          <w14:textFill>
            <w14:solidFill>
              <w14:schemeClr w14:val="tx1"/>
            </w14:solidFill>
          </w14:textFill>
        </w:rPr>
        <w:t>年后无质量问题，甲方</w:t>
      </w:r>
      <w:r>
        <w:rPr>
          <w:rFonts w:hint="eastAsia" w:ascii="宋体" w:hAnsi="宋体" w:eastAsia="宋体" w:cs="宋体"/>
          <w:color w:val="000000" w:themeColor="text1"/>
          <w:kern w:val="24"/>
          <w:sz w:val="24"/>
          <w:szCs w:val="24"/>
          <w:highlight w:val="none"/>
          <w:u w:val="single"/>
          <w14:textFill>
            <w14:solidFill>
              <w14:schemeClr w14:val="tx1"/>
            </w14:solidFill>
          </w14:textFill>
        </w:rPr>
        <w:t xml:space="preserve"> 30 </w:t>
      </w:r>
      <w:r>
        <w:rPr>
          <w:rFonts w:hint="eastAsia" w:ascii="宋体" w:hAnsi="宋体" w:eastAsia="宋体" w:cs="宋体"/>
          <w:color w:val="000000" w:themeColor="text1"/>
          <w:kern w:val="24"/>
          <w:sz w:val="24"/>
          <w:szCs w:val="24"/>
          <w:highlight w:val="none"/>
          <w14:textFill>
            <w14:solidFill>
              <w14:schemeClr w14:val="tx1"/>
            </w14:solidFill>
          </w14:textFill>
        </w:rPr>
        <w:t>日内一次性无息付清该质保金。</w:t>
      </w:r>
    </w:p>
    <w:p>
      <w:pPr>
        <w:pStyle w:val="10"/>
        <w:spacing w:line="360" w:lineRule="auto"/>
        <w:ind w:firstLine="48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5.2.5 每次付款前，乙方应将货款金额100%的正规、有效的增值税专用发票全额开具，否则甲方除扣留质保金外，有权拒绝支付该笔货款。乙方应在开票之后</w:t>
      </w:r>
      <w:r>
        <w:rPr>
          <w:rFonts w:hint="eastAsia" w:ascii="宋体" w:hAnsi="宋体" w:eastAsia="宋体" w:cs="宋体"/>
          <w:color w:val="000000" w:themeColor="text1"/>
          <w:kern w:val="24"/>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kern w:val="24"/>
          <w:sz w:val="24"/>
          <w:szCs w:val="24"/>
          <w:highlight w:val="none"/>
          <w14:textFill>
            <w14:solidFill>
              <w14:schemeClr w14:val="tx1"/>
            </w14:solidFill>
          </w14:textFill>
        </w:rPr>
        <w:t>个工作日内将发票送达甲方，甲方签收发票的日期为发票的送达日期。</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5.3 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5.4 对发票不合规的约定：</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5.4.1 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5.4.2 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2"/>
        <w:spacing w:line="360" w:lineRule="auto"/>
        <w:ind w:firstLine="48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5.4.3 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5.5 其它税务风险的合同约定</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5.5.1 如果甲方丢失增值税专用发票联和抵扣联，乙方应向甲方提供专用发票记账联复印件及主管税务机关出具的《丢失增值税专用发票已报税证明单》。</w:t>
      </w:r>
    </w:p>
    <w:p>
      <w:pPr>
        <w:pStyle w:val="10"/>
        <w:spacing w:line="360" w:lineRule="auto"/>
        <w:ind w:firstLine="48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5.5.2 如果获得开具的汇总专用发票，则乙方应提供其防伪税控系统开具的《销售货物或者提供应税劳务清单》，并加盖发票专用章。</w:t>
      </w:r>
    </w:p>
    <w:p>
      <w:pPr>
        <w:pStyle w:val="3"/>
        <w:spacing w:after="0" w:line="360" w:lineRule="auto"/>
        <w:ind w:left="0" w:leftChars="0"/>
        <w:rPr>
          <w:rFonts w:hint="eastAsia" w:ascii="宋体" w:hAnsi="宋体" w:eastAsia="宋体" w:cs="宋体"/>
          <w:b/>
          <w:bCs/>
          <w:color w:val="000000" w:themeColor="text1"/>
          <w:kern w:val="24"/>
          <w:sz w:val="24"/>
          <w:szCs w:val="24"/>
          <w:highlight w:val="none"/>
          <w14:textFill>
            <w14:solidFill>
              <w14:schemeClr w14:val="tx1"/>
            </w14:solidFill>
          </w14:textFill>
        </w:rPr>
      </w:pPr>
      <w:r>
        <w:rPr>
          <w:rFonts w:hint="eastAsia" w:ascii="宋体" w:hAnsi="宋体" w:eastAsia="宋体" w:cs="宋体"/>
          <w:b/>
          <w:bCs/>
          <w:color w:val="000000" w:themeColor="text1"/>
          <w:kern w:val="24"/>
          <w:sz w:val="24"/>
          <w:szCs w:val="24"/>
          <w:highlight w:val="none"/>
          <w14:textFill>
            <w14:solidFill>
              <w14:schemeClr w14:val="tx1"/>
            </w14:solidFill>
          </w14:textFill>
        </w:rPr>
        <w:t>六、合同价款的调整</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6.1 乙方按照协议清单将满足技术标准和质量要求的成品线缆送到双方约定地点，合同价款包括：制作、包装、运输（含保险费、卸车费）、管理、利润、税金、货到工地负责堆放至甲方指定</w:t>
      </w:r>
      <w:r>
        <w:rPr>
          <w:rFonts w:hint="eastAsia" w:ascii="宋体" w:hAnsi="宋体" w:eastAsia="宋体" w:cs="宋体"/>
          <w:color w:val="000000" w:themeColor="text1"/>
          <w:kern w:val="24"/>
          <w:sz w:val="24"/>
          <w:szCs w:val="24"/>
          <w:highlight w:val="none"/>
          <w14:textFill>
            <w14:solidFill>
              <w14:schemeClr w14:val="tx1"/>
            </w14:solidFill>
          </w14:textFill>
        </w:rPr>
        <w:t>的现场车辆可以到达的指定</w:t>
      </w:r>
      <w:r>
        <w:rPr>
          <w:rFonts w:hint="eastAsia" w:ascii="宋体" w:hAnsi="宋体" w:eastAsia="宋体" w:cs="宋体"/>
          <w:color w:val="000000" w:themeColor="text1"/>
          <w:kern w:val="24"/>
          <w:sz w:val="24"/>
          <w:szCs w:val="24"/>
          <w:highlight w:val="none"/>
          <w14:textFill>
            <w14:solidFill>
              <w14:schemeClr w14:val="tx1"/>
            </w14:solidFill>
          </w14:textFill>
        </w:rPr>
        <w:t>地点等所发生的一切费用；现场协调、现场配合验收、抽样测试、按要求送检、复试检测费、因质量问题引起的维修和更换、技术指导、培训、调试以及成品保护等费用。线缆如需送洛阳市质量技术监督局检测中心检测、试验时，费用、测试用的成品、材料、样品均由乙方承担。</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6.2 合同价款包含7种规格线缆材料进场复试检测的费用，如需增加线缆材料进场复试检测报告，每种规格电线出具1份检测报告的费用为300元，每种规格电缆出具1份检测报告的费用为500元。此部分增加的检测报告费用根据实际增加的数量据实结算。</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 xml:space="preserve">6.3 </w:t>
      </w:r>
      <w:r>
        <w:rPr>
          <w:rFonts w:hint="eastAsia" w:ascii="宋体" w:hAnsi="宋体" w:eastAsia="宋体" w:cs="宋体"/>
          <w:bCs/>
          <w:color w:val="000000" w:themeColor="text1"/>
          <w:kern w:val="24"/>
          <w:sz w:val="24"/>
          <w:szCs w:val="24"/>
          <w:highlight w:val="none"/>
          <w14:textFill>
            <w14:solidFill>
              <w14:schemeClr w14:val="tx1"/>
            </w14:solidFill>
          </w14:textFill>
        </w:rPr>
        <w:t>本合同电线电缆</w:t>
      </w:r>
      <w:r>
        <w:rPr>
          <w:rFonts w:hint="eastAsia" w:ascii="宋体" w:hAnsi="宋体" w:eastAsia="宋体" w:cs="宋体"/>
          <w:color w:val="000000" w:themeColor="text1"/>
          <w:kern w:val="24"/>
          <w:sz w:val="24"/>
          <w:szCs w:val="24"/>
          <w:highlight w:val="none"/>
          <w14:textFill>
            <w14:solidFill>
              <w14:schemeClr w14:val="tx1"/>
            </w14:solidFill>
          </w14:textFill>
        </w:rPr>
        <w:t>综合单价，受铜价涨跌影响执行如下调整：参照乙方收到甲方提供的甲供物资申请表当日的</w:t>
      </w:r>
      <w:r>
        <w:rPr>
          <w:rFonts w:hint="eastAsia" w:ascii="宋体" w:hAnsi="宋体" w:eastAsia="宋体" w:cs="宋体"/>
          <w:color w:val="000000" w:themeColor="text1"/>
          <w:kern w:val="24"/>
          <w:sz w:val="24"/>
          <w:szCs w:val="24"/>
          <w:highlight w:val="none"/>
          <w:u w:val="single"/>
          <w14:textFill>
            <w14:solidFill>
              <w14:schemeClr w14:val="tx1"/>
            </w14:solidFill>
          </w14:textFill>
        </w:rPr>
        <w:t>长江铜业网（https://copper.ccmn.cn/）长江现货1#铜</w:t>
      </w:r>
      <w:r>
        <w:rPr>
          <w:rFonts w:hint="eastAsia" w:ascii="宋体" w:hAnsi="宋体" w:eastAsia="宋体" w:cs="宋体"/>
          <w:color w:val="000000" w:themeColor="text1"/>
          <w:kern w:val="24"/>
          <w:sz w:val="24"/>
          <w:szCs w:val="24"/>
          <w:highlight w:val="none"/>
          <w14:textFill>
            <w14:solidFill>
              <w14:schemeClr w14:val="tx1"/>
            </w14:solidFill>
          </w14:textFill>
        </w:rPr>
        <w:t>价格，与投标当日原材料铜报价</w:t>
      </w:r>
      <w:r>
        <w:rPr>
          <w:rFonts w:hint="eastAsia" w:ascii="宋体" w:hAnsi="宋体" w:eastAsia="宋体" w:cs="宋体"/>
          <w:color w:val="000000" w:themeColor="text1"/>
          <w:kern w:val="24"/>
          <w:sz w:val="24"/>
          <w:szCs w:val="24"/>
          <w:highlight w:val="none"/>
          <w:u w:val="single"/>
          <w14:textFill>
            <w14:solidFill>
              <w14:schemeClr w14:val="tx1"/>
            </w14:solidFill>
          </w14:textFill>
        </w:rPr>
        <w:t>71850.00</w:t>
      </w:r>
      <w:r>
        <w:rPr>
          <w:rFonts w:hint="eastAsia" w:ascii="宋体" w:hAnsi="宋体" w:eastAsia="宋体" w:cs="宋体"/>
          <w:color w:val="000000" w:themeColor="text1"/>
          <w:kern w:val="24"/>
          <w:sz w:val="24"/>
          <w:szCs w:val="24"/>
          <w:highlight w:val="none"/>
          <w14:textFill>
            <w14:solidFill>
              <w14:schemeClr w14:val="tx1"/>
            </w14:solidFill>
          </w14:textFill>
        </w:rPr>
        <w:t>元/吨相比，涨跌幅≤</w:t>
      </w:r>
      <w:r>
        <w:rPr>
          <w:rFonts w:hint="eastAsia" w:ascii="宋体" w:hAnsi="宋体" w:eastAsia="宋体" w:cs="宋体"/>
          <w:color w:val="000000" w:themeColor="text1"/>
          <w:kern w:val="24"/>
          <w:sz w:val="24"/>
          <w:szCs w:val="24"/>
          <w:highlight w:val="none"/>
          <w:u w:val="single"/>
          <w14:textFill>
            <w14:solidFill>
              <w14:schemeClr w14:val="tx1"/>
            </w14:solidFill>
          </w14:textFill>
        </w:rPr>
        <w:t>2</w:t>
      </w:r>
      <w:r>
        <w:rPr>
          <w:rFonts w:hint="eastAsia" w:ascii="宋体" w:hAnsi="宋体" w:eastAsia="宋体" w:cs="宋体"/>
          <w:color w:val="000000" w:themeColor="text1"/>
          <w:kern w:val="24"/>
          <w:sz w:val="24"/>
          <w:szCs w:val="24"/>
          <w:highlight w:val="none"/>
          <w14:textFill>
            <w14:solidFill>
              <w14:schemeClr w14:val="tx1"/>
            </w14:solidFill>
          </w14:textFill>
        </w:rPr>
        <w:t>%，合同内线缆含税综合单价不再调整，涨跌幅＞</w:t>
      </w:r>
      <w:r>
        <w:rPr>
          <w:rFonts w:hint="eastAsia" w:ascii="宋体" w:hAnsi="宋体" w:eastAsia="宋体" w:cs="宋体"/>
          <w:color w:val="000000" w:themeColor="text1"/>
          <w:kern w:val="24"/>
          <w:sz w:val="24"/>
          <w:szCs w:val="24"/>
          <w:highlight w:val="none"/>
          <w:u w:val="single"/>
          <w14:textFill>
            <w14:solidFill>
              <w14:schemeClr w14:val="tx1"/>
            </w14:solidFill>
          </w14:textFill>
        </w:rPr>
        <w:t>2</w:t>
      </w:r>
      <w:r>
        <w:rPr>
          <w:rFonts w:hint="eastAsia" w:ascii="宋体" w:hAnsi="宋体" w:eastAsia="宋体" w:cs="宋体"/>
          <w:color w:val="000000" w:themeColor="text1"/>
          <w:kern w:val="24"/>
          <w:sz w:val="24"/>
          <w:szCs w:val="24"/>
          <w:highlight w:val="none"/>
          <w14:textFill>
            <w14:solidFill>
              <w14:schemeClr w14:val="tx1"/>
            </w14:solidFill>
          </w14:textFill>
        </w:rPr>
        <w:t>%，合同内线缆含税综合单价按下列公式调整：</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w:t>
      </w:r>
      <w:r>
        <w:rPr>
          <w:rFonts w:hint="eastAsia" w:ascii="宋体" w:hAnsi="宋体" w:eastAsia="宋体" w:cs="宋体"/>
          <w:bCs/>
          <w:color w:val="000000" w:themeColor="text1"/>
          <w:kern w:val="24"/>
          <w:sz w:val="24"/>
          <w:szCs w:val="24"/>
          <w:highlight w:val="none"/>
          <w14:textFill>
            <w14:solidFill>
              <w14:schemeClr w14:val="tx1"/>
            </w14:solidFill>
          </w14:textFill>
        </w:rPr>
        <w:t>线缆</w:t>
      </w:r>
      <w:r>
        <w:rPr>
          <w:rFonts w:hint="eastAsia" w:ascii="宋体" w:hAnsi="宋体" w:eastAsia="宋体" w:cs="宋体"/>
          <w:color w:val="000000" w:themeColor="text1"/>
          <w:kern w:val="24"/>
          <w:sz w:val="24"/>
          <w:szCs w:val="24"/>
          <w:highlight w:val="none"/>
          <w14:textFill>
            <w14:solidFill>
              <w14:schemeClr w14:val="tx1"/>
            </w14:solidFill>
          </w14:textFill>
        </w:rPr>
        <w:t>投标价格=A元/m。</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（2）铜密度=8.89×10</w:t>
      </w:r>
      <w:r>
        <w:rPr>
          <w:rFonts w:hint="eastAsia" w:ascii="宋体" w:hAnsi="宋体" w:eastAsia="宋体" w:cs="宋体"/>
          <w:color w:val="000000" w:themeColor="text1"/>
          <w:kern w:val="24"/>
          <w:sz w:val="36"/>
          <w:szCs w:val="48"/>
          <w:highlight w:val="none"/>
          <w:vertAlign w:val="superscript"/>
          <w14:textFill>
            <w14:solidFill>
              <w14:schemeClr w14:val="tx1"/>
            </w14:solidFill>
          </w14:textFill>
        </w:rPr>
        <w:t>-6</w:t>
      </w:r>
      <w:r>
        <w:rPr>
          <w:rFonts w:hint="eastAsia" w:ascii="宋体" w:hAnsi="宋体" w:eastAsia="宋体" w:cs="宋体"/>
          <w:color w:val="000000" w:themeColor="text1"/>
          <w:kern w:val="24"/>
          <w:sz w:val="24"/>
          <w:szCs w:val="24"/>
          <w:highlight w:val="none"/>
          <w14:textFill>
            <w14:solidFill>
              <w14:schemeClr w14:val="tx1"/>
            </w14:solidFill>
          </w14:textFill>
        </w:rPr>
        <w:t>kg/mm³。</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（3）</w:t>
      </w:r>
      <w:r>
        <w:rPr>
          <w:rFonts w:hint="eastAsia" w:ascii="宋体" w:hAnsi="宋体" w:eastAsia="宋体" w:cs="宋体"/>
          <w:bCs/>
          <w:color w:val="000000" w:themeColor="text1"/>
          <w:kern w:val="24"/>
          <w:sz w:val="24"/>
          <w:szCs w:val="24"/>
          <w:highlight w:val="none"/>
          <w14:textFill>
            <w14:solidFill>
              <w14:schemeClr w14:val="tx1"/>
            </w14:solidFill>
          </w14:textFill>
        </w:rPr>
        <w:t>线缆</w:t>
      </w:r>
      <w:r>
        <w:rPr>
          <w:rFonts w:hint="eastAsia" w:ascii="宋体" w:hAnsi="宋体" w:eastAsia="宋体" w:cs="宋体"/>
          <w:color w:val="000000" w:themeColor="text1"/>
          <w:kern w:val="24"/>
          <w:sz w:val="24"/>
          <w:szCs w:val="24"/>
          <w:highlight w:val="none"/>
          <w14:textFill>
            <w14:solidFill>
              <w14:schemeClr w14:val="tx1"/>
            </w14:solidFill>
          </w14:textFill>
        </w:rPr>
        <w:t>铜截面积=Smm²。</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（4）每米</w:t>
      </w:r>
      <w:r>
        <w:rPr>
          <w:rFonts w:hint="eastAsia" w:ascii="宋体" w:hAnsi="宋体" w:eastAsia="宋体" w:cs="宋体"/>
          <w:bCs/>
          <w:color w:val="000000" w:themeColor="text1"/>
          <w:kern w:val="24"/>
          <w:sz w:val="24"/>
          <w:szCs w:val="24"/>
          <w:highlight w:val="none"/>
          <w14:textFill>
            <w14:solidFill>
              <w14:schemeClr w14:val="tx1"/>
            </w14:solidFill>
          </w14:textFill>
        </w:rPr>
        <w:t>线缆</w:t>
      </w:r>
      <w:r>
        <w:rPr>
          <w:rFonts w:hint="eastAsia" w:ascii="宋体" w:hAnsi="宋体" w:eastAsia="宋体" w:cs="宋体"/>
          <w:color w:val="000000" w:themeColor="text1"/>
          <w:kern w:val="24"/>
          <w:sz w:val="24"/>
          <w:szCs w:val="24"/>
          <w:highlight w:val="none"/>
          <w14:textFill>
            <w14:solidFill>
              <w14:schemeClr w14:val="tx1"/>
            </w14:solidFill>
          </w14:textFill>
        </w:rPr>
        <w:t>铜含量=Bkg/m=8.89×10</w:t>
      </w:r>
      <w:r>
        <w:rPr>
          <w:rFonts w:hint="eastAsia" w:ascii="宋体" w:hAnsi="宋体" w:eastAsia="宋体" w:cs="宋体"/>
          <w:color w:val="000000" w:themeColor="text1"/>
          <w:kern w:val="24"/>
          <w:sz w:val="36"/>
          <w:szCs w:val="48"/>
          <w:highlight w:val="none"/>
          <w:vertAlign w:val="superscript"/>
          <w14:textFill>
            <w14:solidFill>
              <w14:schemeClr w14:val="tx1"/>
            </w14:solidFill>
          </w14:textFill>
        </w:rPr>
        <w:t>-6</w:t>
      </w:r>
      <w:r>
        <w:rPr>
          <w:rFonts w:hint="eastAsia" w:ascii="宋体" w:hAnsi="宋体" w:eastAsia="宋体" w:cs="宋体"/>
          <w:color w:val="000000" w:themeColor="text1"/>
          <w:kern w:val="24"/>
          <w:sz w:val="24"/>
          <w:szCs w:val="24"/>
          <w:highlight w:val="none"/>
          <w14:textFill>
            <w14:solidFill>
              <w14:schemeClr w14:val="tx1"/>
            </w14:solidFill>
          </w14:textFill>
        </w:rPr>
        <w:t>kg/mm³×Smm²×1000mm。</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（5）下单当日铜价=P元/吨。</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（6）乙方投标时的铜价=C元/吨。</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①当-0.02≤(P-C)/C≤0.02时，</w:t>
      </w:r>
      <w:r>
        <w:rPr>
          <w:rFonts w:hint="eastAsia" w:ascii="宋体" w:hAnsi="宋体" w:eastAsia="宋体" w:cs="宋体"/>
          <w:bCs/>
          <w:color w:val="000000" w:themeColor="text1"/>
          <w:kern w:val="24"/>
          <w:sz w:val="24"/>
          <w:szCs w:val="24"/>
          <w:highlight w:val="none"/>
          <w14:textFill>
            <w14:solidFill>
              <w14:schemeClr w14:val="tx1"/>
            </w14:solidFill>
          </w14:textFill>
        </w:rPr>
        <w:t>线缆</w:t>
      </w:r>
      <w:r>
        <w:rPr>
          <w:rFonts w:hint="eastAsia" w:ascii="宋体" w:hAnsi="宋体" w:eastAsia="宋体" w:cs="宋体"/>
          <w:color w:val="000000" w:themeColor="text1"/>
          <w:kern w:val="24"/>
          <w:sz w:val="24"/>
          <w:szCs w:val="24"/>
          <w:highlight w:val="none"/>
          <w14:textFill>
            <w14:solidFill>
              <w14:schemeClr w14:val="tx1"/>
            </w14:solidFill>
          </w14:textFill>
        </w:rPr>
        <w:t>结算综合单价(元/m)=A。</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②当(P-C)/C＜-0.02或(P-C)/C＞0.02时，</w:t>
      </w:r>
      <w:r>
        <w:rPr>
          <w:rFonts w:hint="eastAsia" w:ascii="宋体" w:hAnsi="宋体" w:eastAsia="宋体" w:cs="宋体"/>
          <w:bCs/>
          <w:color w:val="000000" w:themeColor="text1"/>
          <w:kern w:val="24"/>
          <w:sz w:val="24"/>
          <w:szCs w:val="24"/>
          <w:highlight w:val="none"/>
          <w14:textFill>
            <w14:solidFill>
              <w14:schemeClr w14:val="tx1"/>
            </w14:solidFill>
          </w14:textFill>
        </w:rPr>
        <w:t>线缆</w:t>
      </w:r>
      <w:r>
        <w:rPr>
          <w:rFonts w:hint="eastAsia" w:ascii="宋体" w:hAnsi="宋体" w:eastAsia="宋体" w:cs="宋体"/>
          <w:color w:val="000000" w:themeColor="text1"/>
          <w:kern w:val="24"/>
          <w:sz w:val="24"/>
          <w:szCs w:val="24"/>
          <w:highlight w:val="none"/>
          <w14:textFill>
            <w14:solidFill>
              <w14:schemeClr w14:val="tx1"/>
            </w14:solidFill>
          </w14:textFill>
        </w:rPr>
        <w:t>结算综合单价(元/m) = A+B×(P-C-C*2%)÷1000。</w:t>
      </w:r>
    </w:p>
    <w:p>
      <w:pPr>
        <w:pStyle w:val="3"/>
        <w:spacing w:after="0" w:line="360" w:lineRule="auto"/>
        <w:ind w:left="0" w:leftChars="0"/>
        <w:rPr>
          <w:rFonts w:hint="eastAsia" w:ascii="宋体" w:hAnsi="宋体" w:eastAsia="宋体" w:cs="宋体"/>
          <w:b/>
          <w:bCs/>
          <w:color w:val="000000" w:themeColor="text1"/>
          <w:kern w:val="24"/>
          <w:sz w:val="24"/>
          <w:szCs w:val="24"/>
          <w:highlight w:val="none"/>
          <w14:textFill>
            <w14:solidFill>
              <w14:schemeClr w14:val="tx1"/>
            </w14:solidFill>
          </w14:textFill>
        </w:rPr>
      </w:pPr>
      <w:r>
        <w:rPr>
          <w:rFonts w:hint="eastAsia" w:ascii="宋体" w:hAnsi="宋体" w:eastAsia="宋体" w:cs="宋体"/>
          <w:b/>
          <w:bCs/>
          <w:color w:val="000000" w:themeColor="text1"/>
          <w:kern w:val="24"/>
          <w:sz w:val="24"/>
          <w:szCs w:val="24"/>
          <w:highlight w:val="none"/>
          <w14:textFill>
            <w14:solidFill>
              <w14:schemeClr w14:val="tx1"/>
            </w14:solidFill>
          </w14:textFill>
        </w:rPr>
        <w:t>七、甲乙双方权利和义务</w:t>
      </w:r>
    </w:p>
    <w:p>
      <w:pPr>
        <w:pStyle w:val="6"/>
        <w:tabs>
          <w:tab w:val="left" w:pos="0"/>
          <w:tab w:val="clear" w:pos="848"/>
        </w:tabs>
        <w:spacing w:line="360" w:lineRule="auto"/>
        <w:ind w:left="0" w:leftChars="0" w:firstLine="480" w:firstLineChars="200"/>
        <w:rPr>
          <w:rFonts w:hint="eastAsia" w:ascii="宋体" w:hAnsi="宋体" w:eastAsia="宋体" w:cs="宋体"/>
          <w:b w:val="0"/>
          <w:color w:val="000000" w:themeColor="text1"/>
          <w:kern w:val="24"/>
          <w:sz w:val="24"/>
          <w:highlight w:val="none"/>
          <w14:textFill>
            <w14:solidFill>
              <w14:schemeClr w14:val="tx1"/>
            </w14:solidFill>
          </w14:textFill>
        </w:rPr>
      </w:pPr>
      <w:r>
        <w:rPr>
          <w:rFonts w:hint="eastAsia" w:ascii="宋体" w:hAnsi="宋体" w:eastAsia="宋体" w:cs="宋体"/>
          <w:b w:val="0"/>
          <w:color w:val="000000" w:themeColor="text1"/>
          <w:kern w:val="24"/>
          <w:sz w:val="24"/>
          <w:highlight w:val="none"/>
          <w14:textFill>
            <w14:solidFill>
              <w14:schemeClr w14:val="tx1"/>
            </w14:solidFill>
          </w14:textFill>
        </w:rPr>
        <w:t>7.1 甲方权利和义务</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highlight w:val="none"/>
          <w14:textFill>
            <w14:solidFill>
              <w14:schemeClr w14:val="tx1"/>
            </w14:solidFill>
          </w14:textFill>
        </w:rPr>
        <w:t>7.</w:t>
      </w:r>
      <w:r>
        <w:rPr>
          <w:rFonts w:hint="eastAsia" w:ascii="宋体" w:hAnsi="宋体" w:eastAsia="宋体" w:cs="宋体"/>
          <w:color w:val="000000" w:themeColor="text1"/>
          <w:kern w:val="24"/>
          <w:sz w:val="24"/>
          <w:szCs w:val="24"/>
          <w:highlight w:val="none"/>
          <w14:textFill>
            <w14:solidFill>
              <w14:schemeClr w14:val="tx1"/>
            </w14:solidFill>
          </w14:textFill>
        </w:rPr>
        <w:t>1.1 根据合同约定的方式向乙方发出增减供货、供货期调整、取消订货等指令。</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highlight w:val="none"/>
          <w14:textFill>
            <w14:solidFill>
              <w14:schemeClr w14:val="tx1"/>
            </w14:solidFill>
          </w14:textFill>
        </w:rPr>
        <w:t>7.</w:t>
      </w:r>
      <w:r>
        <w:rPr>
          <w:rFonts w:hint="eastAsia" w:ascii="宋体" w:hAnsi="宋体" w:eastAsia="宋体" w:cs="宋体"/>
          <w:color w:val="000000" w:themeColor="text1"/>
          <w:kern w:val="24"/>
          <w:sz w:val="24"/>
          <w:szCs w:val="24"/>
          <w:highlight w:val="none"/>
          <w14:textFill>
            <w14:solidFill>
              <w14:schemeClr w14:val="tx1"/>
            </w14:solidFill>
          </w14:textFill>
        </w:rPr>
        <w:t>1.2 组织交货验收、办理结算、按合同约定时间支付货款。</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highlight w:val="none"/>
          <w14:textFill>
            <w14:solidFill>
              <w14:schemeClr w14:val="tx1"/>
            </w14:solidFill>
          </w14:textFill>
        </w:rPr>
        <w:t>7.</w:t>
      </w:r>
      <w:r>
        <w:rPr>
          <w:rFonts w:hint="eastAsia" w:ascii="宋体" w:hAnsi="宋体" w:eastAsia="宋体" w:cs="宋体"/>
          <w:color w:val="000000" w:themeColor="text1"/>
          <w:kern w:val="24"/>
          <w:sz w:val="24"/>
          <w:szCs w:val="24"/>
          <w:highlight w:val="none"/>
          <w14:textFill>
            <w14:solidFill>
              <w14:schemeClr w14:val="tx1"/>
            </w14:solidFill>
          </w14:textFill>
        </w:rPr>
        <w:t>1.3 根据封存样品，负责对产品的质量、规格型号、数量、颜色进行验收。</w:t>
      </w:r>
    </w:p>
    <w:p>
      <w:pPr>
        <w:numPr>
          <w:ilvl w:val="255"/>
          <w:numId w:val="0"/>
        </w:numPr>
        <w:spacing w:line="360" w:lineRule="auto"/>
        <w:ind w:firstLine="480" w:firstLineChars="200"/>
        <w:rPr>
          <w:rFonts w:hint="eastAsia" w:ascii="宋体" w:hAnsi="宋体" w:eastAsia="宋体" w:cs="宋体"/>
          <w:bCs/>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highlight w:val="none"/>
          <w14:textFill>
            <w14:solidFill>
              <w14:schemeClr w14:val="tx1"/>
            </w14:solidFill>
          </w14:textFill>
        </w:rPr>
        <w:t>7.</w:t>
      </w:r>
      <w:r>
        <w:rPr>
          <w:rFonts w:hint="eastAsia" w:ascii="宋体" w:hAnsi="宋体" w:eastAsia="宋体" w:cs="宋体"/>
          <w:color w:val="000000" w:themeColor="text1"/>
          <w:kern w:val="24"/>
          <w:sz w:val="24"/>
          <w:szCs w:val="24"/>
          <w:highlight w:val="none"/>
          <w14:textFill>
            <w14:solidFill>
              <w14:schemeClr w14:val="tx1"/>
            </w14:solidFill>
          </w14:textFill>
        </w:rPr>
        <w:t>2 乙方权利和义务</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highlight w:val="none"/>
          <w14:textFill>
            <w14:solidFill>
              <w14:schemeClr w14:val="tx1"/>
            </w14:solidFill>
          </w14:textFill>
        </w:rPr>
        <w:t>7.</w:t>
      </w:r>
      <w:r>
        <w:rPr>
          <w:rFonts w:hint="eastAsia" w:ascii="宋体" w:hAnsi="宋体" w:eastAsia="宋体" w:cs="宋体"/>
          <w:color w:val="000000" w:themeColor="text1"/>
          <w:kern w:val="24"/>
          <w:sz w:val="24"/>
          <w:szCs w:val="24"/>
          <w:highlight w:val="none"/>
          <w14:textFill>
            <w14:solidFill>
              <w14:schemeClr w14:val="tx1"/>
            </w14:solidFill>
          </w14:textFill>
        </w:rPr>
        <w:t>2.1 电线、电缆进场后应由乙方提供有关的出厂合格证、3C认证、生产许可证和国家权威检测机构出具的检测报告，需作复试的由乙方负责和承担费用。</w:t>
      </w:r>
    </w:p>
    <w:p>
      <w:pPr>
        <w:tabs>
          <w:tab w:val="left" w:pos="7380"/>
        </w:tabs>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highlight w:val="none"/>
          <w14:textFill>
            <w14:solidFill>
              <w14:schemeClr w14:val="tx1"/>
            </w14:solidFill>
          </w14:textFill>
        </w:rPr>
        <w:t>7.</w:t>
      </w:r>
      <w:r>
        <w:rPr>
          <w:rFonts w:hint="eastAsia" w:ascii="宋体" w:hAnsi="宋体" w:eastAsia="宋体" w:cs="宋体"/>
          <w:color w:val="000000" w:themeColor="text1"/>
          <w:kern w:val="24"/>
          <w:sz w:val="24"/>
          <w:szCs w:val="24"/>
          <w:highlight w:val="none"/>
          <w14:textFill>
            <w14:solidFill>
              <w14:schemeClr w14:val="tx1"/>
            </w14:solidFill>
          </w14:textFill>
        </w:rPr>
        <w:t>2.2 按照约定的材料清单、合同价款、交货方式、交货地点和时间向甲方供应满足技术标准及质量要求的产品。线缆供货完毕后，现场如有电线整捆未拆、包装完好的，乙方承诺可按合同单价退货，多余电缆不能退货。</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highlight w:val="none"/>
          <w14:textFill>
            <w14:solidFill>
              <w14:schemeClr w14:val="tx1"/>
            </w14:solidFill>
          </w14:textFill>
        </w:rPr>
        <w:t>7.</w:t>
      </w:r>
      <w:r>
        <w:rPr>
          <w:rFonts w:hint="eastAsia" w:ascii="宋体" w:hAnsi="宋体" w:eastAsia="宋体" w:cs="宋体"/>
          <w:color w:val="000000" w:themeColor="text1"/>
          <w:kern w:val="24"/>
          <w:sz w:val="24"/>
          <w:szCs w:val="24"/>
          <w:highlight w:val="none"/>
          <w14:textFill>
            <w14:solidFill>
              <w14:schemeClr w14:val="tx1"/>
            </w14:solidFill>
          </w14:textFill>
        </w:rPr>
        <w:t>2.3 遵守政府有关主管部门对包装、运输的管理规定，按规定办理有关手续，并将复印件抄送总监和甲方代表，自行承担因乙方责任造成的政府处罚。</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highlight w:val="none"/>
          <w14:textFill>
            <w14:solidFill>
              <w14:schemeClr w14:val="tx1"/>
            </w14:solidFill>
          </w14:textFill>
        </w:rPr>
        <w:t>7.</w:t>
      </w:r>
      <w:r>
        <w:rPr>
          <w:rFonts w:hint="eastAsia" w:ascii="宋体" w:hAnsi="宋体" w:eastAsia="宋体" w:cs="宋体"/>
          <w:color w:val="000000" w:themeColor="text1"/>
          <w:kern w:val="24"/>
          <w:sz w:val="24"/>
          <w:szCs w:val="24"/>
          <w:highlight w:val="none"/>
          <w14:textFill>
            <w14:solidFill>
              <w14:schemeClr w14:val="tx1"/>
            </w14:solidFill>
          </w14:textFill>
        </w:rPr>
        <w:t>2.4 在甲方或监理单位提出要求时，配合甲方或监理单位在生产过程中对原材料、半成品、成品及加工过程进行抽查，此费用如验收合格由甲方承担，不合格由乙方承担。</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highlight w:val="none"/>
          <w14:textFill>
            <w14:solidFill>
              <w14:schemeClr w14:val="tx1"/>
            </w14:solidFill>
          </w14:textFill>
        </w:rPr>
        <w:t>7.</w:t>
      </w:r>
      <w:r>
        <w:rPr>
          <w:rFonts w:hint="eastAsia" w:ascii="宋体" w:hAnsi="宋体" w:eastAsia="宋体" w:cs="宋体"/>
          <w:color w:val="000000" w:themeColor="text1"/>
          <w:kern w:val="24"/>
          <w:sz w:val="24"/>
          <w:szCs w:val="24"/>
          <w:highlight w:val="none"/>
          <w14:textFill>
            <w14:solidFill>
              <w14:schemeClr w14:val="tx1"/>
            </w14:solidFill>
          </w14:textFill>
        </w:rPr>
        <w:t>2.5 因乙方所提供的线缆品牌、型号、质量不符合本合同及相关规范规定，甲方有权拒收，供货期不予顺延，乙方需更换。</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highlight w:val="none"/>
          <w14:textFill>
            <w14:solidFill>
              <w14:schemeClr w14:val="tx1"/>
            </w14:solidFill>
          </w14:textFill>
        </w:rPr>
        <w:t>7.</w:t>
      </w:r>
      <w:r>
        <w:rPr>
          <w:rFonts w:hint="eastAsia" w:ascii="宋体" w:hAnsi="宋体" w:eastAsia="宋体" w:cs="宋体"/>
          <w:color w:val="000000" w:themeColor="text1"/>
          <w:kern w:val="24"/>
          <w:sz w:val="24"/>
          <w:szCs w:val="24"/>
          <w:highlight w:val="none"/>
          <w14:textFill>
            <w14:solidFill>
              <w14:schemeClr w14:val="tx1"/>
            </w14:solidFill>
          </w14:textFill>
        </w:rPr>
        <w:t>2.6 乙方负责货物交付前的成品保护工作。</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highlight w:val="none"/>
          <w14:textFill>
            <w14:solidFill>
              <w14:schemeClr w14:val="tx1"/>
            </w14:solidFill>
          </w14:textFill>
        </w:rPr>
        <w:t>7.</w:t>
      </w:r>
      <w:r>
        <w:rPr>
          <w:rFonts w:hint="eastAsia" w:ascii="宋体" w:hAnsi="宋体" w:eastAsia="宋体" w:cs="宋体"/>
          <w:color w:val="000000" w:themeColor="text1"/>
          <w:kern w:val="24"/>
          <w:sz w:val="24"/>
          <w:szCs w:val="24"/>
          <w:highlight w:val="none"/>
          <w14:textFill>
            <w14:solidFill>
              <w14:schemeClr w14:val="tx1"/>
            </w14:solidFill>
          </w14:textFill>
        </w:rPr>
        <w:t>2.7 乙方必须配合甲方工程验收，直至工程综合验收通过为止。</w:t>
      </w:r>
    </w:p>
    <w:p>
      <w:pPr>
        <w:pStyle w:val="3"/>
        <w:spacing w:after="0" w:line="360" w:lineRule="auto"/>
        <w:ind w:left="0" w:leftChars="0"/>
        <w:rPr>
          <w:rFonts w:hint="eastAsia" w:ascii="宋体" w:hAnsi="宋体" w:eastAsia="宋体" w:cs="宋体"/>
          <w:b/>
          <w:bCs/>
          <w:color w:val="000000" w:themeColor="text1"/>
          <w:kern w:val="24"/>
          <w:sz w:val="24"/>
          <w:szCs w:val="24"/>
          <w:highlight w:val="none"/>
          <w14:textFill>
            <w14:solidFill>
              <w14:schemeClr w14:val="tx1"/>
            </w14:solidFill>
          </w14:textFill>
        </w:rPr>
      </w:pPr>
      <w:r>
        <w:rPr>
          <w:rFonts w:hint="eastAsia" w:ascii="宋体" w:hAnsi="宋体" w:eastAsia="宋体" w:cs="宋体"/>
          <w:b/>
          <w:bCs/>
          <w:color w:val="000000" w:themeColor="text1"/>
          <w:kern w:val="24"/>
          <w:sz w:val="24"/>
          <w:szCs w:val="24"/>
          <w:highlight w:val="none"/>
          <w14:textFill>
            <w14:solidFill>
              <w14:schemeClr w14:val="tx1"/>
            </w14:solidFill>
          </w14:textFill>
        </w:rPr>
        <w:t>八、包装和保护</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包装必须符合国家和行业标准，乙方保证在运输中捆扎稳妥，保证产品不受摩擦损伤。对没有进行保护或受损的产品，甲方不予接受。由此造成的一切工期和经济损失均由乙方承担。</w:t>
      </w:r>
    </w:p>
    <w:p>
      <w:pPr>
        <w:spacing w:line="360" w:lineRule="auto"/>
        <w:rPr>
          <w:rFonts w:hint="eastAsia" w:ascii="宋体" w:hAnsi="宋体" w:eastAsia="宋体" w:cs="宋体"/>
          <w:b/>
          <w:color w:val="000000" w:themeColor="text1"/>
          <w:kern w:val="24"/>
          <w:sz w:val="24"/>
          <w:szCs w:val="24"/>
          <w:highlight w:val="none"/>
          <w14:textFill>
            <w14:solidFill>
              <w14:schemeClr w14:val="tx1"/>
            </w14:solidFill>
          </w14:textFill>
        </w:rPr>
      </w:pPr>
      <w:r>
        <w:rPr>
          <w:rFonts w:hint="eastAsia" w:ascii="宋体" w:hAnsi="宋体" w:eastAsia="宋体" w:cs="宋体"/>
          <w:b/>
          <w:color w:val="000000" w:themeColor="text1"/>
          <w:kern w:val="24"/>
          <w:sz w:val="24"/>
          <w:szCs w:val="24"/>
          <w:highlight w:val="none"/>
          <w14:textFill>
            <w14:solidFill>
              <w14:schemeClr w14:val="tx1"/>
            </w14:solidFill>
          </w14:textFill>
        </w:rPr>
        <w:t>九、质量与验收</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9.1 乙方供应线缆生产厂家：</w:t>
      </w:r>
      <w:r>
        <w:rPr>
          <w:rFonts w:hint="eastAsia" w:ascii="宋体" w:hAnsi="宋体" w:eastAsia="宋体" w:cs="宋体"/>
          <w:color w:val="000000" w:themeColor="text1"/>
          <w:kern w:val="24"/>
          <w:sz w:val="24"/>
          <w:szCs w:val="24"/>
          <w:highlight w:val="none"/>
          <w:u w:val="single"/>
          <w14:textFill>
            <w14:solidFill>
              <w14:schemeClr w14:val="tx1"/>
            </w14:solidFill>
          </w14:textFill>
        </w:rPr>
        <w:t>郑缆科技股份有限公司</w:t>
      </w:r>
      <w:r>
        <w:rPr>
          <w:rFonts w:hint="eastAsia" w:ascii="宋体" w:hAnsi="宋体" w:eastAsia="宋体" w:cs="宋体"/>
          <w:color w:val="000000" w:themeColor="text1"/>
          <w:kern w:val="24"/>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9.2 乙方供应线缆应满足双方在合同中约定的线缆所执行的技术标准及质量要求。</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9.3 乙方必须保证交货产品各项性能不得低于国家质量标准。甲方保留在例行送检之外随时抽查及送检产品的权利，检验机构为政府法定检验机构。对于产品的任何技术及质量标准不合格，乙方承担检测费用。甲方对有质量问题的货物有权拒收、部分拒收、退货、部分退货。</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9.4 乙方不得对线缆进行变更，未经甲方同意擅自更改或换用时，甲方有权要求退货并重做，乙方承担由此发生的费用，并赔偿甲方的有关损失，延误的供货日期不予顺延。</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9.5 合同履行中甲方要求变更材料质量标准及发生其他实质性变更，由双方协商解决。</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9.6 交货验收应在货物在指定地点落地之后进行，乙方应在线缆到货前24小时通知甲方，甲方应在到货后</w:t>
      </w:r>
      <w:r>
        <w:rPr>
          <w:rFonts w:hint="eastAsia" w:ascii="宋体" w:hAnsi="宋体" w:eastAsia="宋体" w:cs="宋体"/>
          <w:color w:val="000000" w:themeColor="text1"/>
          <w:kern w:val="24"/>
          <w:sz w:val="24"/>
          <w:szCs w:val="24"/>
          <w:highlight w:val="none"/>
          <w14:textFill>
            <w14:solidFill>
              <w14:schemeClr w14:val="tx1"/>
            </w14:solidFill>
          </w14:textFill>
        </w:rPr>
        <w:t>48</w:t>
      </w:r>
      <w:r>
        <w:rPr>
          <w:rFonts w:hint="eastAsia" w:ascii="宋体" w:hAnsi="宋体" w:eastAsia="宋体" w:cs="宋体"/>
          <w:color w:val="000000" w:themeColor="text1"/>
          <w:kern w:val="24"/>
          <w:sz w:val="24"/>
          <w:szCs w:val="24"/>
          <w:highlight w:val="none"/>
          <w14:textFill>
            <w14:solidFill>
              <w14:schemeClr w14:val="tx1"/>
            </w14:solidFill>
          </w14:textFill>
        </w:rPr>
        <w:t>小时内完成验收，超过</w:t>
      </w:r>
      <w:r>
        <w:rPr>
          <w:rFonts w:hint="eastAsia" w:ascii="宋体" w:hAnsi="宋体" w:eastAsia="宋体" w:cs="宋体"/>
          <w:color w:val="000000" w:themeColor="text1"/>
          <w:kern w:val="24"/>
          <w:sz w:val="24"/>
          <w:szCs w:val="24"/>
          <w:highlight w:val="none"/>
          <w14:textFill>
            <w14:solidFill>
              <w14:schemeClr w14:val="tx1"/>
            </w14:solidFill>
          </w14:textFill>
        </w:rPr>
        <w:t>48</w:t>
      </w:r>
      <w:r>
        <w:rPr>
          <w:rFonts w:hint="eastAsia" w:ascii="宋体" w:hAnsi="宋体" w:eastAsia="宋体" w:cs="宋体"/>
          <w:color w:val="000000" w:themeColor="text1"/>
          <w:kern w:val="24"/>
          <w:sz w:val="24"/>
          <w:szCs w:val="24"/>
          <w:highlight w:val="none"/>
          <w14:textFill>
            <w14:solidFill>
              <w14:schemeClr w14:val="tx1"/>
            </w14:solidFill>
          </w14:textFill>
        </w:rPr>
        <w:t>小时未验收且未提出质量问题的，视为验收合格。甲乙双方、监理单位及甲方委托的验收参与人员，根据本合同约定的计量方式、技术标准和质量要求进行交货计量和验收，主要核对：数量、规格型号、产地、质量等级、尺寸、颜色、铭牌参数、包装及标识完整完好程度、交货资料。各方签字认可后即表示交货验收完成。</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9.7 若存在数量、规格型号、产地、质量等级、尺寸、颜色、铭牌参数、包装及标识完整完好程度、交货资料方面不合格情况的，甲方有权拒收、退货直至解除合同；甲方要求乙方重新更换的，乙方应按甲方要求的时间运走线缆并重新更换符合要求的产品，承担由此发生的费用。</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9.8 由于乙方线缆制造原因、调试达不到验收要求，不管该线缆是否经过甲方、监理验收，由乙方负责拆除和重新安装。乙方承担由此发生的一切费用。</w:t>
      </w:r>
    </w:p>
    <w:p>
      <w:pPr>
        <w:spacing w:line="360" w:lineRule="auto"/>
        <w:rPr>
          <w:rFonts w:hint="eastAsia" w:ascii="宋体" w:hAnsi="宋体" w:eastAsia="宋体" w:cs="宋体"/>
          <w:b/>
          <w:color w:val="000000" w:themeColor="text1"/>
          <w:kern w:val="24"/>
          <w:sz w:val="24"/>
          <w:szCs w:val="24"/>
          <w:highlight w:val="none"/>
          <w14:textFill>
            <w14:solidFill>
              <w14:schemeClr w14:val="tx1"/>
            </w14:solidFill>
          </w14:textFill>
        </w:rPr>
      </w:pPr>
      <w:r>
        <w:rPr>
          <w:rFonts w:hint="eastAsia" w:ascii="宋体" w:hAnsi="宋体" w:eastAsia="宋体" w:cs="宋体"/>
          <w:b/>
          <w:color w:val="000000" w:themeColor="text1"/>
          <w:kern w:val="24"/>
          <w:sz w:val="24"/>
          <w:szCs w:val="24"/>
          <w:highlight w:val="none"/>
          <w14:textFill>
            <w14:solidFill>
              <w14:schemeClr w14:val="tx1"/>
            </w14:solidFill>
          </w14:textFill>
        </w:rPr>
        <w:t>十、结算</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10.1、</w:t>
      </w:r>
      <w:r>
        <w:rPr>
          <w:rFonts w:hint="eastAsia" w:ascii="宋体" w:hAnsi="宋体" w:eastAsia="宋体" w:cs="宋体"/>
          <w:color w:val="000000" w:themeColor="text1"/>
          <w:kern w:val="24"/>
          <w:sz w:val="24"/>
          <w:szCs w:val="24"/>
          <w:highlight w:val="none"/>
          <w14:textFill>
            <w14:solidFill>
              <w14:schemeClr w14:val="tx1"/>
            </w14:solidFill>
          </w14:textFill>
        </w:rPr>
        <w:t>结算价=每批次线缆结算综合单价×对应批次实际供应数量+增加线缆材料进场复试检测报告费-应扣费用</w:t>
      </w:r>
      <w:r>
        <w:rPr>
          <w:rFonts w:hint="eastAsia" w:ascii="宋体" w:hAnsi="宋体" w:eastAsia="宋体" w:cs="宋体"/>
          <w:color w:val="000000" w:themeColor="text1"/>
          <w:kern w:val="24"/>
          <w:sz w:val="24"/>
          <w:szCs w:val="24"/>
          <w:highlight w:val="none"/>
          <w14:textFill>
            <w14:solidFill>
              <w14:schemeClr w14:val="tx1"/>
            </w14:solidFill>
          </w14:textFill>
        </w:rPr>
        <w:t>，结算线缆单价为本合同附件一：《电线电缆供货清单》中综合单价根据本合同第六项《合同价款的调整条款》调整后的价格。</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10.2、乙方需参照本合同附件二：《电线电缆验收单（四方签字单）》、附件三：《甲供物资申请表》提供相应资料作为结算依据。产品的结算数量以甲方工程部、乙方、监理、施工单位四方最终签认的接收数量为准，由甲方与乙方直接进行结算。</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10.3、乙方报送结算书应诚实准确，若最终审减额超过结算金额的5%则需要乙方向甲方支付超出部分费用的3%作为扣款，在结算报告中一次扣除。</w:t>
      </w:r>
    </w:p>
    <w:p>
      <w:pPr>
        <w:spacing w:line="360" w:lineRule="auto"/>
        <w:ind w:firstLine="480" w:firstLineChars="200"/>
        <w:rPr>
          <w:rFonts w:hint="eastAsia" w:ascii="宋体" w:hAnsi="宋体" w:eastAsia="宋体" w:cs="宋体"/>
          <w:bCs/>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10.</w:t>
      </w:r>
      <w:r>
        <w:rPr>
          <w:rFonts w:hint="eastAsia" w:ascii="宋体" w:hAnsi="宋体" w:eastAsia="宋体" w:cs="宋体"/>
          <w:bCs/>
          <w:color w:val="000000" w:themeColor="text1"/>
          <w:kern w:val="24"/>
          <w:sz w:val="24"/>
          <w:szCs w:val="24"/>
          <w:highlight w:val="none"/>
          <w14:textFill>
            <w14:solidFill>
              <w14:schemeClr w14:val="tx1"/>
            </w14:solidFill>
          </w14:textFill>
        </w:rPr>
        <w:t>4、如最终出现未在本合同报价清单内的线缆型号，以甲方认价为准。</w:t>
      </w:r>
    </w:p>
    <w:p>
      <w:pPr>
        <w:spacing w:line="360" w:lineRule="auto"/>
        <w:rPr>
          <w:rFonts w:hint="eastAsia" w:ascii="宋体" w:hAnsi="宋体" w:eastAsia="宋体" w:cs="宋体"/>
          <w:b/>
          <w:color w:val="000000" w:themeColor="text1"/>
          <w:kern w:val="24"/>
          <w:sz w:val="24"/>
          <w:szCs w:val="24"/>
          <w:highlight w:val="none"/>
          <w14:textFill>
            <w14:solidFill>
              <w14:schemeClr w14:val="tx1"/>
            </w14:solidFill>
          </w14:textFill>
        </w:rPr>
      </w:pPr>
      <w:r>
        <w:rPr>
          <w:rFonts w:hint="eastAsia" w:ascii="宋体" w:hAnsi="宋体" w:eastAsia="宋体" w:cs="宋体"/>
          <w:b/>
          <w:color w:val="000000" w:themeColor="text1"/>
          <w:kern w:val="24"/>
          <w:sz w:val="24"/>
          <w:szCs w:val="24"/>
          <w:highlight w:val="none"/>
          <w14:textFill>
            <w14:solidFill>
              <w14:schemeClr w14:val="tx1"/>
            </w14:solidFill>
          </w14:textFill>
        </w:rPr>
        <w:t>十一、质量保修</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11.1 乙方供应的电线电缆质量保修期为两年，质保期自整体工程竣工验收合格移交建设单位时起算。乙方应按法律、行政法规或国家关于材料质量保修的有关规定，对交付甲方使用的材料在质量保修期内承担质量保修责任。</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11.2 属于保修范围和内容的项目，乙方须在甲方通知后</w:t>
      </w:r>
      <w:r>
        <w:rPr>
          <w:rFonts w:hint="eastAsia" w:ascii="宋体" w:hAnsi="宋体" w:eastAsia="宋体" w:cs="宋体"/>
          <w:color w:val="000000" w:themeColor="text1"/>
          <w:kern w:val="24"/>
          <w:sz w:val="24"/>
          <w:szCs w:val="24"/>
          <w:highlight w:val="none"/>
          <w:u w:val="single"/>
          <w14:textFill>
            <w14:solidFill>
              <w14:schemeClr w14:val="tx1"/>
            </w14:solidFill>
          </w14:textFill>
        </w:rPr>
        <w:t xml:space="preserve"> 24 </w:t>
      </w:r>
      <w:r>
        <w:rPr>
          <w:rFonts w:hint="eastAsia" w:ascii="宋体" w:hAnsi="宋体" w:eastAsia="宋体" w:cs="宋体"/>
          <w:color w:val="000000" w:themeColor="text1"/>
          <w:kern w:val="24"/>
          <w:sz w:val="24"/>
          <w:szCs w:val="24"/>
          <w:highlight w:val="none"/>
          <w14:textFill>
            <w14:solidFill>
              <w14:schemeClr w14:val="tx1"/>
            </w14:solidFill>
          </w14:textFill>
        </w:rPr>
        <w:t>小时内赶到现场察看情况，无需更换的，在察看情况后</w:t>
      </w:r>
      <w:r>
        <w:rPr>
          <w:rFonts w:hint="eastAsia" w:ascii="宋体" w:hAnsi="宋体" w:eastAsia="宋体" w:cs="宋体"/>
          <w:color w:val="000000" w:themeColor="text1"/>
          <w:kern w:val="24"/>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kern w:val="24"/>
          <w:sz w:val="24"/>
          <w:szCs w:val="24"/>
          <w:highlight w:val="none"/>
          <w14:textFill>
            <w14:solidFill>
              <w14:schemeClr w14:val="tx1"/>
            </w14:solidFill>
          </w14:textFill>
        </w:rPr>
        <w:t>小时内处理完毕并清理维修现场，做到工完场清。需更换的，乙方提出合理时间表并在得到甲方认可后严格按时间表更换维修，费用由乙方承担。</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11.3 每个维修项目完成后，经用户、甲方代表验收并签字后，视为本次维修项目维修完毕。</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11.4 乙方违反以上规定，视为乙方同意由甲方处理，甲方有权直接委托他方处理，处理结果由用户、甲方签字认可后生效，因此发生的费用可从甲方支付乙方的任何款项中扣除，不足部分由乙方补足。</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11.5 乙方同意在免费保修期满后至材料有效寿命年限内，继续提供维修服务，并按优惠价收取费用。</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11.6 保修范围：本合同所包含的项目、双方其他约定等全部内容。</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11.7 保修责任：保修范围内，造成甲方的全部损失，均由乙方负责。</w:t>
      </w:r>
    </w:p>
    <w:p>
      <w:pPr>
        <w:spacing w:line="360" w:lineRule="auto"/>
        <w:rPr>
          <w:rFonts w:hint="eastAsia" w:ascii="宋体" w:hAnsi="宋体" w:eastAsia="宋体" w:cs="宋体"/>
          <w:b/>
          <w:bCs/>
          <w:color w:val="000000" w:themeColor="text1"/>
          <w:kern w:val="24"/>
          <w:sz w:val="24"/>
          <w:szCs w:val="24"/>
          <w:highlight w:val="none"/>
          <w14:textFill>
            <w14:solidFill>
              <w14:schemeClr w14:val="tx1"/>
            </w14:solidFill>
          </w14:textFill>
        </w:rPr>
      </w:pPr>
      <w:r>
        <w:rPr>
          <w:rFonts w:hint="eastAsia" w:ascii="宋体" w:hAnsi="宋体" w:eastAsia="宋体" w:cs="宋体"/>
          <w:b/>
          <w:bCs/>
          <w:color w:val="000000" w:themeColor="text1"/>
          <w:kern w:val="24"/>
          <w:sz w:val="24"/>
          <w:szCs w:val="24"/>
          <w:highlight w:val="none"/>
          <w14:textFill>
            <w14:solidFill>
              <w14:schemeClr w14:val="tx1"/>
            </w14:solidFill>
          </w14:textFill>
        </w:rPr>
        <w:t>十二、保证条款</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乙方保证：因乙方提供的线缆本身存在内在的缺陷等质量问题，在保修期内虽未发现，乙方仍应在线缆的有效使用年限内，承担质量责任；如因乙方提供的线缆本身存在内在的缺陷等质量问题而造成甲方和第三人的损害，乙方承担全部赔偿责任。</w:t>
      </w:r>
    </w:p>
    <w:p>
      <w:pPr>
        <w:spacing w:line="360" w:lineRule="auto"/>
        <w:rPr>
          <w:rFonts w:hint="eastAsia" w:ascii="宋体" w:hAnsi="宋体" w:eastAsia="宋体" w:cs="宋体"/>
          <w:b/>
          <w:color w:val="000000" w:themeColor="text1"/>
          <w:kern w:val="24"/>
          <w:sz w:val="24"/>
          <w:szCs w:val="24"/>
          <w:highlight w:val="none"/>
          <w14:textFill>
            <w14:solidFill>
              <w14:schemeClr w14:val="tx1"/>
            </w14:solidFill>
          </w14:textFill>
        </w:rPr>
      </w:pPr>
      <w:r>
        <w:rPr>
          <w:rFonts w:hint="eastAsia" w:ascii="宋体" w:hAnsi="宋体" w:eastAsia="宋体" w:cs="宋体"/>
          <w:b/>
          <w:color w:val="000000" w:themeColor="text1"/>
          <w:kern w:val="24"/>
          <w:sz w:val="24"/>
          <w:szCs w:val="24"/>
          <w:highlight w:val="none"/>
          <w14:textFill>
            <w14:solidFill>
              <w14:schemeClr w14:val="tx1"/>
            </w14:solidFill>
          </w14:textFill>
        </w:rPr>
        <w:t>十三、违约</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bCs/>
          <w:color w:val="000000" w:themeColor="text1"/>
          <w:kern w:val="24"/>
          <w:sz w:val="24"/>
          <w:szCs w:val="24"/>
          <w:highlight w:val="none"/>
          <w14:textFill>
            <w14:solidFill>
              <w14:schemeClr w14:val="tx1"/>
            </w14:solidFill>
          </w14:textFill>
        </w:rPr>
        <w:t xml:space="preserve">13.1 </w:t>
      </w:r>
      <w:r>
        <w:rPr>
          <w:rFonts w:hint="eastAsia" w:ascii="宋体" w:hAnsi="宋体" w:eastAsia="宋体" w:cs="宋体"/>
          <w:color w:val="000000" w:themeColor="text1"/>
          <w:kern w:val="24"/>
          <w:sz w:val="24"/>
          <w:szCs w:val="24"/>
          <w:highlight w:val="none"/>
          <w14:textFill>
            <w14:solidFill>
              <w14:schemeClr w14:val="tx1"/>
            </w14:solidFill>
          </w14:textFill>
        </w:rPr>
        <w:t>如乙方未在合同约定的供货日期内到货或未能按时通过甲方及监理验收，每逾期一天按</w:t>
      </w:r>
      <w:r>
        <w:rPr>
          <w:rFonts w:hint="eastAsia" w:ascii="宋体" w:hAnsi="宋体" w:eastAsia="宋体" w:cs="宋体"/>
          <w:color w:val="000000" w:themeColor="text1"/>
          <w:kern w:val="24"/>
          <w:sz w:val="24"/>
          <w:szCs w:val="24"/>
          <w:highlight w:val="none"/>
          <w:u w:val="single"/>
          <w14:textFill>
            <w14:solidFill>
              <w14:schemeClr w14:val="tx1"/>
            </w14:solidFill>
          </w14:textFill>
        </w:rPr>
        <w:t>2000</w:t>
      </w:r>
      <w:r>
        <w:rPr>
          <w:rFonts w:hint="eastAsia" w:ascii="宋体" w:hAnsi="宋体" w:eastAsia="宋体" w:cs="宋体"/>
          <w:color w:val="000000" w:themeColor="text1"/>
          <w:kern w:val="24"/>
          <w:sz w:val="24"/>
          <w:szCs w:val="24"/>
          <w:highlight w:val="none"/>
          <w14:textFill>
            <w14:solidFill>
              <w14:schemeClr w14:val="tx1"/>
            </w14:solidFill>
          </w14:textFill>
        </w:rPr>
        <w:t>元承担违约金。</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bCs/>
          <w:color w:val="000000" w:themeColor="text1"/>
          <w:kern w:val="24"/>
          <w:sz w:val="24"/>
          <w:szCs w:val="24"/>
          <w:highlight w:val="none"/>
          <w14:textFill>
            <w14:solidFill>
              <w14:schemeClr w14:val="tx1"/>
            </w14:solidFill>
          </w14:textFill>
        </w:rPr>
        <w:t>13.</w:t>
      </w:r>
      <w:r>
        <w:rPr>
          <w:rFonts w:hint="eastAsia" w:ascii="宋体" w:hAnsi="宋体" w:eastAsia="宋体" w:cs="宋体"/>
          <w:color w:val="000000" w:themeColor="text1"/>
          <w:kern w:val="24"/>
          <w:sz w:val="24"/>
          <w:szCs w:val="24"/>
          <w:highlight w:val="none"/>
          <w14:textFill>
            <w14:solidFill>
              <w14:schemeClr w14:val="tx1"/>
            </w14:solidFill>
          </w14:textFill>
        </w:rPr>
        <w:t>2 因乙方原因产品质量达不到合同约定的质量标准或未能按时通过验收，乙方负责更换退货，交货日期不予顺延并按本条第1款的约定承担违约责任，造成甲方损失的还应赔偿损失。</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bCs/>
          <w:color w:val="000000" w:themeColor="text1"/>
          <w:kern w:val="24"/>
          <w:sz w:val="24"/>
          <w:szCs w:val="24"/>
          <w:highlight w:val="none"/>
          <w14:textFill>
            <w14:solidFill>
              <w14:schemeClr w14:val="tx1"/>
            </w14:solidFill>
          </w14:textFill>
        </w:rPr>
        <w:t>13.</w:t>
      </w:r>
      <w:r>
        <w:rPr>
          <w:rFonts w:hint="eastAsia" w:ascii="宋体" w:hAnsi="宋体" w:eastAsia="宋体" w:cs="宋体"/>
          <w:color w:val="000000" w:themeColor="text1"/>
          <w:kern w:val="24"/>
          <w:sz w:val="24"/>
          <w:szCs w:val="24"/>
          <w:highlight w:val="none"/>
          <w14:textFill>
            <w14:solidFill>
              <w14:schemeClr w14:val="tx1"/>
            </w14:solidFill>
          </w14:textFill>
        </w:rPr>
        <w:t>3 一方违约后，另一方要求违约方继续履行合同时，违约方承担上述违约责任后仍应继续履行合同。</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bCs/>
          <w:color w:val="000000" w:themeColor="text1"/>
          <w:kern w:val="24"/>
          <w:sz w:val="24"/>
          <w:szCs w:val="24"/>
          <w:highlight w:val="none"/>
          <w14:textFill>
            <w14:solidFill>
              <w14:schemeClr w14:val="tx1"/>
            </w14:solidFill>
          </w14:textFill>
        </w:rPr>
        <w:t>13.</w:t>
      </w:r>
      <w:r>
        <w:rPr>
          <w:rFonts w:hint="eastAsia" w:ascii="宋体" w:hAnsi="宋体" w:eastAsia="宋体" w:cs="宋体"/>
          <w:color w:val="000000" w:themeColor="text1"/>
          <w:kern w:val="24"/>
          <w:sz w:val="24"/>
          <w:szCs w:val="24"/>
          <w:highlight w:val="none"/>
          <w14:textFill>
            <w14:solidFill>
              <w14:schemeClr w14:val="tx1"/>
            </w14:solidFill>
          </w14:textFill>
        </w:rPr>
        <w:t xml:space="preserve">4 </w:t>
      </w:r>
      <w:r>
        <w:rPr>
          <w:rFonts w:hint="eastAsia" w:ascii="宋体" w:hAnsi="宋体" w:eastAsia="宋体" w:cs="宋体"/>
          <w:bCs/>
          <w:color w:val="000000" w:themeColor="text1"/>
          <w:kern w:val="24"/>
          <w:sz w:val="24"/>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spacing w:line="360" w:lineRule="auto"/>
        <w:rPr>
          <w:rFonts w:hint="eastAsia" w:ascii="宋体" w:hAnsi="宋体" w:eastAsia="宋体" w:cs="宋体"/>
          <w:b/>
          <w:color w:val="000000" w:themeColor="text1"/>
          <w:kern w:val="24"/>
          <w:sz w:val="24"/>
          <w:szCs w:val="24"/>
          <w:highlight w:val="none"/>
          <w14:textFill>
            <w14:solidFill>
              <w14:schemeClr w14:val="tx1"/>
            </w14:solidFill>
          </w14:textFill>
        </w:rPr>
      </w:pPr>
      <w:r>
        <w:rPr>
          <w:rFonts w:hint="eastAsia" w:ascii="宋体" w:hAnsi="宋体" w:eastAsia="宋体" w:cs="宋体"/>
          <w:b/>
          <w:color w:val="000000" w:themeColor="text1"/>
          <w:kern w:val="24"/>
          <w:sz w:val="24"/>
          <w:szCs w:val="24"/>
          <w:highlight w:val="none"/>
          <w14:textFill>
            <w14:solidFill>
              <w14:schemeClr w14:val="tx1"/>
            </w14:solidFill>
          </w14:textFill>
        </w:rPr>
        <w:t>十四、争议</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甲乙双方在履行合同时发生争议，可以和解或者要求有关主管部门调解。当事人不愿和解、调解或者和解、调解不成的，可依法向甲方所在地人民法院提起诉讼。</w:t>
      </w:r>
    </w:p>
    <w:p>
      <w:pPr>
        <w:spacing w:line="360" w:lineRule="auto"/>
        <w:rPr>
          <w:rFonts w:hint="eastAsia" w:ascii="宋体" w:hAnsi="宋体" w:eastAsia="宋体" w:cs="宋体"/>
          <w:b/>
          <w:color w:val="000000" w:themeColor="text1"/>
          <w:kern w:val="24"/>
          <w:sz w:val="24"/>
          <w:szCs w:val="24"/>
          <w:highlight w:val="none"/>
          <w14:textFill>
            <w14:solidFill>
              <w14:schemeClr w14:val="tx1"/>
            </w14:solidFill>
          </w14:textFill>
        </w:rPr>
      </w:pPr>
      <w:r>
        <w:rPr>
          <w:rFonts w:hint="eastAsia" w:ascii="宋体" w:hAnsi="宋体" w:eastAsia="宋体" w:cs="宋体"/>
          <w:b/>
          <w:color w:val="000000" w:themeColor="text1"/>
          <w:kern w:val="24"/>
          <w:sz w:val="24"/>
          <w:szCs w:val="24"/>
          <w:highlight w:val="none"/>
          <w14:textFill>
            <w14:solidFill>
              <w14:schemeClr w14:val="tx1"/>
            </w14:solidFill>
          </w14:textFill>
        </w:rPr>
        <w:t>十五、合同终止和解除</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如发生以下情况甲方有权解除合同：</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15.1 乙方未经甲方同意停工7日（含7日）以上。</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15.2 甲方或监理方对同一施工问题连续下发三次整改通知书后乙方无作为或整改问题未在整改通知书要求的期限内解决。</w:t>
      </w:r>
    </w:p>
    <w:p>
      <w:pPr>
        <w:spacing w:line="360"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15.3 乙方购置不符合合同约定的品牌、厂家、产地、材质、工艺、规格、型号等标准的产品或者假冒伪劣产品用于本工程。</w:t>
      </w:r>
    </w:p>
    <w:p>
      <w:pPr>
        <w:spacing w:line="336"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依据本条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spacing w:line="336"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bCs/>
          <w:color w:val="000000" w:themeColor="text1"/>
          <w:kern w:val="24"/>
          <w:sz w:val="24"/>
          <w:szCs w:val="24"/>
          <w:highlight w:val="none"/>
          <w14:textFill>
            <w14:solidFill>
              <w14:schemeClr w14:val="tx1"/>
            </w14:solidFill>
          </w14:textFill>
        </w:rPr>
        <w:t>如合同解约甲方有权委托其他公司进行施工。</w:t>
      </w:r>
    </w:p>
    <w:p>
      <w:pPr>
        <w:spacing w:line="336" w:lineRule="auto"/>
        <w:rPr>
          <w:rFonts w:hint="eastAsia" w:ascii="宋体" w:hAnsi="宋体" w:eastAsia="宋体" w:cs="宋体"/>
          <w:b/>
          <w:color w:val="000000" w:themeColor="text1"/>
          <w:kern w:val="24"/>
          <w:sz w:val="24"/>
          <w:szCs w:val="24"/>
          <w:highlight w:val="none"/>
          <w14:textFill>
            <w14:solidFill>
              <w14:schemeClr w14:val="tx1"/>
            </w14:solidFill>
          </w14:textFill>
        </w:rPr>
      </w:pPr>
      <w:r>
        <w:rPr>
          <w:rFonts w:hint="eastAsia" w:ascii="宋体" w:hAnsi="宋体" w:eastAsia="宋体" w:cs="宋体"/>
          <w:b/>
          <w:color w:val="000000" w:themeColor="text1"/>
          <w:kern w:val="24"/>
          <w:sz w:val="24"/>
          <w:szCs w:val="24"/>
          <w:highlight w:val="none"/>
          <w14:textFill>
            <w14:solidFill>
              <w14:schemeClr w14:val="tx1"/>
            </w14:solidFill>
          </w14:textFill>
        </w:rPr>
        <w:t>十六、送达条款</w:t>
      </w:r>
    </w:p>
    <w:p>
      <w:pPr>
        <w:spacing w:line="336"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甲乙双方明确送达信息如下：</w:t>
      </w:r>
    </w:p>
    <w:p>
      <w:pPr>
        <w:spacing w:line="336"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甲方确认的送达信息为：</w:t>
      </w:r>
    </w:p>
    <w:p>
      <w:pPr>
        <w:spacing w:line="336"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送达地址：</w:t>
      </w:r>
      <w:r>
        <w:rPr>
          <w:rFonts w:hint="eastAsia" w:ascii="宋体" w:hAnsi="宋体" w:eastAsia="宋体" w:cs="宋体"/>
          <w:color w:val="000000" w:themeColor="text1"/>
          <w:kern w:val="24"/>
          <w:sz w:val="24"/>
          <w:szCs w:val="28"/>
          <w:highlight w:val="none"/>
          <w14:textFill>
            <w14:solidFill>
              <w14:schemeClr w14:val="tx1"/>
            </w14:solidFill>
          </w14:textFill>
        </w:rPr>
        <w:t>洛阳市洛龙区开元大道与长夏门街交叉口东100米，开元壹号售楼部</w:t>
      </w:r>
    </w:p>
    <w:p>
      <w:pPr>
        <w:spacing w:line="336"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联系人及联系方式：范天锋，</w:t>
      </w:r>
      <w:r>
        <w:rPr>
          <w:rFonts w:hint="eastAsia" w:ascii="宋体" w:hAnsi="宋体" w:eastAsia="宋体" w:cs="宋体"/>
          <w:bCs/>
          <w:color w:val="000000" w:themeColor="text1"/>
          <w:sz w:val="24"/>
          <w:szCs w:val="24"/>
          <w:highlight w:val="none"/>
          <w14:textFill>
            <w14:solidFill>
              <w14:schemeClr w14:val="tx1"/>
            </w14:solidFill>
          </w14:textFill>
        </w:rPr>
        <w:t>0379-60198086</w:t>
      </w:r>
    </w:p>
    <w:p>
      <w:pPr>
        <w:spacing w:line="336"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乙方确认的送达信息为：</w:t>
      </w:r>
    </w:p>
    <w:p>
      <w:pPr>
        <w:spacing w:line="336"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送达地址：武陟县产业集聚区创业路东段</w:t>
      </w:r>
    </w:p>
    <w:p>
      <w:pPr>
        <w:spacing w:line="336"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联系人及联系方式：李锐，13721647874，0391-3816177</w:t>
      </w:r>
    </w:p>
    <w:p>
      <w:pPr>
        <w:spacing w:line="336"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3"/>
        <w:spacing w:after="0" w:line="336" w:lineRule="auto"/>
        <w:ind w:left="0" w:leftChars="0"/>
        <w:rPr>
          <w:rFonts w:hint="eastAsia" w:ascii="宋体" w:hAnsi="宋体" w:eastAsia="宋体" w:cs="宋体"/>
          <w:b/>
          <w:color w:val="000000" w:themeColor="text1"/>
          <w:kern w:val="24"/>
          <w:sz w:val="24"/>
          <w:szCs w:val="24"/>
          <w:highlight w:val="none"/>
          <w14:textFill>
            <w14:solidFill>
              <w14:schemeClr w14:val="tx1"/>
            </w14:solidFill>
          </w14:textFill>
        </w:rPr>
      </w:pPr>
      <w:r>
        <w:rPr>
          <w:rFonts w:hint="eastAsia" w:ascii="宋体" w:hAnsi="宋体" w:eastAsia="宋体" w:cs="宋体"/>
          <w:b/>
          <w:color w:val="000000" w:themeColor="text1"/>
          <w:kern w:val="24"/>
          <w:sz w:val="24"/>
          <w:szCs w:val="24"/>
          <w:highlight w:val="none"/>
          <w14:textFill>
            <w14:solidFill>
              <w14:schemeClr w14:val="tx1"/>
            </w14:solidFill>
          </w14:textFill>
        </w:rPr>
        <w:t>十七、合同生效</w:t>
      </w:r>
    </w:p>
    <w:p>
      <w:pPr>
        <w:pStyle w:val="3"/>
        <w:spacing w:after="0" w:line="336"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 xml:space="preserve">17.1 </w:t>
      </w:r>
      <w:r>
        <w:rPr>
          <w:rFonts w:hint="eastAsia" w:ascii="宋体" w:hAnsi="宋体" w:eastAsia="宋体" w:cs="宋体"/>
          <w:color w:val="000000" w:themeColor="text1"/>
          <w:kern w:val="24"/>
          <w:sz w:val="24"/>
          <w:szCs w:val="24"/>
          <w:highlight w:val="none"/>
          <w14:textFill>
            <w14:solidFill>
              <w14:schemeClr w14:val="tx1"/>
            </w14:solidFill>
          </w14:textFill>
        </w:rPr>
        <w:t>本合同自双方</w:t>
      </w:r>
      <w:r>
        <w:rPr>
          <w:rFonts w:hint="eastAsia" w:ascii="宋体" w:hAnsi="宋体" w:eastAsia="宋体" w:cs="宋体"/>
          <w:color w:val="000000" w:themeColor="text1"/>
          <w:kern w:val="24"/>
          <w:sz w:val="24"/>
          <w:highlight w:val="none"/>
          <w14:textFill>
            <w14:solidFill>
              <w14:schemeClr w14:val="tx1"/>
            </w14:solidFill>
          </w14:textFill>
        </w:rPr>
        <w:t>法定代理人或委托代理人签字并盖章</w:t>
      </w:r>
      <w:r>
        <w:rPr>
          <w:rFonts w:hint="eastAsia" w:ascii="宋体" w:hAnsi="宋体" w:eastAsia="宋体" w:cs="宋体"/>
          <w:color w:val="000000" w:themeColor="text1"/>
          <w:kern w:val="24"/>
          <w:sz w:val="24"/>
          <w:szCs w:val="24"/>
          <w:highlight w:val="none"/>
          <w14:textFill>
            <w14:solidFill>
              <w14:schemeClr w14:val="tx1"/>
            </w14:solidFill>
          </w14:textFill>
        </w:rPr>
        <w:t>之日起生效。</w:t>
      </w:r>
    </w:p>
    <w:p>
      <w:pPr>
        <w:pStyle w:val="3"/>
        <w:spacing w:after="0" w:line="336"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17.2 合同执行期内，甲、乙双方均不得随意变更或解除合同。</w:t>
      </w:r>
    </w:p>
    <w:p>
      <w:pPr>
        <w:pStyle w:val="3"/>
        <w:spacing w:after="0" w:line="336"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17.3 合同未尽事宜，须双方共同协商，签订补充协议，补充协议与本合同具有同等法律效力。</w:t>
      </w:r>
    </w:p>
    <w:p>
      <w:pPr>
        <w:pStyle w:val="3"/>
        <w:spacing w:after="0" w:line="336"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17.</w:t>
      </w:r>
      <w:r>
        <w:rPr>
          <w:rFonts w:hint="eastAsia" w:ascii="宋体" w:hAnsi="宋体" w:eastAsia="宋体" w:cs="宋体"/>
          <w:bCs/>
          <w:color w:val="000000" w:themeColor="text1"/>
          <w:kern w:val="24"/>
          <w:sz w:val="24"/>
          <w:szCs w:val="24"/>
          <w:highlight w:val="none"/>
          <w14:textFill>
            <w14:solidFill>
              <w14:schemeClr w14:val="tx1"/>
            </w14:solidFill>
          </w14:textFill>
        </w:rPr>
        <w:t xml:space="preserve">4 </w:t>
      </w:r>
      <w:r>
        <w:rPr>
          <w:rFonts w:hint="eastAsia" w:ascii="宋体" w:hAnsi="宋体" w:eastAsia="宋体" w:cs="宋体"/>
          <w:bCs/>
          <w:color w:val="000000" w:themeColor="text1"/>
          <w:sz w:val="24"/>
          <w:highlight w:val="none"/>
          <w14:textFill>
            <w14:solidFill>
              <w14:schemeClr w14:val="tx1"/>
            </w14:solidFill>
          </w14:textFill>
        </w:rPr>
        <w:t>合同附件为本合同不可分割的组成部分，本合同连同附件</w:t>
      </w:r>
      <w:r>
        <w:rPr>
          <w:rFonts w:hint="eastAsia" w:ascii="宋体" w:hAnsi="宋体" w:eastAsia="宋体" w:cs="宋体"/>
          <w:bCs/>
          <w:color w:val="000000" w:themeColor="text1"/>
          <w:kern w:val="24"/>
          <w:sz w:val="24"/>
          <w:szCs w:val="24"/>
          <w:highlight w:val="none"/>
          <w14:textFill>
            <w14:solidFill>
              <w14:schemeClr w14:val="tx1"/>
            </w14:solidFill>
          </w14:textFill>
        </w:rPr>
        <w:t>一式</w:t>
      </w:r>
      <w:r>
        <w:rPr>
          <w:rFonts w:hint="eastAsia" w:ascii="宋体" w:hAnsi="宋体" w:eastAsia="宋体" w:cs="宋体"/>
          <w:bCs/>
          <w:color w:val="000000" w:themeColor="text1"/>
          <w:kern w:val="24"/>
          <w:sz w:val="24"/>
          <w:szCs w:val="24"/>
          <w:highlight w:val="none"/>
          <w:u w:val="single"/>
          <w14:textFill>
            <w14:solidFill>
              <w14:schemeClr w14:val="tx1"/>
            </w14:solidFill>
          </w14:textFill>
        </w:rPr>
        <w:t>柒</w:t>
      </w:r>
      <w:r>
        <w:rPr>
          <w:rFonts w:hint="eastAsia" w:ascii="宋体" w:hAnsi="宋体" w:eastAsia="宋体" w:cs="宋体"/>
          <w:bCs/>
          <w:color w:val="000000" w:themeColor="text1"/>
          <w:kern w:val="24"/>
          <w:sz w:val="24"/>
          <w:szCs w:val="24"/>
          <w:highlight w:val="none"/>
          <w14:textFill>
            <w14:solidFill>
              <w14:schemeClr w14:val="tx1"/>
            </w14:solidFill>
          </w14:textFill>
        </w:rPr>
        <w:t>份，甲方</w:t>
      </w:r>
      <w:r>
        <w:rPr>
          <w:rFonts w:hint="eastAsia" w:ascii="宋体" w:hAnsi="宋体" w:eastAsia="宋体" w:cs="宋体"/>
          <w:bCs/>
          <w:color w:val="000000" w:themeColor="text1"/>
          <w:kern w:val="24"/>
          <w:sz w:val="24"/>
          <w:szCs w:val="24"/>
          <w:highlight w:val="none"/>
          <w:u w:val="single"/>
          <w14:textFill>
            <w14:solidFill>
              <w14:schemeClr w14:val="tx1"/>
            </w14:solidFill>
          </w14:textFill>
        </w:rPr>
        <w:t>伍</w:t>
      </w:r>
      <w:r>
        <w:rPr>
          <w:rFonts w:hint="eastAsia" w:ascii="宋体" w:hAnsi="宋体" w:eastAsia="宋体" w:cs="宋体"/>
          <w:bCs/>
          <w:color w:val="000000" w:themeColor="text1"/>
          <w:kern w:val="24"/>
          <w:sz w:val="24"/>
          <w:szCs w:val="24"/>
          <w:highlight w:val="none"/>
          <w14:textFill>
            <w14:solidFill>
              <w14:schemeClr w14:val="tx1"/>
            </w14:solidFill>
          </w14:textFill>
        </w:rPr>
        <w:t>份，乙方</w:t>
      </w:r>
      <w:r>
        <w:rPr>
          <w:rFonts w:hint="eastAsia" w:ascii="宋体" w:hAnsi="宋体" w:eastAsia="宋体" w:cs="宋体"/>
          <w:bCs/>
          <w:color w:val="000000" w:themeColor="text1"/>
          <w:kern w:val="24"/>
          <w:sz w:val="24"/>
          <w:szCs w:val="24"/>
          <w:highlight w:val="none"/>
          <w:u w:val="single"/>
          <w14:textFill>
            <w14:solidFill>
              <w14:schemeClr w14:val="tx1"/>
            </w14:solidFill>
          </w14:textFill>
        </w:rPr>
        <w:t>贰</w:t>
      </w:r>
      <w:r>
        <w:rPr>
          <w:rFonts w:hint="eastAsia" w:ascii="宋体" w:hAnsi="宋体" w:eastAsia="宋体" w:cs="宋体"/>
          <w:bCs/>
          <w:color w:val="000000" w:themeColor="text1"/>
          <w:kern w:val="24"/>
          <w:sz w:val="24"/>
          <w:szCs w:val="24"/>
          <w:highlight w:val="none"/>
          <w14:textFill>
            <w14:solidFill>
              <w14:schemeClr w14:val="tx1"/>
            </w14:solidFill>
          </w14:textFill>
        </w:rPr>
        <w:t>份，每份具有同等的法律效力。</w:t>
      </w:r>
    </w:p>
    <w:p>
      <w:pPr>
        <w:spacing w:line="336" w:lineRule="auto"/>
        <w:rPr>
          <w:rFonts w:hint="eastAsia" w:ascii="宋体" w:hAnsi="宋体" w:eastAsia="宋体" w:cs="宋体"/>
          <w:b/>
          <w:color w:val="000000" w:themeColor="text1"/>
          <w:kern w:val="24"/>
          <w:sz w:val="24"/>
          <w:szCs w:val="24"/>
          <w:highlight w:val="none"/>
          <w14:textFill>
            <w14:solidFill>
              <w14:schemeClr w14:val="tx1"/>
            </w14:solidFill>
          </w14:textFill>
        </w:rPr>
      </w:pPr>
      <w:r>
        <w:rPr>
          <w:rFonts w:hint="eastAsia" w:ascii="宋体" w:hAnsi="宋体" w:eastAsia="宋体" w:cs="宋体"/>
          <w:b/>
          <w:color w:val="000000" w:themeColor="text1"/>
          <w:kern w:val="24"/>
          <w:sz w:val="24"/>
          <w:szCs w:val="24"/>
          <w:highlight w:val="none"/>
          <w14:textFill>
            <w14:solidFill>
              <w14:schemeClr w14:val="tx1"/>
            </w14:solidFill>
          </w14:textFill>
        </w:rPr>
        <w:t>十八、合同附件</w:t>
      </w:r>
    </w:p>
    <w:p>
      <w:pPr>
        <w:spacing w:line="336"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附件一：电线电缆供货清单</w:t>
      </w:r>
    </w:p>
    <w:p>
      <w:pPr>
        <w:spacing w:line="336"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附件二：电线电缆验收单</w:t>
      </w:r>
    </w:p>
    <w:p>
      <w:pPr>
        <w:spacing w:line="336"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附件三：甲供物资申请表</w:t>
      </w:r>
    </w:p>
    <w:p>
      <w:pPr>
        <w:spacing w:line="336" w:lineRule="auto"/>
        <w:ind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附件四：廉政合作协议</w:t>
      </w:r>
    </w:p>
    <w:p>
      <w:pPr>
        <w:pStyle w:val="2"/>
        <w:spacing w:line="336" w:lineRule="auto"/>
        <w:ind w:firstLine="48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（以下无正文）</w:t>
      </w:r>
    </w:p>
    <w:p>
      <w:pPr>
        <w:pStyle w:val="2"/>
        <w:spacing w:line="360" w:lineRule="auto"/>
        <w:ind w:firstLine="48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（本业无正文，为双方签署页）</w:t>
      </w:r>
    </w:p>
    <w:p>
      <w:pPr>
        <w:spacing w:line="360" w:lineRule="auto"/>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甲方：洛阳莘子园置业有限公司         乙方：郑缆科技股份有限公司</w:t>
      </w:r>
    </w:p>
    <w:p>
      <w:pPr>
        <w:spacing w:line="360" w:lineRule="auto"/>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法定代表人：                         法定代表人：</w:t>
      </w:r>
    </w:p>
    <w:p>
      <w:pPr>
        <w:spacing w:line="360" w:lineRule="auto"/>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委托代理人：                         委托代理人：</w:t>
      </w:r>
    </w:p>
    <w:p>
      <w:pPr>
        <w:spacing w:line="360" w:lineRule="auto"/>
        <w:rPr>
          <w:rFonts w:hint="eastAsia" w:ascii="宋体" w:hAnsi="宋体" w:eastAsia="宋体" w:cs="宋体"/>
          <w:color w:val="000000" w:themeColor="text1"/>
          <w:kern w:val="24"/>
          <w:sz w:val="22"/>
          <w:szCs w:val="22"/>
          <w:highlight w:val="none"/>
          <w14:textFill>
            <w14:solidFill>
              <w14:schemeClr w14:val="tx1"/>
            </w14:solidFill>
          </w14:textFill>
        </w:rPr>
      </w:pPr>
      <w:r>
        <w:rPr>
          <w:rFonts w:hint="eastAsia" w:ascii="宋体" w:hAnsi="宋体" w:eastAsia="宋体" w:cs="宋体"/>
          <w:color w:val="000000" w:themeColor="text1"/>
          <w:kern w:val="24"/>
          <w:sz w:val="22"/>
          <w:szCs w:val="22"/>
          <w:highlight w:val="none"/>
          <w14:textFill>
            <w14:solidFill>
              <w14:schemeClr w14:val="tx1"/>
            </w14:solidFill>
          </w14:textFill>
        </w:rPr>
        <w:t>开户行：宜阳县农商行文化路支行          开户行：郑州农村商业银行股份有限公司须水支行</w:t>
      </w:r>
    </w:p>
    <w:p>
      <w:pPr>
        <w:spacing w:line="360" w:lineRule="auto"/>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账号：66121011800000498              账号：00701011200000027</w:t>
      </w:r>
    </w:p>
    <w:p>
      <w:pPr>
        <w:pStyle w:val="2"/>
        <w:spacing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税号：914</w:t>
      </w:r>
      <w:r>
        <w:rPr>
          <w:rFonts w:hint="eastAsia" w:ascii="宋体" w:hAnsi="宋体" w:eastAsia="宋体" w:cs="宋体"/>
          <w:color w:val="000000" w:themeColor="text1"/>
          <w:kern w:val="24"/>
          <w:sz w:val="24"/>
          <w:szCs w:val="24"/>
          <w:highlight w:val="none"/>
          <w14:textFill>
            <w14:solidFill>
              <w14:schemeClr w14:val="tx1"/>
            </w14:solidFill>
          </w14:textFill>
        </w:rPr>
        <w:t>10327MA46Q3579G             税号：91410100326764510X</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4"/>
          <w:sz w:val="24"/>
          <w:szCs w:val="24"/>
          <w:highlight w:val="none"/>
          <w14:textFill>
            <w14:solidFill>
              <w14:schemeClr w14:val="tx1"/>
            </w14:solidFill>
          </w14:textFill>
        </w:rPr>
        <w:t>日期：2021年08月   日              日期：2021年08月   日</w:t>
      </w: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附件一：电线电缆供货清单</w:t>
      </w:r>
    </w:p>
    <w:tbl>
      <w:tblPr>
        <w:tblStyle w:val="7"/>
        <w:tblW w:w="10655" w:type="dxa"/>
        <w:jc w:val="center"/>
        <w:tblLayout w:type="fixed"/>
        <w:tblCellMar>
          <w:top w:w="0" w:type="dxa"/>
          <w:left w:w="108" w:type="dxa"/>
          <w:bottom w:w="0" w:type="dxa"/>
          <w:right w:w="108" w:type="dxa"/>
        </w:tblCellMar>
      </w:tblPr>
      <w:tblGrid>
        <w:gridCol w:w="807"/>
        <w:gridCol w:w="1300"/>
        <w:gridCol w:w="1375"/>
        <w:gridCol w:w="1112"/>
        <w:gridCol w:w="871"/>
        <w:gridCol w:w="2157"/>
        <w:gridCol w:w="1953"/>
        <w:gridCol w:w="1080"/>
      </w:tblGrid>
      <w:tr>
        <w:tblPrEx>
          <w:tblCellMar>
            <w:top w:w="0" w:type="dxa"/>
            <w:left w:w="108" w:type="dxa"/>
            <w:bottom w:w="0" w:type="dxa"/>
            <w:right w:w="108" w:type="dxa"/>
          </w:tblCellMar>
        </w:tblPrEx>
        <w:trPr>
          <w:trHeight w:val="42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序号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型号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Style w:val="11"/>
                <w:rFonts w:hint="eastAsia" w:ascii="宋体" w:hAnsi="宋体" w:eastAsia="宋体" w:cs="宋体"/>
                <w:color w:val="000000" w:themeColor="text1"/>
                <w:sz w:val="22"/>
                <w:szCs w:val="22"/>
                <w:highlight w:val="none"/>
                <w:lang w:bidi="ar"/>
                <w14:textFill>
                  <w14:solidFill>
                    <w14:schemeClr w14:val="tx1"/>
                  </w14:solidFill>
                </w14:textFill>
              </w:rPr>
              <w:t>规格(mm</w:t>
            </w:r>
            <w:r>
              <w:rPr>
                <w:rStyle w:val="12"/>
                <w:rFonts w:hint="eastAsia" w:ascii="宋体" w:hAnsi="宋体" w:eastAsia="宋体" w:cs="宋体"/>
                <w:color w:val="000000" w:themeColor="text1"/>
                <w:sz w:val="22"/>
                <w:szCs w:val="22"/>
                <w:highlight w:val="none"/>
                <w:lang w:bidi="ar"/>
                <w14:textFill>
                  <w14:solidFill>
                    <w14:schemeClr w14:val="tx1"/>
                  </w14:solidFill>
                </w14:textFill>
              </w:rPr>
              <w:t>²</w:t>
            </w:r>
            <w:r>
              <w:rPr>
                <w:rStyle w:val="11"/>
                <w:rFonts w:hint="eastAsia" w:ascii="宋体" w:hAnsi="宋体" w:eastAsia="宋体" w:cs="宋体"/>
                <w:color w:val="000000" w:themeColor="text1"/>
                <w:sz w:val="22"/>
                <w:szCs w:val="22"/>
                <w:highlight w:val="none"/>
                <w:lang w:bidi="ar"/>
                <w14:textFill>
                  <w14:solidFill>
                    <w14:schemeClr w14:val="tx1"/>
                  </w14:solidFill>
                </w14:textFill>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数量</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单位</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含税综合单价（元）</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含税小计（元）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品牌</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BVR</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8208</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3.20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26303.36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BVR</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21.12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211.19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BV</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356701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1.80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643203.24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BV</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152390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2.92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445039.76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BV</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33526</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7.77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260543.96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BV</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10836</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12.29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133165.77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7</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WDZ-BYJ</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12257</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1.84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22582.30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WDZ-BYJ</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2618</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2.97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7773.89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397"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WDZN-BYJ</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30487</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2.05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62443.47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WDZN-BYJ</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4765</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3.23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15410.01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11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ZR-BYJ</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11374</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1.84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20955.46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12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ZR-BV</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28314</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2.92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82688.21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13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ZR-BV</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3.62</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36.89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133.53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14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WDZ-YJY</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1804</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25.35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45736.09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WDZ-YJY</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5*10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268</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42.02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11262.00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WDZ-YJY</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5*16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1614</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63.16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101941.85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17</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WDZ-YJY</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4*25+1*16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441.59</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91.49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40402.31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18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WDZ-YJY</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4*35+1*16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664</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121.75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80838.95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19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WDZN-YJY</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5*4</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1766</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19.31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34094.40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WDZN-YJY</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5291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27.56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145807.26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21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WDZN-YJY</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5*10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472</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44.97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21226.88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22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WDZN-YJY</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5*16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3315</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66.95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221951.18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23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WDZN-YJY</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3*25+2*16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1373</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88.91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122067.39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24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WDZN-YJY</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3*35+2*16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39</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112.27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4378.48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25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ZR-YJY</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282</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25.35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7149.43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26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ZR-YJY</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5*10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76</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42.02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3193.70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27</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ZR-YJV</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5*16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254</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62.90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15975.69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28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ZR-YJV</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4*50+1*25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97</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167.40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16238.15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29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ZR-YJV</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4*95+1*50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329.53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32953.48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30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ZR-YJV</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4x70+1x35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239.34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16753.49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31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ZR-YJV</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4x50+1x16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米</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167.40 </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1674.04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豫郑缆</w:t>
            </w:r>
          </w:p>
        </w:tc>
      </w:tr>
      <w:tr>
        <w:tblPrEx>
          <w:tblCellMar>
            <w:top w:w="0" w:type="dxa"/>
            <w:left w:w="108" w:type="dxa"/>
            <w:bottom w:w="0" w:type="dxa"/>
            <w:right w:w="108" w:type="dxa"/>
          </w:tblCellMar>
        </w:tblPrEx>
        <w:trPr>
          <w:trHeight w:val="4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32</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合计（元）</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color w:val="000000" w:themeColor="text1"/>
                <w:sz w:val="22"/>
                <w:szCs w:val="22"/>
                <w:highlight w:val="none"/>
                <w14:textFill>
                  <w14:solidFill>
                    <w14:schemeClr w14:val="tx1"/>
                  </w14:solidFill>
                </w14:textFill>
              </w:rPr>
            </w:pP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bidi="ar"/>
                <w14:textFill>
                  <w14:solidFill>
                    <w14:schemeClr w14:val="tx1"/>
                  </w14:solidFill>
                </w14:textFill>
              </w:rPr>
              <w:t xml:space="preserve">2644098.91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themeColor="text1"/>
                <w:sz w:val="22"/>
                <w:szCs w:val="22"/>
                <w:highlight w:val="none"/>
                <w14:textFill>
                  <w14:solidFill>
                    <w14:schemeClr w14:val="tx1"/>
                  </w14:solidFill>
                </w14:textFill>
              </w:rPr>
            </w:pPr>
          </w:p>
        </w:tc>
      </w:tr>
    </w:tbl>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附件二:</w:t>
      </w:r>
    </w:p>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电线电缆验收单</w:t>
      </w:r>
    </w:p>
    <w:tbl>
      <w:tblPr>
        <w:tblStyle w:val="7"/>
        <w:tblW w:w="0" w:type="auto"/>
        <w:jc w:val="center"/>
        <w:tblLayout w:type="fixed"/>
        <w:tblCellMar>
          <w:top w:w="0" w:type="dxa"/>
          <w:left w:w="15" w:type="dxa"/>
          <w:bottom w:w="0" w:type="dxa"/>
          <w:right w:w="15" w:type="dxa"/>
        </w:tblCellMar>
      </w:tblPr>
      <w:tblGrid>
        <w:gridCol w:w="763"/>
        <w:gridCol w:w="840"/>
        <w:gridCol w:w="2544"/>
        <w:gridCol w:w="2130"/>
        <w:gridCol w:w="2700"/>
      </w:tblGrid>
      <w:tr>
        <w:tblPrEx>
          <w:tblCellMar>
            <w:top w:w="0" w:type="dxa"/>
            <w:left w:w="15" w:type="dxa"/>
            <w:bottom w:w="0" w:type="dxa"/>
            <w:right w:w="15" w:type="dxa"/>
          </w:tblCellMar>
        </w:tblPrEx>
        <w:trPr>
          <w:trHeight w:val="300" w:hRule="atLeast"/>
          <w:jc w:val="center"/>
        </w:trPr>
        <w:tc>
          <w:tcPr>
            <w:tcW w:w="763"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使用</w:t>
            </w:r>
          </w:p>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w:t>
            </w:r>
          </w:p>
        </w:tc>
        <w:tc>
          <w:tcPr>
            <w:tcW w:w="840"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8"/>
                <w:szCs w:val="22"/>
                <w:highlight w:val="none"/>
                <w14:textFill>
                  <w14:solidFill>
                    <w14:schemeClr w14:val="tx1"/>
                  </w14:solidFill>
                </w14:textFill>
              </w:rPr>
              <w:t>序号</w:t>
            </w:r>
          </w:p>
        </w:tc>
        <w:tc>
          <w:tcPr>
            <w:tcW w:w="2544"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8"/>
                <w:szCs w:val="22"/>
                <w:highlight w:val="none"/>
                <w14:textFill>
                  <w14:solidFill>
                    <w14:schemeClr w14:val="tx1"/>
                  </w14:solidFill>
                </w14:textFill>
              </w:rPr>
              <w:t>线缆规格型号</w:t>
            </w: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数量（米）</w:t>
            </w: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r>
      <w:tr>
        <w:tblPrEx>
          <w:tblCellMar>
            <w:top w:w="0" w:type="dxa"/>
            <w:left w:w="15" w:type="dxa"/>
            <w:bottom w:w="0" w:type="dxa"/>
            <w:right w:w="15" w:type="dxa"/>
          </w:tblCellMar>
        </w:tblPrEx>
        <w:trPr>
          <w:trHeight w:val="510"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840"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254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5" w:type="dxa"/>
            <w:bottom w:w="0" w:type="dxa"/>
            <w:right w:w="15" w:type="dxa"/>
          </w:tblCellMar>
        </w:tblPrEx>
        <w:trPr>
          <w:trHeight w:val="51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p>
        </w:tc>
        <w:tc>
          <w:tcPr>
            <w:tcW w:w="840"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254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5" w:type="dxa"/>
            <w:bottom w:w="0" w:type="dxa"/>
            <w:right w:w="15" w:type="dxa"/>
          </w:tblCellMar>
        </w:tblPrEx>
        <w:trPr>
          <w:trHeight w:val="51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p>
        </w:tc>
        <w:tc>
          <w:tcPr>
            <w:tcW w:w="840"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254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5" w:type="dxa"/>
            <w:bottom w:w="0" w:type="dxa"/>
            <w:right w:w="15" w:type="dxa"/>
          </w:tblCellMar>
        </w:tblPrEx>
        <w:trPr>
          <w:trHeight w:val="51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p>
        </w:tc>
        <w:tc>
          <w:tcPr>
            <w:tcW w:w="840"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254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5" w:type="dxa"/>
            <w:bottom w:w="0" w:type="dxa"/>
            <w:right w:w="15" w:type="dxa"/>
          </w:tblCellMar>
        </w:tblPrEx>
        <w:trPr>
          <w:trHeight w:val="51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p>
        </w:tc>
        <w:tc>
          <w:tcPr>
            <w:tcW w:w="840"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p>
        </w:tc>
        <w:tc>
          <w:tcPr>
            <w:tcW w:w="254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5" w:type="dxa"/>
            <w:bottom w:w="0" w:type="dxa"/>
            <w:right w:w="15" w:type="dxa"/>
          </w:tblCellMar>
        </w:tblPrEx>
        <w:trPr>
          <w:trHeight w:val="51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p>
        </w:tc>
        <w:tc>
          <w:tcPr>
            <w:tcW w:w="840"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w:t>
            </w:r>
          </w:p>
        </w:tc>
        <w:tc>
          <w:tcPr>
            <w:tcW w:w="254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5" w:type="dxa"/>
            <w:bottom w:w="0" w:type="dxa"/>
            <w:right w:w="15" w:type="dxa"/>
          </w:tblCellMar>
        </w:tblPrEx>
        <w:trPr>
          <w:trHeight w:val="51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p>
        </w:tc>
        <w:tc>
          <w:tcPr>
            <w:tcW w:w="840"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p>
        </w:tc>
        <w:tc>
          <w:tcPr>
            <w:tcW w:w="2544" w:type="dxa"/>
            <w:tcBorders>
              <w:top w:val="single" w:color="000000" w:sz="4" w:space="0"/>
              <w:left w:val="single" w:color="000000" w:sz="4" w:space="0"/>
              <w:bottom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5" w:type="dxa"/>
            <w:bottom w:w="0" w:type="dxa"/>
            <w:right w:w="15" w:type="dxa"/>
          </w:tblCellMar>
        </w:tblPrEx>
        <w:trPr>
          <w:trHeight w:val="51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p>
        </w:tc>
        <w:tc>
          <w:tcPr>
            <w:tcW w:w="840"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w:t>
            </w:r>
          </w:p>
        </w:tc>
        <w:tc>
          <w:tcPr>
            <w:tcW w:w="2544" w:type="dxa"/>
            <w:tcBorders>
              <w:top w:val="single" w:color="000000" w:sz="4" w:space="0"/>
              <w:left w:val="single" w:color="000000" w:sz="4" w:space="0"/>
              <w:bottom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5" w:type="dxa"/>
            <w:bottom w:w="0" w:type="dxa"/>
            <w:right w:w="15" w:type="dxa"/>
          </w:tblCellMar>
        </w:tblPrEx>
        <w:trPr>
          <w:trHeight w:val="51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p>
        </w:tc>
        <w:tc>
          <w:tcPr>
            <w:tcW w:w="840"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w:t>
            </w:r>
          </w:p>
        </w:tc>
        <w:tc>
          <w:tcPr>
            <w:tcW w:w="2544" w:type="dxa"/>
            <w:tcBorders>
              <w:top w:val="single" w:color="000000" w:sz="4" w:space="0"/>
              <w:left w:val="single" w:color="000000" w:sz="4" w:space="0"/>
              <w:bottom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5" w:type="dxa"/>
            <w:bottom w:w="0" w:type="dxa"/>
            <w:right w:w="15" w:type="dxa"/>
          </w:tblCellMar>
        </w:tblPrEx>
        <w:trPr>
          <w:trHeight w:val="51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p>
        </w:tc>
        <w:tc>
          <w:tcPr>
            <w:tcW w:w="840"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w:t>
            </w:r>
          </w:p>
        </w:tc>
        <w:tc>
          <w:tcPr>
            <w:tcW w:w="2544" w:type="dxa"/>
            <w:tcBorders>
              <w:top w:val="single" w:color="000000" w:sz="4" w:space="0"/>
              <w:left w:val="single" w:color="000000" w:sz="4" w:space="0"/>
              <w:bottom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5" w:type="dxa"/>
            <w:bottom w:w="0" w:type="dxa"/>
            <w:right w:w="15" w:type="dxa"/>
          </w:tblCellMar>
        </w:tblPrEx>
        <w:trPr>
          <w:trHeight w:val="51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p>
        </w:tc>
        <w:tc>
          <w:tcPr>
            <w:tcW w:w="840"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w:t>
            </w:r>
          </w:p>
        </w:tc>
        <w:tc>
          <w:tcPr>
            <w:tcW w:w="2544" w:type="dxa"/>
            <w:tcBorders>
              <w:top w:val="single" w:color="000000" w:sz="4" w:space="0"/>
              <w:left w:val="single" w:color="000000" w:sz="4" w:space="0"/>
              <w:bottom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5" w:type="dxa"/>
            <w:bottom w:w="0" w:type="dxa"/>
            <w:right w:w="15" w:type="dxa"/>
          </w:tblCellMar>
        </w:tblPrEx>
        <w:trPr>
          <w:trHeight w:val="51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p>
        </w:tc>
        <w:tc>
          <w:tcPr>
            <w:tcW w:w="840"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p>
        </w:tc>
        <w:tc>
          <w:tcPr>
            <w:tcW w:w="2544" w:type="dxa"/>
            <w:tcBorders>
              <w:top w:val="single" w:color="000000" w:sz="4" w:space="0"/>
              <w:left w:val="single" w:color="000000" w:sz="4" w:space="0"/>
              <w:bottom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5" w:type="dxa"/>
            <w:bottom w:w="0" w:type="dxa"/>
            <w:right w:w="15" w:type="dxa"/>
          </w:tblCellMar>
        </w:tblPrEx>
        <w:trPr>
          <w:trHeight w:val="51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p>
        </w:tc>
        <w:tc>
          <w:tcPr>
            <w:tcW w:w="840"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w:t>
            </w:r>
          </w:p>
        </w:tc>
        <w:tc>
          <w:tcPr>
            <w:tcW w:w="2544" w:type="dxa"/>
            <w:tcBorders>
              <w:top w:val="single" w:color="000000" w:sz="4" w:space="0"/>
              <w:left w:val="single" w:color="000000" w:sz="4" w:space="0"/>
              <w:bottom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5" w:type="dxa"/>
            <w:bottom w:w="0" w:type="dxa"/>
            <w:right w:w="15" w:type="dxa"/>
          </w:tblCellMar>
        </w:tblPrEx>
        <w:trPr>
          <w:trHeight w:val="997" w:hRule="atLeast"/>
          <w:jc w:val="center"/>
        </w:trPr>
        <w:tc>
          <w:tcPr>
            <w:tcW w:w="160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接货单位</w:t>
            </w:r>
          </w:p>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签字</w:t>
            </w:r>
          </w:p>
        </w:tc>
        <w:tc>
          <w:tcPr>
            <w:tcW w:w="2544" w:type="dxa"/>
            <w:tcBorders>
              <w:top w:val="single" w:color="000000" w:sz="4" w:space="0"/>
              <w:bottom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供货单位</w:t>
            </w:r>
          </w:p>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签字</w:t>
            </w:r>
          </w:p>
        </w:tc>
        <w:tc>
          <w:tcPr>
            <w:tcW w:w="27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5" w:type="dxa"/>
            <w:bottom w:w="0" w:type="dxa"/>
            <w:right w:w="15" w:type="dxa"/>
          </w:tblCellMar>
        </w:tblPrEx>
        <w:trPr>
          <w:trHeight w:val="1002" w:hRule="atLeast"/>
          <w:jc w:val="center"/>
        </w:trPr>
        <w:tc>
          <w:tcPr>
            <w:tcW w:w="160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相关验收单位签字</w:t>
            </w:r>
          </w:p>
        </w:tc>
        <w:tc>
          <w:tcPr>
            <w:tcW w:w="7374"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themeColor="text1"/>
                <w:sz w:val="24"/>
                <w:highlight w:val="none"/>
                <w14:textFill>
                  <w14:solidFill>
                    <w14:schemeClr w14:val="tx1"/>
                  </w14:solidFill>
                </w14:textFill>
              </w:rPr>
            </w:pP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2"/>
        <w:spacing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pStyle w:val="2"/>
        <w:spacing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2"/>
        <w:spacing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pStyle w:val="2"/>
        <w:spacing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pStyle w:val="2"/>
        <w:spacing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bookmarkStart w:id="0" w:name="_Toc412820631"/>
      <w:r>
        <w:rPr>
          <w:rFonts w:hint="eastAsia" w:ascii="宋体" w:hAnsi="宋体" w:eastAsia="宋体" w:cs="宋体"/>
          <w:b/>
          <w:color w:val="000000" w:themeColor="text1"/>
          <w:kern w:val="0"/>
          <w:sz w:val="24"/>
          <w:szCs w:val="24"/>
          <w:highlight w:val="none"/>
          <w14:textFill>
            <w14:solidFill>
              <w14:schemeClr w14:val="tx1"/>
            </w14:solidFill>
          </w14:textFill>
        </w:rPr>
        <w:t>附件三：</w:t>
      </w:r>
      <w:bookmarkEnd w:id="0"/>
    </w:p>
    <w:p>
      <w:pPr>
        <w:autoSpaceDE w:val="0"/>
        <w:autoSpaceDN w:val="0"/>
        <w:adjustRightInd w:val="0"/>
        <w:spacing w:after="120"/>
        <w:jc w:val="center"/>
        <w:rPr>
          <w:rFonts w:hint="eastAsia" w:ascii="宋体" w:hAnsi="宋体" w:eastAsia="宋体" w:cs="宋体"/>
          <w:bCs/>
          <w:color w:val="000000" w:themeColor="text1"/>
          <w:sz w:val="32"/>
          <w:highlight w:val="none"/>
          <w14:textFill>
            <w14:solidFill>
              <w14:schemeClr w14:val="tx1"/>
            </w14:solidFill>
          </w14:textFill>
        </w:rPr>
      </w:pPr>
      <w:r>
        <w:rPr>
          <w:rFonts w:hint="eastAsia" w:ascii="宋体" w:hAnsi="宋体" w:eastAsia="宋体" w:cs="宋体"/>
          <w:bCs/>
          <w:color w:val="000000" w:themeColor="text1"/>
          <w:sz w:val="32"/>
          <w:highlight w:val="none"/>
          <w14:textFill>
            <w14:solidFill>
              <w14:schemeClr w14:val="tx1"/>
            </w14:solidFill>
          </w14:textFill>
        </w:rPr>
        <w:t>甲供物资申请表</w:t>
      </w:r>
    </w:p>
    <w:p>
      <w:pPr>
        <w:autoSpaceDE w:val="0"/>
        <w:autoSpaceDN w:val="0"/>
        <w:adjustRightInd w:val="0"/>
        <w:spacing w:after="120" w:line="440" w:lineRule="exact"/>
        <w:ind w:left="2635" w:hanging="2633"/>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工程范围：</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autoSpaceDE w:val="0"/>
        <w:autoSpaceDN w:val="0"/>
        <w:adjustRightInd w:val="0"/>
        <w:spacing w:after="120" w:line="440" w:lineRule="exact"/>
        <w:ind w:left="2635" w:hanging="2633"/>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物资名称：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申请日期：                     </w:t>
      </w:r>
    </w:p>
    <w:p>
      <w:pPr>
        <w:autoSpaceDE w:val="0"/>
        <w:autoSpaceDN w:val="0"/>
        <w:adjustRightInd w:val="0"/>
        <w:spacing w:after="120" w:line="440" w:lineRule="exact"/>
        <w:ind w:left="2635" w:hanging="2633"/>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长江铜业网长江现货1#铜价格：</w:t>
      </w:r>
      <w:r>
        <w:rPr>
          <w:rFonts w:hint="eastAsia" w:ascii="宋体" w:hAnsi="宋体" w:eastAsia="宋体" w:cs="宋体"/>
          <w:color w:val="000000" w:themeColor="text1"/>
          <w:sz w:val="24"/>
          <w:szCs w:val="22"/>
          <w:highlight w:val="none"/>
          <w:u w:val="single"/>
          <w14:textFill>
            <w14:solidFill>
              <w14:schemeClr w14:val="tx1"/>
            </w14:solidFill>
          </w14:textFill>
        </w:rPr>
        <w:t xml:space="preserve">           </w:t>
      </w:r>
      <w:r>
        <w:rPr>
          <w:rFonts w:hint="eastAsia" w:ascii="宋体" w:hAnsi="宋体" w:eastAsia="宋体" w:cs="宋体"/>
          <w:color w:val="000000" w:themeColor="text1"/>
          <w:sz w:val="24"/>
          <w:szCs w:val="22"/>
          <w:highlight w:val="none"/>
          <w14:textFill>
            <w14:solidFill>
              <w14:schemeClr w14:val="tx1"/>
            </w14:solidFill>
          </w14:textFill>
        </w:rPr>
        <w:t xml:space="preserve"> </w:t>
      </w:r>
    </w:p>
    <w:tbl>
      <w:tblPr>
        <w:tblStyle w:val="7"/>
        <w:tblW w:w="5000" w:type="pct"/>
        <w:tblInd w:w="0" w:type="dxa"/>
        <w:tblLayout w:type="autofit"/>
        <w:tblCellMar>
          <w:top w:w="0" w:type="dxa"/>
          <w:left w:w="30" w:type="dxa"/>
          <w:bottom w:w="0" w:type="dxa"/>
          <w:right w:w="30" w:type="dxa"/>
        </w:tblCellMar>
      </w:tblPr>
      <w:tblGrid>
        <w:gridCol w:w="657"/>
        <w:gridCol w:w="1553"/>
        <w:gridCol w:w="1748"/>
        <w:gridCol w:w="1101"/>
        <w:gridCol w:w="1364"/>
        <w:gridCol w:w="1364"/>
        <w:gridCol w:w="1571"/>
      </w:tblGrid>
      <w:tr>
        <w:tblPrEx>
          <w:tblCellMar>
            <w:top w:w="0" w:type="dxa"/>
            <w:left w:w="30" w:type="dxa"/>
            <w:bottom w:w="0" w:type="dxa"/>
            <w:right w:w="30" w:type="dxa"/>
          </w:tblCellMar>
        </w:tblPrEx>
        <w:trPr>
          <w:cantSplit/>
          <w:trHeight w:val="1080" w:hRule="atLeast"/>
        </w:trPr>
        <w:tc>
          <w:tcPr>
            <w:tcW w:w="351"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829" w:type="pct"/>
            <w:tcBorders>
              <w:top w:val="single" w:color="000000" w:sz="2" w:space="0"/>
              <w:left w:val="single" w:color="000000" w:sz="2" w:space="0"/>
              <w:bottom w:val="single" w:color="000000" w:sz="2" w:space="0"/>
              <w:right w:val="single" w:color="auto" w:sz="4" w:space="0"/>
            </w:tcBorders>
            <w:vAlign w:val="center"/>
          </w:tcPr>
          <w:p>
            <w:pPr>
              <w:autoSpaceDE w:val="0"/>
              <w:autoSpaceDN w:val="0"/>
              <w:adjustRightInd w:val="0"/>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物资名称</w:t>
            </w:r>
          </w:p>
        </w:tc>
        <w:tc>
          <w:tcPr>
            <w:tcW w:w="933"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品牌规格型号</w:t>
            </w:r>
          </w:p>
        </w:tc>
        <w:tc>
          <w:tcPr>
            <w:tcW w:w="588"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申请数量</w:t>
            </w:r>
          </w:p>
        </w:tc>
        <w:tc>
          <w:tcPr>
            <w:tcW w:w="728"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使用部位</w:t>
            </w:r>
          </w:p>
        </w:tc>
        <w:tc>
          <w:tcPr>
            <w:tcW w:w="728" w:type="pct"/>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到货时间</w:t>
            </w:r>
          </w:p>
        </w:tc>
        <w:tc>
          <w:tcPr>
            <w:tcW w:w="839"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r>
      <w:tr>
        <w:tblPrEx>
          <w:tblCellMar>
            <w:top w:w="0" w:type="dxa"/>
            <w:left w:w="30" w:type="dxa"/>
            <w:bottom w:w="0" w:type="dxa"/>
            <w:right w:w="30" w:type="dxa"/>
          </w:tblCellMar>
        </w:tblPrEx>
        <w:trPr>
          <w:cantSplit/>
          <w:trHeight w:val="1080" w:hRule="atLeast"/>
        </w:trPr>
        <w:tc>
          <w:tcPr>
            <w:tcW w:w="351"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829" w:type="pct"/>
            <w:tcBorders>
              <w:top w:val="single" w:color="000000" w:sz="2" w:space="0"/>
              <w:left w:val="single" w:color="000000" w:sz="2"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933"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588"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728"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728" w:type="pct"/>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839"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30" w:type="dxa"/>
            <w:bottom w:w="0" w:type="dxa"/>
            <w:right w:w="30" w:type="dxa"/>
          </w:tblCellMar>
        </w:tblPrEx>
        <w:trPr>
          <w:cantSplit/>
          <w:trHeight w:val="1080" w:hRule="atLeast"/>
        </w:trPr>
        <w:tc>
          <w:tcPr>
            <w:tcW w:w="351"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829" w:type="pct"/>
            <w:tcBorders>
              <w:top w:val="single" w:color="000000" w:sz="2" w:space="0"/>
              <w:left w:val="single" w:color="000000" w:sz="2"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933"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588"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728"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728" w:type="pct"/>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839"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30" w:type="dxa"/>
            <w:bottom w:w="0" w:type="dxa"/>
            <w:right w:w="30" w:type="dxa"/>
          </w:tblCellMar>
        </w:tblPrEx>
        <w:trPr>
          <w:cantSplit/>
          <w:trHeight w:val="1080" w:hRule="atLeast"/>
        </w:trPr>
        <w:tc>
          <w:tcPr>
            <w:tcW w:w="351"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829" w:type="pct"/>
            <w:tcBorders>
              <w:top w:val="single" w:color="000000" w:sz="2" w:space="0"/>
              <w:left w:val="single" w:color="000000" w:sz="2"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933"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588"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728"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728" w:type="pct"/>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839"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30" w:type="dxa"/>
            <w:bottom w:w="0" w:type="dxa"/>
            <w:right w:w="30" w:type="dxa"/>
          </w:tblCellMar>
        </w:tblPrEx>
        <w:trPr>
          <w:cantSplit/>
          <w:trHeight w:val="1080" w:hRule="atLeast"/>
        </w:trPr>
        <w:tc>
          <w:tcPr>
            <w:tcW w:w="351"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829" w:type="pct"/>
            <w:tcBorders>
              <w:top w:val="single" w:color="000000" w:sz="2" w:space="0"/>
              <w:left w:val="single" w:color="000000" w:sz="2"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933"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588"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728"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728" w:type="pct"/>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839"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30" w:type="dxa"/>
            <w:bottom w:w="0" w:type="dxa"/>
            <w:right w:w="30" w:type="dxa"/>
          </w:tblCellMar>
        </w:tblPrEx>
        <w:trPr>
          <w:cantSplit/>
          <w:trHeight w:val="1080" w:hRule="atLeast"/>
        </w:trPr>
        <w:tc>
          <w:tcPr>
            <w:tcW w:w="351"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9" w:type="pct"/>
            <w:tcBorders>
              <w:top w:val="single" w:color="000000" w:sz="2" w:space="0"/>
              <w:left w:val="single" w:color="000000" w:sz="2"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933"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588"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728"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728" w:type="pct"/>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839"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30" w:type="dxa"/>
            <w:bottom w:w="0" w:type="dxa"/>
            <w:right w:w="30" w:type="dxa"/>
          </w:tblCellMar>
        </w:tblPrEx>
        <w:trPr>
          <w:cantSplit/>
          <w:trHeight w:val="1080" w:hRule="atLeast"/>
        </w:trPr>
        <w:tc>
          <w:tcPr>
            <w:tcW w:w="351"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44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29" w:type="pct"/>
            <w:tcBorders>
              <w:top w:val="single" w:color="000000" w:sz="2" w:space="0"/>
              <w:left w:val="single" w:color="000000" w:sz="2"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933"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588"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728" w:type="pct"/>
            <w:tcBorders>
              <w:top w:val="single" w:color="000000" w:sz="2" w:space="0"/>
              <w:left w:val="single" w:color="auto" w:sz="4" w:space="0"/>
              <w:bottom w:val="single" w:color="000000" w:sz="2" w:space="0"/>
              <w:right w:val="single" w:color="auto" w:sz="4"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728" w:type="pct"/>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c>
          <w:tcPr>
            <w:tcW w:w="839"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440" w:lineRule="exact"/>
              <w:rPr>
                <w:rFonts w:hint="eastAsia" w:ascii="宋体" w:hAnsi="宋体" w:eastAsia="宋体" w:cs="宋体"/>
                <w:color w:val="000000" w:themeColor="text1"/>
                <w:sz w:val="24"/>
                <w:highlight w:val="none"/>
                <w14:textFill>
                  <w14:solidFill>
                    <w14:schemeClr w14:val="tx1"/>
                  </w14:solidFill>
                </w14:textFill>
              </w:rPr>
            </w:pPr>
          </w:p>
        </w:tc>
      </w:tr>
    </w:tbl>
    <w:p>
      <w:pPr>
        <w:autoSpaceDE w:val="0"/>
        <w:autoSpaceDN w:val="0"/>
        <w:adjustRightInd w:val="0"/>
        <w:spacing w:after="120" w:line="520" w:lineRule="exact"/>
        <w:ind w:left="2631" w:hanging="2631"/>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承包人项目负责人：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日期：</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autoSpaceDE w:val="0"/>
        <w:autoSpaceDN w:val="0"/>
        <w:adjustRightInd w:val="0"/>
        <w:spacing w:after="120" w:line="520" w:lineRule="exact"/>
        <w:ind w:left="2631" w:hanging="2631"/>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发包人项目部工程师：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日期：</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autoSpaceDE w:val="0"/>
        <w:autoSpaceDN w:val="0"/>
        <w:adjustRightInd w:val="0"/>
        <w:spacing w:after="120" w:line="520" w:lineRule="exact"/>
        <w:ind w:left="2631" w:hanging="2631"/>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发包人项目部负责人：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日期：</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autoSpaceDE w:val="0"/>
        <w:autoSpaceDN w:val="0"/>
        <w:adjustRightInd w:val="0"/>
        <w:spacing w:after="120" w:line="520" w:lineRule="exact"/>
        <w:ind w:left="2631" w:hanging="2631"/>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发包人造价部负责人：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日期：</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2"/>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附件四：                       </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廉政合作协议</w:t>
      </w: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甲方：</w:t>
      </w:r>
      <w:r>
        <w:rPr>
          <w:rFonts w:hint="eastAsia" w:ascii="宋体" w:hAnsi="宋体" w:eastAsia="宋体" w:cs="宋体"/>
          <w:b/>
          <w:bCs/>
          <w:color w:val="000000" w:themeColor="text1"/>
          <w:sz w:val="24"/>
          <w:szCs w:val="24"/>
          <w:highlight w:val="none"/>
          <w:u w:val="single"/>
          <w14:textFill>
            <w14:solidFill>
              <w14:schemeClr w14:val="tx1"/>
            </w14:solidFill>
          </w14:textFill>
        </w:rPr>
        <w:t>洛阳莘子园置业有限公司</w:t>
      </w:r>
    </w:p>
    <w:p>
      <w:pPr>
        <w:spacing w:line="360" w:lineRule="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乙方：</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郑缆科技股份有限公司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一．甲方责任</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1．甲方有责任向乙方介绍本单位有关廉政管理的各项制度和规定。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2．甲方有责任对本单位项目管理人员进行廉政教育。</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5．甲方人员如违反廉政管理制度及本协议规定，甲方应视情节轻重、影响大小给予处罚。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6．对于乙方举报甲方人员违反廉政规定的情况，甲方应及时进行调查，根据调查情况进行处理。</w:t>
      </w:r>
    </w:p>
    <w:p>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二．乙方责任</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1．乙方应保证乙方有关人员了解甲方有关廉政管理的各项制度及本协议的规定，并遵照执行。</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2．乙方不得宴请甲方人员，不得以任何形式赠送实物、现金或礼券。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4．乙方有责任接受甲方对乙方在项目建设期间廉政管理执行情况的监督。</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三、为维护甲乙双方的合法利益，营造良好的商务环境，甲方建立多种举报渠道（如下）。甲方内控督查督办人员将恪守职业道德，严格履行保密义务！</w:t>
      </w:r>
    </w:p>
    <w:p>
      <w:pPr>
        <w:spacing w:line="360" w:lineRule="auto"/>
        <w:ind w:firstLine="480" w:firstLineChars="200"/>
        <w:rPr>
          <w:rFonts w:hint="eastAsia" w:ascii="宋体" w:hAnsi="宋体" w:eastAsia="宋体" w:cs="宋体"/>
          <w:bCs/>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28"/>
          <w:highlight w:val="none"/>
          <w14:textFill>
            <w14:solidFill>
              <w14:schemeClr w14:val="tx1"/>
            </w14:solidFill>
          </w14:textFill>
        </w:rPr>
        <w:t>（1）微信小程序举报（扫描右侧二维码进入程序，举报信息直达董事长）；</w:t>
      </w:r>
    </w:p>
    <w:p>
      <w:pPr>
        <w:spacing w:line="360" w:lineRule="auto"/>
        <w:ind w:firstLine="482"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pic:cNvPicPr>
                  </pic:nvPicPr>
                  <pic:blipFill>
                    <a:blip r:embed="rId6"/>
                    <a:stretch>
                      <a:fillRect/>
                    </a:stretch>
                  </pic:blipFill>
                  <pic:spPr>
                    <a:xfrm>
                      <a:off x="0" y="0"/>
                      <a:ext cx="1123315" cy="1123315"/>
                    </a:xfrm>
                    <a:prstGeom prst="rect">
                      <a:avLst/>
                    </a:prstGeom>
                    <a:noFill/>
                    <a:ln>
                      <a:noFill/>
                    </a:ln>
                  </pic:spPr>
                </pic:pic>
              </a:graphicData>
            </a:graphic>
          </wp:anchor>
        </w:drawing>
      </w:r>
      <w:r>
        <w:rPr>
          <w:rFonts w:hint="eastAsia" w:ascii="宋体" w:hAnsi="宋体" w:eastAsia="宋体" w:cs="宋体"/>
          <w:color w:val="000000" w:themeColor="text1"/>
          <w:sz w:val="24"/>
          <w:szCs w:val="28"/>
          <w:highlight w:val="none"/>
          <w14:textFill>
            <w14:solidFill>
              <w14:schemeClr w14:val="tx1"/>
            </w14:solidFill>
          </w14:textFill>
        </w:rPr>
        <w:t>（2）邮箱：hddcfkb@Foxmail.com</w:t>
      </w:r>
    </w:p>
    <w:p>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（3）电话：集团首席风控官：13903793259</w:t>
      </w:r>
    </w:p>
    <w:p>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（4）电话：集团审计总监：18137710188</w:t>
      </w:r>
    </w:p>
    <w:p>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（5）电话：地产风控总监：18638357973</w:t>
      </w:r>
    </w:p>
    <w:p>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（6）电话：地产风控经理：15670305910</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（7）直接和风控部人员约定场所当面举报。</w:t>
      </w:r>
    </w:p>
    <w:p>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四、甲乙双方发现对方工作人员有下列行为之一的，可通过第三条约定的渠道进行举报：</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1.推诿扯皮、有责不负、处事消极、渎职失职、弄虚作假等行为。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2.以权谋私、滥用职权、处事不公、隐瞒事故、违章指挥造成公司严重事故隐患的行为。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3.贪污、受贿、盗窃、欺上瞒下等违法乱纪行为。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4.出卖、泄露公司商业机密等危害公司行为。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5.重大经济活动未按公司制度、流程执行的违规违纪行为。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6.利用职权，任人唯亲，拉帮结派，搞小利益团体或对同事正当行使权利进行打击报复的行为。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7.故意涂改公司文件或以公司名义谋私利，损害公司荣誉和利益的行为。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8.私自侵占、挪用公司财物，损坏公司重要设备或资产的行为。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9.破坏团队和谐，故意挑拨员工之间关系，对同事恶意侮辱、陷害、制造事端的行为。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11.其它违反法律或者招标人公司相关制度的行为。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（以下无正文）</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甲方：洛阳莘子园置业有限公司          乙方：郑缆科技股份有限公司</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签署日期：2021年08月   日           签署日期：2021年08月   日</w:t>
      </w:r>
    </w:p>
    <w:sectPr>
      <w:footerReference r:id="rId4" w:type="default"/>
      <w:pgSz w:w="11906" w:h="16838"/>
      <w:pgMar w:top="1304" w:right="1304" w:bottom="1304" w:left="1304"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w:t>
                          </w:r>
                          <w:r>
                            <w:rPr>
                              <w:rFonts w:hint="eastAsia"/>
                              <w:lang w:val="en-US" w:eastAsia="zh-CN"/>
                            </w:rPr>
                            <w:t>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w:t>
                    </w:r>
                    <w:r>
                      <w:rPr>
                        <w:rFonts w:hint="eastAsia"/>
                        <w:lang w:val="en-US" w:eastAsia="zh-CN"/>
                      </w:rPr>
                      <w:t>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45DDB"/>
    <w:rsid w:val="005C5F47"/>
    <w:rsid w:val="00C57BE0"/>
    <w:rsid w:val="00DE056E"/>
    <w:rsid w:val="14345DDB"/>
    <w:rsid w:val="1AEE7FE5"/>
    <w:rsid w:val="1F7A6F50"/>
    <w:rsid w:val="20220409"/>
    <w:rsid w:val="2A3375AD"/>
    <w:rsid w:val="2BF43F61"/>
    <w:rsid w:val="516D5628"/>
    <w:rsid w:val="5683682F"/>
    <w:rsid w:val="5C525F91"/>
    <w:rsid w:val="5EEF7E08"/>
    <w:rsid w:val="61CE3092"/>
    <w:rsid w:val="68F220AA"/>
    <w:rsid w:val="73CF7B9B"/>
    <w:rsid w:val="73F25B6B"/>
    <w:rsid w:val="7EEF1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style>
  <w:style w:type="paragraph" w:styleId="3">
    <w:name w:val="Body Text Indent"/>
    <w:basedOn w:val="1"/>
    <w:unhideWhenUsed/>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pPr>
      <w:tabs>
        <w:tab w:val="left" w:pos="848"/>
        <w:tab w:val="right" w:leader="dot" w:pos="9174"/>
      </w:tabs>
      <w:spacing w:line="520" w:lineRule="exact"/>
      <w:ind w:left="56" w:leftChars="29"/>
    </w:pPr>
    <w:rPr>
      <w:rFonts w:ascii="楷体_GB2312" w:eastAsia="楷体_GB2312"/>
      <w:b/>
      <w:bCs/>
      <w:szCs w:val="24"/>
    </w:rPr>
  </w:style>
  <w:style w:type="paragraph" w:customStyle="1" w:styleId="9">
    <w:name w:val="p0"/>
    <w:basedOn w:val="1"/>
    <w:qFormat/>
    <w:uiPriority w:val="0"/>
    <w:pPr>
      <w:widowControl/>
    </w:pPr>
    <w:rPr>
      <w:kern w:val="0"/>
      <w:szCs w:val="21"/>
    </w:rPr>
  </w:style>
  <w:style w:type="paragraph" w:styleId="10">
    <w:name w:val="List Paragraph"/>
    <w:basedOn w:val="1"/>
    <w:unhideWhenUsed/>
    <w:qFormat/>
    <w:uiPriority w:val="99"/>
    <w:pPr>
      <w:ind w:firstLine="420" w:firstLineChars="200"/>
    </w:pPr>
  </w:style>
  <w:style w:type="character" w:customStyle="1" w:styleId="11">
    <w:name w:val="font41"/>
    <w:basedOn w:val="8"/>
    <w:qFormat/>
    <w:uiPriority w:val="0"/>
    <w:rPr>
      <w:rFonts w:hint="eastAsia" w:ascii="仿宋" w:hAnsi="仿宋" w:eastAsia="仿宋" w:cs="仿宋"/>
      <w:b/>
      <w:bCs/>
      <w:color w:val="000000"/>
      <w:sz w:val="24"/>
      <w:szCs w:val="24"/>
      <w:u w:val="none"/>
    </w:rPr>
  </w:style>
  <w:style w:type="character" w:customStyle="1" w:styleId="12">
    <w:name w:val="font91"/>
    <w:basedOn w:val="8"/>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1671</Words>
  <Characters>9527</Characters>
  <Lines>79</Lines>
  <Paragraphs>22</Paragraphs>
  <TotalTime>1</TotalTime>
  <ScaleCrop>false</ScaleCrop>
  <LinksUpToDate>false</LinksUpToDate>
  <CharactersWithSpaces>11176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2021-08-24T01:02:00Z</dcterms:created>
  <dc:creator>Administrator</dc:creator>
  <cp:lastModifiedBy>Administrator</cp:lastModifiedBy>
  <dcterms:modified xsi:type="dcterms:W3CDTF">2021-08-27T01:53:09Z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C12B76AA133C4B24BEB0ED428DED481D</vt:lpwstr>
  </property>
</Properties>
</file>