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200" w:line="340" w:lineRule="exact"/>
        <w:rPr>
          <w:color w:val="auto"/>
          <w:sz w:val="44"/>
          <w:szCs w:val="30"/>
          <w:highlight w:val="none"/>
        </w:rPr>
      </w:pPr>
      <w:r>
        <w:rPr>
          <w:rFonts w:hint="eastAsia"/>
          <w:color w:val="auto"/>
          <w:sz w:val="44"/>
          <w:szCs w:val="30"/>
          <w:highlight w:val="none"/>
        </w:rPr>
        <w:t xml:space="preserve">  </w:t>
      </w:r>
    </w:p>
    <w:p>
      <w:pPr>
        <w:widowControl/>
        <w:spacing w:line="360" w:lineRule="auto"/>
        <w:ind w:firstLine="880"/>
        <w:rPr>
          <w:color w:val="auto"/>
          <w:sz w:val="44"/>
          <w:szCs w:val="44"/>
          <w:highlight w:val="none"/>
        </w:rPr>
      </w:pPr>
    </w:p>
    <w:p>
      <w:pPr>
        <w:widowControl/>
        <w:spacing w:line="360" w:lineRule="auto"/>
        <w:jc w:val="center"/>
        <w:rPr>
          <w:b/>
          <w:color w:val="auto"/>
          <w:sz w:val="44"/>
          <w:szCs w:val="44"/>
          <w:highlight w:val="none"/>
        </w:rPr>
      </w:pPr>
      <w:r>
        <w:rPr>
          <w:rFonts w:hint="eastAsia"/>
          <w:b/>
          <w:color w:val="auto"/>
          <w:sz w:val="44"/>
          <w:szCs w:val="44"/>
          <w:highlight w:val="none"/>
        </w:rPr>
        <w:t>宜阳山水文苑物业用房装修施工工程合同</w:t>
      </w:r>
    </w:p>
    <w:p>
      <w:pPr>
        <w:autoSpaceDN w:val="0"/>
        <w:ind w:firstLine="840" w:firstLineChars="400"/>
        <w:rPr>
          <w:rFonts w:ascii="宋体" w:hAnsi="宋体"/>
          <w:color w:val="auto"/>
          <w:szCs w:val="24"/>
          <w:highlight w:val="none"/>
        </w:rPr>
      </w:pPr>
      <w:r>
        <w:rPr>
          <w:rFonts w:hint="eastAsia" w:ascii="宋体" w:hAnsi="宋体"/>
          <w:color w:val="auto"/>
          <w:szCs w:val="24"/>
          <w:highlight w:val="none"/>
        </w:rPr>
        <w:t xml:space="preserve">               </w:t>
      </w:r>
    </w:p>
    <w:p>
      <w:pPr>
        <w:autoSpaceDN w:val="0"/>
        <w:ind w:firstLine="2205" w:firstLineChars="1050"/>
        <w:rPr>
          <w:rFonts w:ascii="宋体" w:hAnsi="宋体"/>
          <w:color w:val="auto"/>
          <w:szCs w:val="24"/>
          <w:highlight w:val="none"/>
        </w:rPr>
      </w:pPr>
      <w:r>
        <w:rPr>
          <w:rFonts w:hint="eastAsia" w:ascii="宋体" w:hAnsi="宋体"/>
          <w:color w:val="auto"/>
          <w:szCs w:val="24"/>
          <w:highlight w:val="none"/>
        </w:rPr>
        <w:t xml:space="preserve">     </w:t>
      </w:r>
    </w:p>
    <w:p>
      <w:pPr>
        <w:autoSpaceDN w:val="0"/>
        <w:ind w:firstLine="630" w:firstLineChars="300"/>
        <w:rPr>
          <w:rFonts w:ascii="宋体" w:hAnsi="宋体"/>
          <w:color w:val="auto"/>
          <w:szCs w:val="24"/>
          <w:highlight w:val="none"/>
        </w:rPr>
      </w:pPr>
    </w:p>
    <w:p>
      <w:pPr>
        <w:autoSpaceDN w:val="0"/>
        <w:ind w:firstLine="630" w:firstLineChars="300"/>
        <w:rPr>
          <w:rFonts w:ascii="宋体" w:hAnsi="宋体"/>
          <w:color w:val="auto"/>
          <w:szCs w:val="24"/>
          <w:highlight w:val="none"/>
        </w:rPr>
      </w:pPr>
    </w:p>
    <w:p>
      <w:pPr>
        <w:autoSpaceDN w:val="0"/>
        <w:ind w:firstLine="630" w:firstLineChars="300"/>
        <w:rPr>
          <w:rFonts w:ascii="宋体" w:hAnsi="宋体"/>
          <w:color w:val="auto"/>
          <w:szCs w:val="24"/>
          <w:highlight w:val="none"/>
        </w:rPr>
      </w:pPr>
    </w:p>
    <w:p>
      <w:pPr>
        <w:autoSpaceDN w:val="0"/>
        <w:rPr>
          <w:rFonts w:ascii="宋体" w:hAnsi="宋体"/>
          <w:b/>
          <w:bCs/>
          <w:color w:val="auto"/>
          <w:szCs w:val="24"/>
          <w:highlight w:val="none"/>
        </w:rPr>
      </w:pPr>
    </w:p>
    <w:p>
      <w:pPr>
        <w:pStyle w:val="2"/>
        <w:rPr>
          <w:color w:val="auto"/>
          <w:highlight w:val="none"/>
        </w:rPr>
      </w:pPr>
    </w:p>
    <w:p>
      <w:pPr>
        <w:pStyle w:val="2"/>
        <w:rPr>
          <w:color w:val="auto"/>
          <w:highlight w:val="none"/>
        </w:rPr>
      </w:pPr>
    </w:p>
    <w:p>
      <w:pPr>
        <w:pStyle w:val="2"/>
        <w:rPr>
          <w:color w:val="auto"/>
          <w:highlight w:val="none"/>
        </w:rPr>
      </w:pPr>
    </w:p>
    <w:p>
      <w:pPr>
        <w:autoSpaceDN w:val="0"/>
        <w:rPr>
          <w:rFonts w:ascii="宋体" w:hAnsi="宋体"/>
          <w:b/>
          <w:bCs/>
          <w:color w:val="auto"/>
          <w:szCs w:val="24"/>
          <w:highlight w:val="none"/>
        </w:rPr>
      </w:pPr>
    </w:p>
    <w:p>
      <w:pPr>
        <w:autoSpaceDN w:val="0"/>
        <w:ind w:firstLine="2249" w:firstLineChars="700"/>
        <w:rPr>
          <w:rFonts w:ascii="宋体" w:hAnsi="宋体"/>
          <w:b/>
          <w:color w:val="auto"/>
          <w:sz w:val="32"/>
          <w:szCs w:val="32"/>
          <w:highlight w:val="none"/>
        </w:rPr>
      </w:pPr>
      <w:r>
        <w:rPr>
          <w:rFonts w:hint="eastAsia" w:ascii="宋体" w:hAnsi="宋体"/>
          <w:b/>
          <w:color w:val="auto"/>
          <w:sz w:val="32"/>
          <w:szCs w:val="32"/>
          <w:highlight w:val="none"/>
        </w:rPr>
        <w:t>成本代码：3.3.2</w:t>
      </w:r>
    </w:p>
    <w:p>
      <w:pPr>
        <w:autoSpaceDN w:val="0"/>
        <w:ind w:firstLine="2249" w:firstLineChars="700"/>
        <w:rPr>
          <w:rFonts w:ascii="宋体" w:hAnsi="宋体"/>
          <w:b/>
          <w:color w:val="auto"/>
          <w:sz w:val="32"/>
          <w:szCs w:val="32"/>
          <w:highlight w:val="none"/>
        </w:rPr>
      </w:pPr>
      <w:r>
        <w:rPr>
          <w:rFonts w:hint="eastAsia" w:ascii="宋体" w:hAnsi="宋体"/>
          <w:b/>
          <w:color w:val="auto"/>
          <w:sz w:val="32"/>
          <w:szCs w:val="32"/>
          <w:highlight w:val="none"/>
        </w:rPr>
        <w:t>合同编号：SSWY.01-JA-095</w:t>
      </w:r>
    </w:p>
    <w:p>
      <w:pPr>
        <w:autoSpaceDN w:val="0"/>
        <w:ind w:firstLine="840" w:firstLineChars="280"/>
        <w:rPr>
          <w:rFonts w:ascii="宋体" w:hAnsi="宋体"/>
          <w:color w:val="auto"/>
          <w:sz w:val="30"/>
          <w:szCs w:val="30"/>
          <w:highlight w:val="none"/>
        </w:rPr>
      </w:pPr>
    </w:p>
    <w:p>
      <w:pPr>
        <w:autoSpaceDN w:val="0"/>
        <w:ind w:firstLine="840" w:firstLineChars="280"/>
        <w:rPr>
          <w:rFonts w:ascii="宋体" w:hAnsi="宋体"/>
          <w:color w:val="auto"/>
          <w:sz w:val="30"/>
          <w:szCs w:val="30"/>
          <w:highlight w:val="none"/>
        </w:rPr>
      </w:pPr>
    </w:p>
    <w:p>
      <w:pPr>
        <w:pStyle w:val="2"/>
        <w:rPr>
          <w:color w:val="auto"/>
          <w:highlight w:val="none"/>
        </w:rPr>
      </w:pPr>
    </w:p>
    <w:p>
      <w:pPr>
        <w:autoSpaceDN w:val="0"/>
        <w:ind w:firstLine="840" w:firstLineChars="280"/>
        <w:rPr>
          <w:rFonts w:ascii="宋体" w:hAnsi="宋体"/>
          <w:color w:val="auto"/>
          <w:sz w:val="30"/>
          <w:szCs w:val="30"/>
          <w:highlight w:val="none"/>
        </w:rPr>
      </w:pPr>
    </w:p>
    <w:p>
      <w:pPr>
        <w:autoSpaceDN w:val="0"/>
        <w:rPr>
          <w:rFonts w:ascii="宋体" w:hAnsi="宋体"/>
          <w:color w:val="auto"/>
          <w:sz w:val="30"/>
          <w:szCs w:val="30"/>
          <w:highlight w:val="none"/>
        </w:rPr>
      </w:pPr>
    </w:p>
    <w:p>
      <w:pPr>
        <w:autoSpaceDN w:val="0"/>
        <w:ind w:firstLine="840" w:firstLineChars="280"/>
        <w:rPr>
          <w:rFonts w:ascii="宋体" w:hAnsi="宋体"/>
          <w:b/>
          <w:color w:val="auto"/>
          <w:sz w:val="32"/>
          <w:szCs w:val="32"/>
          <w:highlight w:val="none"/>
        </w:rPr>
      </w:pPr>
      <w:r>
        <w:rPr>
          <w:rFonts w:hint="eastAsia" w:ascii="宋体" w:hAnsi="宋体"/>
          <w:color w:val="auto"/>
          <w:sz w:val="30"/>
          <w:szCs w:val="30"/>
          <w:highlight w:val="none"/>
        </w:rPr>
        <w:t xml:space="preserve">  </w:t>
      </w:r>
      <w:r>
        <w:rPr>
          <w:rFonts w:ascii="宋体" w:hAnsi="宋体"/>
          <w:color w:val="auto"/>
          <w:sz w:val="30"/>
          <w:szCs w:val="30"/>
          <w:highlight w:val="none"/>
        </w:rPr>
        <w:t xml:space="preserve">     </w:t>
      </w:r>
      <w:r>
        <w:rPr>
          <w:rFonts w:ascii="宋体" w:hAnsi="宋体"/>
          <w:b/>
          <w:color w:val="auto"/>
          <w:sz w:val="32"/>
          <w:szCs w:val="32"/>
          <w:highlight w:val="none"/>
        </w:rPr>
        <w:t xml:space="preserve"> </w:t>
      </w:r>
      <w:r>
        <w:rPr>
          <w:rFonts w:hint="eastAsia" w:ascii="宋体" w:hAnsi="宋体"/>
          <w:b/>
          <w:color w:val="auto"/>
          <w:sz w:val="32"/>
          <w:szCs w:val="32"/>
          <w:highlight w:val="none"/>
        </w:rPr>
        <w:t xml:space="preserve"> 发 包 人：洛阳莘子园置业有限公司    </w:t>
      </w:r>
    </w:p>
    <w:p>
      <w:pPr>
        <w:autoSpaceDN w:val="0"/>
        <w:ind w:firstLine="1863" w:firstLineChars="580"/>
        <w:rPr>
          <w:rFonts w:ascii="宋体" w:hAnsi="宋体"/>
          <w:b/>
          <w:color w:val="auto"/>
          <w:sz w:val="32"/>
          <w:szCs w:val="32"/>
          <w:highlight w:val="none"/>
        </w:rPr>
      </w:pPr>
      <w:r>
        <w:rPr>
          <w:rFonts w:hint="eastAsia" w:ascii="宋体" w:hAnsi="宋体"/>
          <w:b/>
          <w:color w:val="auto"/>
          <w:sz w:val="32"/>
          <w:szCs w:val="32"/>
          <w:highlight w:val="none"/>
        </w:rPr>
        <w:t xml:space="preserve">  承 包 人：洛阳坤宏建设集团有限公司   </w:t>
      </w:r>
    </w:p>
    <w:p>
      <w:pPr>
        <w:autoSpaceDN w:val="0"/>
        <w:ind w:firstLine="2178" w:firstLineChars="678"/>
        <w:rPr>
          <w:rFonts w:ascii="宋体" w:hAnsi="宋体"/>
          <w:b/>
          <w:color w:val="auto"/>
          <w:sz w:val="32"/>
          <w:szCs w:val="32"/>
          <w:highlight w:val="none"/>
        </w:rPr>
      </w:pPr>
      <w:r>
        <w:rPr>
          <w:rFonts w:hint="eastAsia" w:ascii="宋体" w:hAnsi="宋体"/>
          <w:b/>
          <w:color w:val="auto"/>
          <w:sz w:val="32"/>
          <w:szCs w:val="32"/>
          <w:highlight w:val="none"/>
        </w:rPr>
        <w:t>签订日期：2021年</w:t>
      </w:r>
      <w:r>
        <w:rPr>
          <w:rFonts w:ascii="宋体" w:hAnsi="宋体"/>
          <w:b/>
          <w:color w:val="auto"/>
          <w:sz w:val="32"/>
          <w:szCs w:val="32"/>
          <w:highlight w:val="none"/>
        </w:rPr>
        <w:t>9</w:t>
      </w:r>
      <w:r>
        <w:rPr>
          <w:rFonts w:hint="eastAsia" w:ascii="宋体" w:hAnsi="宋体"/>
          <w:b/>
          <w:color w:val="auto"/>
          <w:sz w:val="32"/>
          <w:szCs w:val="32"/>
          <w:highlight w:val="none"/>
        </w:rPr>
        <w:t>月</w:t>
      </w:r>
      <w:r>
        <w:rPr>
          <w:rFonts w:ascii="宋体" w:hAnsi="宋体"/>
          <w:b/>
          <w:color w:val="auto"/>
          <w:sz w:val="32"/>
          <w:szCs w:val="32"/>
          <w:highlight w:val="none"/>
        </w:rPr>
        <w:t xml:space="preserve">   </w:t>
      </w:r>
      <w:r>
        <w:rPr>
          <w:rFonts w:hint="eastAsia" w:ascii="宋体" w:hAnsi="宋体"/>
          <w:b/>
          <w:color w:val="auto"/>
          <w:sz w:val="32"/>
          <w:szCs w:val="32"/>
          <w:highlight w:val="none"/>
        </w:rPr>
        <w:t>日</w:t>
      </w:r>
    </w:p>
    <w:p>
      <w:pPr>
        <w:autoSpaceDN w:val="0"/>
        <w:ind w:firstLine="600" w:firstLineChars="200"/>
        <w:rPr>
          <w:rFonts w:ascii="宋体" w:hAnsi="宋体"/>
          <w:color w:val="auto"/>
          <w:sz w:val="30"/>
          <w:szCs w:val="30"/>
          <w:highlight w:val="none"/>
        </w:rPr>
      </w:pPr>
    </w:p>
    <w:p>
      <w:pPr>
        <w:widowControl/>
        <w:spacing w:line="360" w:lineRule="auto"/>
        <w:jc w:val="center"/>
        <w:rPr>
          <w:b/>
          <w:color w:val="auto"/>
          <w:sz w:val="24"/>
          <w:szCs w:val="24"/>
          <w:highlight w:val="none"/>
        </w:rPr>
      </w:pPr>
      <w:r>
        <w:rPr>
          <w:rFonts w:ascii="宋体" w:hAnsi="宋体"/>
          <w:color w:val="auto"/>
          <w:szCs w:val="24"/>
          <w:highlight w:val="none"/>
        </w:rPr>
        <w:br w:type="page"/>
      </w:r>
      <w:r>
        <w:rPr>
          <w:rFonts w:hint="eastAsia"/>
          <w:b/>
          <w:color w:val="auto"/>
          <w:sz w:val="28"/>
          <w:szCs w:val="28"/>
          <w:highlight w:val="none"/>
        </w:rPr>
        <w:t>宜阳山水文苑物业用房装修施工工程合同</w:t>
      </w:r>
    </w:p>
    <w:p>
      <w:pPr>
        <w:widowControl/>
        <w:spacing w:line="360" w:lineRule="auto"/>
        <w:rPr>
          <w:rFonts w:ascii="宋体" w:hAnsi="宋体"/>
          <w:color w:val="auto"/>
          <w:sz w:val="24"/>
          <w:szCs w:val="24"/>
          <w:highlight w:val="none"/>
        </w:rPr>
      </w:pPr>
      <w:r>
        <w:rPr>
          <w:rFonts w:hint="eastAsia" w:ascii="宋体" w:hAnsi="宋体"/>
          <w:color w:val="auto"/>
          <w:sz w:val="24"/>
          <w:szCs w:val="24"/>
          <w:highlight w:val="none"/>
        </w:rPr>
        <w:t>发包人（甲方）：洛阳莘子园置业有限公司</w:t>
      </w:r>
    </w:p>
    <w:p>
      <w:pPr>
        <w:widowControl/>
        <w:spacing w:line="360" w:lineRule="auto"/>
        <w:rPr>
          <w:rFonts w:ascii="宋体" w:hAnsi="宋体"/>
          <w:color w:val="auto"/>
          <w:sz w:val="24"/>
          <w:szCs w:val="24"/>
          <w:highlight w:val="none"/>
        </w:rPr>
      </w:pPr>
      <w:r>
        <w:rPr>
          <w:rFonts w:hint="eastAsia" w:ascii="宋体" w:hAnsi="宋体"/>
          <w:color w:val="auto"/>
          <w:sz w:val="24"/>
          <w:szCs w:val="24"/>
          <w:highlight w:val="none"/>
        </w:rPr>
        <w:t>承包人（乙方）：</w:t>
      </w:r>
      <w:r>
        <w:rPr>
          <w:rFonts w:hint="eastAsia" w:ascii="宋体" w:hAnsi="宋体" w:cs="宋体"/>
          <w:color w:val="auto"/>
          <w:sz w:val="24"/>
          <w:szCs w:val="24"/>
          <w:highlight w:val="none"/>
        </w:rPr>
        <w:t>洛阳坤宏建设集团有限公司</w:t>
      </w:r>
      <w:r>
        <w:rPr>
          <w:rFonts w:hint="eastAsia" w:ascii="宋体" w:hAnsi="宋体"/>
          <w:color w:val="auto"/>
          <w:sz w:val="24"/>
          <w:szCs w:val="24"/>
          <w:highlight w:val="none"/>
        </w:rPr>
        <w:t xml:space="preserve">                     </w:t>
      </w:r>
    </w:p>
    <w:p>
      <w:pPr>
        <w:widowControl/>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依照《中华人民共和国民法典》、《中华人民共和国建筑法》、《建设工程质量管理条例》及其他有关法律、行政法规，遵循平等、自愿、公平和诚实信用的原则，双方经协商一致订立本合同。</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第一条：工程概况</w:t>
      </w:r>
    </w:p>
    <w:p>
      <w:pPr>
        <w:widowControl/>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1、工程名称：宜阳山水文苑物业用房装修施工工程</w:t>
      </w:r>
      <w:r>
        <w:rPr>
          <w:rFonts w:hint="eastAsia" w:ascii="宋体" w:hAnsi="宋体"/>
          <w:color w:val="auto"/>
          <w:sz w:val="24"/>
          <w:szCs w:val="24"/>
          <w:highlight w:val="none"/>
          <w:lang w:eastAsia="zh-CN"/>
        </w:rPr>
        <w:t>。</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2、工程地点：河南省洛阳市宜阳县香鹿山镇滨河北路与锦龙大桥交汇处山水文苑项目</w:t>
      </w:r>
      <w:r>
        <w:rPr>
          <w:rFonts w:hint="eastAsia" w:ascii="宋体" w:hAnsi="宋体"/>
          <w:color w:val="auto"/>
          <w:sz w:val="24"/>
          <w:szCs w:val="24"/>
          <w:highlight w:val="none"/>
          <w:lang w:eastAsia="zh-CN"/>
        </w:rPr>
        <w:t>。</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3、工程内容：乙方按甲方确认下发的施工图纸完成宜阳山水文苑物业用房装修施工工程</w:t>
      </w:r>
      <w:r>
        <w:rPr>
          <w:rFonts w:hint="eastAsia" w:ascii="宋体" w:hAnsi="宋体"/>
          <w:color w:val="auto"/>
          <w:sz w:val="24"/>
          <w:szCs w:val="24"/>
          <w:highlight w:val="none"/>
          <w:lang w:eastAsia="zh-CN"/>
        </w:rPr>
        <w:t>。</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第二条：承包范围</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宜阳山水文苑物业用房</w:t>
      </w:r>
      <w:r>
        <w:rPr>
          <w:rFonts w:hint="eastAsia" w:ascii="宋体" w:hAnsi="宋体"/>
          <w:color w:val="auto"/>
          <w:sz w:val="24"/>
          <w:szCs w:val="24"/>
          <w:highlight w:val="none"/>
        </w:rPr>
        <w:t>施工图纸范围内</w:t>
      </w:r>
      <w:r>
        <w:rPr>
          <w:rFonts w:hint="eastAsia" w:ascii="宋体" w:hAnsi="宋体"/>
          <w:color w:val="auto"/>
          <w:sz w:val="24"/>
          <w:szCs w:val="24"/>
          <w:highlight w:val="none"/>
        </w:rPr>
        <w:t>装修工程施工</w:t>
      </w:r>
      <w:r>
        <w:rPr>
          <w:rFonts w:hint="eastAsia" w:ascii="宋体" w:hAnsi="宋体"/>
          <w:color w:val="auto"/>
          <w:sz w:val="24"/>
          <w:szCs w:val="24"/>
          <w:highlight w:val="none"/>
          <w:lang w:eastAsia="zh-CN"/>
        </w:rPr>
        <w:t>。</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第三条：承包方式</w:t>
      </w:r>
    </w:p>
    <w:p>
      <w:pPr>
        <w:widowControl/>
        <w:spacing w:before="4" w:line="360" w:lineRule="auto"/>
        <w:ind w:firstLine="480" w:firstLineChars="200"/>
        <w:rPr>
          <w:rFonts w:hint="eastAsia" w:ascii="宋体" w:hAnsi="宋体" w:cs="宋体"/>
          <w:color w:val="auto"/>
          <w:sz w:val="24"/>
          <w:szCs w:val="24"/>
          <w:highlight w:val="none"/>
        </w:rPr>
      </w:pPr>
      <w:bookmarkStart w:id="0" w:name="_GoBack"/>
      <w:r>
        <w:rPr>
          <w:rFonts w:hint="eastAsia" w:ascii="宋体" w:hAnsi="宋体" w:cs="宋体"/>
          <w:color w:val="auto"/>
          <w:sz w:val="24"/>
          <w:szCs w:val="24"/>
          <w:highlight w:val="none"/>
        </w:rPr>
        <w:t>承包方式：含税固定总价包干</w:t>
      </w:r>
      <w:r>
        <w:rPr>
          <w:rFonts w:hint="eastAsia" w:ascii="宋体" w:hAnsi="宋体" w:cs="宋体"/>
          <w:color w:val="auto"/>
          <w:sz w:val="24"/>
          <w:szCs w:val="24"/>
          <w:highlight w:val="none"/>
        </w:rPr>
        <w:t>。</w:t>
      </w:r>
    </w:p>
    <w:bookmarkEnd w:id="0"/>
    <w:p>
      <w:pPr>
        <w:widowControl/>
        <w:spacing w:before="4"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乙方以包工、包料、包工期、包质量、包深化设计、包安全、包安全文明施工措施费、包市场风险、包验收、包税金、包交工资料、包竣工验收等承包范围以内的所有费用。</w:t>
      </w:r>
    </w:p>
    <w:p>
      <w:pPr>
        <w:widowControl/>
        <w:spacing w:before="4"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第四条：合同价格及计价办法</w:t>
      </w:r>
    </w:p>
    <w:p>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1、合同固定总价：人民币（大写）贰拾柒万元整 ，小写￥270,000元，其中，不含税金额大写：贰拾肆万柒仟柒佰零陆元肆角贰分，小写￥247,706.42元，增值税率为9%，税款大写：贰万贰仟贰佰玖拾叁元伍角捌分，小写￥22,293.58元。该固定合同总价图纸内内容一次性包干，除合同约定可调整之外的所有内容均不再随任何因素的调整而调整，不管乙方投标报价时清单中是否有漏项、缺项，均视为乙方已综合考虑在其他项目的报价内，甲乙双方已认可，结算时双方不做任何调整。</w:t>
      </w:r>
      <w:r>
        <w:rPr>
          <w:rFonts w:hint="eastAsia" w:ascii="宋体" w:hAnsi="宋体"/>
          <w:color w:val="auto"/>
          <w:sz w:val="24"/>
          <w:szCs w:val="24"/>
          <w:highlight w:val="none"/>
        </w:rPr>
        <w:t>见后附清单</w:t>
      </w:r>
      <w:r>
        <w:rPr>
          <w:rFonts w:hint="eastAsia" w:ascii="宋体" w:hAnsi="宋体"/>
          <w:color w:val="auto"/>
          <w:sz w:val="24"/>
          <w:szCs w:val="24"/>
          <w:highlight w:val="none"/>
          <w:lang w:eastAsia="zh-CN"/>
        </w:rPr>
        <w:t>。</w:t>
      </w:r>
    </w:p>
    <w:p>
      <w:pPr>
        <w:widowControl/>
        <w:spacing w:before="4"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2、计价办法：</w:t>
      </w:r>
    </w:p>
    <w:p>
      <w:pPr>
        <w:widowControl/>
        <w:spacing w:before="4"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计价方式： 采用含税固定总价包干。</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合同含税固定总价包含的内容：人、材、机费用、图纸深化设计费、工程及材料所须的各种检测费及试验费（不含甲供材料）、各种材料损耗费、材料的现场加工费、负责其它专业承包人施工的收边收口、技术处理费、合同工期内的赶工费、工期内疫情增加费用、扬尘治理增加费用、施工水电费、技术措施费、安全文明施工措施费、冬雨季或异常气候施工措施费、利润、税费、垃圾清运到指定点堆放费用</w:t>
      </w:r>
      <w:r>
        <w:rPr>
          <w:rFonts w:hint="eastAsia" w:ascii="宋体" w:hAnsi="宋体"/>
          <w:color w:val="auto"/>
          <w:sz w:val="24"/>
          <w:szCs w:val="24"/>
          <w:highlight w:val="none"/>
        </w:rPr>
        <w:t>等</w:t>
      </w:r>
      <w:r>
        <w:rPr>
          <w:rFonts w:hint="eastAsia" w:ascii="宋体" w:hAnsi="宋体"/>
          <w:color w:val="auto"/>
          <w:sz w:val="24"/>
          <w:szCs w:val="24"/>
          <w:highlight w:val="none"/>
        </w:rPr>
        <w:t>及其他一切费用，结算时不再做任何调整。</w:t>
      </w:r>
    </w:p>
    <w:p>
      <w:pPr>
        <w:tabs>
          <w:tab w:val="left" w:pos="0"/>
          <w:tab w:val="left" w:pos="1080"/>
        </w:tabs>
        <w:autoSpaceDN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.3 </w:t>
      </w:r>
      <w:r>
        <w:rPr>
          <w:rFonts w:hint="eastAsia" w:ascii="宋体" w:hAnsi="宋体"/>
          <w:color w:val="auto"/>
          <w:sz w:val="24"/>
          <w:szCs w:val="24"/>
          <w:highlight w:val="none"/>
        </w:rPr>
        <w:t>甲方提供水源电源接驳点，水电费由乙方自行承担。</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第五条：付款条件与付款方式</w:t>
      </w:r>
    </w:p>
    <w:p>
      <w:pPr>
        <w:pStyle w:val="3"/>
        <w:numPr>
          <w:ilvl w:val="0"/>
          <w:numId w:val="0"/>
        </w:numPr>
        <w:spacing w:line="360" w:lineRule="auto"/>
        <w:ind w:firstLine="240" w:firstLineChars="100"/>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本工程付款：分批次施工分批次付款</w:t>
      </w:r>
    </w:p>
    <w:p>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1、本工程无预付款；</w:t>
      </w:r>
    </w:p>
    <w:p>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2、乙方完成每批次</w:t>
      </w:r>
      <w:r>
        <w:rPr>
          <w:rFonts w:hint="eastAsia" w:ascii="宋体" w:hAnsi="宋体" w:cs="宋体"/>
          <w:color w:val="auto"/>
          <w:sz w:val="24"/>
          <w:szCs w:val="24"/>
          <w:highlight w:val="none"/>
        </w:rPr>
        <w:t>室内装修</w:t>
      </w:r>
      <w:r>
        <w:rPr>
          <w:rFonts w:hint="eastAsia" w:ascii="宋体" w:hAnsi="宋体"/>
          <w:color w:val="auto"/>
          <w:sz w:val="24"/>
          <w:szCs w:val="24"/>
          <w:highlight w:val="none"/>
        </w:rPr>
        <w:t>墙面、地砖、天棚</w:t>
      </w:r>
      <w:r>
        <w:rPr>
          <w:rFonts w:hint="eastAsia" w:ascii="宋体" w:hAnsi="宋体"/>
          <w:color w:val="auto"/>
          <w:sz w:val="24"/>
          <w:szCs w:val="24"/>
          <w:highlight w:val="none"/>
        </w:rPr>
        <w:t>施工，经甲方、监理验收合格后，甲方支付乙方已完工程造价的50％；</w:t>
      </w:r>
    </w:p>
    <w:p>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3、乙方完成每批次</w:t>
      </w:r>
      <w:r>
        <w:rPr>
          <w:rFonts w:hint="eastAsia" w:ascii="宋体" w:hAnsi="宋体" w:cs="宋体"/>
          <w:color w:val="auto"/>
          <w:sz w:val="24"/>
          <w:szCs w:val="24"/>
          <w:highlight w:val="none"/>
        </w:rPr>
        <w:t>室内装修</w:t>
      </w:r>
      <w:r>
        <w:rPr>
          <w:rFonts w:hint="eastAsia" w:ascii="宋体" w:hAnsi="宋体"/>
          <w:color w:val="auto"/>
          <w:sz w:val="24"/>
          <w:szCs w:val="24"/>
          <w:highlight w:val="none"/>
        </w:rPr>
        <w:t>承包范围内所有工程并经甲方及监理验收合格后，甲方支付至已完工程造价的80％；</w:t>
      </w:r>
    </w:p>
    <w:p>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olor w:val="auto"/>
          <w:sz w:val="24"/>
          <w:szCs w:val="24"/>
          <w:highlight w:val="none"/>
        </w:rPr>
        <w:t>工程竣工验收并配合甲方办理结算后</w:t>
      </w:r>
      <w:r>
        <w:rPr>
          <w:rFonts w:ascii="宋体" w:hAnsi="宋体"/>
          <w:color w:val="auto"/>
          <w:sz w:val="24"/>
          <w:szCs w:val="24"/>
          <w:highlight w:val="none"/>
        </w:rPr>
        <w:t>30</w:t>
      </w:r>
      <w:r>
        <w:rPr>
          <w:rFonts w:hint="eastAsia" w:ascii="宋体" w:hAnsi="宋体"/>
          <w:color w:val="auto"/>
          <w:sz w:val="24"/>
          <w:szCs w:val="24"/>
          <w:highlight w:val="none"/>
        </w:rPr>
        <w:t>天内，甲方向乙方支付至实际结算价款的</w:t>
      </w:r>
      <w:r>
        <w:rPr>
          <w:rFonts w:ascii="宋体" w:hAnsi="宋体"/>
          <w:color w:val="auto"/>
          <w:sz w:val="24"/>
          <w:szCs w:val="24"/>
          <w:highlight w:val="none"/>
        </w:rPr>
        <w:t>95%</w:t>
      </w:r>
      <w:r>
        <w:rPr>
          <w:rFonts w:hint="eastAsia" w:ascii="宋体" w:hAnsi="宋体"/>
          <w:color w:val="auto"/>
          <w:sz w:val="24"/>
          <w:szCs w:val="24"/>
          <w:highlight w:val="none"/>
        </w:rPr>
        <w:t>。工程结算价款的</w:t>
      </w:r>
      <w:r>
        <w:rPr>
          <w:rFonts w:ascii="宋体" w:hAnsi="宋体"/>
          <w:color w:val="auto"/>
          <w:sz w:val="24"/>
          <w:szCs w:val="24"/>
          <w:highlight w:val="none"/>
        </w:rPr>
        <w:t>5%</w:t>
      </w:r>
      <w:r>
        <w:rPr>
          <w:rFonts w:hint="eastAsia" w:ascii="宋体" w:hAnsi="宋体"/>
          <w:color w:val="auto"/>
          <w:sz w:val="24"/>
          <w:szCs w:val="24"/>
          <w:highlight w:val="none"/>
        </w:rPr>
        <w:t>作为质保金，待两年的质保期满后无质量问题则无息付清。</w:t>
      </w:r>
    </w:p>
    <w:p>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rPr>
        <w:t>乙方在领取每一次工程款前须提供相应等额有效的增值税专用发票，当甲方向乙方累计支付款项至本合同结算值的95％时，乙方须向甲方开具结算值100％的合法有效的发票，否则甲方除扣留质保金外，有权拒绝支付最后一笔工程款。</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rPr>
        <w:t>对发票不合规的约定：</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rPr>
        <w:t>对发票不合规的约定：</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rPr>
        <w:t>其它税务风险的合同约定：</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color w:val="auto"/>
          <w:sz w:val="24"/>
          <w:szCs w:val="24"/>
          <w:highlight w:val="none"/>
        </w:rPr>
      </w:pPr>
      <w:r>
        <w:rPr>
          <w:rFonts w:hint="eastAsia" w:ascii="宋体" w:hAnsi="宋体"/>
          <w:bCs/>
          <w:color w:val="auto"/>
          <w:sz w:val="24"/>
          <w:szCs w:val="24"/>
          <w:highlight w:val="none"/>
        </w:rPr>
        <w:t>2.2、如果获得开具的汇总专用发票，则乙方应提供其防伪税控系统开具的《销售货物或者提供应税劳务清单》，并加盖发票专用章。</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第六条：合同工期</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rPr>
        <w:t>、工期：</w:t>
      </w:r>
      <w:r>
        <w:rPr>
          <w:rFonts w:hint="eastAsia" w:ascii="宋体" w:hAnsi="宋体" w:cs="宋体"/>
          <w:color w:val="auto"/>
          <w:spacing w:val="12"/>
          <w:sz w:val="24"/>
          <w:szCs w:val="24"/>
          <w:highlight w:val="none"/>
          <w:u w:val="single"/>
        </w:rPr>
        <w:t xml:space="preserve"> 40</w:t>
      </w:r>
      <w:r>
        <w:rPr>
          <w:rFonts w:ascii="宋体" w:hAnsi="宋体" w:cs="宋体"/>
          <w:color w:val="auto"/>
          <w:spacing w:val="12"/>
          <w:sz w:val="24"/>
          <w:szCs w:val="24"/>
          <w:highlight w:val="none"/>
          <w:u w:val="single"/>
        </w:rPr>
        <w:t xml:space="preserve"> </w:t>
      </w:r>
      <w:r>
        <w:rPr>
          <w:rFonts w:hint="eastAsia" w:ascii="宋体" w:hAnsi="宋体" w:cs="宋体"/>
          <w:color w:val="auto"/>
          <w:spacing w:val="12"/>
          <w:sz w:val="24"/>
          <w:szCs w:val="24"/>
          <w:highlight w:val="none"/>
        </w:rPr>
        <w:t>日</w:t>
      </w:r>
      <w:r>
        <w:rPr>
          <w:rFonts w:hint="eastAsia" w:ascii="宋体" w:hAnsi="宋体"/>
          <w:color w:val="auto"/>
          <w:sz w:val="24"/>
          <w:szCs w:val="24"/>
          <w:highlight w:val="none"/>
        </w:rPr>
        <w:t>历天，开工日期暂定为：2021年9月20日，具</w:t>
      </w:r>
      <w:r>
        <w:rPr>
          <w:rFonts w:hint="eastAsia" w:ascii="宋体" w:hAnsi="宋体"/>
          <w:color w:val="auto"/>
          <w:sz w:val="24"/>
          <w:szCs w:val="24"/>
          <w:highlight w:val="none"/>
        </w:rPr>
        <w:t>体开工日期以甲方现场管理代表或总监签发的开工令确定的开工日期为准。</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其他相关参建单位负有总包管理责任，为了便于总包管理，乙方对精装修其他相关参建单位工程进度款的支付具有建议权。</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第七条：验收及移交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按照国家标准设计要求装饰装修工程质量标准和甲乙双方的约定进行验收。如工程质量达不到约定条件，乙方应按甲方和监理的要求返工、修改，并承担由于自身原因导致返工、修改的费用。</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第八条：质量保修期</w:t>
      </w:r>
    </w:p>
    <w:p>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本合同工程项目的质量保修期为两年。</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第九条：材料的供应</w:t>
      </w:r>
    </w:p>
    <w:p>
      <w:pPr>
        <w:widowControl/>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1、由乙方自行选择供货商进行采购的材料：由乙方在签订合同前按照甲方确认的设计图纸要求注明的颜色、质量、质感、规格、品牌送实物样品（所有饰面材料）供甲方确认，经甲方、监理确认后，作为实物样板封存，并由乙方按甲方确认的实物样板自行采购（乙方材料样品报送甲方后，由甲方负责人员确认）现场安装一个样板后需经甲方验收确认合格，再进行大面积施工。如做的实体样板不符合甲方要求则乙方无条件退场，乙方前期投入的费用由乙方承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2、在施工时对于甲方指定品牌的材料在进场前必须先经甲方认可后方能进场。</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3、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5、乙方必须严格按照建设单位《中浩徳地产有限公司材料进场验收制度》、《中浩徳地产有限公司材料管理办法》执行，如发现一次假冒伪劣产品、偷工减料现象，甲方有权单方面解除合同。</w:t>
      </w:r>
      <w:r>
        <w:rPr>
          <w:rFonts w:hint="eastAsia" w:ascii="宋体" w:hAnsi="宋体"/>
          <w:color w:val="auto"/>
          <w:sz w:val="24"/>
          <w:szCs w:val="24"/>
          <w:highlight w:val="none"/>
        </w:rPr>
        <w:tab/>
      </w:r>
      <w:r>
        <w:rPr>
          <w:rFonts w:hint="eastAsia" w:ascii="宋体" w:hAnsi="宋体"/>
          <w:color w:val="auto"/>
          <w:sz w:val="24"/>
          <w:szCs w:val="24"/>
          <w:highlight w:val="none"/>
        </w:rPr>
        <w:tab/>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第十条：竣工结算</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b/>
          <w:bCs/>
          <w:color w:val="auto"/>
          <w:sz w:val="24"/>
          <w:szCs w:val="24"/>
          <w:highlight w:val="none"/>
        </w:rPr>
        <w:t>竣工结算总价＝合同固定总价±变更、签证造价-应扣费用。</w:t>
      </w:r>
    </w:p>
    <w:p>
      <w:pPr>
        <w:numPr>
          <w:ilvl w:val="0"/>
          <w:numId w:val="2"/>
        </w:num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工程完工后，乙方应及时提交结算资料，配合甲方办理竣工结算。</w:t>
      </w:r>
    </w:p>
    <w:p>
      <w:pPr>
        <w:numPr>
          <w:ilvl w:val="0"/>
          <w:numId w:val="2"/>
        </w:num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3、工程变更、签证实行一单一结，变更、签证在30日内核算清楚，变更、签证超出两个月未办理手续、核对的，以甲方单方核算结果作为结算依据。具体办法如下：</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本合同执行期间，若因甲方设计原因引起的设计变更，由甲方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甲方认价后执行（认价材料不参与优惠），除认价材料外，整体参与优惠15％，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第十一条：甲方现场移交标准</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本工程移交界面为工地现状条件，且乙方在投标报价前已充分踏勘现场，对工地现状条件下施工所需的措施费等相关费用已综合考虑在</w:t>
      </w:r>
      <w:r>
        <w:rPr>
          <w:rFonts w:hint="eastAsia" w:ascii="宋体" w:hAnsi="宋体"/>
          <w:color w:val="auto"/>
          <w:sz w:val="24"/>
          <w:szCs w:val="24"/>
          <w:highlight w:val="none"/>
        </w:rPr>
        <w:t>含税</w:t>
      </w:r>
      <w:r>
        <w:rPr>
          <w:rFonts w:hint="eastAsia" w:ascii="宋体" w:hAnsi="宋体"/>
          <w:color w:val="auto"/>
          <w:sz w:val="24"/>
          <w:szCs w:val="24"/>
          <w:highlight w:val="none"/>
        </w:rPr>
        <w:t>固定合同总价内。</w:t>
      </w:r>
    </w:p>
    <w:p>
      <w:pPr>
        <w:pStyle w:val="3"/>
        <w:numPr>
          <w:ilvl w:val="0"/>
          <w:numId w:val="0"/>
        </w:numPr>
        <w:spacing w:line="360" w:lineRule="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第十二条：双方现场代表</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1、甲方授权 李中伟 电话 15137930543 为现场管理代表，监督检查工程质量、进度、负责设计图纸的变更，工程期间的质量验收、施工现场的管理及其他相关事宜。</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2、乙方委派尤琳电话18603797212 为项目经理， 张桃婷电话18638883866为技术负责人 。委派的项目经理须持有与工程项目相适应的真实有效的资格证书，负责施工期间的施工质量、进度、安全文明施工及现场管理等问题。</w:t>
      </w:r>
    </w:p>
    <w:p>
      <w:pPr>
        <w:pStyle w:val="3"/>
        <w:numPr>
          <w:ilvl w:val="0"/>
          <w:numId w:val="0"/>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第十三条：其它约定</w:t>
      </w:r>
    </w:p>
    <w:p>
      <w:pPr>
        <w:tabs>
          <w:tab w:val="left" w:pos="0"/>
        </w:tabs>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1、甲方只负责提供施工现场堆放材料的场地，乙方自行解决施工及管理人员住宿办公场所，甲方不予补偿费用。</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 2、乙方负责本施工区域内其它专业的门窗收边收口等工作，此部分费用已包含在合同包干固定总价中，甲方不予另行签证。若乙方因周边围护措施不到位或考虑不周造成的损失由乙方自行承担。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3、所有材料进场前其品种、颜色、规格、质量必须得到甲方、监理认可；乙方负责材料检测费用的支出；门窗等的收边收口处理方法需乙方深化设计，并出具书面方案经过甲方确认后方能实施。</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4、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若样板验收不通过或用假冒材料，履约保证金不予退还，同时该部分工程费用由乙方自行承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5、乙方现场必须选用优秀的劳务队伍以保证施工质量及工期，若劳务队伍不能满足甲方要求，甲方可随时要求乙方更换其劳务队伍，乙方必须无条件服从，且不能影响工期。乙方劳务计划见附件5，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6、甲方应向乙方交付的设计资料及文件</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560"/>
        <w:gridCol w:w="1764"/>
        <w:gridCol w:w="3026"/>
        <w:gridCol w:w="13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序号</w:t>
            </w:r>
          </w:p>
        </w:tc>
        <w:tc>
          <w:tcPr>
            <w:tcW w:w="25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设计文件名称</w:t>
            </w:r>
          </w:p>
        </w:tc>
        <w:tc>
          <w:tcPr>
            <w:tcW w:w="1764"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份数</w:t>
            </w:r>
          </w:p>
        </w:tc>
        <w:tc>
          <w:tcPr>
            <w:tcW w:w="302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交付日期</w:t>
            </w:r>
          </w:p>
        </w:tc>
        <w:tc>
          <w:tcPr>
            <w:tcW w:w="133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 w:hRule="atLeast"/>
        </w:trPr>
        <w:tc>
          <w:tcPr>
            <w:tcW w:w="8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 1</w:t>
            </w:r>
          </w:p>
        </w:tc>
        <w:tc>
          <w:tcPr>
            <w:tcW w:w="25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装修施工图</w:t>
            </w:r>
          </w:p>
        </w:tc>
        <w:tc>
          <w:tcPr>
            <w:tcW w:w="1764"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1份</w:t>
            </w:r>
          </w:p>
        </w:tc>
        <w:tc>
          <w:tcPr>
            <w:tcW w:w="302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本合同生效后2天内</w:t>
            </w:r>
          </w:p>
        </w:tc>
        <w:tc>
          <w:tcPr>
            <w:tcW w:w="133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  </w:t>
            </w:r>
          </w:p>
        </w:tc>
      </w:tr>
    </w:tbl>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7、乙方未能按合同约定工期如期竣工验收合格工程的，延迟5天（含5天）以内每延迟1天，乙方向甲方支付500元/天（伍佰元）的违约金；延期超过7天以上的，每延迟1天乙方向甲方支付1000元/天（壹仟元）的违约金，同时甲方可自主决定解除合同，前期已完工程不再支付任何费用，乙方必须无条件自行退场。若因甲方原因造成工期延误，则工期相应顺延。</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8、乙方项目负责人必须按时参加甲方或者监理组织的定期或者不定期的工地会议，并遵循会议上做出的决议；乙方需派驻现场专职安全员，负责监管现场安全文明施工。</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9、其他分包单位（外墙、消防、门窗、弱电等）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10、甲方提供一套施工图纸，竣工验收后30日内乙方向甲方移交叁套竣工图纸和竣工资料；</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11、招标文件、图纸、招标答疑作为合同不可缺少的附件；</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12、乙方应提前10个工作日上报详细准确的材料需用计划、变更签证确认申请单等，甲方自收到乙方所报上述报表后10个工作日内给予确认。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13、若实施过程中产生纠纷双方协商解决，若协商不成时，双方约定由甲方所在地人民法院裁判。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14、完工后，乙方提交符合甲方要求的竣工资料、竣工图各叁套。</w:t>
      </w:r>
    </w:p>
    <w:p>
      <w:pPr>
        <w:pStyle w:val="2"/>
        <w:spacing w:line="360" w:lineRule="auto"/>
        <w:rPr>
          <w:rFonts w:hAnsi="宋体"/>
          <w:b w:val="0"/>
          <w:color w:val="auto"/>
          <w:kern w:val="2"/>
          <w:position w:val="0"/>
          <w:szCs w:val="24"/>
          <w:highlight w:val="none"/>
        </w:rPr>
      </w:pPr>
      <w:r>
        <w:rPr>
          <w:rFonts w:hint="eastAsia" w:hAnsi="宋体"/>
          <w:color w:val="auto"/>
          <w:szCs w:val="24"/>
          <w:highlight w:val="none"/>
        </w:rPr>
        <w:t xml:space="preserve"> </w:t>
      </w:r>
      <w:r>
        <w:rPr>
          <w:rFonts w:hint="eastAsia" w:hAnsi="宋体"/>
          <w:b w:val="0"/>
          <w:color w:val="auto"/>
          <w:kern w:val="2"/>
          <w:position w:val="0"/>
          <w:szCs w:val="24"/>
          <w:highlight w:val="none"/>
        </w:rPr>
        <w:t xml:space="preserve">  15、履约期间若出现农民工讨薪、上访、堵售楼部、打架、工地上酗酒之类事件，如发生每次罚款3万。</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十四：争议处理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1、在协议履行过程中若发生争议，经调解仍不能解决的，任何一方均可向合同签订地（洛阳市洛龙区开元壹号营销中心）人民法院提起诉讼。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2、除双方要求停止施工外，双方都应继续履行协议，保证施工正常。</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十五：合同解约条款</w:t>
      </w:r>
    </w:p>
    <w:p>
      <w:pPr>
        <w:autoSpaceDE w:val="0"/>
        <w:autoSpaceDN w:val="0"/>
        <w:adjustRightIn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、乙方存在以下任一情形的，甲方有权要求乙方按照合同总金额的</w:t>
      </w:r>
      <w:r>
        <w:rPr>
          <w:rFonts w:ascii="宋体" w:hAnsi="宋体"/>
          <w:color w:val="auto"/>
          <w:sz w:val="24"/>
          <w:szCs w:val="24"/>
          <w:highlight w:val="none"/>
        </w:rPr>
        <w:t>20%</w:t>
      </w:r>
      <w:r>
        <w:rPr>
          <w:rFonts w:hint="eastAsia" w:ascii="宋体" w:hAnsi="宋体"/>
          <w:color w:val="auto"/>
          <w:sz w:val="24"/>
          <w:szCs w:val="24"/>
          <w:highlight w:val="none"/>
        </w:rPr>
        <w:t>支付违约金，且甲方有权解除本合同，乙方支付的违约金不足以补偿甲方遭受的损失的，乙方仍应就不足部分向甲方承担赔偿责任：</w:t>
      </w:r>
    </w:p>
    <w:p>
      <w:pPr>
        <w:widowControl/>
        <w:numPr>
          <w:ilvl w:val="0"/>
          <w:numId w:val="3"/>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工程质量验收不合格或</w:t>
      </w:r>
      <w:r>
        <w:rPr>
          <w:rFonts w:hint="eastAsia" w:ascii="宋体" w:hAnsi="宋体" w:cs="宋体"/>
          <w:color w:val="auto"/>
          <w:sz w:val="24"/>
          <w:szCs w:val="24"/>
          <w:highlight w:val="none"/>
        </w:rPr>
        <w:t>乙方购置假冒伪劣产品用于本工程</w:t>
      </w:r>
      <w:r>
        <w:rPr>
          <w:rFonts w:hint="eastAsia" w:ascii="宋体" w:hAnsi="宋体"/>
          <w:color w:val="auto"/>
          <w:sz w:val="24"/>
          <w:szCs w:val="24"/>
          <w:highlight w:val="none"/>
        </w:rPr>
        <w:t>；</w:t>
      </w:r>
    </w:p>
    <w:p>
      <w:pPr>
        <w:widowControl/>
        <w:numPr>
          <w:ilvl w:val="0"/>
          <w:numId w:val="3"/>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逾期竣工、逾期提交竣工结算书及完整的竣工结算资料、逾期按甲方通知的时间和甲方核对工程价款的或其他逾期行为累计达</w:t>
      </w:r>
      <w:r>
        <w:rPr>
          <w:rFonts w:ascii="宋体" w:hAnsi="宋体"/>
          <w:color w:val="auto"/>
          <w:sz w:val="24"/>
          <w:szCs w:val="24"/>
          <w:highlight w:val="none"/>
        </w:rPr>
        <w:t>10</w:t>
      </w:r>
      <w:r>
        <w:rPr>
          <w:rFonts w:hint="eastAsia" w:ascii="宋体" w:hAnsi="宋体"/>
          <w:color w:val="auto"/>
          <w:sz w:val="24"/>
          <w:szCs w:val="24"/>
          <w:highlight w:val="none"/>
        </w:rPr>
        <w:t>日的；</w:t>
      </w:r>
    </w:p>
    <w:p>
      <w:pPr>
        <w:widowControl/>
        <w:numPr>
          <w:ilvl w:val="0"/>
          <w:numId w:val="3"/>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擅自把工程分包或转包给第三方的；</w:t>
      </w:r>
    </w:p>
    <w:p>
      <w:pPr>
        <w:widowControl/>
        <w:numPr>
          <w:ilvl w:val="0"/>
          <w:numId w:val="3"/>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乙方违约行为累计达</w:t>
      </w:r>
      <w:r>
        <w:rPr>
          <w:rFonts w:ascii="宋体" w:hAnsi="宋体"/>
          <w:color w:val="auto"/>
          <w:sz w:val="24"/>
          <w:szCs w:val="24"/>
          <w:highlight w:val="none"/>
          <w:u w:val="single"/>
        </w:rPr>
        <w:t>_3</w:t>
      </w:r>
      <w:r>
        <w:rPr>
          <w:rFonts w:ascii="宋体" w:hAnsi="宋体"/>
          <w:color w:val="auto"/>
          <w:sz w:val="24"/>
          <w:szCs w:val="24"/>
          <w:highlight w:val="none"/>
        </w:rPr>
        <w:t>_</w:t>
      </w:r>
      <w:r>
        <w:rPr>
          <w:rFonts w:hint="eastAsia" w:ascii="宋体" w:hAnsi="宋体"/>
          <w:color w:val="auto"/>
          <w:sz w:val="24"/>
          <w:szCs w:val="24"/>
          <w:highlight w:val="none"/>
        </w:rPr>
        <w:t>次或</w:t>
      </w:r>
      <w:r>
        <w:rPr>
          <w:rFonts w:ascii="宋体" w:hAnsi="宋体"/>
          <w:color w:val="auto"/>
          <w:sz w:val="24"/>
          <w:szCs w:val="24"/>
          <w:highlight w:val="none"/>
        </w:rPr>
        <w:t>_</w:t>
      </w:r>
      <w:r>
        <w:rPr>
          <w:rFonts w:ascii="宋体" w:hAnsi="宋体"/>
          <w:color w:val="auto"/>
          <w:sz w:val="24"/>
          <w:szCs w:val="24"/>
          <w:highlight w:val="none"/>
          <w:u w:val="single"/>
        </w:rPr>
        <w:t>3_</w:t>
      </w:r>
      <w:r>
        <w:rPr>
          <w:rFonts w:hint="eastAsia" w:ascii="宋体" w:hAnsi="宋体"/>
          <w:color w:val="auto"/>
          <w:sz w:val="24"/>
          <w:szCs w:val="24"/>
          <w:highlight w:val="none"/>
        </w:rPr>
        <w:t>项及以上的。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）乙方不按时进场开工，在甲方发出通知后的</w:t>
      </w:r>
      <w:r>
        <w:rPr>
          <w:rFonts w:ascii="宋体" w:hAnsi="宋体"/>
          <w:color w:val="auto"/>
          <w:sz w:val="24"/>
          <w:szCs w:val="24"/>
          <w:highlight w:val="none"/>
        </w:rPr>
        <w:t>3</w:t>
      </w:r>
      <w:r>
        <w:rPr>
          <w:rFonts w:hint="eastAsia" w:ascii="宋体" w:hAnsi="宋体"/>
          <w:color w:val="auto"/>
          <w:sz w:val="24"/>
          <w:szCs w:val="24"/>
          <w:highlight w:val="none"/>
        </w:rPr>
        <w:t>日内仍未进场施工的；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）乙方在施工过程中连续停工</w:t>
      </w:r>
      <w:r>
        <w:rPr>
          <w:rFonts w:ascii="宋体" w:hAnsi="宋体"/>
          <w:color w:val="auto"/>
          <w:sz w:val="24"/>
          <w:szCs w:val="24"/>
          <w:highlight w:val="none"/>
        </w:rPr>
        <w:t>5</w:t>
      </w:r>
      <w:r>
        <w:rPr>
          <w:rFonts w:hint="eastAsia" w:ascii="宋体" w:hAnsi="宋体"/>
          <w:color w:val="auto"/>
          <w:sz w:val="24"/>
          <w:szCs w:val="24"/>
          <w:highlight w:val="none"/>
        </w:rPr>
        <w:t>日及以上或累计停工达</w:t>
      </w:r>
      <w:r>
        <w:rPr>
          <w:rFonts w:ascii="宋体" w:hAnsi="宋体"/>
          <w:color w:val="auto"/>
          <w:sz w:val="24"/>
          <w:szCs w:val="24"/>
          <w:highlight w:val="none"/>
        </w:rPr>
        <w:t>7</w:t>
      </w:r>
      <w:r>
        <w:rPr>
          <w:rFonts w:hint="eastAsia" w:ascii="宋体" w:hAnsi="宋体"/>
          <w:color w:val="auto"/>
          <w:sz w:val="24"/>
          <w:szCs w:val="24"/>
          <w:highlight w:val="none"/>
        </w:rPr>
        <w:t>日的；</w:t>
      </w:r>
    </w:p>
    <w:p>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）存在其他违约行为，经甲方书面通知后</w:t>
      </w:r>
      <w:r>
        <w:rPr>
          <w:rFonts w:ascii="宋体" w:hAnsi="宋体"/>
          <w:color w:val="auto"/>
          <w:sz w:val="24"/>
          <w:szCs w:val="24"/>
          <w:highlight w:val="none"/>
        </w:rPr>
        <w:t>5</w:t>
      </w:r>
      <w:r>
        <w:rPr>
          <w:rFonts w:hint="eastAsia" w:ascii="宋体" w:hAnsi="宋体"/>
          <w:color w:val="auto"/>
          <w:sz w:val="24"/>
          <w:szCs w:val="24"/>
          <w:highlight w:val="none"/>
        </w:rPr>
        <w:t>日内仍未纠正的。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2、合同解除后，对于乙方已完工部分且质量合格的按照实际工程量给予结算70%；对于不合格部分责令整改，整改合格后给予结算工程70%，若乙方拒绝整改或无作为，甲方有权对不合格工程量不予支付费用，并由乙方承担由此产生的拆改、整修等费用。</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3、</w:t>
      </w:r>
      <w:r>
        <w:rPr>
          <w:rFonts w:hint="eastAsia" w:ascii="宋体" w:hAnsi="宋体"/>
          <w:color w:val="auto"/>
          <w:sz w:val="24"/>
          <w:szCs w:val="24"/>
          <w:highlight w:val="none"/>
        </w:rPr>
        <w:t>甲方根据合同约定解除合同的，乙方所有人员、设备必须在甲方解除合同书面通知送达之日起三个工作日内撤离施工现场并向甲方移交有关的所有工程资料，并在此期限内与甲方共同签证已完成且质量符合本合同约定的工程量。未经甲乙双方共同签证的工程量，或经签证不合格的工程量不得再要求结算。甲方在上述期限过后有权安排新的施工单位进场施工。</w:t>
      </w:r>
    </w:p>
    <w:p>
      <w:pPr>
        <w:spacing w:line="360" w:lineRule="auto"/>
        <w:rPr>
          <w:rFonts w:ascii="宋体" w:hAnsi="宋体" w:cs="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乙方逾期撤场的，甲方有权委托第三方完成应由乙方完成的撤场义务，因此造成的费用及甲方遭受的损失均由乙方承担。</w:t>
      </w:r>
    </w:p>
    <w:p>
      <w:pPr>
        <w:spacing w:line="360" w:lineRule="auto"/>
        <w:rPr>
          <w:rFonts w:ascii="宋体" w:hAnsi="宋体" w:cs="宋体"/>
          <w:color w:val="auto"/>
          <w:sz w:val="24"/>
          <w:szCs w:val="24"/>
          <w:highlight w:val="none"/>
        </w:rPr>
      </w:pPr>
      <w:r>
        <w:rPr>
          <w:rFonts w:hint="eastAsia" w:ascii="宋体" w:hAnsi="宋体"/>
          <w:b/>
          <w:bCs/>
          <w:color w:val="auto"/>
          <w:sz w:val="24"/>
          <w:szCs w:val="24"/>
          <w:highlight w:val="none"/>
        </w:rPr>
        <w:t>十六：合同的生效与终止</w:t>
      </w:r>
    </w:p>
    <w:p>
      <w:pPr>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本合同自双方盖合同章和法人章后生效。</w:t>
      </w:r>
    </w:p>
    <w:p>
      <w:pPr>
        <w:tabs>
          <w:tab w:val="left" w:pos="1520"/>
          <w:tab w:val="center" w:pos="4876"/>
        </w:tabs>
        <w:autoSpaceDN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2、合同涂改或手写修改部份应有双方公章确认，否则无效。</w:t>
      </w:r>
    </w:p>
    <w:p>
      <w:pPr>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3、合同附件为本合同不可分割的组成部分，本合同连同附件一式柒份，甲方伍份，乙方贰份，具有同等法律效力。</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4、本合同未尽事宜，由双方协商解决。</w:t>
      </w:r>
    </w:p>
    <w:p>
      <w:pPr>
        <w:widowControl/>
        <w:spacing w:line="360" w:lineRule="auto"/>
        <w:rPr>
          <w:rFonts w:ascii="宋体" w:hAnsi="宋体"/>
          <w:b/>
          <w:color w:val="auto"/>
          <w:kern w:val="44"/>
          <w:sz w:val="24"/>
          <w:szCs w:val="24"/>
          <w:highlight w:val="none"/>
        </w:rPr>
      </w:pPr>
      <w:r>
        <w:rPr>
          <w:rFonts w:hint="eastAsia" w:ascii="宋体" w:hAnsi="宋体"/>
          <w:b/>
          <w:color w:val="auto"/>
          <w:kern w:val="44"/>
          <w:sz w:val="24"/>
          <w:szCs w:val="24"/>
          <w:highlight w:val="none"/>
        </w:rPr>
        <w:t>第十七条：送达条款</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甲乙双方明确送达信息如下：</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甲方确认的送达信息为：</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送达地址：洛阳市洛龙区开元大道1号开元壹号营销中心三楼                                                </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联系人及联系方式：招采合约部 0379-60198086                                  </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乙方确认的送达信息为：</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送达地址：洛阳市经济技术开发区太康东路369号A-3幢1单元1-1209号</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联系人及联系方式：张桃婷 18638883866                                                        </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十八：合同附件：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附件一：工程量清单</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附件二：廉政合作协议</w:t>
      </w:r>
    </w:p>
    <w:p>
      <w:pPr>
        <w:spacing w:line="360" w:lineRule="auto"/>
        <w:ind w:firstLine="480" w:firstLineChars="200"/>
        <w:rPr>
          <w:rFonts w:ascii="宋体" w:hAnsi="宋体" w:cs="宋体"/>
          <w:bCs/>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（以下无正文）</w:t>
      </w:r>
    </w:p>
    <w:p>
      <w:pPr>
        <w:pStyle w:val="2"/>
        <w:spacing w:line="360" w:lineRule="auto"/>
        <w:rPr>
          <w:color w:val="auto"/>
          <w:highlight w:val="none"/>
        </w:rPr>
      </w:pPr>
    </w:p>
    <w:p>
      <w:pPr>
        <w:spacing w:line="360" w:lineRule="auto"/>
        <w:jc w:val="left"/>
        <w:rPr>
          <w:rFonts w:ascii="宋体" w:hAnsi="宋体"/>
          <w:color w:val="auto"/>
          <w:sz w:val="24"/>
          <w:szCs w:val="24"/>
          <w:highlight w:val="none"/>
        </w:rPr>
      </w:pPr>
      <w:r>
        <w:rPr>
          <w:rFonts w:ascii="宋体" w:hAnsi="宋体"/>
          <w:color w:val="auto"/>
          <w:sz w:val="24"/>
          <w:szCs w:val="24"/>
          <w:highlight w:val="none"/>
        </w:rPr>
        <w:t>甲方名称：</w:t>
      </w:r>
      <w:r>
        <w:rPr>
          <w:rFonts w:hint="eastAsia" w:ascii="宋体" w:hAnsi="宋体"/>
          <w:color w:val="auto"/>
          <w:sz w:val="24"/>
          <w:szCs w:val="24"/>
          <w:highlight w:val="none"/>
        </w:rPr>
        <w:t>洛阳莘子园置业有限公司</w:t>
      </w:r>
      <w:r>
        <w:rPr>
          <w:rFonts w:ascii="宋体" w:hAnsi="宋体"/>
          <w:color w:val="auto"/>
          <w:sz w:val="24"/>
          <w:szCs w:val="24"/>
          <w:highlight w:val="none"/>
        </w:rPr>
        <w:t>（盖章） 乙方名称：</w:t>
      </w:r>
      <w:r>
        <w:rPr>
          <w:rFonts w:hint="eastAsia" w:ascii="宋体" w:hAnsi="宋体"/>
          <w:color w:val="auto"/>
          <w:sz w:val="24"/>
          <w:szCs w:val="24"/>
          <w:highlight w:val="none"/>
        </w:rPr>
        <w:t>洛阳坤宏建设集团有限公司</w:t>
      </w:r>
      <w:r>
        <w:rPr>
          <w:rFonts w:ascii="宋体" w:hAnsi="宋体"/>
          <w:color w:val="auto"/>
          <w:sz w:val="24"/>
          <w:szCs w:val="24"/>
          <w:highlight w:val="none"/>
        </w:rPr>
        <w:t xml:space="preserve">（盖章）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法定代表人或授权代表：（签字）          </w:t>
      </w:r>
      <w:r>
        <w:rPr>
          <w:rFonts w:hint="eastAsia" w:ascii="宋体" w:hAnsi="宋体"/>
          <w:color w:val="auto"/>
          <w:sz w:val="24"/>
          <w:szCs w:val="24"/>
          <w:highlight w:val="none"/>
        </w:rPr>
        <w:t xml:space="preserve"> </w:t>
      </w:r>
      <w:r>
        <w:rPr>
          <w:rFonts w:ascii="宋体" w:hAnsi="宋体"/>
          <w:color w:val="auto"/>
          <w:sz w:val="24"/>
          <w:szCs w:val="24"/>
          <w:highlight w:val="none"/>
        </w:rPr>
        <w:t>法定代表人或授权代表：（签字）</w:t>
      </w:r>
    </w:p>
    <w:p>
      <w:pPr>
        <w:spacing w:line="360" w:lineRule="auto"/>
        <w:ind w:left="6720" w:hanging="6720" w:hangingChars="2800"/>
        <w:jc w:val="left"/>
        <w:rPr>
          <w:rFonts w:ascii="宋体" w:hAnsi="宋体"/>
          <w:color w:val="auto"/>
          <w:sz w:val="24"/>
          <w:szCs w:val="24"/>
          <w:highlight w:val="none"/>
        </w:rPr>
      </w:pPr>
      <w:r>
        <w:rPr>
          <w:rFonts w:ascii="宋体" w:hAnsi="宋体"/>
          <w:color w:val="auto"/>
          <w:sz w:val="24"/>
          <w:szCs w:val="24"/>
          <w:highlight w:val="none"/>
        </w:rPr>
        <w:t>开户银行：河南宜阳农村商业银行文化路支行 开户银行：</w:t>
      </w:r>
      <w:r>
        <w:rPr>
          <w:rFonts w:hint="eastAsia" w:ascii="宋体" w:hAnsi="宋体"/>
          <w:color w:val="auto"/>
          <w:sz w:val="24"/>
          <w:szCs w:val="24"/>
          <w:highlight w:val="none"/>
        </w:rPr>
        <w:t xml:space="preserve"> 中国建设银行股份有限公司洛阳丽新路支行   </w:t>
      </w:r>
      <w:r>
        <w:rPr>
          <w:rFonts w:ascii="宋体" w:hAnsi="宋体"/>
          <w:color w:val="auto"/>
          <w:sz w:val="24"/>
          <w:szCs w:val="24"/>
          <w:highlight w:val="none"/>
        </w:rPr>
        <w:t xml:space="preserve">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银行帐号：</w:t>
      </w:r>
      <w:r>
        <w:rPr>
          <w:rFonts w:hint="eastAsia" w:ascii="宋体" w:hAnsi="宋体" w:cs="宋体"/>
          <w:snapToGrid w:val="0"/>
          <w:color w:val="auto"/>
          <w:kern w:val="0"/>
          <w:sz w:val="24"/>
          <w:szCs w:val="24"/>
          <w:highlight w:val="none"/>
        </w:rPr>
        <w:t>66121011800000498</w:t>
      </w:r>
      <w:r>
        <w:rPr>
          <w:rFonts w:hint="eastAsia" w:ascii="宋体" w:hAnsi="宋体"/>
          <w:color w:val="auto"/>
          <w:sz w:val="24"/>
          <w:szCs w:val="24"/>
          <w:highlight w:val="none"/>
        </w:rPr>
        <w:t xml:space="preserve">              </w:t>
      </w:r>
      <w:r>
        <w:rPr>
          <w:rFonts w:ascii="宋体" w:hAnsi="宋体"/>
          <w:color w:val="auto"/>
          <w:sz w:val="24"/>
          <w:szCs w:val="24"/>
          <w:highlight w:val="none"/>
        </w:rPr>
        <w:t>银行账号：</w:t>
      </w:r>
      <w:r>
        <w:rPr>
          <w:rFonts w:hint="eastAsia" w:ascii="宋体" w:hAnsi="宋体"/>
          <w:color w:val="auto"/>
          <w:sz w:val="24"/>
          <w:szCs w:val="24"/>
          <w:highlight w:val="none"/>
        </w:rPr>
        <w:t>4100 1570 1140 5020 1466</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纳税人识别号：</w:t>
      </w:r>
      <w:r>
        <w:rPr>
          <w:rFonts w:hint="eastAsia" w:ascii="宋体" w:hAnsi="宋体"/>
          <w:color w:val="auto"/>
          <w:sz w:val="24"/>
          <w:szCs w:val="24"/>
          <w:highlight w:val="none"/>
        </w:rPr>
        <w:t xml:space="preserve">91410327MA46Q3579G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纳税人识别号：</w:t>
      </w:r>
      <w:r>
        <w:rPr>
          <w:rFonts w:hint="eastAsia" w:ascii="宋体" w:hAnsi="宋体"/>
          <w:color w:val="auto"/>
          <w:sz w:val="24"/>
          <w:szCs w:val="24"/>
          <w:highlight w:val="none"/>
        </w:rPr>
        <w:t xml:space="preserve"> 91410300678081211T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签订日期：</w:t>
      </w:r>
      <w:r>
        <w:rPr>
          <w:rFonts w:hint="eastAsia" w:ascii="宋体" w:hAnsi="宋体"/>
          <w:color w:val="auto"/>
          <w:sz w:val="24"/>
          <w:szCs w:val="24"/>
          <w:highlight w:val="none"/>
        </w:rPr>
        <w:t xml:space="preserve">2021年9月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日 </w:t>
      </w:r>
      <w:r>
        <w:rPr>
          <w:rFonts w:ascii="宋体" w:hAnsi="宋体"/>
          <w:color w:val="auto"/>
          <w:sz w:val="24"/>
          <w:szCs w:val="24"/>
          <w:highlight w:val="none"/>
        </w:rPr>
        <w:t xml:space="preserve">               签订日期：</w:t>
      </w:r>
      <w:r>
        <w:rPr>
          <w:rFonts w:hint="eastAsia" w:ascii="宋体" w:hAnsi="宋体"/>
          <w:color w:val="auto"/>
          <w:sz w:val="24"/>
          <w:szCs w:val="24"/>
          <w:highlight w:val="none"/>
        </w:rPr>
        <w:t xml:space="preserve">2021年9月 </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2"/>
        <w:spacing w:line="360" w:lineRule="auto"/>
        <w:rPr>
          <w:color w:val="auto"/>
          <w:highlight w:val="none"/>
        </w:rPr>
      </w:pPr>
    </w:p>
    <w:p>
      <w:pPr>
        <w:pStyle w:val="2"/>
        <w:spacing w:line="360" w:lineRule="auto"/>
        <w:rPr>
          <w:rFonts w:hAnsi="宋体"/>
          <w:color w:val="auto"/>
          <w:szCs w:val="24"/>
          <w:highlight w:val="none"/>
        </w:rPr>
      </w:pPr>
    </w:p>
    <w:p>
      <w:pPr>
        <w:spacing w:line="360" w:lineRule="auto"/>
        <w:jc w:val="left"/>
        <w:rPr>
          <w:rFonts w:ascii="宋体" w:hAnsi="宋体"/>
          <w:color w:val="auto"/>
          <w:sz w:val="24"/>
          <w:szCs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宜阳山水文苑项目物业用房装修工程量清单</w:t>
      </w:r>
    </w:p>
    <w:tbl>
      <w:tblPr>
        <w:tblStyle w:val="46"/>
        <w:tblpPr w:leftFromText="180" w:rightFromText="180" w:vertAnchor="text" w:horzAnchor="page" w:tblpX="1119" w:tblpY="102"/>
        <w:tblOverlap w:val="never"/>
        <w:tblW w:w="10100" w:type="dxa"/>
        <w:tblInd w:w="0" w:type="dxa"/>
        <w:tblLayout w:type="fixed"/>
        <w:tblCellMar>
          <w:top w:w="0" w:type="dxa"/>
          <w:left w:w="0" w:type="dxa"/>
          <w:bottom w:w="0" w:type="dxa"/>
          <w:right w:w="0" w:type="dxa"/>
        </w:tblCellMar>
      </w:tblPr>
      <w:tblGrid>
        <w:gridCol w:w="590"/>
        <w:gridCol w:w="4598"/>
        <w:gridCol w:w="1837"/>
        <w:gridCol w:w="3075"/>
      </w:tblGrid>
      <w:tr>
        <w:tblPrEx>
          <w:tblCellMar>
            <w:top w:w="0" w:type="dxa"/>
            <w:left w:w="0" w:type="dxa"/>
            <w:bottom w:w="0" w:type="dxa"/>
            <w:right w:w="0" w:type="dxa"/>
          </w:tblCellMar>
        </w:tblPrEx>
        <w:trPr>
          <w:trHeight w:val="780" w:hRule="atLeast"/>
        </w:trPr>
        <w:tc>
          <w:tcPr>
            <w:tcW w:w="10100" w:type="dxa"/>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32"/>
                <w:szCs w:val="32"/>
                <w:highlight w:val="none"/>
              </w:rPr>
            </w:pPr>
            <w:r>
              <w:rPr>
                <w:rFonts w:hint="eastAsia" w:ascii="宋体"/>
                <w:b/>
                <w:bCs/>
                <w:color w:val="auto"/>
                <w:sz w:val="24"/>
                <w:szCs w:val="24"/>
                <w:highlight w:val="none"/>
              </w:rPr>
              <w:t>1、</w:t>
            </w:r>
            <w:r>
              <w:rPr>
                <w:rFonts w:hint="eastAsia" w:ascii="宋体" w:cs="宋体"/>
                <w:b/>
                <w:bCs/>
                <w:color w:val="auto"/>
                <w:kern w:val="0"/>
                <w:sz w:val="24"/>
                <w:szCs w:val="24"/>
                <w:highlight w:val="none"/>
              </w:rPr>
              <w:t>固定合同总价汇总表</w:t>
            </w:r>
          </w:p>
        </w:tc>
      </w:tr>
      <w:tr>
        <w:tblPrEx>
          <w:tblCellMar>
            <w:top w:w="0" w:type="dxa"/>
            <w:left w:w="0" w:type="dxa"/>
            <w:bottom w:w="0" w:type="dxa"/>
            <w:right w:w="0" w:type="dxa"/>
          </w:tblCellMar>
        </w:tblPrEx>
        <w:trPr>
          <w:trHeight w:val="720" w:hRule="atLeast"/>
        </w:trPr>
        <w:tc>
          <w:tcPr>
            <w:tcW w:w="59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序号</w:t>
            </w:r>
          </w:p>
        </w:tc>
        <w:tc>
          <w:tcPr>
            <w:tcW w:w="459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项目名称</w:t>
            </w:r>
          </w:p>
        </w:tc>
        <w:tc>
          <w:tcPr>
            <w:tcW w:w="183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金额（元）</w:t>
            </w:r>
          </w:p>
        </w:tc>
        <w:tc>
          <w:tcPr>
            <w:tcW w:w="3075"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备注</w:t>
            </w:r>
          </w:p>
        </w:tc>
      </w:tr>
      <w:tr>
        <w:tblPrEx>
          <w:tblCellMar>
            <w:top w:w="0" w:type="dxa"/>
            <w:left w:w="0" w:type="dxa"/>
            <w:bottom w:w="0" w:type="dxa"/>
            <w:right w:w="0" w:type="dxa"/>
          </w:tblCellMar>
        </w:tblPrEx>
        <w:trPr>
          <w:trHeight w:val="960" w:hRule="atLeast"/>
        </w:trPr>
        <w:tc>
          <w:tcPr>
            <w:tcW w:w="59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4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装饰装修工程</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230194.22 </w:t>
            </w:r>
          </w:p>
        </w:tc>
        <w:tc>
          <w:tcPr>
            <w:tcW w:w="3075" w:type="dxa"/>
            <w:vMerge w:val="restar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详见后附表，不管是否有缺项、漏项，均视为乙方已综合考虑在固定合同总价内。</w:t>
            </w:r>
          </w:p>
        </w:tc>
      </w:tr>
      <w:tr>
        <w:tblPrEx>
          <w:tblCellMar>
            <w:top w:w="0" w:type="dxa"/>
            <w:left w:w="0" w:type="dxa"/>
            <w:bottom w:w="0" w:type="dxa"/>
            <w:right w:w="0" w:type="dxa"/>
          </w:tblCellMar>
        </w:tblPrEx>
        <w:trPr>
          <w:trHeight w:val="780" w:hRule="atLeast"/>
        </w:trPr>
        <w:tc>
          <w:tcPr>
            <w:tcW w:w="59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4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安装工程</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39805.79 </w:t>
            </w:r>
          </w:p>
        </w:tc>
        <w:tc>
          <w:tcPr>
            <w:tcW w:w="3075" w:type="dxa"/>
            <w:vMerge w:val="continue"/>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24"/>
                <w:szCs w:val="24"/>
                <w:highlight w:val="none"/>
              </w:rPr>
            </w:pPr>
          </w:p>
        </w:tc>
      </w:tr>
      <w:tr>
        <w:tblPrEx>
          <w:tblCellMar>
            <w:top w:w="0" w:type="dxa"/>
            <w:left w:w="0" w:type="dxa"/>
            <w:bottom w:w="0" w:type="dxa"/>
            <w:right w:w="0" w:type="dxa"/>
          </w:tblCellMar>
        </w:tblPrEx>
        <w:trPr>
          <w:trHeight w:val="1100" w:hRule="atLeast"/>
        </w:trPr>
        <w:tc>
          <w:tcPr>
            <w:tcW w:w="59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459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合计（元）</w:t>
            </w:r>
          </w:p>
        </w:tc>
        <w:tc>
          <w:tcPr>
            <w:tcW w:w="1837"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270000 </w:t>
            </w:r>
          </w:p>
        </w:tc>
        <w:tc>
          <w:tcPr>
            <w:tcW w:w="3075" w:type="dxa"/>
            <w:vMerge w:val="continue"/>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24"/>
                <w:szCs w:val="24"/>
                <w:highlight w:val="none"/>
              </w:rPr>
            </w:pPr>
          </w:p>
        </w:tc>
      </w:tr>
    </w:tbl>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tbl>
      <w:tblPr>
        <w:tblStyle w:val="46"/>
        <w:tblW w:w="10545" w:type="dxa"/>
        <w:tblInd w:w="0" w:type="dxa"/>
        <w:tblLayout w:type="autofit"/>
        <w:tblCellMar>
          <w:top w:w="0" w:type="dxa"/>
          <w:left w:w="0" w:type="dxa"/>
          <w:bottom w:w="0" w:type="dxa"/>
          <w:right w:w="0" w:type="dxa"/>
        </w:tblCellMar>
      </w:tblPr>
      <w:tblGrid>
        <w:gridCol w:w="570"/>
        <w:gridCol w:w="160"/>
        <w:gridCol w:w="788"/>
        <w:gridCol w:w="130"/>
        <w:gridCol w:w="2852"/>
        <w:gridCol w:w="247"/>
        <w:gridCol w:w="443"/>
        <w:gridCol w:w="144"/>
        <w:gridCol w:w="586"/>
        <w:gridCol w:w="80"/>
        <w:gridCol w:w="866"/>
        <w:gridCol w:w="334"/>
        <w:gridCol w:w="929"/>
        <w:gridCol w:w="616"/>
        <w:gridCol w:w="37"/>
        <w:gridCol w:w="848"/>
        <w:gridCol w:w="432"/>
        <w:gridCol w:w="483"/>
      </w:tblGrid>
      <w:tr>
        <w:tblPrEx>
          <w:tblCellMar>
            <w:top w:w="0" w:type="dxa"/>
            <w:left w:w="0" w:type="dxa"/>
            <w:bottom w:w="0" w:type="dxa"/>
            <w:right w:w="0" w:type="dxa"/>
          </w:tblCellMar>
        </w:tblPrEx>
        <w:trPr>
          <w:trHeight w:val="840" w:hRule="atLeast"/>
        </w:trPr>
        <w:tc>
          <w:tcPr>
            <w:tcW w:w="10545" w:type="dxa"/>
            <w:gridSpan w:val="1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32"/>
                <w:szCs w:val="32"/>
                <w:highlight w:val="none"/>
              </w:rPr>
            </w:pPr>
            <w:r>
              <w:rPr>
                <w:rFonts w:hint="eastAsia" w:ascii="宋体"/>
                <w:b/>
                <w:color w:val="auto"/>
                <w:sz w:val="24"/>
                <w:szCs w:val="24"/>
                <w:highlight w:val="none"/>
              </w:rPr>
              <w:t>2、装饰装修工程量清单</w:t>
            </w:r>
          </w:p>
        </w:tc>
      </w:tr>
      <w:tr>
        <w:tblPrEx>
          <w:tblCellMar>
            <w:top w:w="0" w:type="dxa"/>
            <w:left w:w="0" w:type="dxa"/>
            <w:bottom w:w="0" w:type="dxa"/>
            <w:right w:w="0" w:type="dxa"/>
          </w:tblCellMar>
        </w:tblPrEx>
        <w:trPr>
          <w:trHeight w:val="285" w:hRule="atLeast"/>
        </w:trPr>
        <w:tc>
          <w:tcPr>
            <w:tcW w:w="73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序号</w:t>
            </w:r>
          </w:p>
        </w:tc>
        <w:tc>
          <w:tcPr>
            <w:tcW w:w="91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项目名称</w:t>
            </w:r>
          </w:p>
        </w:tc>
        <w:tc>
          <w:tcPr>
            <w:tcW w:w="2852"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项目特征</w:t>
            </w:r>
          </w:p>
        </w:tc>
        <w:tc>
          <w:tcPr>
            <w:tcW w:w="69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计量单位</w:t>
            </w:r>
          </w:p>
        </w:tc>
        <w:tc>
          <w:tcPr>
            <w:tcW w:w="81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工程量</w:t>
            </w:r>
          </w:p>
        </w:tc>
        <w:tc>
          <w:tcPr>
            <w:tcW w:w="3630" w:type="dxa"/>
            <w:gridSpan w:val="6"/>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金额（元）</w:t>
            </w:r>
          </w:p>
        </w:tc>
        <w:tc>
          <w:tcPr>
            <w:tcW w:w="915" w:type="dxa"/>
            <w:gridSpan w:val="2"/>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备注</w:t>
            </w:r>
          </w:p>
        </w:tc>
      </w:tr>
      <w:tr>
        <w:tblPrEx>
          <w:tblCellMar>
            <w:top w:w="0" w:type="dxa"/>
            <w:left w:w="0" w:type="dxa"/>
            <w:bottom w:w="0" w:type="dxa"/>
            <w:right w:w="0" w:type="dxa"/>
          </w:tblCellMar>
        </w:tblPrEx>
        <w:trPr>
          <w:trHeight w:val="450" w:hRule="atLeast"/>
        </w:trPr>
        <w:tc>
          <w:tcPr>
            <w:tcW w:w="73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285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9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1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综合单价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合价</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其中：</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暂估价</w:t>
            </w: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品牌</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9#物业用房</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color w:val="auto"/>
                <w:sz w:val="20"/>
                <w:szCs w:val="20"/>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color w:val="auto"/>
                <w:sz w:val="20"/>
                <w:szCs w:val="20"/>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color w:val="auto"/>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一、墙体改造</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67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墙体拆除</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1.砌体墙拆除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2.包含垃圾清运等费用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0.22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176.00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拆除原有止水带、水平系梁</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1.止水带、水平系梁等圈梁构件混凝土拆除</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2.部位：结合平面图与现场</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3.包含垃圾清运等费用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0.03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67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圈梁</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1.止水带、水平系梁等圈梁构件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2.包含混凝土模板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0.01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新建加气块墙体</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1.砌体种类：新建100厚、120厚加气块墙体到顶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2.砌筑砂浆：M5水泥砂浆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4.含水泥砂浆抹灰层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1530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1606.50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新建加气块墙体</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1.砌体种类：新建200厚加气块墙体到顶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2.砌筑砂浆：M5水泥砂浆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4.含水泥砂浆抹灰层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1350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9139.50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过梁</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1.C25混凝土过梁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2.包含混凝土模板、钢筋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0.02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78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双层玻璃夹百叶帘隔断</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1.80宽双层玻璃夹百叶帘隔断</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17.83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510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9093.30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定制成品</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二、门窗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钢化玻璃门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1.10mm厚钢化玻璃门BLM0921</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2.含地弹簧、五金配件、把手、带锁等五金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3.78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420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1587.60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定制成品</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成品木质门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1.成品木质门M0821、M0921，含门套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9.03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480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4334.40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润朴</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玻璃门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1.不锈钢包边，玻璃双开门M1524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2.含地弹簧、五金配件、把手、带锁等五金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7.20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550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3960.00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洛玻</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铝合金推拉门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1.铝合金推拉门TLM1423</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3.22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420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1352.40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定制成品</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三、装饰</w:t>
            </w:r>
          </w:p>
        </w:tc>
        <w:tc>
          <w:tcPr>
            <w:tcW w:w="1200"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1.接待区、敞开办公区、前台区域</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52.05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7945.95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0.30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46.20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38.74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767.05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87.10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2926.56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42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石膏板吊顶</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1、面层种类：腻子批刮两遍、打磨，白色乳胶漆饰面两遍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2、基层种类：双层9.5mm厚石膏板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3、龙骨种类：38系列轻钢龙骨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4、含工艺缝、开灯孔、检修口、窗帘盒等费用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5、工程量为水平投影面积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21.56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3363.36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泰山卡梅龙</w:t>
            </w:r>
          </w:p>
        </w:tc>
      </w:tr>
      <w:tr>
        <w:tblPrEx>
          <w:tblCellMar>
            <w:top w:w="0" w:type="dxa"/>
            <w:left w:w="0" w:type="dxa"/>
            <w:bottom w:w="0" w:type="dxa"/>
            <w:right w:w="0" w:type="dxa"/>
          </w:tblCellMar>
        </w:tblPrEx>
        <w:trPr>
          <w:trHeight w:val="202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1.6</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石膏板吊顶</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1、面层种类：腻子批刮两遍、打磨，白色乳胶漆饰面两遍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2、基层种类：双层9.5mm厚石膏板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3、龙骨种类：38系列轻钢龙骨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4、含工艺缝、开灯孔、检修口、窗帘盒、跌级吊顶等费用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5、工程量为水平投影面积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30.60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186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5691.60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泰山卡梅龙</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2.档案室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22.86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3489.81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0.18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27.72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21.30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421.74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51.49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1730.06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0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石膏板吊顶</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1、面层种类：腻子批刮两遍、打磨，白色乳胶漆饰面两遍</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2、基层种类：双层9.5mm厚石膏板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3、龙骨种类：38系列轻钢龙骨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4、含工艺缝、开灯孔、检修口、窗帘盒等费用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5、工程量为水平投影面积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7.包含与之相关的一切费用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22.68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3538.08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泰山卡梅龙</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3.资料室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4.53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691.55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0.10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158.40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22.21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746.26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5.10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171.36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4.水吧台、公共区域</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30.44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4646.97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0.30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46.20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21.30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421.74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62.10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2086.56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30.67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1030.51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5.值班休息室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8.84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1349.51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0.18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27.72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11.10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219.78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26.07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875.95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8.85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297.36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6.主管办公室、多人办公室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41.00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6259.06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26.29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520.54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71.17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2391.31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46.73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1570.13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7.卫生间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1.面层种类：300*300防滑地砖铺贴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4.含卫生间蹲便器地台基础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8.23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1193.35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30.80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块料墙面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1.面层种类：300*600墙砖</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38.88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5754.24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铝扣板吊顶</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1.铝扣板吊顶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2.配套轻钢龙骨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8.23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1218.04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宇诚</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8.阳台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403.02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43.12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88.70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9.飘窗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622.85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0.85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28.56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3.14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105.50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375" w:hRule="atLeast"/>
        </w:trPr>
        <w:tc>
          <w:tcPr>
            <w:tcW w:w="4500"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小计（元）</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color w:val="auto"/>
                <w:sz w:val="28"/>
                <w:szCs w:val="28"/>
                <w:highlight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color w:val="auto"/>
                <w:sz w:val="28"/>
                <w:szCs w:val="28"/>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color w:val="auto"/>
                <w:sz w:val="28"/>
                <w:szCs w:val="2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 xml:space="preserve">94254.35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color w:val="auto"/>
                <w:sz w:val="28"/>
                <w:szCs w:val="2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10#物业用房</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color w:val="auto"/>
                <w:sz w:val="20"/>
                <w:szCs w:val="20"/>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color w:val="auto"/>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一、墙体改造</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新建加气块墙体</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1.砌体种类：新建100厚加气块墙体到顶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2.砌筑砂浆：M5水泥砂浆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4.含水泥砂浆抹灰层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1530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2861.10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新建加气块墙体</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1.砌体种类：新建200厚加气块墙体到顶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2.砌筑砂浆：M5水泥砂浆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4.含水泥砂浆抹灰层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1350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2160.00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67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圈梁</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1.止水带、水平系梁等圈梁构件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2.包含混凝土模板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0.07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56.00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过梁</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1.C25混凝土过梁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2.包含混凝土模板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3.包含钢筋</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m3</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0.02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二、门窗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成品木质门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1.成品木质门M0821、M0921，含门套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10.92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480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5241.60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润朴</w:t>
            </w: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玻璃门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1.不锈钢包边，玻璃双开门M1524、M1221</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2.含地弹簧、五金配件、把手、带锁等五金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13.32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550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7326.00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洛玻</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铝合金推拉门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1.铝合金推拉门TLM1423、TLM2423</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17.48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420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7341.60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定制成品</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防火门</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1.乙级防火门FM乙1123</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2.含五金配件、把手、带锁等五金</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3.满足施工规范及设计图纸要求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2.53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458.69</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1160.49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星高</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三、装饰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1.首层</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1.公共区域</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132.90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20288.51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0.60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92.40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96.76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1915.85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259.53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8720.21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155.89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5237.90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2.卫生间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1.面层种类：300*300防滑地砖铺贴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4.含卫生间蹲便器地台基础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5.92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858.40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30.80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块料墙面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1.面层种类：300*600墙砖</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30.90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4573.20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铝扣板吊顶</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1.铝扣板吊顶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2.配套轻钢龙骨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5.92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876.16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宇诚</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3.楼梯间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4.部位：首层楼梯地面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28.53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4355.39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楼梯块料地面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1.面层种类：带防滑槽瓷砖踏步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4.部位：楼梯梯段、休息平台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21.13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3254.02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0.54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83.16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4.部位：首层楼梯楼地面处</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27.29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540.34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4.部位：楼梯梯段、休息平台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22.37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442.93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1.3.6</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80.05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2689.68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1.3.7</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3.部位：梯段、休息平台天棚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27.47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922.99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4.飘窗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622.85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0.85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28.56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3.13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105.17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5.阳台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2.40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366.38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43.12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2.40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80.64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2.二层</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1.公共区域</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62.96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9611.47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0.47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72.38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48.97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969.61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130.40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4381.44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73.66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2474.98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2.员工值班宿舍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42.91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6550.64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0.36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55.44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38.89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770.02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106.45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3576.72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43.48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1460.93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3.洗漱间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2.3.1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19.86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3031.83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2.3.2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18.54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367.09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2.3.3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55.45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1863.12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2.3.4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23.39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785.90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4.厨房</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4.76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726.66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30.80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6.70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132.66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20.86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700.90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5.22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175.39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5.卫生间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135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2.5.1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1.面层种类：300*300防滑地砖铺贴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4.含卫生间蹲便器地台基础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5.92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858.40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2.5.2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30.80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2.5.3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块料墙面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1.面层种类：300*600墙砖</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32.14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4756.72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2.5.4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铝扣板吊顶</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1.铝扣板吊顶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2.配套轻钢龙骨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5.92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876.16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宇诚</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6.阳台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2.6.1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1.面层种类：600*600防滑地砖铺贴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2.水泥砂浆结合层、防水层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2407.45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2.6.2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0.76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117.04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2.6.3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529.87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7.楼梯间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158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2.7.1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4.部位：楼梯楼层平台地面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1334.25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2.7.2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过门石</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1.面层种类：深色地砖过门石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0.24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36.96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122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2.7.3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踢脚线</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1.面层种类：80mm高地砖踢脚线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2.包含结合层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11.31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223.94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2.7.4</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80.77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2713.87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2.7.5</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3.部位：楼层平台</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8.74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293.66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2.7.6</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3.部位：楼梯间天棚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29.00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974.40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285" w:hRule="atLeast"/>
        </w:trPr>
        <w:tc>
          <w:tcPr>
            <w:tcW w:w="6000" w:type="dxa"/>
            <w:gridSpan w:val="1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8.飘窗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18"/>
                <w:szCs w:val="18"/>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11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2.8.1</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块料地面</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1.面层种类：600*600地砖铺贴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2.水泥砂浆结合层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3.清理施工表面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152.66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622.85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佛山雅美韵</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2.8.2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墙面乳胶漆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1.面层种类：白色乳胶漆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2.腻子找平层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0.85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28.56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90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2.8.3</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天棚乳胶漆</w:t>
            </w:r>
          </w:p>
        </w:tc>
        <w:tc>
          <w:tcPr>
            <w:tcW w:w="2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1.原顶刷白色乳胶漆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2.腻子批刮两遍、打磨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m2</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3.14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33.6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105.50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三棵树</w:t>
            </w:r>
          </w:p>
        </w:tc>
      </w:tr>
      <w:tr>
        <w:tblPrEx>
          <w:tblCellMar>
            <w:top w:w="0" w:type="dxa"/>
            <w:left w:w="0" w:type="dxa"/>
            <w:bottom w:w="0" w:type="dxa"/>
            <w:right w:w="0" w:type="dxa"/>
          </w:tblCellMar>
        </w:tblPrEx>
        <w:trPr>
          <w:trHeight w:val="375" w:hRule="atLeast"/>
        </w:trPr>
        <w:tc>
          <w:tcPr>
            <w:tcW w:w="4500"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小计（元）</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135939.87</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375" w:hRule="atLeast"/>
        </w:trPr>
        <w:tc>
          <w:tcPr>
            <w:tcW w:w="4500"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合计（元）</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230194.22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auto"/>
                <w:sz w:val="24"/>
                <w:szCs w:val="24"/>
                <w:highlight w:val="none"/>
              </w:rPr>
            </w:pPr>
          </w:p>
        </w:tc>
        <w:tc>
          <w:tcPr>
            <w:tcW w:w="915"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cs="宋体"/>
                <w:color w:val="auto"/>
                <w:sz w:val="18"/>
                <w:szCs w:val="18"/>
                <w:highlight w:val="none"/>
              </w:rPr>
            </w:pPr>
          </w:p>
        </w:tc>
      </w:tr>
      <w:tr>
        <w:tblPrEx>
          <w:tblCellMar>
            <w:top w:w="0" w:type="dxa"/>
            <w:left w:w="0" w:type="dxa"/>
            <w:bottom w:w="0" w:type="dxa"/>
            <w:right w:w="0" w:type="dxa"/>
          </w:tblCellMar>
        </w:tblPrEx>
        <w:trPr>
          <w:trHeight w:val="1340" w:hRule="atLeast"/>
        </w:trPr>
        <w:tc>
          <w:tcPr>
            <w:tcW w:w="10545" w:type="dxa"/>
            <w:gridSpan w:val="1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注：1.综合单价中包含：人工费、材料费、机械费、措施费、安全文明施工费、扬尘治理增加费、疫情增加费、规费、管理费、利润、税金(增值税专用发票)、风险、材料检测检验费等一切与之相关全部费用。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r>
        <w:tblPrEx>
          <w:tblCellMar>
            <w:top w:w="0" w:type="dxa"/>
            <w:left w:w="0" w:type="dxa"/>
            <w:bottom w:w="0" w:type="dxa"/>
            <w:right w:w="0" w:type="dxa"/>
          </w:tblCellMar>
        </w:tblPrEx>
        <w:trPr>
          <w:gridAfter w:val="1"/>
          <w:wAfter w:w="483" w:type="dxa"/>
          <w:trHeight w:val="1060" w:hRule="atLeast"/>
        </w:trPr>
        <w:tc>
          <w:tcPr>
            <w:tcW w:w="10062" w:type="dxa"/>
            <w:gridSpan w:val="17"/>
            <w:tcBorders>
              <w:top w:val="nil"/>
              <w:left w:val="nil"/>
              <w:bottom w:val="nil"/>
              <w:right w:val="nil"/>
            </w:tcBorders>
            <w:shd w:val="clear" w:color="auto" w:fill="auto"/>
            <w:tcMar>
              <w:top w:w="15" w:type="dxa"/>
              <w:left w:w="15" w:type="dxa"/>
              <w:right w:w="15" w:type="dxa"/>
            </w:tcMar>
            <w:vAlign w:val="center"/>
          </w:tcPr>
          <w:p>
            <w:pPr>
              <w:autoSpaceDN w:val="0"/>
              <w:spacing w:line="360" w:lineRule="auto"/>
              <w:jc w:val="center"/>
              <w:rPr>
                <w:rFonts w:ascii="宋体" w:hAnsi="宋体" w:cs="宋体"/>
                <w:b/>
                <w:color w:val="auto"/>
                <w:sz w:val="32"/>
                <w:szCs w:val="32"/>
                <w:highlight w:val="none"/>
              </w:rPr>
            </w:pPr>
            <w:r>
              <w:rPr>
                <w:rFonts w:hint="eastAsia" w:ascii="宋体"/>
                <w:b/>
                <w:bCs/>
                <w:color w:val="auto"/>
                <w:sz w:val="24"/>
                <w:szCs w:val="24"/>
                <w:highlight w:val="none"/>
              </w:rPr>
              <w:t>3、安装工程量清单</w:t>
            </w:r>
          </w:p>
        </w:tc>
      </w:tr>
      <w:tr>
        <w:tblPrEx>
          <w:tblCellMar>
            <w:top w:w="0" w:type="dxa"/>
            <w:left w:w="0" w:type="dxa"/>
            <w:bottom w:w="0" w:type="dxa"/>
            <w:right w:w="0" w:type="dxa"/>
          </w:tblCellMar>
        </w:tblPrEx>
        <w:trPr>
          <w:gridAfter w:val="1"/>
          <w:wAfter w:w="483" w:type="dxa"/>
          <w:trHeight w:val="312" w:hRule="atLeast"/>
        </w:trPr>
        <w:tc>
          <w:tcPr>
            <w:tcW w:w="570"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序号</w:t>
            </w:r>
          </w:p>
        </w:tc>
        <w:tc>
          <w:tcPr>
            <w:tcW w:w="94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项目名称</w:t>
            </w:r>
          </w:p>
        </w:tc>
        <w:tc>
          <w:tcPr>
            <w:tcW w:w="3229" w:type="dxa"/>
            <w:gridSpan w:val="3"/>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项目特征描述</w:t>
            </w:r>
          </w:p>
        </w:tc>
        <w:tc>
          <w:tcPr>
            <w:tcW w:w="587"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计量单位</w:t>
            </w:r>
          </w:p>
        </w:tc>
        <w:tc>
          <w:tcPr>
            <w:tcW w:w="586"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工程量</w:t>
            </w:r>
          </w:p>
        </w:tc>
        <w:tc>
          <w:tcPr>
            <w:tcW w:w="94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含税单价（元）</w:t>
            </w:r>
          </w:p>
        </w:tc>
        <w:tc>
          <w:tcPr>
            <w:tcW w:w="126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6"/>
                <w:szCs w:val="16"/>
                <w:highlight w:val="none"/>
              </w:rPr>
            </w:pPr>
            <w:r>
              <w:rPr>
                <w:rFonts w:hint="eastAsia" w:ascii="宋体" w:hAnsi="宋体" w:cs="宋体"/>
                <w:b/>
                <w:color w:val="auto"/>
                <w:kern w:val="0"/>
                <w:sz w:val="16"/>
                <w:szCs w:val="16"/>
                <w:highlight w:val="none"/>
              </w:rPr>
              <w:t>合价（元）</w:t>
            </w:r>
          </w:p>
        </w:tc>
        <w:tc>
          <w:tcPr>
            <w:tcW w:w="65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6"/>
                <w:szCs w:val="16"/>
                <w:highlight w:val="none"/>
              </w:rPr>
            </w:pPr>
            <w:r>
              <w:rPr>
                <w:rFonts w:hint="eastAsia" w:ascii="宋体" w:hAnsi="宋体" w:cs="宋体"/>
                <w:b/>
                <w:color w:val="auto"/>
                <w:kern w:val="0"/>
                <w:sz w:val="16"/>
                <w:szCs w:val="16"/>
                <w:highlight w:val="none"/>
              </w:rPr>
              <w:t>备注</w:t>
            </w:r>
          </w:p>
        </w:tc>
        <w:tc>
          <w:tcPr>
            <w:tcW w:w="1280" w:type="dxa"/>
            <w:gridSpan w:val="2"/>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6"/>
                <w:szCs w:val="16"/>
                <w:highlight w:val="none"/>
              </w:rPr>
            </w:pPr>
            <w:r>
              <w:rPr>
                <w:rFonts w:hint="eastAsia" w:ascii="宋体" w:hAnsi="宋体" w:cs="宋体"/>
                <w:b/>
                <w:color w:val="auto"/>
                <w:kern w:val="0"/>
                <w:sz w:val="16"/>
                <w:szCs w:val="16"/>
                <w:highlight w:val="none"/>
              </w:rPr>
              <w:t>主材品牌</w:t>
            </w:r>
          </w:p>
        </w:tc>
      </w:tr>
      <w:tr>
        <w:tblPrEx>
          <w:tblCellMar>
            <w:top w:w="0" w:type="dxa"/>
            <w:left w:w="0" w:type="dxa"/>
            <w:bottom w:w="0" w:type="dxa"/>
            <w:right w:w="0" w:type="dxa"/>
          </w:tblCellMar>
        </w:tblPrEx>
        <w:trPr>
          <w:gridAfter w:val="1"/>
          <w:wAfter w:w="483" w:type="dxa"/>
          <w:trHeight w:val="312" w:hRule="atLeast"/>
        </w:trPr>
        <w:tc>
          <w:tcPr>
            <w:tcW w:w="570"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8"/>
                <w:szCs w:val="18"/>
                <w:highlight w:val="none"/>
              </w:rPr>
            </w:pPr>
          </w:p>
        </w:tc>
        <w:tc>
          <w:tcPr>
            <w:tcW w:w="94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8"/>
                <w:szCs w:val="18"/>
                <w:highlight w:val="none"/>
              </w:rPr>
            </w:pPr>
          </w:p>
        </w:tc>
        <w:tc>
          <w:tcPr>
            <w:tcW w:w="3229"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8"/>
                <w:szCs w:val="18"/>
                <w:highlight w:val="none"/>
              </w:rPr>
            </w:pPr>
          </w:p>
        </w:tc>
        <w:tc>
          <w:tcPr>
            <w:tcW w:w="587"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8"/>
                <w:szCs w:val="18"/>
                <w:highlight w:val="none"/>
              </w:rPr>
            </w:pPr>
          </w:p>
        </w:tc>
        <w:tc>
          <w:tcPr>
            <w:tcW w:w="586"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8"/>
                <w:szCs w:val="18"/>
                <w:highlight w:val="none"/>
              </w:rPr>
            </w:pPr>
          </w:p>
        </w:tc>
        <w:tc>
          <w:tcPr>
            <w:tcW w:w="94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8"/>
                <w:szCs w:val="18"/>
                <w:highlight w:val="none"/>
              </w:rPr>
            </w:pPr>
          </w:p>
        </w:tc>
        <w:tc>
          <w:tcPr>
            <w:tcW w:w="126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6"/>
                <w:szCs w:val="16"/>
                <w:highlight w:val="none"/>
              </w:rPr>
            </w:pPr>
          </w:p>
        </w:tc>
        <w:tc>
          <w:tcPr>
            <w:tcW w:w="65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auto"/>
                <w:sz w:val="16"/>
                <w:szCs w:val="16"/>
                <w:highlight w:val="none"/>
              </w:rPr>
            </w:pPr>
          </w:p>
        </w:tc>
        <w:tc>
          <w:tcPr>
            <w:tcW w:w="1280"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b/>
                <w:color w:val="auto"/>
                <w:sz w:val="16"/>
                <w:szCs w:val="16"/>
                <w:highlight w:val="none"/>
              </w:rPr>
            </w:pP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一</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9#物业用房</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4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（一）</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电气工程</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1.三孔插座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16A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3.暗装,空调洞上方0.1M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68.20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1.单相五孔安全插座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3.暗装,2.5M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1773.17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1.单联开关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20.13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281.82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1.双联开关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20.49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163.92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1.三联开关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26.90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107.60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1.300*300_LED集成灯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98.40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590.40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1.36W_吸顶灯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1800.00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1.10W_吸顶灯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120.00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480.00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1.12W_4000K_LED筒灯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98</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10780.00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10</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1.7W_4000K_LED射灯(COB光源)</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76.00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608.00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1.300*300_排风扇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106.00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424.00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1.壁装应急灯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76.00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1064.00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1.电线管 PC20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2.敷设；埋地敷设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3.含接线盒、开关盒暗装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66</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6.36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419.75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1.电线管 PC16</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2.敷设；沿墙或吊顶内敷设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3.含接线盒、开关盒暗装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57</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341.99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电气配线</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1.型号:WDZ-BYJ-4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2.敷设方式：管内配线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3.具体做法详见图纸设计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198</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7.48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1481.81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洛阳二缆或郑州三厂</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16</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电气配线</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1.型号:WDZ-BYJ-2.5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2.敷设方式：管内配线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3.具体做法详见图纸设计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171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5.79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990.42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洛阳二缆或郑州三厂</w:t>
            </w: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21375.09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4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弱电工程</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网络插座</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1.双口网络插座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588.00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1.电线管 PC20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2.敷设；沿地敷设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3.含接线盒、开关盒暗装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66.92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6.36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425.60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电气配线</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1.型号:UTPCAT5e</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2.敷设方式：管内配线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66.92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3.96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265.00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洛阳二缆或郑州三厂</w:t>
            </w: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1278.60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4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给排水工程</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给水管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 PP-R给水管 De25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2.含角阀、配件、管帽、堵头及其他相关配件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3.管道试压,消毒、冲洗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12.32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15.50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190.96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给水管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 PP-R给水管 De20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2.含角阀、配件、管帽、堵头及其他相关配件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3.管道试压,消毒、冲洗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5.包含与之相关的一切费用3</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1.7</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13.40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22.78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蹲便器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1.蹲便器，不含基础施工。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3.包含角阀等配件及与之相关的一切费用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460.00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1840.00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蓝健或贝特</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地漏DN50</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1.地漏DN50安装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68.00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408.00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潜水艇</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洁面盆</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1.柱式洗脸盆（含水龙头）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3.包含角阀等配件及与之相关的一切费用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1600.00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高帝</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拖布池</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1.拖布池（含水龙头）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3.包含角阀等配件及与之相关的一切费用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120.00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240.00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蓝健或贝特</w:t>
            </w: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4301.74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9#物业用房小计（元）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26955.43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10#物业用房</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4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（一）</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电气工程</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1.三孔插座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16A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3.暗装,空调洞上方0.1M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1.单相五孔安全插座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3.暗装,2.5M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511.50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1.三孔安全插座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 防护等级:IP54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冰箱插座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3.暗装,0.3M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1.五孔安全插座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 防护等级:IP54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燃气热水器插座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3.暗装,1.4M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1.三孔插座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 防护等级:IP54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抽油烟机插座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3.暗装,2.2M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34.10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1.单联开关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2.功率：~250V 10A</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20.13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140.91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1.300*300_LED集成灯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98.40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393.60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1.36W_吸顶灯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1980.00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1.10W_吸顶灯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18</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2340.00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10</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1.300*300_排风扇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106.00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318.00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小电器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1.壁装应急灯</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76.00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1140.00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欧普</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1.电线管 PC20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2.敷设；埋地敷设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3.含接线盒、开关盒暗装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6.36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139.92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电气配线</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1.型号:WDZ-BYJ-4</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2.敷设方式：管内配线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3.具体做法详见图纸设计</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66</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7.48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493.68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洛阳二缆或郑州三厂</w:t>
            </w: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7594.01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4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弱电工程</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67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网络插座</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1.双口网络插座</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504.00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西门子</w:t>
            </w:r>
          </w:p>
        </w:tc>
      </w:tr>
      <w:tr>
        <w:tblPrEx>
          <w:tblCellMar>
            <w:top w:w="0" w:type="dxa"/>
            <w:left w:w="0" w:type="dxa"/>
            <w:bottom w:w="0" w:type="dxa"/>
            <w:right w:w="0" w:type="dxa"/>
          </w:tblCellMar>
        </w:tblPrEx>
        <w:trPr>
          <w:gridAfter w:val="1"/>
          <w:wAfter w:w="483" w:type="dxa"/>
          <w:trHeight w:val="112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1.电线管 PC20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2.敷设；沿地敷设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3.含接线盒、开关盒暗装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66.92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6.36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425.60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电气配线</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1.型号:UTPCAT5e</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2.敷设方式：管内配线</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66.92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3.96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265.00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洛阳二缆或郑州三厂</w:t>
            </w: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1194.61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4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（三）</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给排水工程</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给水管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 PP-R给水管 De25</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2.含角阀、配件、管帽、堵头及其他相关配件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3.管道试压,消毒、冲洗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12.32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15.50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190.96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135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给水管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 PP-R给水管 De20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2.含角阀、配件、管帽、堵头及其他相关配件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3.管道试压,消毒、冲洗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5.包含与之相关的一切费用3</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米</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1.7</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13.40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22.78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联塑或金牛</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蹲便器</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1.蹲便器，不含基础施工</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3.包含角阀等配件及与之相关的一切费用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460.00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1840.00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蓝健或贝特</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地漏DN50</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1.地漏DN50安装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4.满足设计、规范、图集相关要求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5.包含与之相关的一切费用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68.00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408.00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潜水艇</w:t>
            </w:r>
          </w:p>
        </w:tc>
      </w:tr>
      <w:tr>
        <w:tblPrEx>
          <w:tblCellMar>
            <w:top w:w="0" w:type="dxa"/>
            <w:left w:w="0" w:type="dxa"/>
            <w:bottom w:w="0" w:type="dxa"/>
            <w:right w:w="0" w:type="dxa"/>
          </w:tblCellMar>
        </w:tblPrEx>
        <w:trPr>
          <w:gridAfter w:val="1"/>
          <w:wAfter w:w="483" w:type="dxa"/>
          <w:trHeight w:val="9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洁面盆</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1.柱式洗脸盆（含水龙头）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2.品牌及型号：详见洁具表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3.包含角阀等配件及与之相关的一切费用</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400.00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1600.00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高帝</w:t>
            </w: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4061.74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28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10#物业用房小计（元）</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12850.36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1020" w:hRule="atLeast"/>
        </w:trPr>
        <w:tc>
          <w:tcPr>
            <w:tcW w:w="5920" w:type="dxa"/>
            <w:gridSpan w:val="9"/>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rPr>
              <w:t>合  计（元）</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8"/>
                <w:szCs w:val="18"/>
                <w:highlight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 xml:space="preserve">39805.79 </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auto"/>
                <w:sz w:val="18"/>
                <w:szCs w:val="18"/>
                <w:highlight w:val="none"/>
              </w:rPr>
            </w:pPr>
          </w:p>
        </w:tc>
        <w:tc>
          <w:tcPr>
            <w:tcW w:w="1280"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rPr>
                <w:rFonts w:ascii="宋体" w:hAnsi="宋体" w:cs="宋体"/>
                <w:color w:val="auto"/>
                <w:sz w:val="18"/>
                <w:szCs w:val="18"/>
                <w:highlight w:val="none"/>
              </w:rPr>
            </w:pPr>
          </w:p>
        </w:tc>
      </w:tr>
      <w:tr>
        <w:tblPrEx>
          <w:tblCellMar>
            <w:top w:w="0" w:type="dxa"/>
            <w:left w:w="0" w:type="dxa"/>
            <w:bottom w:w="0" w:type="dxa"/>
            <w:right w:w="0" w:type="dxa"/>
          </w:tblCellMar>
        </w:tblPrEx>
        <w:trPr>
          <w:gridAfter w:val="1"/>
          <w:wAfter w:w="483" w:type="dxa"/>
          <w:trHeight w:val="1280" w:hRule="atLeast"/>
        </w:trPr>
        <w:tc>
          <w:tcPr>
            <w:tcW w:w="10062" w:type="dxa"/>
            <w:gridSpan w:val="17"/>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注：1.综合单价中包含：人工费、材料费、机械费、措施费、安全文明施工费、扬尘治理增加费、疫情增加费、规费、管理费、利润、税金(增值税专用发票)、风险、材料检测检验费等一切与之相关全部费用。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bl>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pStyle w:val="2"/>
        <w:spacing w:line="360" w:lineRule="auto"/>
        <w:rPr>
          <w:rFonts w:hAnsi="宋体"/>
          <w:color w:val="auto"/>
          <w:szCs w:val="24"/>
          <w:highlight w:val="none"/>
        </w:rPr>
      </w:pP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附件二</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廉政合作协议</w:t>
      </w:r>
    </w:p>
    <w:p>
      <w:pPr>
        <w:spacing w:line="360" w:lineRule="auto"/>
        <w:rPr>
          <w:rFonts w:ascii="宋体" w:hAnsi="宋体" w:cs="宋体"/>
          <w:b/>
          <w:color w:val="auto"/>
          <w:sz w:val="24"/>
          <w:szCs w:val="24"/>
          <w:highlight w:val="none"/>
          <w:u w:val="single"/>
        </w:rPr>
      </w:pPr>
      <w:r>
        <w:rPr>
          <w:rFonts w:hint="eastAsia" w:ascii="宋体" w:hAnsi="宋体" w:cs="宋体"/>
          <w:b/>
          <w:color w:val="auto"/>
          <w:sz w:val="24"/>
          <w:szCs w:val="24"/>
          <w:highlight w:val="none"/>
        </w:rPr>
        <w:t>甲方：</w:t>
      </w:r>
      <w:r>
        <w:rPr>
          <w:rFonts w:hint="eastAsia" w:ascii="宋体" w:hAnsi="宋体"/>
          <w:b/>
          <w:color w:val="auto"/>
          <w:sz w:val="24"/>
          <w:szCs w:val="24"/>
          <w:highlight w:val="none"/>
        </w:rPr>
        <w:t xml:space="preserve">洛阳莘子园置业有限公司 </w:t>
      </w:r>
      <w:r>
        <w:rPr>
          <w:rFonts w:hint="eastAsia" w:ascii="宋体" w:hAnsi="宋体" w:cs="宋体"/>
          <w:b/>
          <w:color w:val="auto"/>
          <w:sz w:val="24"/>
          <w:szCs w:val="24"/>
          <w:highlight w:val="none"/>
        </w:rPr>
        <w:t xml:space="preserve">  </w:t>
      </w:r>
    </w:p>
    <w:p>
      <w:pPr>
        <w:spacing w:line="360" w:lineRule="auto"/>
        <w:rPr>
          <w:rFonts w:ascii="宋体" w:hAnsi="宋体" w:cs="宋体"/>
          <w:color w:val="auto"/>
          <w:sz w:val="24"/>
          <w:szCs w:val="24"/>
          <w:highlight w:val="none"/>
          <w:u w:val="single"/>
        </w:rPr>
      </w:pPr>
      <w:r>
        <w:rPr>
          <w:rFonts w:hint="eastAsia" w:ascii="宋体" w:hAnsi="宋体" w:cs="宋体"/>
          <w:b/>
          <w:color w:val="auto"/>
          <w:sz w:val="24"/>
          <w:szCs w:val="24"/>
          <w:highlight w:val="none"/>
        </w:rPr>
        <w:t>乙方：洛阳坤宏建设集团有限公司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一．甲方责任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1．甲方有责任向乙方介绍本单位有关廉政管理的各项制度和规定。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2．甲方有责任对本单位项目管理人员进行廉政教育。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二．乙方责任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2．乙方不得宴请甲方人员，不得以任何形式赠送实物、现金或礼券。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（1）微信小程序举报（扫描右侧二维码进入程序，举报信息直达董事长）；</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（2）邮箱：</w:t>
      </w:r>
      <w:r>
        <w:rPr>
          <w:color w:val="auto"/>
          <w:highlight w:val="none"/>
        </w:rPr>
        <w:fldChar w:fldCharType="begin"/>
      </w:r>
      <w:r>
        <w:rPr>
          <w:color w:val="auto"/>
          <w:highlight w:val="none"/>
        </w:rPr>
        <w:instrText xml:space="preserve"> HYPERLINK "mailto:hddcfkb@Foxmail.com" </w:instrText>
      </w:r>
      <w:r>
        <w:rPr>
          <w:color w:val="auto"/>
          <w:highlight w:val="none"/>
        </w:rPr>
        <w:fldChar w:fldCharType="separate"/>
      </w:r>
      <w:r>
        <w:rPr>
          <w:rFonts w:hint="eastAsia" w:ascii="宋体" w:hAnsi="宋体"/>
          <w:color w:val="auto"/>
          <w:sz w:val="24"/>
          <w:szCs w:val="24"/>
          <w:highlight w:val="none"/>
        </w:rPr>
        <w:t>hddcfkb@Foxmail.com</w:t>
      </w:r>
      <w:r>
        <w:rPr>
          <w:rFonts w:hint="eastAsia" w:ascii="宋体" w:hAnsi="宋体"/>
          <w:color w:val="auto"/>
          <w:sz w:val="24"/>
          <w:szCs w:val="24"/>
          <w:highlight w:val="none"/>
        </w:rPr>
        <w:fldChar w:fldCharType="end"/>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drawing>
          <wp:anchor distT="0" distB="0" distL="114300" distR="114300" simplePos="0" relativeHeight="251660288" behindDoc="0" locked="0" layoutInCell="1" allowOverlap="1">
            <wp:simplePos x="0" y="0"/>
            <wp:positionH relativeFrom="column">
              <wp:posOffset>3884930</wp:posOffset>
            </wp:positionH>
            <wp:positionV relativeFrom="paragraph">
              <wp:posOffset>6985</wp:posOffset>
            </wp:positionV>
            <wp:extent cx="1047750" cy="1047750"/>
            <wp:effectExtent l="0" t="0" r="0" b="0"/>
            <wp:wrapNone/>
            <wp:docPr id="2"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dc313b898daf07a491037a11ba2c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r>
        <w:rPr>
          <w:rFonts w:hint="eastAsia" w:ascii="宋体" w:hAnsi="宋体"/>
          <w:color w:val="auto"/>
          <w:sz w:val="24"/>
          <w:szCs w:val="24"/>
          <w:highlight w:val="none"/>
        </w:rPr>
        <w:t>（3）电话：集团首席风控官：13903793259；</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（4）电话：集团审计总监：</w:t>
      </w:r>
      <w:r>
        <w:rPr>
          <w:rFonts w:ascii="宋体" w:hAnsi="宋体"/>
          <w:color w:val="auto"/>
          <w:sz w:val="24"/>
          <w:szCs w:val="24"/>
          <w:highlight w:val="none"/>
        </w:rPr>
        <w:t>1</w:t>
      </w:r>
      <w:r>
        <w:rPr>
          <w:rFonts w:hint="eastAsia" w:ascii="宋体" w:hAnsi="宋体"/>
          <w:color w:val="auto"/>
          <w:sz w:val="24"/>
          <w:szCs w:val="24"/>
          <w:highlight w:val="none"/>
        </w:rPr>
        <w:t>8137710188；</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（5）电话：地产风控总监：1</w:t>
      </w:r>
      <w:r>
        <w:rPr>
          <w:rFonts w:ascii="宋体" w:hAnsi="宋体"/>
          <w:color w:val="auto"/>
          <w:sz w:val="24"/>
          <w:szCs w:val="24"/>
          <w:highlight w:val="none"/>
        </w:rPr>
        <w:t>8638357</w:t>
      </w:r>
      <w:r>
        <w:rPr>
          <w:rFonts w:hint="eastAsia" w:ascii="宋体" w:hAnsi="宋体"/>
          <w:color w:val="auto"/>
          <w:sz w:val="24"/>
          <w:szCs w:val="24"/>
          <w:highlight w:val="none"/>
        </w:rPr>
        <w:t>9</w:t>
      </w:r>
      <w:r>
        <w:rPr>
          <w:rFonts w:ascii="宋体" w:hAnsi="宋体"/>
          <w:color w:val="auto"/>
          <w:sz w:val="24"/>
          <w:szCs w:val="24"/>
          <w:highlight w:val="none"/>
        </w:rPr>
        <w:t>73</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（6）电话：地产风控经理：</w:t>
      </w:r>
      <w:r>
        <w:rPr>
          <w:rFonts w:ascii="宋体" w:hAnsi="宋体"/>
          <w:color w:val="auto"/>
          <w:sz w:val="24"/>
          <w:szCs w:val="24"/>
          <w:highlight w:val="none"/>
        </w:rPr>
        <w:t>15670305910</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（7）直接和风控人员约定场所当面举报。</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1.推诿扯皮、有责不负、处事消极、渎职失职、弄虚作假等行为。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3.贪污、受贿、盗窃、欺上瞒下等违法乱纪行为。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4.出卖、泄露公司商业机密等危害公司行为。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5.重大经济活动未按公司制度、流程执行的违规违纪行为。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7.故意涂改公司文件或以公司名义谋私利，损害公司荣誉和利益的行为。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8.私自侵占、挪用公司财物，损坏公司重要设备或资产的行为。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11.其它违反法律或者招标人公司相关制度的行为。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360" w:lineRule="auto"/>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olor w:val="auto"/>
          <w:sz w:val="24"/>
          <w:szCs w:val="24"/>
          <w:highlight w:val="none"/>
        </w:rPr>
        <w:t xml:space="preserve">洛阳莘子园置业有限公司   </w:t>
      </w:r>
      <w:r>
        <w:rPr>
          <w:rFonts w:hint="eastAsia" w:ascii="宋体" w:hAnsi="宋体" w:cs="宋体"/>
          <w:color w:val="auto"/>
          <w:sz w:val="24"/>
          <w:szCs w:val="24"/>
          <w:highlight w:val="none"/>
        </w:rPr>
        <w:t xml:space="preserve">   乙方：洛阳坤宏建设集团有限公司  </w:t>
      </w:r>
    </w:p>
    <w:p>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签署日期：2021年</w:t>
      </w:r>
      <w:r>
        <w:rPr>
          <w:rFonts w:ascii="宋体" w:hAnsi="宋体"/>
          <w:color w:val="auto"/>
          <w:sz w:val="24"/>
          <w:szCs w:val="24"/>
          <w:highlight w:val="none"/>
        </w:rPr>
        <w:t>9</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          签署日期：2021年</w:t>
      </w:r>
      <w:r>
        <w:rPr>
          <w:rFonts w:ascii="宋体" w:hAnsi="宋体"/>
          <w:color w:val="auto"/>
          <w:sz w:val="24"/>
          <w:szCs w:val="24"/>
          <w:highlight w:val="none"/>
        </w:rPr>
        <w:t>9</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s="宋体"/>
          <w:color w:val="auto"/>
          <w:sz w:val="24"/>
          <w:szCs w:val="24"/>
          <w:highlight w:val="none"/>
        </w:rPr>
        <w:t xml:space="preserve">   </w:t>
      </w:r>
    </w:p>
    <w:p>
      <w:pPr>
        <w:spacing w:line="360" w:lineRule="auto"/>
        <w:rPr>
          <w:rFonts w:ascii="宋体" w:hAnsi="宋体" w:cs="宋体"/>
          <w:color w:val="auto"/>
          <w:sz w:val="24"/>
          <w:szCs w:val="24"/>
          <w:highlight w:val="none"/>
        </w:rPr>
      </w:pPr>
    </w:p>
    <w:p>
      <w:pPr>
        <w:pStyle w:val="2"/>
        <w:spacing w:line="360" w:lineRule="auto"/>
        <w:rPr>
          <w:rFonts w:hAnsi="宋体"/>
          <w:color w:val="auto"/>
          <w:szCs w:val="24"/>
          <w:highlight w:val="none"/>
        </w:rPr>
      </w:pPr>
    </w:p>
    <w:p>
      <w:pPr>
        <w:tabs>
          <w:tab w:val="left" w:pos="1080"/>
        </w:tabs>
        <w:autoSpaceDN w:val="0"/>
        <w:adjustRightInd w:val="0"/>
        <w:snapToGrid w:val="0"/>
        <w:spacing w:line="360" w:lineRule="auto"/>
        <w:ind w:firstLine="384" w:firstLineChars="160"/>
        <w:rPr>
          <w:rFonts w:ascii="宋体" w:hAnsi="宋体"/>
          <w:color w:val="auto"/>
          <w:sz w:val="24"/>
          <w:szCs w:val="24"/>
          <w:highlight w:val="none"/>
        </w:rPr>
      </w:pPr>
    </w:p>
    <w:p>
      <w:pPr>
        <w:pStyle w:val="21"/>
        <w:spacing w:line="360" w:lineRule="auto"/>
        <w:rPr>
          <w:color w:val="auto"/>
          <w:highlight w:val="none"/>
        </w:rPr>
      </w:pPr>
    </w:p>
    <w:sectPr>
      <w:headerReference r:id="rId3" w:type="default"/>
      <w:footerReference r:id="rId4" w:type="default"/>
      <w:pgSz w:w="11907" w:h="16840"/>
      <w:pgMar w:top="1247" w:right="1180" w:bottom="1247" w:left="647" w:header="851"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420" w:firstLine="360"/>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w:r>
  </w:p>
  <w:p>
    <w:pPr>
      <w:pStyle w:val="31"/>
      <w:pBdr>
        <w:top w:val="single" w:color="auto" w:sz="4" w:space="1"/>
      </w:pBdr>
      <w:ind w:left="-141" w:leftChars="-67"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hAnsi="Batang"/>
        <w:color w:val="999999"/>
        <w:sz w:val="16"/>
        <w:szCs w:val="16"/>
      </w:rPr>
    </w:pPr>
    <w:r>
      <w:rPr>
        <w:rFonts w:hint="eastAsia"/>
        <w:sz w:val="17"/>
        <w:szCs w:val="17"/>
        <w:u w:val="single"/>
      </w:rPr>
      <w:drawing>
        <wp:inline distT="0" distB="0" distL="0" distR="0">
          <wp:extent cx="1133475" cy="485775"/>
          <wp:effectExtent l="0" t="0" r="0" b="0"/>
          <wp:docPr id="1"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lvl>
    <w:lvl w:ilvl="1" w:tentative="0">
      <w:start w:val="1"/>
      <w:numFmt w:val="decimal"/>
      <w:pStyle w:val="4"/>
      <w:lvlText w:val="%2."/>
      <w:legacy w:legacy="1" w:legacySpace="0" w:legacyIndent="425"/>
      <w:lvlJc w:val="left"/>
      <w:pPr>
        <w:ind w:left="992" w:hanging="425"/>
      </w:pPr>
    </w:lvl>
    <w:lvl w:ilvl="2" w:tentative="0">
      <w:start w:val="1"/>
      <w:numFmt w:val="none"/>
      <w:pStyle w:val="6"/>
      <w:suff w:val="nothing"/>
      <w:lvlText w:val=""/>
      <w:lvlJc w:val="left"/>
      <w:pPr>
        <w:tabs>
          <w:tab w:val="left" w:pos="0"/>
        </w:tabs>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abstractNum w:abstractNumId="1">
    <w:nsid w:val="DB40C5FA"/>
    <w:multiLevelType w:val="singleLevel"/>
    <w:tmpl w:val="DB40C5FA"/>
    <w:lvl w:ilvl="0" w:tentative="0">
      <w:start w:val="1"/>
      <w:numFmt w:val="decimal"/>
      <w:suff w:val="nothing"/>
      <w:lvlText w:val="（%1）"/>
      <w:lvlJc w:val="left"/>
      <w:pPr>
        <w:ind w:left="0" w:firstLine="0"/>
      </w:pPr>
    </w:lvl>
  </w:abstractNum>
  <w:abstractNum w:abstractNumId="2">
    <w:nsid w:val="E086581A"/>
    <w:multiLevelType w:val="singleLevel"/>
    <w:tmpl w:val="E086581A"/>
    <w:lvl w:ilvl="0" w:tentative="0">
      <w:start w:val="1"/>
      <w:numFmt w:val="decimal"/>
      <w:suff w:val="nothing"/>
      <w:lvlText w:val="%1、"/>
      <w:lvlJc w:val="left"/>
    </w:lvl>
  </w:abstractNum>
  <w:num w:numId="1">
    <w:abstractNumId w:val="0"/>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4B97"/>
    <w:rsid w:val="000936F9"/>
    <w:rsid w:val="00112F37"/>
    <w:rsid w:val="00166665"/>
    <w:rsid w:val="00172A27"/>
    <w:rsid w:val="00191138"/>
    <w:rsid w:val="001B2CBD"/>
    <w:rsid w:val="001B38C6"/>
    <w:rsid w:val="001E392D"/>
    <w:rsid w:val="001F2788"/>
    <w:rsid w:val="002B7E94"/>
    <w:rsid w:val="002C2901"/>
    <w:rsid w:val="002D2E4E"/>
    <w:rsid w:val="002F3D6C"/>
    <w:rsid w:val="002F518B"/>
    <w:rsid w:val="002F54E2"/>
    <w:rsid w:val="003302AB"/>
    <w:rsid w:val="0035120A"/>
    <w:rsid w:val="004C3E88"/>
    <w:rsid w:val="004D4876"/>
    <w:rsid w:val="005829C9"/>
    <w:rsid w:val="00626640"/>
    <w:rsid w:val="007356E8"/>
    <w:rsid w:val="007B2CC6"/>
    <w:rsid w:val="00841247"/>
    <w:rsid w:val="00864308"/>
    <w:rsid w:val="00883693"/>
    <w:rsid w:val="008C20A2"/>
    <w:rsid w:val="008E7327"/>
    <w:rsid w:val="00950858"/>
    <w:rsid w:val="009515D3"/>
    <w:rsid w:val="009B1946"/>
    <w:rsid w:val="009F3667"/>
    <w:rsid w:val="00A16B62"/>
    <w:rsid w:val="00AC4783"/>
    <w:rsid w:val="00B95703"/>
    <w:rsid w:val="00BF0416"/>
    <w:rsid w:val="00C1211F"/>
    <w:rsid w:val="00C27594"/>
    <w:rsid w:val="00C3786F"/>
    <w:rsid w:val="00D20A0C"/>
    <w:rsid w:val="00D435CF"/>
    <w:rsid w:val="00DA0F0D"/>
    <w:rsid w:val="00E34CC7"/>
    <w:rsid w:val="00EC0E27"/>
    <w:rsid w:val="00F22C58"/>
    <w:rsid w:val="00F3211D"/>
    <w:rsid w:val="00F60EBC"/>
    <w:rsid w:val="00FD69D7"/>
    <w:rsid w:val="018B7CE1"/>
    <w:rsid w:val="020C04BA"/>
    <w:rsid w:val="042F236B"/>
    <w:rsid w:val="051E41F2"/>
    <w:rsid w:val="05B125F3"/>
    <w:rsid w:val="06443FD4"/>
    <w:rsid w:val="068303EB"/>
    <w:rsid w:val="06931E1E"/>
    <w:rsid w:val="07277E4A"/>
    <w:rsid w:val="07312958"/>
    <w:rsid w:val="07B734F3"/>
    <w:rsid w:val="07BF4B46"/>
    <w:rsid w:val="07E07279"/>
    <w:rsid w:val="08527E78"/>
    <w:rsid w:val="097D251D"/>
    <w:rsid w:val="0A960A6B"/>
    <w:rsid w:val="0B887150"/>
    <w:rsid w:val="0BE74F15"/>
    <w:rsid w:val="0C337593"/>
    <w:rsid w:val="0C8B7B6D"/>
    <w:rsid w:val="0D177805"/>
    <w:rsid w:val="0D1C37EB"/>
    <w:rsid w:val="0DBA3D1D"/>
    <w:rsid w:val="0DC30CBA"/>
    <w:rsid w:val="0EAE3A0F"/>
    <w:rsid w:val="117048C5"/>
    <w:rsid w:val="118A2253"/>
    <w:rsid w:val="11A021F8"/>
    <w:rsid w:val="11C0052E"/>
    <w:rsid w:val="12160F3D"/>
    <w:rsid w:val="13174BEA"/>
    <w:rsid w:val="13A50B4E"/>
    <w:rsid w:val="14196A31"/>
    <w:rsid w:val="14360F37"/>
    <w:rsid w:val="150352E4"/>
    <w:rsid w:val="15043A50"/>
    <w:rsid w:val="150B0164"/>
    <w:rsid w:val="152E73B4"/>
    <w:rsid w:val="162E6104"/>
    <w:rsid w:val="170B5EA3"/>
    <w:rsid w:val="178E0722"/>
    <w:rsid w:val="17902CDE"/>
    <w:rsid w:val="17E625C2"/>
    <w:rsid w:val="187212AC"/>
    <w:rsid w:val="18B36492"/>
    <w:rsid w:val="1B2A271F"/>
    <w:rsid w:val="1BD50639"/>
    <w:rsid w:val="1BD937BC"/>
    <w:rsid w:val="1C1945A6"/>
    <w:rsid w:val="1C656C23"/>
    <w:rsid w:val="1CE046C9"/>
    <w:rsid w:val="1D0667AD"/>
    <w:rsid w:val="1D3037DF"/>
    <w:rsid w:val="1DC069DD"/>
    <w:rsid w:val="1E63486F"/>
    <w:rsid w:val="1FCE4C9E"/>
    <w:rsid w:val="21042901"/>
    <w:rsid w:val="22135B75"/>
    <w:rsid w:val="22863C94"/>
    <w:rsid w:val="243D7784"/>
    <w:rsid w:val="26AD66D5"/>
    <w:rsid w:val="27765CCC"/>
    <w:rsid w:val="281C391F"/>
    <w:rsid w:val="298B49C3"/>
    <w:rsid w:val="29BE6110"/>
    <w:rsid w:val="2A0E5A69"/>
    <w:rsid w:val="2A6A2D11"/>
    <w:rsid w:val="2B122C35"/>
    <w:rsid w:val="2B470F10"/>
    <w:rsid w:val="2B6946E7"/>
    <w:rsid w:val="2B88197A"/>
    <w:rsid w:val="2BA8442D"/>
    <w:rsid w:val="2CAC29D6"/>
    <w:rsid w:val="2D8639BE"/>
    <w:rsid w:val="2D8665FD"/>
    <w:rsid w:val="2F4524AB"/>
    <w:rsid w:val="31350C4C"/>
    <w:rsid w:val="31576C02"/>
    <w:rsid w:val="316634E7"/>
    <w:rsid w:val="346F3BA7"/>
    <w:rsid w:val="349A34DB"/>
    <w:rsid w:val="35301450"/>
    <w:rsid w:val="35E33B59"/>
    <w:rsid w:val="360B544F"/>
    <w:rsid w:val="364D63A5"/>
    <w:rsid w:val="366F2AB7"/>
    <w:rsid w:val="367E78FC"/>
    <w:rsid w:val="379D08A8"/>
    <w:rsid w:val="382B20B3"/>
    <w:rsid w:val="38AF00E9"/>
    <w:rsid w:val="38B17A40"/>
    <w:rsid w:val="38EE3475"/>
    <w:rsid w:val="396665B7"/>
    <w:rsid w:val="39BB7346"/>
    <w:rsid w:val="39E434A3"/>
    <w:rsid w:val="3ACB7183"/>
    <w:rsid w:val="3BDA7340"/>
    <w:rsid w:val="3C9406F1"/>
    <w:rsid w:val="3D0038A0"/>
    <w:rsid w:val="3D577B32"/>
    <w:rsid w:val="3DDC401F"/>
    <w:rsid w:val="3E3948A1"/>
    <w:rsid w:val="3E4619B8"/>
    <w:rsid w:val="3E7F6A28"/>
    <w:rsid w:val="401007F1"/>
    <w:rsid w:val="417C49FE"/>
    <w:rsid w:val="426104F4"/>
    <w:rsid w:val="428D00BE"/>
    <w:rsid w:val="42B91D28"/>
    <w:rsid w:val="42CC5625"/>
    <w:rsid w:val="43661FA0"/>
    <w:rsid w:val="437C1F45"/>
    <w:rsid w:val="44564388"/>
    <w:rsid w:val="459B1F40"/>
    <w:rsid w:val="45FD4563"/>
    <w:rsid w:val="46265F1E"/>
    <w:rsid w:val="462C0DB2"/>
    <w:rsid w:val="46644F7C"/>
    <w:rsid w:val="468C5761"/>
    <w:rsid w:val="48A202F5"/>
    <w:rsid w:val="48AC230C"/>
    <w:rsid w:val="49B3372A"/>
    <w:rsid w:val="49C35B92"/>
    <w:rsid w:val="4A702F34"/>
    <w:rsid w:val="4A706FB0"/>
    <w:rsid w:val="4C1826C6"/>
    <w:rsid w:val="4C4A50E1"/>
    <w:rsid w:val="4D022A70"/>
    <w:rsid w:val="4D046F69"/>
    <w:rsid w:val="4DB01C2B"/>
    <w:rsid w:val="4E2C224E"/>
    <w:rsid w:val="4EC004A5"/>
    <w:rsid w:val="4F38133C"/>
    <w:rsid w:val="4FC77502"/>
    <w:rsid w:val="505E3468"/>
    <w:rsid w:val="510A7E4A"/>
    <w:rsid w:val="51F0318E"/>
    <w:rsid w:val="520F4294"/>
    <w:rsid w:val="52295F56"/>
    <w:rsid w:val="53EE23BF"/>
    <w:rsid w:val="54A85071"/>
    <w:rsid w:val="54BF4C96"/>
    <w:rsid w:val="55400B66"/>
    <w:rsid w:val="556C60B3"/>
    <w:rsid w:val="55EB4403"/>
    <w:rsid w:val="5606068F"/>
    <w:rsid w:val="57052F41"/>
    <w:rsid w:val="57283E0B"/>
    <w:rsid w:val="57EB51CE"/>
    <w:rsid w:val="582D7CAE"/>
    <w:rsid w:val="58AF298D"/>
    <w:rsid w:val="58ED4F64"/>
    <w:rsid w:val="5AAD49D1"/>
    <w:rsid w:val="5AB865E5"/>
    <w:rsid w:val="5AC22423"/>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189573E"/>
    <w:rsid w:val="61BD512B"/>
    <w:rsid w:val="620D6B6D"/>
    <w:rsid w:val="629038C3"/>
    <w:rsid w:val="62D1432C"/>
    <w:rsid w:val="62F94BC1"/>
    <w:rsid w:val="63E044E9"/>
    <w:rsid w:val="646E7100"/>
    <w:rsid w:val="64F20D58"/>
    <w:rsid w:val="658F5374"/>
    <w:rsid w:val="660F776F"/>
    <w:rsid w:val="66D12D4F"/>
    <w:rsid w:val="670D5B2C"/>
    <w:rsid w:val="67914F18"/>
    <w:rsid w:val="679A7B08"/>
    <w:rsid w:val="67E338A0"/>
    <w:rsid w:val="685D7932"/>
    <w:rsid w:val="687B7D19"/>
    <w:rsid w:val="68C2756A"/>
    <w:rsid w:val="6A3C4858"/>
    <w:rsid w:val="6A6E4E9B"/>
    <w:rsid w:val="6AA100DD"/>
    <w:rsid w:val="6ADF39F8"/>
    <w:rsid w:val="6BB9114A"/>
    <w:rsid w:val="6D871E5D"/>
    <w:rsid w:val="6DB7708E"/>
    <w:rsid w:val="6DF8337A"/>
    <w:rsid w:val="6E9047F2"/>
    <w:rsid w:val="6F807912"/>
    <w:rsid w:val="6FD06D1B"/>
    <w:rsid w:val="70441955"/>
    <w:rsid w:val="71717CF1"/>
    <w:rsid w:val="72401A80"/>
    <w:rsid w:val="73173CE2"/>
    <w:rsid w:val="73704370"/>
    <w:rsid w:val="73C07BBF"/>
    <w:rsid w:val="73DC4D25"/>
    <w:rsid w:val="745436E9"/>
    <w:rsid w:val="74553F85"/>
    <w:rsid w:val="765A05BC"/>
    <w:rsid w:val="767F73D7"/>
    <w:rsid w:val="76BD6FDB"/>
    <w:rsid w:val="788F2781"/>
    <w:rsid w:val="78BD7DA6"/>
    <w:rsid w:val="7AF16FF7"/>
    <w:rsid w:val="7B334F2B"/>
    <w:rsid w:val="7B5E4E76"/>
    <w:rsid w:val="7C2B0D47"/>
    <w:rsid w:val="7CDE11ED"/>
    <w:rsid w:val="7CEF6506"/>
    <w:rsid w:val="7CFA011A"/>
    <w:rsid w:val="7D974FD2"/>
    <w:rsid w:val="7DF540DB"/>
    <w:rsid w:val="7ED942B4"/>
    <w:rsid w:val="7FB811F8"/>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5"/>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0"/>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qFormat/>
    <w:uiPriority w:val="0"/>
    <w:pPr>
      <w:jc w:val="left"/>
    </w:p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next w:val="19"/>
    <w:qFormat/>
    <w:uiPriority w:val="0"/>
    <w:pPr>
      <w:spacing w:line="360" w:lineRule="auto"/>
    </w:pPr>
    <w:rPr>
      <w:rFonts w:ascii="Times New Roman" w:hAnsi="Times New Roman"/>
      <w:sz w:val="24"/>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uiPriority w:val="0"/>
    <w:pPr>
      <w:ind w:firstLine="0"/>
    </w:pPr>
  </w:style>
  <w:style w:type="paragraph" w:styleId="22">
    <w:name w:val="Body Text Indent"/>
    <w:basedOn w:val="1"/>
    <w:next w:val="18"/>
    <w:qFormat/>
    <w:uiPriority w:val="0"/>
    <w:pPr>
      <w:ind w:firstLine="645"/>
    </w:pPr>
    <w:rPr>
      <w:rFonts w:ascii="宋体"/>
      <w:sz w:val="32"/>
      <w:szCs w:val="20"/>
    </w:rPr>
  </w:style>
  <w:style w:type="paragraph" w:styleId="23">
    <w:name w:val="List 2"/>
    <w:basedOn w:val="1"/>
    <w:qFormat/>
    <w:uiPriority w:val="0"/>
    <w:pPr>
      <w:ind w:left="400" w:leftChars="200" w:hanging="200" w:hangingChars="200"/>
    </w:pPr>
    <w:rPr>
      <w:rFonts w:ascii="Times New Roman" w:hAnsi="Times New Roman"/>
      <w:szCs w:val="20"/>
    </w:rPr>
  </w:style>
  <w:style w:type="paragraph" w:styleId="24">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5">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7">
    <w:name w:val="Date"/>
    <w:basedOn w:val="1"/>
    <w:next w:val="1"/>
    <w:qFormat/>
    <w:uiPriority w:val="0"/>
    <w:pPr>
      <w:ind w:left="2500" w:leftChars="2500"/>
    </w:pPr>
  </w:style>
  <w:style w:type="paragraph" w:styleId="28">
    <w:name w:val="Body Text Indent 2"/>
    <w:basedOn w:val="1"/>
    <w:qFormat/>
    <w:uiPriority w:val="0"/>
    <w:pPr>
      <w:ind w:firstLine="630"/>
    </w:pPr>
    <w:rPr>
      <w:rFonts w:ascii="宋体"/>
      <w:sz w:val="32"/>
      <w:szCs w:val="20"/>
    </w:rPr>
  </w:style>
  <w:style w:type="paragraph" w:styleId="29">
    <w:name w:val="List Continue 5"/>
    <w:basedOn w:val="1"/>
    <w:qFormat/>
    <w:uiPriority w:val="0"/>
    <w:pPr>
      <w:spacing w:after="120"/>
      <w:ind w:left="1000" w:leftChars="1000"/>
    </w:pPr>
    <w:rPr>
      <w:rFonts w:ascii="Times New Roman" w:hAnsi="Times New Roman"/>
      <w:szCs w:val="20"/>
    </w:rPr>
  </w:style>
  <w:style w:type="paragraph" w:styleId="30">
    <w:name w:val="Balloon Text"/>
    <w:basedOn w:val="1"/>
    <w:qFormat/>
    <w:uiPriority w:val="0"/>
    <w:rPr>
      <w:sz w:val="18"/>
      <w:szCs w:val="18"/>
    </w:rPr>
  </w:style>
  <w:style w:type="paragraph" w:styleId="31">
    <w:name w:val="footer"/>
    <w:basedOn w:val="1"/>
    <w:link w:val="67"/>
    <w:qFormat/>
    <w:uiPriority w:val="99"/>
    <w:pPr>
      <w:tabs>
        <w:tab w:val="center" w:pos="4153"/>
        <w:tab w:val="right" w:pos="8306"/>
      </w:tabs>
      <w:snapToGrid w:val="0"/>
      <w:jc w:val="left"/>
    </w:pPr>
    <w:rPr>
      <w:kern w:val="0"/>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4">
    <w:name w:val="List Continue 4"/>
    <w:basedOn w:val="1"/>
    <w:qFormat/>
    <w:uiPriority w:val="0"/>
    <w:pPr>
      <w:spacing w:after="120"/>
      <w:ind w:left="800" w:leftChars="800"/>
    </w:pPr>
    <w:rPr>
      <w:rFonts w:ascii="Times New Roman" w:hAnsi="Times New Roman"/>
      <w:szCs w:val="20"/>
    </w:rPr>
  </w:style>
  <w:style w:type="paragraph" w:styleId="35">
    <w:name w:val="List"/>
    <w:basedOn w:val="1"/>
    <w:qFormat/>
    <w:uiPriority w:val="0"/>
    <w:pPr>
      <w:ind w:left="200" w:hanging="200" w:hangingChars="200"/>
    </w:pPr>
    <w:rPr>
      <w:rFonts w:ascii="Times New Roman" w:hAnsi="Times New Roman"/>
      <w:szCs w:val="20"/>
    </w:rPr>
  </w:style>
  <w:style w:type="paragraph" w:styleId="36">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7">
    <w:name w:val="List 5"/>
    <w:basedOn w:val="1"/>
    <w:qFormat/>
    <w:uiPriority w:val="0"/>
    <w:pPr>
      <w:ind w:left="1000" w:leftChars="800" w:hanging="200" w:hangingChars="200"/>
    </w:pPr>
    <w:rPr>
      <w:rFonts w:ascii="Times New Roman" w:hAnsi="Times New Roman"/>
      <w:szCs w:val="20"/>
    </w:rPr>
  </w:style>
  <w:style w:type="paragraph" w:styleId="38">
    <w:name w:val="Body Text Indent 3"/>
    <w:basedOn w:val="1"/>
    <w:qFormat/>
    <w:uiPriority w:val="0"/>
    <w:pPr>
      <w:spacing w:line="360" w:lineRule="auto"/>
      <w:ind w:firstLine="468"/>
    </w:pPr>
    <w:rPr>
      <w:rFonts w:ascii="Times New Roman" w:hAnsi="Times New Roman"/>
      <w:sz w:val="24"/>
      <w:szCs w:val="20"/>
    </w:rPr>
  </w:style>
  <w:style w:type="paragraph" w:styleId="39">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40">
    <w:name w:val="Body Text 2"/>
    <w:basedOn w:val="1"/>
    <w:qFormat/>
    <w:uiPriority w:val="0"/>
    <w:pPr>
      <w:spacing w:after="120" w:line="480" w:lineRule="auto"/>
    </w:pPr>
    <w:rPr>
      <w:rFonts w:ascii="Times New Roman" w:hAnsi="Times New Roman"/>
      <w:szCs w:val="20"/>
    </w:rPr>
  </w:style>
  <w:style w:type="paragraph" w:styleId="41">
    <w:name w:val="List 4"/>
    <w:basedOn w:val="1"/>
    <w:qFormat/>
    <w:uiPriority w:val="0"/>
    <w:pPr>
      <w:ind w:left="800" w:leftChars="600" w:hanging="200" w:hangingChars="200"/>
    </w:pPr>
    <w:rPr>
      <w:rFonts w:ascii="Times New Roman" w:hAnsi="Times New Roman"/>
      <w:szCs w:val="20"/>
    </w:rPr>
  </w:style>
  <w:style w:type="paragraph" w:styleId="42">
    <w:name w:val="List Continue 2"/>
    <w:basedOn w:val="1"/>
    <w:qFormat/>
    <w:uiPriority w:val="0"/>
    <w:pPr>
      <w:spacing w:after="120"/>
      <w:ind w:left="400" w:leftChars="400"/>
    </w:pPr>
    <w:rPr>
      <w:rFonts w:ascii="Times New Roman" w:hAnsi="Times New Roman"/>
      <w:szCs w:val="20"/>
    </w:rPr>
  </w:style>
  <w:style w:type="paragraph" w:styleId="43">
    <w:name w:val="Normal (Web)"/>
    <w:basedOn w:val="1"/>
    <w:qFormat/>
    <w:uiPriority w:val="0"/>
    <w:pPr>
      <w:widowControl/>
      <w:spacing w:before="100" w:beforeAutospacing="1" w:after="100" w:afterAutospacing="1"/>
      <w:jc w:val="left"/>
    </w:pPr>
    <w:rPr>
      <w:rFonts w:ascii="宋体"/>
      <w:kern w:val="0"/>
      <w:sz w:val="24"/>
      <w:szCs w:val="24"/>
    </w:rPr>
  </w:style>
  <w:style w:type="paragraph" w:styleId="44">
    <w:name w:val="List Continue 3"/>
    <w:basedOn w:val="1"/>
    <w:qFormat/>
    <w:uiPriority w:val="0"/>
    <w:pPr>
      <w:spacing w:after="120"/>
      <w:ind w:left="600" w:leftChars="600"/>
    </w:pPr>
    <w:rPr>
      <w:rFonts w:ascii="Times New Roman" w:hAnsi="Times New Roman"/>
      <w:szCs w:val="20"/>
    </w:rPr>
  </w:style>
  <w:style w:type="paragraph" w:styleId="45">
    <w:name w:val="annotation subject"/>
    <w:basedOn w:val="16"/>
    <w:next w:val="16"/>
    <w:qFormat/>
    <w:uiPriority w:val="0"/>
    <w:rPr>
      <w:b/>
      <w:bCs/>
    </w:rPr>
  </w:style>
  <w:style w:type="character" w:styleId="48">
    <w:name w:val="page number"/>
    <w:basedOn w:val="47"/>
    <w:qFormat/>
    <w:uiPriority w:val="0"/>
  </w:style>
  <w:style w:type="character" w:styleId="49">
    <w:name w:val="FollowedHyperlink"/>
    <w:basedOn w:val="47"/>
    <w:qFormat/>
    <w:uiPriority w:val="0"/>
    <w:rPr>
      <w:color w:val="800080"/>
      <w:u w:val="single"/>
    </w:rPr>
  </w:style>
  <w:style w:type="character" w:styleId="50">
    <w:name w:val="Hyperlink"/>
    <w:basedOn w:val="47"/>
    <w:qFormat/>
    <w:uiPriority w:val="0"/>
    <w:rPr>
      <w:color w:val="0000FF"/>
      <w:u w:val="single"/>
    </w:rPr>
  </w:style>
  <w:style w:type="character" w:styleId="51">
    <w:name w:val="annotation reference"/>
    <w:basedOn w:val="47"/>
    <w:qFormat/>
    <w:uiPriority w:val="0"/>
    <w:rPr>
      <w:sz w:val="21"/>
      <w:szCs w:val="21"/>
    </w:rPr>
  </w:style>
  <w:style w:type="paragraph" w:customStyle="1" w:styleId="52">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3">
    <w:name w:val="简单回函地址"/>
    <w:basedOn w:val="1"/>
    <w:qFormat/>
    <w:uiPriority w:val="0"/>
    <w:rPr>
      <w:rFonts w:ascii="Times New Roman" w:hAnsi="Times New Roman"/>
      <w:szCs w:val="20"/>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6">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7">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61">
    <w:name w:val="正文内容"/>
    <w:basedOn w:val="1"/>
    <w:qFormat/>
    <w:uiPriority w:val="0"/>
    <w:pPr>
      <w:widowControl/>
      <w:jc w:val="left"/>
    </w:pPr>
    <w:rPr>
      <w:rFonts w:ascii="宋体" w:cs="宋体"/>
      <w:kern w:val="0"/>
      <w:sz w:val="28"/>
      <w:szCs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3">
    <w:name w:val="_Style 6"/>
    <w:basedOn w:val="1"/>
    <w:qFormat/>
    <w:uiPriority w:val="0"/>
    <w:pPr>
      <w:adjustRightInd w:val="0"/>
      <w:spacing w:line="360" w:lineRule="atLeast"/>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character" w:customStyle="1" w:styleId="65">
    <w:name w:val="1051"/>
    <w:basedOn w:val="47"/>
    <w:qFormat/>
    <w:uiPriority w:val="0"/>
    <w:rPr>
      <w:sz w:val="21"/>
      <w:szCs w:val="21"/>
    </w:rPr>
  </w:style>
  <w:style w:type="paragraph" w:styleId="66">
    <w:name w:val="List Paragraph"/>
    <w:basedOn w:val="1"/>
    <w:qFormat/>
    <w:uiPriority w:val="99"/>
    <w:pPr>
      <w:ind w:firstLine="420" w:firstLineChars="200"/>
    </w:pPr>
  </w:style>
  <w:style w:type="character" w:customStyle="1" w:styleId="67">
    <w:name w:val="页脚 Char"/>
    <w:basedOn w:val="47"/>
    <w:link w:val="31"/>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4012</Words>
  <Characters>22872</Characters>
  <Lines>190</Lines>
  <Paragraphs>53</Paragraphs>
  <TotalTime>1</TotalTime>
  <ScaleCrop>false</ScaleCrop>
  <LinksUpToDate>false</LinksUpToDate>
  <CharactersWithSpaces>26831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2021-08-28T09:02:00Z</dcterms:created>
  <dc:creator>张鹏飞</dc:creator>
  <cp:lastModifiedBy>DD</cp:lastModifiedBy>
  <cp:lastPrinted>2021-04-27T06:35:00Z</cp:lastPrinted>
  <dcterms:modified xsi:type="dcterms:W3CDTF">2021-08-31T10:23:44Z</dcterms:modified>
  <dc:title>洛</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78DED57A162C4BF2B28AB34AA03AFA0E</vt:lpwstr>
  </property>
</Properties>
</file>