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ind w:left="120" w:leftChars="50" w:right="120" w:rightChars="50" w:firstLine="480" w:firstLineChars="200"/>
        <w:rPr>
          <w:rFonts w:hint="eastAsia" w:ascii="宋体" w:hAnsi="宋体" w:cs="宋体"/>
          <w:color w:val="auto"/>
          <w:szCs w:val="24"/>
          <w:highlight w:val="none"/>
        </w:rPr>
      </w:pPr>
      <w:r>
        <w:rPr>
          <w:rFonts w:hint="eastAsia" w:ascii="宋体" w:hAnsi="宋体" w:cs="宋体"/>
          <w:color w:val="auto"/>
          <w:szCs w:val="24"/>
          <w:highlight w:val="none"/>
        </w:rPr>
        <w:t xml:space="preserve">  </w:t>
      </w:r>
    </w:p>
    <w:p>
      <w:pPr>
        <w:keepNext w:val="0"/>
        <w:keepLines w:val="0"/>
        <w:widowControl/>
        <w:suppressLineNumbers w:val="0"/>
        <w:jc w:val="left"/>
        <w:rPr>
          <w:rFonts w:hint="eastAsia" w:ascii="宋体" w:hAnsi="宋体" w:cs="宋体"/>
          <w:b/>
          <w:color w:val="auto"/>
          <w:sz w:val="48"/>
          <w:szCs w:val="48"/>
          <w:highlight w:val="none"/>
          <w:lang w:eastAsia="zh-CN"/>
        </w:rPr>
      </w:pPr>
    </w:p>
    <w:p>
      <w:pPr>
        <w:spacing w:before="156" w:beforeLines="50" w:after="156" w:afterLines="50" w:line="360" w:lineRule="auto"/>
        <w:ind w:left="120" w:leftChars="50" w:right="120" w:rightChars="50" w:firstLine="482" w:firstLineChars="200"/>
        <w:jc w:val="center"/>
        <w:rPr>
          <w:rStyle w:val="87"/>
          <w:rFonts w:hint="eastAsia"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Style w:val="87"/>
          <w:rFonts w:hint="eastAsia"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Style w:val="87"/>
          <w:rFonts w:hint="eastAsia" w:ascii="宋体" w:hAnsi="宋体" w:cs="宋体"/>
          <w:b/>
          <w:bCs/>
          <w:color w:val="auto"/>
          <w:szCs w:val="24"/>
          <w:highlight w:val="none"/>
        </w:rPr>
      </w:pPr>
    </w:p>
    <w:p>
      <w:pPr>
        <w:keepNext w:val="0"/>
        <w:keepLines w:val="0"/>
        <w:widowControl/>
        <w:suppressLineNumbers w:val="0"/>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eastAsia="zh-CN"/>
        </w:rPr>
        <w:t>开元壹号</w:t>
      </w:r>
      <w:r>
        <w:rPr>
          <w:rFonts w:hint="eastAsia" w:ascii="宋体" w:hAnsi="宋体" w:cs="宋体"/>
          <w:b/>
          <w:color w:val="auto"/>
          <w:sz w:val="48"/>
          <w:szCs w:val="48"/>
          <w:highlight w:val="none"/>
          <w:lang w:val="en-US" w:eastAsia="zh-CN"/>
        </w:rPr>
        <w:t>62#地块开闭所</w:t>
      </w:r>
    </w:p>
    <w:p>
      <w:pPr>
        <w:keepNext w:val="0"/>
        <w:keepLines w:val="0"/>
        <w:widowControl/>
        <w:suppressLineNumbers w:val="0"/>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施工工程施工合同</w:t>
      </w:r>
    </w:p>
    <w:p>
      <w:pPr>
        <w:spacing w:before="156" w:beforeLines="50" w:after="156" w:afterLines="50" w:line="360" w:lineRule="auto"/>
        <w:ind w:right="120" w:rightChars="50"/>
        <w:jc w:val="center"/>
        <w:rPr>
          <w:rFonts w:ascii="宋体" w:hAnsi="宋体" w:cs="宋体"/>
          <w:b/>
          <w:bCs/>
          <w:color w:val="auto"/>
          <w:sz w:val="44"/>
          <w:szCs w:val="44"/>
          <w:highlight w:val="none"/>
        </w:rPr>
      </w:pPr>
    </w:p>
    <w:p>
      <w:pPr>
        <w:spacing w:before="156" w:beforeLines="50" w:after="156" w:afterLines="50" w:line="360" w:lineRule="auto"/>
        <w:ind w:right="120" w:rightChars="50"/>
        <w:rPr>
          <w:rFonts w:hint="eastAsia"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bCs/>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widowControl/>
        <w:spacing w:line="360" w:lineRule="auto"/>
        <w:ind w:firstLine="1638" w:firstLineChars="546"/>
        <w:rPr>
          <w:rFonts w:ascii="宋体" w:hAnsi="宋体" w:cs="宋体"/>
          <w:color w:val="auto"/>
          <w:sz w:val="30"/>
          <w:szCs w:val="30"/>
          <w:highlight w:val="none"/>
        </w:rPr>
      </w:pPr>
      <w:r>
        <w:rPr>
          <w:rFonts w:hint="eastAsia" w:ascii="宋体" w:hAnsi="宋体" w:cs="宋体"/>
          <w:color w:val="auto"/>
          <w:sz w:val="30"/>
          <w:szCs w:val="30"/>
          <w:highlight w:val="none"/>
        </w:rPr>
        <w:t xml:space="preserve"> 成本代码：4.1.2</w:t>
      </w:r>
    </w:p>
    <w:p>
      <w:pPr>
        <w:widowControl/>
        <w:spacing w:line="360" w:lineRule="auto"/>
        <w:ind w:firstLine="441" w:firstLineChars="147"/>
        <w:rPr>
          <w:rFonts w:ascii="宋体" w:hAnsi="宋体" w:cs="宋体"/>
          <w:color w:val="auto"/>
          <w:sz w:val="30"/>
          <w:szCs w:val="30"/>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合同编号：KYYH.62-JP-101</w:t>
      </w: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left="120" w:leftChars="50" w:right="120" w:rightChars="50" w:firstLine="482" w:firstLineChars="200"/>
        <w:rPr>
          <w:rFonts w:ascii="宋体" w:hAnsi="宋体" w:cs="宋体"/>
          <w:b/>
          <w:color w:val="auto"/>
          <w:szCs w:val="24"/>
          <w:highlight w:val="none"/>
        </w:rPr>
      </w:pPr>
    </w:p>
    <w:p>
      <w:pPr>
        <w:spacing w:before="156" w:beforeLines="50" w:after="156" w:afterLines="50" w:line="360" w:lineRule="auto"/>
        <w:ind w:right="120" w:rightChars="50"/>
        <w:rPr>
          <w:rFonts w:hint="eastAsia" w:ascii="宋体" w:hAnsi="宋体" w:cs="宋体"/>
          <w:b/>
          <w:color w:val="auto"/>
          <w:szCs w:val="24"/>
          <w:highlight w:val="none"/>
        </w:rPr>
      </w:pPr>
    </w:p>
    <w:p>
      <w:pPr>
        <w:widowControl/>
        <w:spacing w:line="360" w:lineRule="auto"/>
        <w:ind w:firstLine="441" w:firstLineChars="147"/>
        <w:rPr>
          <w:rFonts w:ascii="宋体" w:hAnsi="宋体" w:cs="宋体"/>
          <w:color w:val="auto"/>
          <w:sz w:val="30"/>
          <w:szCs w:val="30"/>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甲方:洛阳浩德鑫置地有限公司</w:t>
      </w:r>
    </w:p>
    <w:p>
      <w:pPr>
        <w:widowControl/>
        <w:spacing w:line="360" w:lineRule="auto"/>
        <w:ind w:firstLine="441" w:firstLineChars="147"/>
        <w:rPr>
          <w:rFonts w:ascii="宋体" w:hAnsi="宋体" w:cs="宋体"/>
          <w:color w:val="auto"/>
          <w:szCs w:val="24"/>
          <w:highlight w:val="none"/>
        </w:rPr>
      </w:pPr>
      <w:r>
        <w:rPr>
          <w:rFonts w:hint="eastAsia" w:ascii="宋体" w:hAnsi="宋体" w:cs="宋体"/>
          <w:color w:val="auto"/>
          <w:sz w:val="30"/>
          <w:szCs w:val="30"/>
          <w:highlight w:val="none"/>
        </w:rPr>
        <w:t xml:space="preserve">     </w:t>
      </w:r>
      <w:r>
        <w:rPr>
          <w:rFonts w:ascii="宋体" w:hAnsi="宋体" w:cs="宋体"/>
          <w:color w:val="auto"/>
          <w:sz w:val="30"/>
          <w:szCs w:val="30"/>
          <w:highlight w:val="none"/>
        </w:rPr>
        <w:t xml:space="preserve">    </w:t>
      </w:r>
      <w:r>
        <w:rPr>
          <w:rFonts w:hint="eastAsia" w:ascii="宋体" w:hAnsi="宋体" w:cs="宋体"/>
          <w:color w:val="auto"/>
          <w:sz w:val="30"/>
          <w:szCs w:val="30"/>
          <w:highlight w:val="none"/>
        </w:rPr>
        <w:t>乙方:</w:t>
      </w:r>
      <w:r>
        <w:rPr>
          <w:rFonts w:hint="eastAsia" w:ascii="宋体" w:hAnsi="宋体" w:cs="宋体"/>
          <w:color w:val="auto"/>
          <w:sz w:val="30"/>
          <w:szCs w:val="30"/>
          <w:highlight w:val="none"/>
          <w:lang w:eastAsia="zh-CN"/>
        </w:rPr>
        <w:t>洛阳龙羽集团有限公司</w:t>
      </w:r>
      <w:r>
        <w:rPr>
          <w:rFonts w:hint="eastAsia" w:ascii="宋体" w:hAnsi="宋体" w:cs="宋体"/>
          <w:color w:val="auto"/>
          <w:szCs w:val="24"/>
          <w:highlight w:val="none"/>
        </w:rPr>
        <w:t xml:space="preserve"> </w:t>
      </w:r>
    </w:p>
    <w:p>
      <w:pPr>
        <w:pStyle w:val="89"/>
        <w:ind w:firstLine="1800" w:firstLineChars="600"/>
        <w:rPr>
          <w:rFonts w:hint="eastAsia" w:hAnsi="宋体" w:eastAsia="宋体" w:cs="宋体"/>
          <w:b w:val="0"/>
          <w:bCs/>
          <w:color w:val="auto"/>
          <w:sz w:val="30"/>
          <w:szCs w:val="30"/>
          <w:highlight w:val="none"/>
          <w:lang w:val="en-US" w:eastAsia="zh-CN"/>
        </w:rPr>
      </w:pPr>
      <w:r>
        <w:rPr>
          <w:rFonts w:hint="eastAsia" w:hAnsi="宋体" w:cs="宋体"/>
          <w:b w:val="0"/>
          <w:bCs/>
          <w:color w:val="auto"/>
          <w:sz w:val="30"/>
          <w:szCs w:val="30"/>
          <w:highlight w:val="none"/>
        </w:rPr>
        <w:t>签订时间：</w:t>
      </w:r>
      <w:r>
        <w:rPr>
          <w:rFonts w:hint="eastAsia" w:hAnsi="宋体" w:cs="宋体"/>
          <w:b w:val="0"/>
          <w:bCs/>
          <w:color w:val="auto"/>
          <w:sz w:val="30"/>
          <w:szCs w:val="30"/>
          <w:highlight w:val="none"/>
          <w:lang w:val="en-US" w:eastAsia="zh-CN"/>
        </w:rPr>
        <w:t>2021年9月 日</w:t>
      </w:r>
    </w:p>
    <w:p>
      <w:pPr>
        <w:widowControl/>
        <w:spacing w:line="360" w:lineRule="auto"/>
        <w:jc w:val="center"/>
        <w:rPr>
          <w:rFonts w:hint="eastAsia" w:ascii="宋体" w:hAnsi="宋体" w:cs="宋体"/>
          <w:b/>
          <w:bCs/>
          <w:color w:val="auto"/>
          <w:sz w:val="32"/>
          <w:szCs w:val="32"/>
          <w:highlight w:val="none"/>
          <w:lang w:eastAsia="zh-CN"/>
        </w:rPr>
      </w:pPr>
    </w:p>
    <w:p>
      <w:pPr>
        <w:widowControl/>
        <w:spacing w:line="360" w:lineRule="auto"/>
        <w:jc w:val="center"/>
        <w:rPr>
          <w:rFonts w:hint="eastAsia" w:ascii="宋体" w:hAnsi="宋体" w:cs="宋体"/>
          <w:b/>
          <w:bCs/>
          <w:color w:val="auto"/>
          <w:sz w:val="32"/>
          <w:szCs w:val="32"/>
          <w:highlight w:val="none"/>
          <w:lang w:eastAsia="zh-CN"/>
        </w:rPr>
      </w:pPr>
    </w:p>
    <w:p>
      <w:pPr>
        <w:widowControl/>
        <w:spacing w:line="360" w:lineRule="auto"/>
        <w:jc w:val="center"/>
        <w:rPr>
          <w:rFonts w:hint="default" w:ascii="宋体" w:hAnsi="宋体" w:eastAsia="宋体" w:cs="宋体"/>
          <w:color w:val="auto"/>
          <w:szCs w:val="24"/>
          <w:highlight w:val="none"/>
          <w:lang w:val="en-US" w:eastAsia="zh-CN"/>
        </w:rPr>
      </w:pPr>
      <w:r>
        <w:rPr>
          <w:rFonts w:hint="eastAsia" w:ascii="宋体" w:hAnsi="宋体" w:cs="宋体"/>
          <w:b/>
          <w:bCs/>
          <w:color w:val="auto"/>
          <w:sz w:val="32"/>
          <w:szCs w:val="32"/>
          <w:highlight w:val="none"/>
          <w:lang w:val="en-US" w:eastAsia="zh-CN"/>
        </w:rPr>
        <w:t>开元壹号62#地块开闭所施工工程施工合同</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rPr>
        <w:t>甲方（全称）：</w:t>
      </w:r>
      <w:r>
        <w:rPr>
          <w:rFonts w:hint="eastAsia" w:ascii="宋体" w:hAnsi="宋体" w:cs="宋体"/>
          <w:color w:val="auto"/>
          <w:szCs w:val="24"/>
          <w:highlight w:val="none"/>
          <w:u w:val="single"/>
        </w:rPr>
        <w:t>洛阳浩德鑫置地有限公司</w:t>
      </w:r>
    </w:p>
    <w:p>
      <w:pPr>
        <w:widowControl/>
        <w:spacing w:line="360" w:lineRule="auto"/>
        <w:rPr>
          <w:rFonts w:ascii="宋体" w:hAnsi="宋体" w:cs="宋体"/>
          <w:color w:val="auto"/>
          <w:szCs w:val="24"/>
          <w:highlight w:val="none"/>
          <w:u w:val="single"/>
        </w:rPr>
      </w:pPr>
      <w:r>
        <w:rPr>
          <w:rFonts w:hint="eastAsia" w:ascii="宋体" w:hAnsi="宋体" w:cs="宋体"/>
          <w:color w:val="auto"/>
          <w:szCs w:val="24"/>
          <w:highlight w:val="none"/>
        </w:rPr>
        <w:t>乙方（全称）：</w:t>
      </w:r>
      <w:r>
        <w:rPr>
          <w:rFonts w:hint="eastAsia" w:ascii="宋体" w:hAnsi="宋体" w:cs="宋体"/>
          <w:color w:val="auto"/>
          <w:szCs w:val="24"/>
          <w:highlight w:val="none"/>
          <w:u w:val="single"/>
          <w:lang w:eastAsia="zh-CN"/>
        </w:rPr>
        <w:t>洛阳龙羽集团有限公司</w:t>
      </w:r>
      <w:r>
        <w:rPr>
          <w:rFonts w:hint="eastAsia" w:ascii="宋体" w:hAnsi="宋体" w:cs="宋体"/>
          <w:color w:val="auto"/>
          <w:szCs w:val="24"/>
          <w:highlight w:val="none"/>
        </w:rPr>
        <w:t xml:space="preserve">  </w:t>
      </w:r>
    </w:p>
    <w:p>
      <w:pPr>
        <w:widowControl/>
        <w:spacing w:line="500" w:lineRule="exact"/>
        <w:ind w:firstLine="352" w:firstLineChars="147"/>
        <w:rPr>
          <w:rFonts w:ascii="宋体" w:hAnsi="宋体" w:cs="宋体"/>
          <w:color w:val="auto"/>
          <w:szCs w:val="24"/>
          <w:highlight w:val="none"/>
        </w:rPr>
      </w:pPr>
      <w:r>
        <w:rPr>
          <w:rFonts w:hint="eastAsia" w:ascii="宋体" w:hAnsi="宋体" w:cs="宋体"/>
          <w:color w:val="auto"/>
          <w:szCs w:val="24"/>
          <w:highlight w:val="none"/>
          <w:lang w:bidi="ar"/>
        </w:rPr>
        <w:t>依照《中华人民共和国</w:t>
      </w:r>
      <w:r>
        <w:rPr>
          <w:rFonts w:hint="eastAsia" w:ascii="宋体" w:hAnsi="宋体" w:cs="宋体"/>
          <w:color w:val="auto"/>
          <w:szCs w:val="24"/>
          <w:highlight w:val="none"/>
          <w:lang w:eastAsia="zh-CN" w:bidi="ar"/>
        </w:rPr>
        <w:t>民法典</w:t>
      </w:r>
      <w:r>
        <w:rPr>
          <w:rFonts w:hint="eastAsia" w:ascii="宋体" w:hAnsi="宋体" w:cs="宋体"/>
          <w:color w:val="auto"/>
          <w:szCs w:val="24"/>
          <w:highlight w:val="none"/>
          <w:lang w:bidi="ar"/>
        </w:rPr>
        <w:t>》、《中华人民共和国建筑法》及其他有关法律、行政法规，遵循平等、自愿、公平和诚实信用的原则，双方就本供配电工程施工事项协商一致，订立本合同。</w:t>
      </w:r>
    </w:p>
    <w:p>
      <w:pPr>
        <w:widowControl/>
        <w:tabs>
          <w:tab w:val="left" w:pos="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一、工程概况</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工程名称：</w:t>
      </w:r>
      <w:r>
        <w:rPr>
          <w:rFonts w:hint="eastAsia" w:ascii="宋体" w:hAnsi="宋体" w:cs="宋体"/>
          <w:bCs/>
          <w:color w:val="auto"/>
          <w:kern w:val="28"/>
          <w:szCs w:val="24"/>
          <w:highlight w:val="none"/>
          <w:lang w:eastAsia="zh-CN"/>
        </w:rPr>
        <w:t>开元壹号</w:t>
      </w:r>
      <w:r>
        <w:rPr>
          <w:rFonts w:hint="eastAsia" w:ascii="宋体" w:hAnsi="宋体" w:cs="宋体"/>
          <w:bCs/>
          <w:color w:val="auto"/>
          <w:kern w:val="28"/>
          <w:szCs w:val="24"/>
          <w:highlight w:val="none"/>
          <w:lang w:val="en-US" w:eastAsia="zh-CN"/>
        </w:rPr>
        <w:t>62#地块开闭所施工工程</w:t>
      </w:r>
      <w:r>
        <w:rPr>
          <w:rFonts w:hint="eastAsia" w:ascii="宋体" w:hAnsi="宋体" w:cs="宋体"/>
          <w:color w:val="auto"/>
          <w:szCs w:val="24"/>
          <w:highlight w:val="none"/>
          <w:lang w:bidi="ar"/>
        </w:rPr>
        <w:t>；</w:t>
      </w:r>
    </w:p>
    <w:p>
      <w:pPr>
        <w:spacing w:line="360" w:lineRule="auto"/>
        <w:rPr>
          <w:rFonts w:ascii="宋体" w:hAnsi="宋体" w:cs="宋体"/>
          <w:color w:val="auto"/>
          <w:szCs w:val="24"/>
          <w:highlight w:val="none"/>
        </w:rPr>
      </w:pPr>
      <w:r>
        <w:rPr>
          <w:rFonts w:hint="eastAsia" w:ascii="宋体" w:hAnsi="宋体" w:cs="宋体"/>
          <w:color w:val="auto"/>
          <w:szCs w:val="24"/>
          <w:highlight w:val="none"/>
          <w:lang w:bidi="ar"/>
        </w:rPr>
        <w:t>工程地点：洛阳市</w:t>
      </w:r>
      <w:r>
        <w:rPr>
          <w:rFonts w:hint="eastAsia" w:ascii="宋体" w:hAnsi="宋体" w:cs="宋体"/>
          <w:color w:val="auto"/>
          <w:szCs w:val="24"/>
          <w:highlight w:val="none"/>
          <w:lang w:eastAsia="zh-CN" w:bidi="ar"/>
        </w:rPr>
        <w:t>洛龙区钱江路与蔡伦路交叉口东北角</w:t>
      </w:r>
      <w:r>
        <w:rPr>
          <w:rFonts w:hint="eastAsia" w:ascii="宋体" w:hAnsi="宋体" w:cs="宋体"/>
          <w:color w:val="auto"/>
          <w:szCs w:val="24"/>
          <w:highlight w:val="none"/>
          <w:lang w:bidi="ar"/>
        </w:rPr>
        <w:t>。</w:t>
      </w:r>
    </w:p>
    <w:p>
      <w:pPr>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二、工程承包范围</w:t>
      </w:r>
    </w:p>
    <w:p>
      <w:pPr>
        <w:keepNext w:val="0"/>
        <w:keepLines w:val="0"/>
        <w:widowControl/>
        <w:suppressLineNumbers w:val="0"/>
        <w:spacing w:line="360" w:lineRule="auto"/>
        <w:ind w:firstLine="240" w:firstLineChars="100"/>
        <w:jc w:val="left"/>
        <w:rPr>
          <w:rFonts w:hint="eastAsia" w:ascii="宋体" w:hAnsi="宋体" w:cs="宋体"/>
          <w:bCs/>
          <w:color w:val="auto"/>
          <w:kern w:val="28"/>
          <w:szCs w:val="24"/>
          <w:highlight w:val="none"/>
          <w:lang w:val="en-US" w:eastAsia="zh-CN"/>
        </w:rPr>
      </w:pPr>
      <w:r>
        <w:rPr>
          <w:rFonts w:hint="eastAsia" w:ascii="宋体" w:hAnsi="宋体" w:cs="宋体"/>
          <w:bCs/>
          <w:color w:val="auto"/>
          <w:kern w:val="28"/>
          <w:szCs w:val="24"/>
          <w:highlight w:val="none"/>
          <w:lang w:val="en-US" w:eastAsia="zh-CN"/>
        </w:rPr>
        <w:t>1、图纸范围内的：设备采购及安装，接地网安装、电缆敷设及电缆头制作安装、设备沟砌筑。设备基础槽钢安装、外网电缆沟及室内电缆沟砌筑、电缆沟盖板、户内批白、电缆支架安装、电缆检查井砌筑、环境监测系统，室内照明灯具、户内配电箱、门窗及防盗网、排风扇及防虫网、百叶、安全文明工器具、灭火器、模拟板、二次设备及二次线缆及配管等；包含图纸范围外的光纤宽带敷设及开通，符合供电局开关站验收标准。</w:t>
      </w:r>
    </w:p>
    <w:p>
      <w:pPr>
        <w:widowControl/>
        <w:spacing w:before="0" w:line="360" w:lineRule="auto"/>
        <w:ind w:firstLine="240" w:firstLineChars="100"/>
        <w:rPr>
          <w:rFonts w:hint="eastAsia" w:ascii="宋体" w:hAnsi="宋体" w:cs="宋体"/>
          <w:bCs/>
          <w:color w:val="auto"/>
          <w:kern w:val="28"/>
          <w:szCs w:val="24"/>
          <w:highlight w:val="none"/>
        </w:rPr>
      </w:pPr>
      <w:r>
        <w:rPr>
          <w:rFonts w:hint="eastAsia" w:ascii="宋体" w:hAnsi="宋体" w:cs="宋体"/>
          <w:bCs/>
          <w:color w:val="auto"/>
          <w:kern w:val="28"/>
          <w:szCs w:val="24"/>
          <w:highlight w:val="none"/>
          <w:lang w:val="en-US" w:eastAsia="zh-CN"/>
        </w:rPr>
        <w:t>2</w:t>
      </w:r>
      <w:r>
        <w:rPr>
          <w:rFonts w:hint="eastAsia" w:ascii="宋体" w:hAnsi="宋体" w:cs="宋体"/>
          <w:bCs/>
          <w:color w:val="auto"/>
          <w:kern w:val="28"/>
          <w:szCs w:val="24"/>
          <w:highlight w:val="none"/>
          <w:lang w:eastAsia="zh-CN"/>
        </w:rPr>
        <w:t>、</w:t>
      </w:r>
      <w:r>
        <w:rPr>
          <w:rFonts w:hint="eastAsia" w:ascii="宋体" w:hAnsi="宋体" w:cs="宋体"/>
          <w:bCs/>
          <w:color w:val="auto"/>
          <w:kern w:val="28"/>
          <w:szCs w:val="24"/>
          <w:highlight w:val="none"/>
        </w:rPr>
        <w:t>包含全部送电手续、</w:t>
      </w:r>
      <w:r>
        <w:rPr>
          <w:rFonts w:hint="eastAsia" w:ascii="宋体" w:hAnsi="宋体" w:cs="宋体"/>
          <w:bCs/>
          <w:color w:val="auto"/>
          <w:kern w:val="28"/>
          <w:szCs w:val="24"/>
          <w:highlight w:val="none"/>
          <w:lang w:eastAsia="zh-CN"/>
        </w:rPr>
        <w:t>1</w:t>
      </w:r>
      <w:r>
        <w:rPr>
          <w:rFonts w:hint="eastAsia" w:ascii="宋体" w:hAnsi="宋体" w:cs="宋体"/>
          <w:bCs/>
          <w:color w:val="auto"/>
          <w:kern w:val="28"/>
          <w:szCs w:val="24"/>
          <w:highlight w:val="none"/>
          <w:lang w:val="en-US" w:eastAsia="zh-CN"/>
        </w:rPr>
        <w:t>0KV电缆入110KV电缆沟手续</w:t>
      </w:r>
      <w:r>
        <w:rPr>
          <w:rFonts w:hint="eastAsia" w:ascii="宋体" w:hAnsi="宋体" w:cs="宋体"/>
          <w:bCs/>
          <w:color w:val="auto"/>
          <w:kern w:val="28"/>
          <w:szCs w:val="24"/>
          <w:highlight w:val="none"/>
        </w:rPr>
        <w:t>、监理费</w:t>
      </w:r>
      <w:r>
        <w:rPr>
          <w:rFonts w:hint="eastAsia" w:ascii="宋体" w:hAnsi="宋体" w:cs="宋体"/>
          <w:bCs/>
          <w:color w:val="auto"/>
          <w:kern w:val="28"/>
          <w:szCs w:val="24"/>
          <w:highlight w:val="none"/>
          <w:lang w:eastAsia="zh-CN"/>
        </w:rPr>
        <w:t>、安全文明施工、扬尘管控、市政</w:t>
      </w:r>
      <w:r>
        <w:rPr>
          <w:rFonts w:hint="eastAsia" w:ascii="宋体" w:hAnsi="宋体" w:cs="宋体"/>
          <w:bCs/>
          <w:color w:val="auto"/>
          <w:kern w:val="28"/>
          <w:szCs w:val="24"/>
          <w:highlight w:val="none"/>
        </w:rPr>
        <w:t>等所涉及全部费用；供配电工程的设备材料购置(含配电室内配套设施）及其施工安装、调试、通过竣工验收直至交付使用、人员技术培训、保修、售后服务。</w:t>
      </w:r>
    </w:p>
    <w:p>
      <w:pPr>
        <w:widowControl/>
        <w:spacing w:before="0" w:line="360" w:lineRule="auto"/>
        <w:ind w:firstLine="240" w:firstLineChars="100"/>
        <w:rPr>
          <w:rFonts w:hint="eastAsia" w:ascii="宋体" w:hAnsi="宋体" w:cs="宋体"/>
          <w:bCs/>
          <w:color w:val="auto"/>
          <w:kern w:val="28"/>
          <w:szCs w:val="24"/>
          <w:highlight w:val="none"/>
        </w:rPr>
      </w:pPr>
      <w:r>
        <w:rPr>
          <w:rFonts w:hint="eastAsia" w:ascii="宋体" w:hAnsi="宋体" w:cs="宋体"/>
          <w:bCs/>
          <w:color w:val="auto"/>
          <w:spacing w:val="0"/>
          <w:kern w:val="28"/>
          <w:szCs w:val="24"/>
          <w:highlight w:val="none"/>
          <w:shd w:val="clear" w:color="auto" w:fill="auto"/>
          <w:lang w:val="en-US" w:eastAsia="zh-CN"/>
        </w:rPr>
        <w:t>3</w:t>
      </w:r>
      <w:r>
        <w:rPr>
          <w:rFonts w:hint="eastAsia" w:ascii="宋体" w:hAnsi="宋体" w:cs="宋体"/>
          <w:bCs/>
          <w:color w:val="auto"/>
          <w:spacing w:val="0"/>
          <w:kern w:val="28"/>
          <w:szCs w:val="24"/>
          <w:highlight w:val="none"/>
          <w:shd w:val="clear" w:color="auto" w:fill="auto"/>
        </w:rPr>
        <w:t>、承包各系统的一切安装工程的施工、调试、报验并通过政府主管部门验收。</w:t>
      </w:r>
    </w:p>
    <w:p>
      <w:pPr>
        <w:widowControl/>
        <w:spacing w:line="360" w:lineRule="auto"/>
        <w:rPr>
          <w:rFonts w:ascii="宋体" w:hAnsi="宋体" w:cs="宋体"/>
          <w:color w:val="auto"/>
          <w:szCs w:val="24"/>
          <w:highlight w:val="none"/>
        </w:rPr>
      </w:pPr>
      <w:r>
        <w:rPr>
          <w:rFonts w:hint="eastAsia" w:ascii="宋体" w:hAnsi="宋体" w:cs="宋体"/>
          <w:b/>
          <w:color w:val="auto"/>
          <w:szCs w:val="24"/>
          <w:highlight w:val="none"/>
          <w:lang w:bidi="ar"/>
        </w:rPr>
        <w:t>三、承包方式</w:t>
      </w:r>
      <w:r>
        <w:rPr>
          <w:rFonts w:hint="eastAsia" w:ascii="宋体" w:hAnsi="宋体" w:cs="宋体"/>
          <w:color w:val="auto"/>
          <w:szCs w:val="24"/>
          <w:highlight w:val="none"/>
          <w:lang w:bidi="ar"/>
        </w:rPr>
        <w:t>：</w:t>
      </w:r>
    </w:p>
    <w:p>
      <w:pPr>
        <w:widowControl/>
        <w:spacing w:line="360" w:lineRule="auto"/>
        <w:ind w:firstLine="240" w:firstLineChars="100"/>
        <w:rPr>
          <w:rFonts w:ascii="宋体" w:hAnsi="宋体" w:cs="宋体"/>
          <w:color w:val="auto"/>
          <w:szCs w:val="24"/>
          <w:highlight w:val="none"/>
          <w:lang w:bidi="ar"/>
        </w:rPr>
      </w:pPr>
      <w:r>
        <w:rPr>
          <w:rFonts w:hint="eastAsia" w:ascii="宋体" w:hAnsi="宋体" w:cs="宋体"/>
          <w:color w:val="auto"/>
          <w:szCs w:val="24"/>
          <w:highlight w:val="none"/>
          <w:lang w:bidi="ar"/>
        </w:rPr>
        <w:t>总价包干，包工包料、包质量、包工期、包安全、包通过验收、包向供电部门移交等直至交付使用。</w:t>
      </w:r>
    </w:p>
    <w:p>
      <w:pPr>
        <w:widowControl/>
        <w:rPr>
          <w:rFonts w:ascii="宋体" w:hAnsi="宋体" w:cs="宋体"/>
          <w:b/>
          <w:color w:val="auto"/>
          <w:szCs w:val="24"/>
          <w:highlight w:val="none"/>
        </w:rPr>
      </w:pPr>
      <w:r>
        <w:rPr>
          <w:rFonts w:hint="eastAsia" w:ascii="宋体" w:hAnsi="宋体" w:cs="宋体"/>
          <w:b/>
          <w:color w:val="auto"/>
          <w:szCs w:val="24"/>
          <w:highlight w:val="none"/>
          <w:lang w:bidi="ar"/>
        </w:rPr>
        <w:t>四、工期要求：</w:t>
      </w:r>
    </w:p>
    <w:p>
      <w:pPr>
        <w:widowControl/>
        <w:spacing w:before="201"/>
        <w:ind w:firstLine="360" w:firstLineChars="150"/>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bidi="ar"/>
        </w:rPr>
        <w:t>工期：</w:t>
      </w:r>
      <w:r>
        <w:rPr>
          <w:rFonts w:hint="eastAsia" w:ascii="宋体" w:hAnsi="宋体" w:cs="宋体"/>
          <w:color w:val="auto"/>
          <w:szCs w:val="24"/>
          <w:highlight w:val="none"/>
          <w:u w:val="single"/>
          <w:lang w:val="en-US" w:eastAsia="zh-CN"/>
        </w:rPr>
        <w:t xml:space="preserve">120 </w:t>
      </w:r>
      <w:r>
        <w:rPr>
          <w:rFonts w:hint="eastAsia" w:ascii="宋体" w:hAnsi="宋体" w:cs="宋体"/>
          <w:color w:val="auto"/>
          <w:szCs w:val="24"/>
          <w:highlight w:val="none"/>
        </w:rPr>
        <w:t>日历天</w:t>
      </w:r>
      <w:r>
        <w:rPr>
          <w:rFonts w:hint="eastAsia" w:ascii="宋体" w:hAnsi="宋体" w:cs="宋体"/>
          <w:color w:val="auto"/>
          <w:szCs w:val="24"/>
          <w:highlight w:val="none"/>
          <w:lang w:eastAsia="zh-CN"/>
        </w:rPr>
        <w:t>，具体以甲方书面通知为准。</w:t>
      </w:r>
    </w:p>
    <w:p>
      <w:pPr>
        <w:widowControl/>
        <w:spacing w:before="201" w:line="360" w:lineRule="auto"/>
        <w:ind w:firstLine="360" w:firstLineChars="150"/>
        <w:rPr>
          <w:rFonts w:ascii="宋体" w:hAnsi="宋体" w:cs="宋体"/>
          <w:color w:val="auto"/>
          <w:szCs w:val="24"/>
          <w:highlight w:val="none"/>
        </w:rPr>
      </w:pPr>
      <w:r>
        <w:rPr>
          <w:rFonts w:hint="eastAsia" w:ascii="宋体" w:hAnsi="宋体" w:cs="宋体"/>
          <w:color w:val="auto"/>
          <w:szCs w:val="24"/>
          <w:highlight w:val="none"/>
          <w:lang w:bidi="ar"/>
        </w:rPr>
        <w:t>甲方可根据实际需求合理安排施工进度，乙方应无条件配合。</w:t>
      </w:r>
    </w:p>
    <w:p>
      <w:pPr>
        <w:tabs>
          <w:tab w:val="left" w:pos="63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五、合同方式及价格</w:t>
      </w:r>
    </w:p>
    <w:p>
      <w:pPr>
        <w:tabs>
          <w:tab w:val="left" w:pos="630"/>
        </w:tabs>
        <w:spacing w:line="360" w:lineRule="auto"/>
        <w:ind w:firstLine="240"/>
        <w:rPr>
          <w:rFonts w:ascii="宋体" w:hAnsi="宋体" w:cs="宋体"/>
          <w:b/>
          <w:bCs/>
          <w:color w:val="auto"/>
          <w:kern w:val="1"/>
          <w:szCs w:val="24"/>
          <w:highlight w:val="none"/>
        </w:rPr>
      </w:pPr>
      <w:r>
        <w:rPr>
          <w:rFonts w:hint="eastAsia" w:ascii="宋体" w:hAnsi="宋体" w:cs="宋体"/>
          <w:b/>
          <w:bCs/>
          <w:color w:val="auto"/>
          <w:kern w:val="1"/>
          <w:szCs w:val="24"/>
          <w:highlight w:val="none"/>
          <w:lang w:bidi="ar"/>
        </w:rPr>
        <w:t>1、合同方式：固定总价合同</w:t>
      </w:r>
    </w:p>
    <w:p>
      <w:pPr>
        <w:tabs>
          <w:tab w:val="left" w:pos="630"/>
        </w:tabs>
        <w:spacing w:line="360" w:lineRule="auto"/>
        <w:ind w:firstLine="480" w:firstLineChars="200"/>
        <w:rPr>
          <w:rFonts w:hint="eastAsia" w:ascii="宋体" w:hAnsi="宋体" w:eastAsia="宋体" w:cs="宋体"/>
          <w:color w:val="auto"/>
          <w:kern w:val="1"/>
          <w:sz w:val="24"/>
          <w:szCs w:val="24"/>
          <w:highlight w:val="none"/>
        </w:rPr>
      </w:pPr>
      <w:r>
        <w:rPr>
          <w:rFonts w:hint="eastAsia" w:ascii="宋体" w:hAnsi="宋体" w:eastAsia="宋体" w:cs="宋体"/>
          <w:color w:val="auto"/>
          <w:kern w:val="1"/>
          <w:sz w:val="24"/>
          <w:szCs w:val="24"/>
          <w:highlight w:val="none"/>
          <w:lang w:bidi="ar"/>
        </w:rPr>
        <w:t>施工图纸内承包内容按固定合同总价一次性包干，除变更签证外结算时不因任何因素的变化而调整。</w:t>
      </w:r>
    </w:p>
    <w:p>
      <w:pPr>
        <w:tabs>
          <w:tab w:val="left" w:pos="630"/>
        </w:tabs>
        <w:spacing w:line="360" w:lineRule="auto"/>
        <w:ind w:firstLine="240"/>
        <w:rPr>
          <w:rFonts w:ascii="宋体" w:hAnsi="宋体" w:cs="宋体"/>
          <w:b/>
          <w:bCs/>
          <w:color w:val="auto"/>
          <w:kern w:val="1"/>
          <w:szCs w:val="24"/>
          <w:highlight w:val="none"/>
        </w:rPr>
      </w:pPr>
      <w:r>
        <w:rPr>
          <w:rFonts w:hint="eastAsia" w:ascii="宋体" w:hAnsi="宋体" w:cs="宋体"/>
          <w:b/>
          <w:bCs/>
          <w:color w:val="auto"/>
          <w:kern w:val="1"/>
          <w:szCs w:val="24"/>
          <w:highlight w:val="none"/>
          <w:lang w:bidi="ar"/>
        </w:rPr>
        <w:t>2、 合同价格：</w:t>
      </w:r>
    </w:p>
    <w:p>
      <w:pPr>
        <w:widowControl/>
        <w:spacing w:before="4" w:line="360" w:lineRule="auto"/>
        <w:rPr>
          <w:rFonts w:ascii="宋体" w:hAnsi="宋体" w:cs="宋体"/>
          <w:color w:val="auto"/>
          <w:kern w:val="1"/>
          <w:szCs w:val="24"/>
          <w:highlight w:val="none"/>
          <w:lang w:bidi="ar"/>
        </w:rPr>
      </w:pPr>
      <w:r>
        <w:rPr>
          <w:rFonts w:hint="eastAsia" w:ascii="宋体" w:hAnsi="宋体" w:cs="宋体"/>
          <w:color w:val="auto"/>
          <w:kern w:val="1"/>
          <w:szCs w:val="24"/>
          <w:highlight w:val="none"/>
          <w:lang w:bidi="ar"/>
        </w:rPr>
        <w:t>（1）本工程固定合同</w:t>
      </w:r>
      <w:r>
        <w:rPr>
          <w:rFonts w:hint="eastAsia" w:ascii="宋体" w:hAnsi="宋体" w:cs="宋体"/>
          <w:color w:val="auto"/>
          <w:kern w:val="1"/>
          <w:szCs w:val="24"/>
          <w:highlight w:val="none"/>
          <w:lang w:eastAsia="zh-CN" w:bidi="ar"/>
        </w:rPr>
        <w:t>含税</w:t>
      </w:r>
      <w:r>
        <w:rPr>
          <w:rFonts w:hint="eastAsia" w:ascii="宋体" w:hAnsi="宋体" w:cs="宋体"/>
          <w:color w:val="auto"/>
          <w:kern w:val="1"/>
          <w:szCs w:val="24"/>
          <w:highlight w:val="none"/>
          <w:lang w:bidi="ar"/>
        </w:rPr>
        <w:t>总价为￥</w:t>
      </w:r>
      <w:r>
        <w:rPr>
          <w:rFonts w:hint="eastAsia" w:ascii="宋体" w:hAnsi="宋体" w:cs="宋体"/>
          <w:color w:val="auto"/>
          <w:kern w:val="1"/>
          <w:szCs w:val="24"/>
          <w:highlight w:val="none"/>
          <w:lang w:val="en-US" w:eastAsia="zh-CN" w:bidi="ar"/>
        </w:rPr>
        <w:t>3500000.00</w:t>
      </w:r>
      <w:r>
        <w:rPr>
          <w:rFonts w:hint="eastAsia" w:ascii="宋体" w:hAnsi="宋体" w:cs="宋体"/>
          <w:color w:val="auto"/>
          <w:kern w:val="1"/>
          <w:szCs w:val="24"/>
          <w:highlight w:val="none"/>
          <w:lang w:bidi="ar"/>
        </w:rPr>
        <w:t>元，人民币大写：</w:t>
      </w:r>
      <w:r>
        <w:rPr>
          <w:rFonts w:hint="eastAsia" w:ascii="宋体" w:hAnsi="宋体" w:cs="宋体"/>
          <w:color w:val="auto"/>
          <w:kern w:val="1"/>
          <w:szCs w:val="24"/>
          <w:highlight w:val="none"/>
          <w:lang w:eastAsia="zh-CN" w:bidi="ar"/>
        </w:rPr>
        <w:t>叁佰伍拾万元整</w:t>
      </w:r>
      <w:r>
        <w:rPr>
          <w:rFonts w:hint="eastAsia" w:ascii="宋体" w:hAnsi="宋体" w:cs="宋体"/>
          <w:color w:val="auto"/>
          <w:kern w:val="1"/>
          <w:szCs w:val="24"/>
          <w:highlight w:val="none"/>
          <w:lang w:bidi="ar"/>
        </w:rPr>
        <w:t>；上述金额为含税金额，其中，不含税金额为【</w:t>
      </w:r>
      <w:r>
        <w:rPr>
          <w:rFonts w:hint="eastAsia" w:ascii="宋体" w:hAnsi="宋体" w:cs="宋体"/>
          <w:color w:val="auto"/>
          <w:kern w:val="1"/>
          <w:szCs w:val="24"/>
          <w:highlight w:val="none"/>
          <w:lang w:val="en-US" w:eastAsia="zh-CN" w:bidi="ar"/>
        </w:rPr>
        <w:t>3211009.17</w:t>
      </w:r>
      <w:r>
        <w:rPr>
          <w:rFonts w:hint="eastAsia" w:ascii="宋体" w:hAnsi="宋体" w:cs="宋体"/>
          <w:color w:val="auto"/>
          <w:kern w:val="1"/>
          <w:szCs w:val="24"/>
          <w:highlight w:val="none"/>
          <w:lang w:bidi="ar"/>
        </w:rPr>
        <w:t>】元，增值税率为【</w:t>
      </w:r>
      <w:r>
        <w:rPr>
          <w:rFonts w:hint="eastAsia" w:ascii="宋体" w:hAnsi="宋体" w:cs="宋体"/>
          <w:color w:val="auto"/>
          <w:kern w:val="1"/>
          <w:szCs w:val="24"/>
          <w:highlight w:val="none"/>
          <w:lang w:val="en-US" w:eastAsia="zh-CN" w:bidi="ar"/>
        </w:rPr>
        <w:t>9</w:t>
      </w:r>
      <w:r>
        <w:rPr>
          <w:rFonts w:hint="eastAsia" w:ascii="宋体" w:hAnsi="宋体" w:cs="宋体"/>
          <w:color w:val="auto"/>
          <w:kern w:val="1"/>
          <w:szCs w:val="24"/>
          <w:highlight w:val="none"/>
          <w:lang w:bidi="ar"/>
        </w:rPr>
        <w:t>】%，税款为【</w:t>
      </w:r>
      <w:r>
        <w:rPr>
          <w:rFonts w:hint="eastAsia" w:ascii="宋体" w:hAnsi="宋体" w:cs="宋体"/>
          <w:color w:val="auto"/>
          <w:kern w:val="1"/>
          <w:szCs w:val="24"/>
          <w:highlight w:val="none"/>
          <w:lang w:val="en-US" w:eastAsia="zh-CN" w:bidi="ar"/>
        </w:rPr>
        <w:t>288990.83</w:t>
      </w:r>
      <w:r>
        <w:rPr>
          <w:rFonts w:hint="eastAsia" w:ascii="宋体" w:hAnsi="宋体" w:cs="宋体"/>
          <w:color w:val="auto"/>
          <w:kern w:val="1"/>
          <w:szCs w:val="24"/>
          <w:highlight w:val="none"/>
          <w:lang w:bidi="ar"/>
        </w:rPr>
        <w:t>】元。</w:t>
      </w:r>
    </w:p>
    <w:p>
      <w:pPr>
        <w:widowControl/>
        <w:spacing w:before="4" w:line="360" w:lineRule="auto"/>
        <w:rPr>
          <w:rFonts w:ascii="宋体" w:hAnsi="宋体" w:cs="宋体"/>
          <w:color w:val="auto"/>
          <w:kern w:val="1"/>
          <w:szCs w:val="24"/>
          <w:highlight w:val="none"/>
        </w:rPr>
      </w:pPr>
      <w:r>
        <w:rPr>
          <w:rFonts w:hint="eastAsia" w:ascii="宋体" w:hAnsi="宋体" w:cs="宋体"/>
          <w:color w:val="auto"/>
          <w:kern w:val="1"/>
          <w:szCs w:val="24"/>
          <w:highlight w:val="none"/>
          <w:lang w:bidi="ar"/>
        </w:rPr>
        <w:t>（2）固定合同总价中已包括但不限于承包范围内供配电工程设备和材料的购置</w:t>
      </w:r>
      <w:r>
        <w:rPr>
          <w:rFonts w:hint="eastAsia" w:ascii="宋体" w:hAnsi="宋体" w:cs="宋体"/>
          <w:color w:val="auto"/>
          <w:kern w:val="1"/>
          <w:szCs w:val="24"/>
          <w:highlight w:val="none"/>
          <w:lang w:eastAsia="zh-CN" w:bidi="ar"/>
        </w:rPr>
        <w:t>、含二次设备及二次线缆及配管</w:t>
      </w:r>
      <w:r>
        <w:rPr>
          <w:rFonts w:hint="eastAsia" w:ascii="宋体" w:hAnsi="宋体" w:cs="宋体"/>
          <w:color w:val="auto"/>
          <w:kern w:val="1"/>
          <w:szCs w:val="24"/>
          <w:highlight w:val="none"/>
          <w:lang w:bidi="ar"/>
        </w:rPr>
        <w:t>、安装、调试、检测、办理送电手续、监理费、验收、送电</w:t>
      </w:r>
      <w:r>
        <w:rPr>
          <w:rFonts w:hint="eastAsia" w:ascii="宋体" w:hAnsi="宋体" w:cs="宋体"/>
          <w:color w:val="auto"/>
          <w:kern w:val="1"/>
          <w:szCs w:val="24"/>
          <w:highlight w:val="none"/>
          <w:lang w:eastAsia="zh-CN" w:bidi="ar"/>
        </w:rPr>
        <w:t>、</w:t>
      </w:r>
      <w:r>
        <w:rPr>
          <w:rFonts w:hint="eastAsia" w:ascii="宋体" w:hAnsi="宋体" w:cs="宋体"/>
          <w:bCs/>
          <w:color w:val="auto"/>
          <w:kern w:val="28"/>
          <w:szCs w:val="24"/>
          <w:highlight w:val="none"/>
          <w:lang w:eastAsia="zh-CN"/>
        </w:rPr>
        <w:t>安全文明施工、扬尘管控、市政</w:t>
      </w:r>
      <w:r>
        <w:rPr>
          <w:rFonts w:hint="eastAsia" w:ascii="宋体" w:hAnsi="宋体" w:cs="宋体"/>
          <w:color w:val="auto"/>
          <w:kern w:val="1"/>
          <w:szCs w:val="24"/>
          <w:highlight w:val="none"/>
          <w:lang w:bidi="ar"/>
        </w:rPr>
        <w:t>及取得</w:t>
      </w:r>
      <w:r>
        <w:rPr>
          <w:rFonts w:hint="eastAsia" w:ascii="宋体" w:hAnsi="宋体" w:cs="宋体"/>
          <w:color w:val="auto"/>
          <w:kern w:val="1"/>
          <w:szCs w:val="24"/>
          <w:highlight w:val="none"/>
          <w:lang w:eastAsia="zh-CN" w:bidi="ar"/>
        </w:rPr>
        <w:t>移交</w:t>
      </w:r>
      <w:r>
        <w:rPr>
          <w:rFonts w:hint="eastAsia" w:ascii="宋体" w:hAnsi="宋体" w:cs="宋体"/>
          <w:color w:val="auto"/>
          <w:kern w:val="1"/>
          <w:szCs w:val="24"/>
          <w:highlight w:val="none"/>
          <w:lang w:bidi="ar"/>
        </w:rPr>
        <w:t>所需费用、质保期内的系统维护费和保修期内所需的备品备件、免费对甲方技术人员的培训等费用。</w:t>
      </w:r>
    </w:p>
    <w:p>
      <w:pPr>
        <w:widowControl/>
        <w:spacing w:line="360" w:lineRule="auto"/>
        <w:rPr>
          <w:rFonts w:ascii="宋体" w:hAnsi="宋体" w:cs="宋体"/>
          <w:color w:val="auto"/>
          <w:kern w:val="1"/>
          <w:szCs w:val="24"/>
          <w:highlight w:val="none"/>
        </w:rPr>
      </w:pPr>
      <w:r>
        <w:rPr>
          <w:rFonts w:hint="eastAsia" w:ascii="宋体" w:hAnsi="宋体" w:cs="宋体"/>
          <w:color w:val="auto"/>
          <w:kern w:val="1"/>
          <w:szCs w:val="24"/>
          <w:highlight w:val="none"/>
          <w:lang w:bidi="ar"/>
        </w:rPr>
        <w:t>（3）固定合同总价中已包括但不限于完成承包范围内所有供配电工程的成本、利润、税金、措施费、规费（专项费用）、验收、风险费用等与之相关的所有费用。</w:t>
      </w:r>
    </w:p>
    <w:p>
      <w:pPr>
        <w:widowControl/>
        <w:spacing w:line="500" w:lineRule="exact"/>
        <w:rPr>
          <w:rFonts w:ascii="宋体" w:hAnsi="宋体" w:cs="宋体"/>
          <w:b/>
          <w:color w:val="auto"/>
          <w:szCs w:val="24"/>
          <w:highlight w:val="none"/>
        </w:rPr>
      </w:pPr>
      <w:r>
        <w:rPr>
          <w:rFonts w:hint="eastAsia" w:ascii="宋体" w:hAnsi="宋体" w:cs="宋体"/>
          <w:b/>
          <w:color w:val="auto"/>
          <w:szCs w:val="24"/>
          <w:highlight w:val="none"/>
          <w:lang w:bidi="ar"/>
        </w:rPr>
        <w:t>六、施工技术及体系要求</w:t>
      </w:r>
    </w:p>
    <w:p>
      <w:pPr>
        <w:adjustRightInd w:val="0"/>
        <w:snapToGrid w:val="0"/>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1、 技术标准</w:t>
      </w:r>
    </w:p>
    <w:p>
      <w:pPr>
        <w:adjustRightInd w:val="0"/>
        <w:snapToGrid w:val="0"/>
        <w:spacing w:line="360" w:lineRule="auto"/>
        <w:ind w:firstLine="480" w:firstLineChars="200"/>
        <w:jc w:val="left"/>
        <w:rPr>
          <w:rFonts w:ascii="宋体" w:hAnsi="宋体" w:cs="宋体"/>
          <w:color w:val="auto"/>
          <w:szCs w:val="24"/>
          <w:highlight w:val="none"/>
        </w:rPr>
      </w:pPr>
      <w:r>
        <w:rPr>
          <w:rFonts w:hint="eastAsia" w:ascii="宋体" w:hAnsi="宋体" w:cs="宋体"/>
          <w:color w:val="auto"/>
          <w:szCs w:val="24"/>
          <w:highlight w:val="none"/>
          <w:lang w:bidi="ar"/>
        </w:rPr>
        <w:t>本次工程内容执行国家现行相关工程建设法律、法规、强制性标准及相关技术规范。</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（1）《建筑工程施工质量验收统一标准》GB50300-2013</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（2）《建筑装饰装修工程质量验收规范》GB50210-2001</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（3）《建筑室内装修设计防火规范》GB50222-2017</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（4） 与本工程有关的技术规范和验收标准《电气装置安装工程施工及验收规范》GB50254-96</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其他与本工程有关的现行工程技术、质量评定标准、施工验收标准及规范。</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（5）《砌体工程施工质量验收规范》     GB50203--2011</w:t>
      </w:r>
    </w:p>
    <w:p>
      <w:pPr>
        <w:tabs>
          <w:tab w:val="left" w:pos="7867"/>
        </w:tabs>
        <w:adjustRightInd w:val="0"/>
        <w:snapToGrid w:val="0"/>
        <w:spacing w:line="360" w:lineRule="auto"/>
        <w:jc w:val="lef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bidi="ar"/>
        </w:rPr>
        <w:t>（6）《混凝土工程施工质量验收规范》   GB50204—2015</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（7）《钢结构工程施工质量验收规范》   GB50205—2001</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（8）《木结构工程施工质量验收规范》   GB50206—2012</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（9）《屋面工程质量验收规范》         GB50207—2012</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（10）《地下防水工程质量验收规范》    GB50208—2011</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（11）《建筑地面工程施工质量验收规范》GB50209--2010</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（12）《建筑给水排水及采暖工程施工质量验收规范》GB50242—2002</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（13）《电气装置安装工程 低压电器施工及验收规范》  GB50254-2014</w:t>
      </w:r>
      <w:r>
        <w:rPr>
          <w:rFonts w:hint="eastAsia" w:ascii="宋体" w:hAnsi="宋体" w:cs="宋体"/>
          <w:color w:val="auto"/>
          <w:szCs w:val="24"/>
          <w:highlight w:val="none"/>
          <w:lang w:bidi="ar"/>
        </w:rPr>
        <w:tab/>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（14）《建筑电气工程施工质量验收规范》GB50303—2015</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 xml:space="preserve">（15）《电气装置安装工程 电力交流设备施工及验收规范》GB50255-2014  </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说明：1、以上引用标准，如果已有更新标准，则执行新标准。</w:t>
      </w:r>
    </w:p>
    <w:p>
      <w:pPr>
        <w:adjustRightInd w:val="0"/>
        <w:snapToGrid w:val="0"/>
        <w:spacing w:line="360" w:lineRule="auto"/>
        <w:ind w:firstLine="720" w:firstLineChars="300"/>
        <w:jc w:val="left"/>
        <w:rPr>
          <w:rFonts w:ascii="宋体" w:hAnsi="宋体" w:cs="宋体"/>
          <w:color w:val="auto"/>
          <w:szCs w:val="24"/>
          <w:highlight w:val="none"/>
        </w:rPr>
      </w:pPr>
      <w:r>
        <w:rPr>
          <w:rFonts w:hint="eastAsia" w:ascii="宋体" w:hAnsi="宋体" w:cs="宋体"/>
          <w:color w:val="auto"/>
          <w:szCs w:val="24"/>
          <w:highlight w:val="none"/>
          <w:lang w:bidi="ar"/>
        </w:rPr>
        <w:t>2、以上只列出一些主要规范、标准，本项目涉及的有关内容按相应规范、标准执行；</w:t>
      </w:r>
    </w:p>
    <w:p>
      <w:pPr>
        <w:adjustRightInd w:val="0"/>
        <w:snapToGrid w:val="0"/>
        <w:spacing w:line="360" w:lineRule="auto"/>
        <w:ind w:firstLine="720" w:firstLineChars="300"/>
        <w:jc w:val="left"/>
        <w:rPr>
          <w:rFonts w:ascii="宋体" w:hAnsi="宋体" w:cs="宋体"/>
          <w:color w:val="auto"/>
          <w:szCs w:val="24"/>
          <w:highlight w:val="none"/>
        </w:rPr>
      </w:pPr>
      <w:r>
        <w:rPr>
          <w:rFonts w:hint="eastAsia" w:ascii="宋体" w:hAnsi="宋体" w:cs="宋体"/>
          <w:color w:val="auto"/>
          <w:szCs w:val="24"/>
          <w:highlight w:val="none"/>
          <w:lang w:bidi="ar"/>
        </w:rPr>
        <w:t>3、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widowControl/>
        <w:spacing w:line="500" w:lineRule="exact"/>
        <w:rPr>
          <w:rFonts w:hint="eastAsia" w:ascii="宋体" w:hAnsi="宋体" w:cs="宋体"/>
          <w:b/>
          <w:bCs/>
          <w:color w:val="auto"/>
          <w:sz w:val="24"/>
          <w:szCs w:val="24"/>
          <w:highlight w:val="none"/>
        </w:rPr>
      </w:pPr>
      <w:r>
        <w:rPr>
          <w:rFonts w:hint="eastAsia" w:ascii="宋体" w:hAnsi="宋体" w:cs="宋体"/>
          <w:color w:val="auto"/>
          <w:szCs w:val="24"/>
          <w:highlight w:val="none"/>
          <w:lang w:bidi="ar"/>
        </w:rPr>
        <w:t xml:space="preserve">  </w:t>
      </w:r>
      <w:r>
        <w:rPr>
          <w:rFonts w:hint="eastAsia" w:ascii="宋体" w:hAnsi="宋体" w:cs="宋体"/>
          <w:b/>
          <w:color w:val="auto"/>
          <w:szCs w:val="24"/>
          <w:highlight w:val="none"/>
          <w:lang w:bidi="ar"/>
        </w:rPr>
        <w:t>2、技术要求</w:t>
      </w:r>
    </w:p>
    <w:p>
      <w:pPr>
        <w:tabs>
          <w:tab w:val="left" w:pos="210"/>
        </w:tabs>
        <w:adjustRightInd w:val="0"/>
        <w:snapToGrid w:val="0"/>
        <w:spacing w:line="360" w:lineRule="auto"/>
        <w:ind w:firstLine="480" w:firstLineChars="200"/>
        <w:jc w:val="left"/>
        <w:rPr>
          <w:rFonts w:ascii="宋体" w:hAnsi="宋体" w:cs="宋体"/>
          <w:color w:val="auto"/>
          <w:szCs w:val="24"/>
          <w:highlight w:val="none"/>
          <w:lang w:bidi="ar"/>
        </w:rPr>
      </w:pPr>
      <w:r>
        <w:rPr>
          <w:rFonts w:hint="eastAsia" w:ascii="宋体" w:hAnsi="宋体" w:cs="宋体"/>
          <w:bCs/>
          <w:color w:val="auto"/>
          <w:kern w:val="28"/>
          <w:szCs w:val="24"/>
          <w:highlight w:val="none"/>
        </w:rPr>
        <w:t>开元壹号</w:t>
      </w:r>
      <w:r>
        <w:rPr>
          <w:rFonts w:hint="eastAsia" w:ascii="宋体" w:hAnsi="宋体" w:cs="宋体"/>
          <w:bCs/>
          <w:color w:val="auto"/>
          <w:kern w:val="28"/>
          <w:szCs w:val="24"/>
          <w:highlight w:val="none"/>
          <w:lang w:val="en-US" w:eastAsia="zh-CN"/>
        </w:rPr>
        <w:t>62#地块开闭所施工工程</w:t>
      </w:r>
      <w:r>
        <w:rPr>
          <w:rFonts w:hint="eastAsia" w:ascii="宋体" w:hAnsi="宋体" w:cs="宋体"/>
          <w:color w:val="auto"/>
          <w:szCs w:val="24"/>
          <w:highlight w:val="none"/>
          <w:lang w:bidi="ar"/>
        </w:rPr>
        <w:t>。</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rPr>
        <w:t xml:space="preserve">  </w:t>
      </w:r>
      <w:r>
        <w:rPr>
          <w:rFonts w:hint="eastAsia" w:ascii="宋体" w:hAnsi="宋体" w:cs="宋体"/>
          <w:color w:val="auto"/>
          <w:szCs w:val="24"/>
          <w:highlight w:val="none"/>
          <w:lang w:bidi="ar"/>
        </w:rPr>
        <w:t>1、电缆在电缆沟内敷设时，应打开电缆检查井，以便通风，在原有电缆沟内敷设电缆时，由于电缆沟内已有运行中的电缆，施工时应有安全技术措施。</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2、电缆敷设时电缆应放置在同一支架上，不得上下交替，以免影响其他电缆的安装，电缆弯曲半径不小于15倍的电缆外径。</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3、电缆及其保护管、电缆沟穿过不同区域之间的墙、板孔洞处及盘柜底开孔处，应以有效的阻燃性材料严密封堵，以防止小动物进出和防火的要求。</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4、电缆终端、引入建筑物应有余量，每个中间头亦应有余量。</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5、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6</w:t>
      </w:r>
      <w:r>
        <w:rPr>
          <w:rFonts w:hint="eastAsia" w:ascii="宋体" w:hAnsi="宋体" w:cs="宋体"/>
          <w:color w:val="auto"/>
          <w:szCs w:val="24"/>
          <w:highlight w:val="none"/>
          <w:lang w:bidi="ar"/>
        </w:rPr>
        <w:t>、因对地下设施情况不明，施工时应注意调查地下障碍物，不得破坏原有管线，注意施工安全，如与沟管相交或平行，应与相关部门联系解决。地中穿管距地面距离不应小于0.7米。</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7</w:t>
      </w:r>
      <w:r>
        <w:rPr>
          <w:rFonts w:hint="eastAsia" w:ascii="宋体" w:hAnsi="宋体" w:cs="宋体"/>
          <w:color w:val="auto"/>
          <w:szCs w:val="24"/>
          <w:highlight w:val="none"/>
          <w:lang w:bidi="ar"/>
        </w:rPr>
        <w:t>、电缆在管内敷设，管口不得有毛刺，电缆弯曲半径不小于15倍的电缆外径。</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8</w:t>
      </w:r>
      <w:r>
        <w:rPr>
          <w:rFonts w:hint="eastAsia" w:ascii="宋体" w:hAnsi="宋体" w:cs="宋体"/>
          <w:color w:val="auto"/>
          <w:szCs w:val="24"/>
          <w:highlight w:val="none"/>
          <w:lang w:bidi="ar"/>
        </w:rPr>
        <w:t>、工程所用的电缆器材，设备及附件均应符合国际或专业标准的规定，并有产品合格证明。</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w:t>
      </w:r>
      <w:r>
        <w:rPr>
          <w:rFonts w:hint="eastAsia" w:ascii="宋体" w:hAnsi="宋体" w:cs="宋体"/>
          <w:color w:val="auto"/>
          <w:szCs w:val="24"/>
          <w:highlight w:val="none"/>
          <w:lang w:val="en-US" w:eastAsia="zh-CN" w:bidi="ar"/>
        </w:rPr>
        <w:t>9</w:t>
      </w:r>
      <w:r>
        <w:rPr>
          <w:rFonts w:hint="eastAsia" w:ascii="宋体" w:hAnsi="宋体" w:cs="宋体"/>
          <w:color w:val="auto"/>
          <w:szCs w:val="24"/>
          <w:highlight w:val="none"/>
          <w:lang w:bidi="ar"/>
        </w:rPr>
        <w:t>、10kV电缆的具体安装位置由</w:t>
      </w:r>
      <w:r>
        <w:rPr>
          <w:rFonts w:hint="eastAsia" w:ascii="宋体" w:hAnsi="宋体" w:cs="宋体"/>
          <w:color w:val="auto"/>
          <w:szCs w:val="24"/>
          <w:highlight w:val="none"/>
          <w:lang w:eastAsia="zh-CN" w:bidi="ar"/>
        </w:rPr>
        <w:t>乙方协调</w:t>
      </w:r>
      <w:r>
        <w:rPr>
          <w:rFonts w:hint="eastAsia" w:ascii="宋体" w:hAnsi="宋体" w:cs="宋体"/>
          <w:color w:val="auto"/>
          <w:szCs w:val="24"/>
          <w:highlight w:val="none"/>
          <w:lang w:bidi="ar"/>
        </w:rPr>
        <w:t>供电部门</w:t>
      </w:r>
      <w:r>
        <w:rPr>
          <w:rFonts w:hint="eastAsia" w:ascii="宋体" w:hAnsi="宋体" w:cs="宋体"/>
          <w:color w:val="auto"/>
          <w:szCs w:val="24"/>
          <w:highlight w:val="none"/>
          <w:lang w:eastAsia="zh-CN" w:bidi="ar"/>
        </w:rPr>
        <w:t>并敷设完成</w:t>
      </w:r>
      <w:r>
        <w:rPr>
          <w:rFonts w:hint="eastAsia" w:ascii="宋体" w:hAnsi="宋体" w:cs="宋体"/>
          <w:color w:val="auto"/>
          <w:szCs w:val="24"/>
          <w:highlight w:val="none"/>
          <w:lang w:bidi="ar"/>
        </w:rPr>
        <w:t>。</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0</w:t>
      </w:r>
      <w:r>
        <w:rPr>
          <w:rFonts w:hint="eastAsia" w:ascii="宋体" w:hAnsi="宋体" w:cs="宋体"/>
          <w:color w:val="auto"/>
          <w:szCs w:val="24"/>
          <w:highlight w:val="none"/>
          <w:lang w:bidi="ar"/>
        </w:rPr>
        <w:t>、在电缆终端头，电缆接头处检查井内的电缆上，应装设标志牌，标注牌上应注明线路名称，字迹应清晰，不易脱落。标志牌的规格宜统一，应能防腐，且挂装一个牢靠。</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1</w:t>
      </w:r>
      <w:r>
        <w:rPr>
          <w:rFonts w:hint="eastAsia" w:ascii="宋体" w:hAnsi="宋体" w:cs="宋体"/>
          <w:color w:val="auto"/>
          <w:szCs w:val="24"/>
          <w:highlight w:val="none"/>
          <w:lang w:bidi="ar"/>
        </w:rPr>
        <w:t>、电缆标志桩应在电缆转角处设置。</w:t>
      </w:r>
    </w:p>
    <w:p>
      <w:pPr>
        <w:adjustRightInd w:val="0"/>
        <w:snapToGrid w:val="0"/>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2</w:t>
      </w:r>
      <w:r>
        <w:rPr>
          <w:rFonts w:hint="eastAsia" w:ascii="宋体" w:hAnsi="宋体" w:cs="宋体"/>
          <w:color w:val="auto"/>
          <w:szCs w:val="24"/>
          <w:highlight w:val="none"/>
          <w:lang w:bidi="ar"/>
        </w:rPr>
        <w:t>、电缆施工及验收，应遵照GB50168-</w:t>
      </w:r>
      <w:r>
        <w:rPr>
          <w:rFonts w:hint="eastAsia" w:ascii="宋体" w:hAnsi="宋体" w:cs="宋体"/>
          <w:color w:val="auto"/>
          <w:szCs w:val="24"/>
          <w:highlight w:val="none"/>
          <w:lang w:val="en-US" w:eastAsia="zh-CN" w:bidi="ar"/>
        </w:rPr>
        <w:t>2018</w:t>
      </w:r>
      <w:r>
        <w:rPr>
          <w:rFonts w:hint="eastAsia" w:ascii="宋体" w:hAnsi="宋体" w:cs="宋体"/>
          <w:color w:val="auto"/>
          <w:szCs w:val="24"/>
          <w:highlight w:val="none"/>
          <w:lang w:bidi="ar"/>
        </w:rPr>
        <w:t>《电气装置安装工程电缆线路施工及验收规范》及其他现行有关标准规范的规定执行。</w:t>
      </w:r>
    </w:p>
    <w:p>
      <w:pPr>
        <w:adjustRightInd w:val="0"/>
        <w:snapToGrid w:val="0"/>
        <w:spacing w:line="360" w:lineRule="auto"/>
        <w:jc w:val="left"/>
        <w:rPr>
          <w:rFonts w:ascii="宋体" w:hAnsi="宋体" w:cs="宋体"/>
          <w:color w:val="auto"/>
          <w:szCs w:val="24"/>
          <w:highlight w:val="none"/>
        </w:rPr>
      </w:pPr>
      <w:r>
        <w:rPr>
          <w:rFonts w:hint="eastAsia" w:ascii="宋体" w:hAnsi="宋体" w:cs="宋体"/>
          <w:color w:val="auto"/>
          <w:szCs w:val="24"/>
          <w:highlight w:val="none"/>
          <w:lang w:bidi="ar"/>
        </w:rPr>
        <w:t xml:space="preserve">  1</w:t>
      </w:r>
      <w:r>
        <w:rPr>
          <w:rFonts w:hint="eastAsia" w:ascii="宋体" w:hAnsi="宋体" w:cs="宋体"/>
          <w:color w:val="auto"/>
          <w:szCs w:val="24"/>
          <w:highlight w:val="none"/>
          <w:lang w:val="en-US" w:eastAsia="zh-CN" w:bidi="ar"/>
        </w:rPr>
        <w:t>3</w:t>
      </w:r>
      <w:r>
        <w:rPr>
          <w:rFonts w:hint="eastAsia" w:ascii="宋体" w:hAnsi="宋体" w:cs="宋体"/>
          <w:color w:val="auto"/>
          <w:szCs w:val="24"/>
          <w:highlight w:val="none"/>
          <w:lang w:bidi="ar"/>
        </w:rPr>
        <w:t>、未尽事宜，按现行国家标准和规范执行。</w:t>
      </w:r>
    </w:p>
    <w:p>
      <w:pPr>
        <w:widowControl/>
        <w:spacing w:line="500" w:lineRule="exact"/>
        <w:rPr>
          <w:rFonts w:ascii="宋体" w:hAnsi="宋体" w:cs="宋体"/>
          <w:b/>
          <w:color w:val="auto"/>
          <w:szCs w:val="24"/>
          <w:highlight w:val="none"/>
        </w:rPr>
      </w:pPr>
      <w:r>
        <w:rPr>
          <w:rFonts w:hint="eastAsia" w:ascii="宋体" w:hAnsi="宋体" w:cs="宋体"/>
          <w:b/>
          <w:color w:val="auto"/>
          <w:szCs w:val="24"/>
          <w:highlight w:val="none"/>
          <w:lang w:bidi="ar"/>
        </w:rPr>
        <w:t>七、质量要求及验收</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1、工程质量达到合格标准。</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2、适用标准、规范：国家、河南省现行的供配电工程相关施工验收规范、标准。</w:t>
      </w:r>
    </w:p>
    <w:p>
      <w:pPr>
        <w:widowControl/>
        <w:spacing w:before="4" w:line="360" w:lineRule="auto"/>
        <w:rPr>
          <w:rFonts w:ascii="宋体" w:hAnsi="宋体" w:cs="宋体"/>
          <w:color w:val="auto"/>
          <w:szCs w:val="24"/>
          <w:highlight w:val="none"/>
        </w:rPr>
      </w:pPr>
      <w:r>
        <w:rPr>
          <w:rFonts w:hint="eastAsia" w:ascii="宋体" w:hAnsi="宋体" w:cs="宋体"/>
          <w:color w:val="auto"/>
          <w:szCs w:val="24"/>
          <w:highlight w:val="none"/>
          <w:lang w:bidi="ar"/>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widowControl/>
        <w:spacing w:line="360" w:lineRule="auto"/>
        <w:rPr>
          <w:rFonts w:ascii="宋体" w:hAnsi="宋体" w:cs="宋体"/>
          <w:color w:val="auto"/>
          <w:szCs w:val="24"/>
          <w:highlight w:val="none"/>
        </w:rPr>
      </w:pPr>
      <w:r>
        <w:rPr>
          <w:rFonts w:hint="eastAsia" w:ascii="宋体" w:hAnsi="宋体" w:cs="宋体"/>
          <w:color w:val="auto"/>
          <w:szCs w:val="24"/>
          <w:highlight w:val="none"/>
          <w:lang w:bidi="ar"/>
        </w:rPr>
        <w:t>4、施工中，凡出现质量不合格的分部分项工程经甲方、监理或政府相关部门提出进行返工的，乙方必须认真执行，并承担由此发生的全部费用，乙方并不能因此而获得工期顺延。</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且整改期间工期不予顺延。</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6、隐蔽工程由乙方书面通知甲方、监理，由甲方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7、分项工程安装完毕，乙方应通过自查自检，认为合格后，通知甲方、监理验收，验收合格后，甲方、监理应及时给予办理验收签证手续。</w:t>
      </w:r>
    </w:p>
    <w:p>
      <w:pPr>
        <w:tabs>
          <w:tab w:val="left" w:pos="630"/>
        </w:tabs>
        <w:spacing w:line="360" w:lineRule="auto"/>
        <w:rPr>
          <w:rFonts w:ascii="宋体" w:hAnsi="宋体" w:cs="宋体"/>
          <w:color w:val="auto"/>
          <w:szCs w:val="24"/>
          <w:highlight w:val="none"/>
        </w:rPr>
      </w:pPr>
      <w:r>
        <w:rPr>
          <w:rFonts w:hint="eastAsia" w:ascii="宋体" w:hAnsi="宋体" w:cs="宋体"/>
          <w:color w:val="auto"/>
          <w:szCs w:val="24"/>
          <w:highlight w:val="none"/>
          <w:lang w:bidi="ar"/>
        </w:rPr>
        <w:t>8、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tabs>
          <w:tab w:val="left" w:pos="630"/>
        </w:tabs>
        <w:spacing w:line="360" w:lineRule="auto"/>
        <w:rPr>
          <w:rFonts w:ascii="宋体" w:hAnsi="宋体" w:cs="宋体"/>
          <w:color w:val="auto"/>
          <w:szCs w:val="24"/>
          <w:highlight w:val="none"/>
          <w:lang w:bidi="ar"/>
        </w:rPr>
      </w:pPr>
      <w:r>
        <w:rPr>
          <w:rFonts w:hint="eastAsia" w:ascii="宋体" w:hAnsi="宋体" w:cs="宋体"/>
          <w:color w:val="auto"/>
          <w:szCs w:val="24"/>
          <w:highlight w:val="none"/>
          <w:lang w:bidi="ar"/>
        </w:rPr>
        <w:t>9、乙方负责在施工过程中与电力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连结的施工问题，承办方应主动进行协调并解决问题。</w:t>
      </w:r>
    </w:p>
    <w:p>
      <w:pPr>
        <w:pStyle w:val="41"/>
        <w:widowControl w:val="0"/>
        <w:tabs>
          <w:tab w:val="left" w:pos="6480"/>
        </w:tabs>
        <w:spacing w:before="0" w:beforeAutospacing="0" w:after="0" w:afterAutospacing="0" w:line="360" w:lineRule="auto"/>
        <w:ind w:firstLine="241" w:firstLineChars="100"/>
        <w:jc w:val="both"/>
        <w:rPr>
          <w:rFonts w:hint="eastAsia" w:hAnsi="宋体" w:eastAsia="宋体" w:cs="宋体"/>
          <w:b/>
          <w:color w:val="auto"/>
          <w:highlight w:val="none"/>
          <w:lang w:val="en-US" w:eastAsia="zh-CN"/>
        </w:rPr>
      </w:pPr>
      <w:r>
        <w:rPr>
          <w:rFonts w:hint="eastAsia" w:hAnsi="宋体" w:cs="宋体"/>
          <w:b/>
          <w:color w:val="auto"/>
          <w:kern w:val="1"/>
          <w:highlight w:val="none"/>
          <w:lang w:bidi="ar"/>
        </w:rPr>
        <w:t>八、工程变更</w:t>
      </w:r>
      <w:r>
        <w:rPr>
          <w:rFonts w:hint="eastAsia" w:hAnsi="宋体" w:cs="宋体"/>
          <w:b/>
          <w:color w:val="auto"/>
          <w:kern w:val="1"/>
          <w:highlight w:val="none"/>
          <w:lang w:val="en-US" w:eastAsia="zh-CN" w:bidi="ar"/>
        </w:rPr>
        <w:t>签证</w:t>
      </w:r>
    </w:p>
    <w:p>
      <w:pPr>
        <w:tabs>
          <w:tab w:val="left" w:pos="630"/>
        </w:tabs>
        <w:spacing w:line="360" w:lineRule="auto"/>
        <w:rPr>
          <w:rFonts w:hint="eastAsia" w:ascii="宋体" w:hAnsi="宋体" w:cs="宋体"/>
          <w:color w:val="auto"/>
          <w:szCs w:val="24"/>
          <w:highlight w:val="none"/>
          <w:lang w:bidi="ar"/>
        </w:rPr>
      </w:pPr>
      <w:r>
        <w:rPr>
          <w:rFonts w:hint="eastAsia" w:ascii="宋体" w:hAnsi="宋体" w:cs="宋体"/>
          <w:color w:val="auto"/>
          <w:kern w:val="2"/>
          <w:szCs w:val="24"/>
          <w:highlight w:val="none"/>
          <w:lang w:bidi="ar"/>
        </w:rPr>
        <w:t xml:space="preserve"> 1、乙方应严格按照经甲方核审签认的施工图纸施工，不得随意变更；若确须变更，应按程序报甲方同意后，方可变更施工。否则造成的一切后果均由乙方负责。</w:t>
      </w:r>
    </w:p>
    <w:p>
      <w:pPr>
        <w:tabs>
          <w:tab w:val="left" w:pos="630"/>
        </w:tabs>
        <w:spacing w:line="360" w:lineRule="auto"/>
        <w:rPr>
          <w:rFonts w:hint="eastAsia" w:ascii="宋体" w:hAnsi="宋体" w:cs="宋体"/>
          <w:color w:val="auto"/>
          <w:szCs w:val="24"/>
          <w:highlight w:val="none"/>
          <w:lang w:bidi="ar"/>
        </w:rPr>
      </w:pPr>
      <w:r>
        <w:rPr>
          <w:rFonts w:hint="eastAsia" w:ascii="宋体" w:hAnsi="宋体" w:cs="宋体"/>
          <w:color w:val="auto"/>
          <w:kern w:val="2"/>
          <w:szCs w:val="24"/>
          <w:highlight w:val="none"/>
          <w:lang w:bidi="ar"/>
        </w:rPr>
        <w:t>2、施工过程中，若甲方需要增减项目或变更项目应提前以书面形式通知乙方，</w:t>
      </w:r>
      <w:r>
        <w:rPr>
          <w:rFonts w:hint="eastAsia" w:ascii="宋体" w:hAnsi="宋体" w:cs="宋体"/>
          <w:color w:val="auto"/>
          <w:szCs w:val="24"/>
          <w:highlight w:val="none"/>
          <w:lang w:bidi="ar"/>
        </w:rPr>
        <w:t>接到通知后，乙方应立即执行增减或变更后的项目，否则一切损失由乙方负担</w:t>
      </w:r>
      <w:r>
        <w:rPr>
          <w:rFonts w:hint="eastAsia" w:ascii="宋体" w:hAnsi="宋体" w:cs="宋体"/>
          <w:color w:val="auto"/>
          <w:kern w:val="2"/>
          <w:szCs w:val="24"/>
          <w:highlight w:val="none"/>
          <w:lang w:bidi="ar"/>
        </w:rPr>
        <w:t>。</w:t>
      </w:r>
    </w:p>
    <w:p>
      <w:pPr>
        <w:tabs>
          <w:tab w:val="left" w:pos="630"/>
        </w:tabs>
        <w:spacing w:line="360" w:lineRule="auto"/>
        <w:rPr>
          <w:rFonts w:hint="eastAsia" w:ascii="宋体" w:hAnsi="宋体" w:cs="宋体"/>
          <w:color w:val="auto"/>
          <w:szCs w:val="24"/>
          <w:highlight w:val="none"/>
          <w:lang w:bidi="ar"/>
        </w:rPr>
      </w:pPr>
      <w:r>
        <w:rPr>
          <w:rFonts w:hint="eastAsia" w:ascii="宋体" w:hAnsi="宋体" w:cs="宋体"/>
          <w:color w:val="auto"/>
          <w:kern w:val="2"/>
          <w:szCs w:val="24"/>
          <w:highlight w:val="none"/>
          <w:lang w:bidi="ar"/>
        </w:rPr>
        <w:t>3、施工中承包人不得擅自对原工程设计进行变更。因承包人擅自变更设计发生的费用和由此导致的直接经济损失，由承包人承担，延误的工期不予顺延。</w:t>
      </w:r>
    </w:p>
    <w:p>
      <w:pPr>
        <w:tabs>
          <w:tab w:val="left" w:pos="630"/>
        </w:tabs>
        <w:spacing w:line="360" w:lineRule="auto"/>
        <w:rPr>
          <w:rFonts w:hint="eastAsia" w:ascii="宋体" w:hAnsi="宋体" w:cs="宋体"/>
          <w:color w:val="auto"/>
          <w:kern w:val="2"/>
          <w:szCs w:val="24"/>
          <w:highlight w:val="none"/>
          <w:lang w:bidi="ar"/>
        </w:rPr>
      </w:pPr>
      <w:r>
        <w:rPr>
          <w:rFonts w:hint="eastAsia" w:ascii="宋体" w:hAnsi="宋体" w:cs="宋体"/>
          <w:color w:val="auto"/>
          <w:kern w:val="2"/>
          <w:szCs w:val="24"/>
          <w:highlight w:val="none"/>
          <w:lang w:bidi="ar"/>
        </w:rPr>
        <w:t>4、变更、签证计价办法：因设计变更</w:t>
      </w:r>
      <w:r>
        <w:rPr>
          <w:rFonts w:hint="eastAsia" w:ascii="宋体" w:hAnsi="宋体" w:cs="宋体"/>
          <w:color w:val="auto"/>
          <w:kern w:val="2"/>
          <w:szCs w:val="24"/>
          <w:highlight w:val="none"/>
          <w:lang w:eastAsia="zh-CN" w:bidi="ar"/>
        </w:rPr>
        <w:t>、</w:t>
      </w:r>
      <w:r>
        <w:rPr>
          <w:rFonts w:hint="eastAsia" w:ascii="宋体" w:hAnsi="宋体" w:cs="宋体"/>
          <w:color w:val="auto"/>
          <w:kern w:val="2"/>
          <w:szCs w:val="24"/>
          <w:highlight w:val="none"/>
          <w:lang w:val="en-US" w:eastAsia="zh-CN" w:bidi="ar"/>
        </w:rPr>
        <w:t>签证</w:t>
      </w:r>
      <w:r>
        <w:rPr>
          <w:rFonts w:hint="eastAsia" w:ascii="宋体" w:hAnsi="宋体" w:cs="宋体"/>
          <w:color w:val="auto"/>
          <w:kern w:val="2"/>
          <w:szCs w:val="24"/>
          <w:highlight w:val="none"/>
          <w:lang w:bidi="ar"/>
        </w:rPr>
        <w:t>引起部分分项工程子目的增减，</w:t>
      </w:r>
      <w:r>
        <w:rPr>
          <w:rFonts w:hint="eastAsia" w:ascii="宋体" w:hAnsi="宋体" w:cs="宋体"/>
          <w:color w:val="auto"/>
          <w:kern w:val="2"/>
          <w:sz w:val="24"/>
          <w:szCs w:val="24"/>
          <w:highlight w:val="none"/>
          <w:lang w:bidi="ar"/>
        </w:rPr>
        <w:t>该项子目的综合单价在合同中（即后附表工程量清单）有相同子目的执行相同子目的单价，合同中后附表中有相近子目的按相近子目执行，若合同中后附表无适用或类似于变更、签证工程综合单价的，按照《河南省房屋建筑与装饰工程预算定额》、《河南省通用安装工程预算定额》《河南省市政工程预算定额》（2016版）相关分册及配套的取费文件执行，材料按照施工同期的《河南省建设工程造价信息洛阳专刊》中的价格调整差价。实际施工发生主材用料变更，则只调整综合单价中主材费的价差及相应的税金，并参与总价优惠15%，其余一切有关费用不得调整。本工程脚手架、成品保护、扬尘防护费等工程类相关措施费为一次性包干费用，已包含在合同价内，结算时不再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九、</w:t>
      </w:r>
      <w:r>
        <w:rPr>
          <w:rFonts w:hint="eastAsia" w:ascii="宋体" w:hAnsi="宋体" w:eastAsia="宋体" w:cs="宋体"/>
          <w:b/>
          <w:bCs/>
          <w:color w:val="auto"/>
          <w:spacing w:val="0"/>
          <w:kern w:val="24"/>
          <w:position w:val="0"/>
          <w:sz w:val="24"/>
          <w:szCs w:val="24"/>
          <w:highlight w:val="none"/>
          <w:vertAlign w:val="baseline"/>
        </w:rPr>
        <w:t>竣工</w:t>
      </w:r>
      <w:r>
        <w:rPr>
          <w:rFonts w:hint="eastAsia" w:ascii="宋体" w:hAnsi="宋体" w:eastAsia="宋体" w:cs="宋体"/>
          <w:b/>
          <w:bCs/>
          <w:color w:val="auto"/>
          <w:highlight w:val="none"/>
        </w:rPr>
        <w:t xml:space="preserve">结算 </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auto"/>
          <w:kern w:val="2"/>
          <w:highlight w:val="none"/>
          <w:lang w:bidi="ar"/>
        </w:rPr>
      </w:pPr>
      <w:r>
        <w:rPr>
          <w:rFonts w:hint="eastAsia" w:hAnsi="宋体" w:cs="宋体"/>
          <w:color w:val="auto"/>
          <w:kern w:val="2"/>
          <w:highlight w:val="none"/>
          <w:lang w:val="en-US" w:eastAsia="zh-CN" w:bidi="ar"/>
        </w:rPr>
        <w:t xml:space="preserve">9.1 </w:t>
      </w:r>
      <w:r>
        <w:rPr>
          <w:rFonts w:hint="eastAsia" w:ascii="宋体" w:hAnsi="宋体" w:eastAsia="宋体" w:cs="宋体"/>
          <w:color w:val="auto"/>
          <w:kern w:val="2"/>
          <w:highlight w:val="none"/>
          <w:lang w:bidi="ar"/>
        </w:rPr>
        <w:t>结算：结算价款=合同固定总价±变更签证-应扣费用；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spacing w:val="0"/>
          <w:kern w:val="24"/>
          <w:position w:val="0"/>
          <w:sz w:val="24"/>
          <w:szCs w:val="24"/>
          <w:highlight w:val="none"/>
          <w:vertAlign w:val="baseline"/>
        </w:rPr>
      </w:pPr>
      <w:r>
        <w:rPr>
          <w:rFonts w:hint="eastAsia" w:ascii="宋体" w:hAnsi="宋体" w:cs="宋体"/>
          <w:b w:val="0"/>
          <w:color w:val="auto"/>
          <w:spacing w:val="0"/>
          <w:kern w:val="24"/>
          <w:position w:val="0"/>
          <w:sz w:val="24"/>
          <w:szCs w:val="24"/>
          <w:highlight w:val="none"/>
          <w:vertAlign w:val="baseline"/>
          <w:lang w:val="en-US" w:eastAsia="zh-CN"/>
        </w:rPr>
        <w:t xml:space="preserve">9.2 </w:t>
      </w:r>
      <w:r>
        <w:rPr>
          <w:rFonts w:hint="eastAsia" w:ascii="宋体" w:hAnsi="宋体" w:eastAsia="宋体" w:cs="宋体"/>
          <w:b w:val="0"/>
          <w:color w:val="auto"/>
          <w:spacing w:val="0"/>
          <w:kern w:val="24"/>
          <w:position w:val="0"/>
          <w:sz w:val="24"/>
          <w:szCs w:val="24"/>
          <w:highlight w:val="none"/>
          <w:vertAlign w:val="baseline"/>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spacing w:val="0"/>
          <w:kern w:val="24"/>
          <w:position w:val="0"/>
          <w:sz w:val="24"/>
          <w:szCs w:val="24"/>
          <w:highlight w:val="none"/>
          <w:vertAlign w:val="baseline"/>
        </w:rPr>
      </w:pPr>
      <w:r>
        <w:rPr>
          <w:rFonts w:hint="eastAsia" w:ascii="宋体" w:hAnsi="宋体" w:eastAsia="宋体" w:cs="宋体"/>
          <w:b w:val="0"/>
          <w:color w:val="auto"/>
          <w:spacing w:val="0"/>
          <w:kern w:val="24"/>
          <w:position w:val="0"/>
          <w:sz w:val="24"/>
          <w:szCs w:val="24"/>
          <w:highlight w:val="none"/>
          <w:vertAlign w:val="baseline"/>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auto"/>
          <w:spacing w:val="0"/>
          <w:kern w:val="24"/>
          <w:position w:val="0"/>
          <w:sz w:val="24"/>
          <w:szCs w:val="24"/>
          <w:highlight w:val="none"/>
          <w:vertAlign w:val="baseline"/>
        </w:rPr>
      </w:pPr>
      <w:r>
        <w:rPr>
          <w:rFonts w:hint="eastAsia" w:ascii="宋体" w:hAnsi="宋体" w:cs="宋体"/>
          <w:b w:val="0"/>
          <w:color w:val="auto"/>
          <w:spacing w:val="0"/>
          <w:kern w:val="24"/>
          <w:position w:val="0"/>
          <w:sz w:val="24"/>
          <w:szCs w:val="24"/>
          <w:highlight w:val="none"/>
          <w:vertAlign w:val="baseline"/>
          <w:lang w:val="en-US" w:eastAsia="zh-CN"/>
        </w:rPr>
        <w:t xml:space="preserve">9.3 </w:t>
      </w:r>
      <w:r>
        <w:rPr>
          <w:rFonts w:hint="eastAsia" w:ascii="宋体" w:hAnsi="宋体" w:eastAsia="宋体" w:cs="宋体"/>
          <w:b w:val="0"/>
          <w:color w:val="auto"/>
          <w:spacing w:val="0"/>
          <w:kern w:val="24"/>
          <w:position w:val="0"/>
          <w:sz w:val="24"/>
          <w:szCs w:val="24"/>
          <w:highlight w:val="none"/>
          <w:vertAlign w:val="baseline"/>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auto"/>
          <w:spacing w:val="0"/>
          <w:kern w:val="24"/>
          <w:position w:val="0"/>
          <w:sz w:val="24"/>
          <w:szCs w:val="24"/>
          <w:highlight w:val="none"/>
          <w:vertAlign w:val="baseline"/>
          <w:lang w:eastAsia="zh-CN"/>
        </w:rPr>
      </w:pPr>
      <w:r>
        <w:rPr>
          <w:rFonts w:hint="eastAsia" w:ascii="宋体" w:hAnsi="宋体" w:cs="宋体"/>
          <w:b/>
          <w:bCs/>
          <w:color w:val="auto"/>
          <w:spacing w:val="0"/>
          <w:kern w:val="24"/>
          <w:position w:val="0"/>
          <w:sz w:val="24"/>
          <w:szCs w:val="24"/>
          <w:highlight w:val="none"/>
          <w:vertAlign w:val="baseline"/>
          <w:lang w:eastAsia="zh-CN"/>
        </w:rPr>
        <w:t>十</w:t>
      </w:r>
      <w:r>
        <w:rPr>
          <w:rFonts w:hint="eastAsia" w:ascii="宋体" w:hAnsi="宋体" w:eastAsia="宋体" w:cs="宋体"/>
          <w:b/>
          <w:bCs/>
          <w:color w:val="auto"/>
          <w:spacing w:val="0"/>
          <w:kern w:val="24"/>
          <w:position w:val="0"/>
          <w:sz w:val="24"/>
          <w:szCs w:val="24"/>
          <w:highlight w:val="none"/>
          <w:vertAlign w:val="baseline"/>
        </w:rPr>
        <w:t>、工程款支付</w:t>
      </w:r>
    </w:p>
    <w:p>
      <w:pPr>
        <w:pStyle w:val="41"/>
        <w:widowControl w:val="0"/>
        <w:spacing w:before="0" w:beforeAutospacing="0" w:after="0" w:afterAutospacing="0" w:line="360" w:lineRule="auto"/>
        <w:rPr>
          <w:rFonts w:hint="eastAsia" w:hAnsi="宋体" w:eastAsia="宋体" w:cs="宋体"/>
          <w:color w:val="auto"/>
          <w:kern w:val="2"/>
          <w:highlight w:val="none"/>
          <w:lang w:eastAsia="zh-CN" w:bidi="ar"/>
        </w:rPr>
      </w:pPr>
      <w:r>
        <w:rPr>
          <w:rFonts w:hint="eastAsia" w:hAnsi="宋体" w:cs="宋体"/>
          <w:color w:val="auto"/>
          <w:kern w:val="2"/>
          <w:highlight w:val="none"/>
          <w:lang w:val="en-US" w:eastAsia="zh-CN" w:bidi="ar"/>
        </w:rPr>
        <w:t>1</w:t>
      </w:r>
      <w:r>
        <w:rPr>
          <w:rFonts w:hint="eastAsia" w:hAnsi="宋体" w:cs="宋体"/>
          <w:color w:val="auto"/>
          <w:kern w:val="2"/>
          <w:highlight w:val="none"/>
          <w:lang w:bidi="ar"/>
        </w:rPr>
        <w:t>、工程款支付：根据工程进度付款。</w:t>
      </w:r>
    </w:p>
    <w:p>
      <w:pPr>
        <w:spacing w:beforeLines="0" w:afterLines="0" w:line="360" w:lineRule="auto"/>
        <w:ind w:firstLine="480" w:firstLineChars="200"/>
        <w:jc w:val="both"/>
        <w:rPr>
          <w:rFonts w:hint="eastAsia"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.1第一阶段：</w:t>
      </w:r>
      <w:r>
        <w:rPr>
          <w:rFonts w:hint="eastAsia" w:ascii="宋体" w:hAnsi="宋体" w:cs="宋体"/>
          <w:color w:val="auto"/>
          <w:spacing w:val="12"/>
          <w:kern w:val="1"/>
          <w:szCs w:val="24"/>
          <w:highlight w:val="none"/>
          <w:shd w:val="clear" w:color="auto" w:fill="FFFFFF"/>
        </w:rPr>
        <w:t>土建及配套安装</w:t>
      </w:r>
      <w:r>
        <w:rPr>
          <w:rFonts w:hint="eastAsia" w:ascii="宋体" w:hAnsi="宋体" w:cs="宋体"/>
          <w:color w:val="auto"/>
          <w:kern w:val="1"/>
          <w:szCs w:val="24"/>
          <w:highlight w:val="none"/>
        </w:rPr>
        <w:t>部分施工完成（包括：设备房墙面及天棚粉刷、</w:t>
      </w:r>
      <w:r>
        <w:rPr>
          <w:rFonts w:hint="eastAsia" w:ascii="宋体" w:hAnsi="宋体" w:cs="宋体"/>
          <w:color w:val="auto"/>
          <w:kern w:val="1"/>
          <w:szCs w:val="24"/>
          <w:highlight w:val="none"/>
          <w:lang w:val="en-US" w:eastAsia="zh-CN"/>
        </w:rPr>
        <w:t>细石混凝土地面、室内回填土、台阶结构层及面层、</w:t>
      </w:r>
      <w:r>
        <w:rPr>
          <w:rFonts w:hint="eastAsia" w:ascii="宋体" w:hAnsi="宋体" w:cs="宋体"/>
          <w:color w:val="auto"/>
          <w:kern w:val="1"/>
          <w:szCs w:val="24"/>
          <w:highlight w:val="none"/>
        </w:rPr>
        <w:t>设备房防火门</w:t>
      </w:r>
      <w:r>
        <w:rPr>
          <w:rFonts w:hint="eastAsia" w:ascii="宋体" w:hAnsi="宋体" w:cs="宋体"/>
          <w:color w:val="auto"/>
          <w:kern w:val="1"/>
          <w:szCs w:val="24"/>
          <w:highlight w:val="none"/>
          <w:lang w:val="en-US" w:eastAsia="zh-CN"/>
        </w:rPr>
        <w:t>供</w:t>
      </w:r>
      <w:r>
        <w:rPr>
          <w:rFonts w:hint="eastAsia" w:ascii="宋体" w:hAnsi="宋体" w:cs="宋体"/>
          <w:color w:val="auto"/>
          <w:kern w:val="1"/>
          <w:szCs w:val="24"/>
          <w:highlight w:val="none"/>
        </w:rPr>
        <w:t>货安装、照明设施、应急照明、接地设施、通风设施、室内电缆沟、支架、</w:t>
      </w:r>
      <w:r>
        <w:rPr>
          <w:rFonts w:hint="eastAsia" w:ascii="宋体" w:hAnsi="宋体" w:cs="宋体"/>
          <w:color w:val="auto"/>
          <w:kern w:val="1"/>
          <w:szCs w:val="24"/>
          <w:highlight w:val="none"/>
          <w:lang w:eastAsia="zh-CN"/>
        </w:rPr>
        <w:t>盖板、外网电缆沟、检查井施工完成，并</w:t>
      </w:r>
      <w:r>
        <w:rPr>
          <w:rFonts w:hint="eastAsia" w:ascii="宋体" w:hAnsi="宋体" w:cs="宋体"/>
          <w:color w:val="auto"/>
          <w:kern w:val="1"/>
          <w:szCs w:val="24"/>
          <w:highlight w:val="none"/>
          <w:lang w:val="en-US" w:eastAsia="zh-CN"/>
        </w:rPr>
        <w:t>通过</w:t>
      </w:r>
      <w:r>
        <w:rPr>
          <w:rFonts w:hint="eastAsia" w:ascii="宋体" w:hAnsi="宋体" w:cs="宋体"/>
          <w:color w:val="auto"/>
          <w:kern w:val="1"/>
          <w:szCs w:val="24"/>
          <w:highlight w:val="none"/>
          <w:lang w:eastAsia="zh-CN"/>
        </w:rPr>
        <w:t>该阶段供电局验收</w:t>
      </w:r>
      <w:r>
        <w:rPr>
          <w:rFonts w:hint="eastAsia" w:ascii="宋体" w:hAnsi="宋体" w:cs="宋体"/>
          <w:color w:val="auto"/>
          <w:kern w:val="1"/>
          <w:szCs w:val="24"/>
          <w:highlight w:val="none"/>
          <w:lang w:val="en-US" w:eastAsia="zh-CN"/>
        </w:rPr>
        <w:t>后</w:t>
      </w:r>
      <w:r>
        <w:rPr>
          <w:rFonts w:hint="eastAsia" w:ascii="宋体" w:hAnsi="宋体" w:cs="宋体"/>
          <w:bCs/>
          <w:color w:val="auto"/>
          <w:kern w:val="28"/>
          <w:szCs w:val="24"/>
          <w:highlight w:val="none"/>
          <w:lang w:eastAsia="zh-CN"/>
        </w:rPr>
        <w:t>，</w:t>
      </w:r>
      <w:r>
        <w:rPr>
          <w:rFonts w:hint="eastAsia" w:ascii="宋体" w:hAnsi="宋体" w:cs="宋体"/>
          <w:color w:val="auto"/>
          <w:kern w:val="1"/>
          <w:szCs w:val="24"/>
          <w:highlight w:val="none"/>
        </w:rPr>
        <w:t>付至该阶段</w:t>
      </w:r>
      <w:r>
        <w:rPr>
          <w:rFonts w:hint="eastAsia" w:ascii="宋体" w:hAnsi="宋体" w:cs="宋体"/>
          <w:color w:val="auto"/>
          <w:kern w:val="1"/>
          <w:szCs w:val="24"/>
          <w:highlight w:val="none"/>
          <w:lang w:val="en-US" w:eastAsia="zh-CN"/>
        </w:rPr>
        <w:t>已完工程价款</w:t>
      </w:r>
      <w:r>
        <w:rPr>
          <w:rFonts w:hint="eastAsia" w:ascii="宋体" w:hAnsi="宋体" w:cs="宋体"/>
          <w:color w:val="auto"/>
          <w:kern w:val="1"/>
          <w:szCs w:val="24"/>
          <w:highlight w:val="none"/>
        </w:rPr>
        <w:t>的</w:t>
      </w:r>
      <w:r>
        <w:rPr>
          <w:rFonts w:hint="eastAsia" w:ascii="宋体" w:hAnsi="宋体" w:cs="宋体"/>
          <w:color w:val="auto"/>
          <w:kern w:val="1"/>
          <w:szCs w:val="24"/>
          <w:highlight w:val="none"/>
          <w:lang w:val="en-US" w:eastAsia="zh-CN"/>
        </w:rPr>
        <w:t>8</w:t>
      </w:r>
      <w:r>
        <w:rPr>
          <w:rFonts w:hint="eastAsia" w:ascii="宋体" w:hAnsi="宋体" w:cs="宋体"/>
          <w:color w:val="auto"/>
          <w:kern w:val="1"/>
          <w:szCs w:val="24"/>
          <w:highlight w:val="none"/>
        </w:rPr>
        <w:t>0%</w:t>
      </w:r>
      <w:r>
        <w:rPr>
          <w:rFonts w:hint="eastAsia" w:ascii="宋体" w:hAnsi="宋体" w:cs="宋体"/>
          <w:color w:val="auto"/>
          <w:kern w:val="1"/>
          <w:szCs w:val="24"/>
          <w:highlight w:val="none"/>
          <w:lang w:eastAsia="zh-CN"/>
        </w:rPr>
        <w:t>。</w:t>
      </w:r>
    </w:p>
    <w:p>
      <w:pPr>
        <w:pStyle w:val="2"/>
        <w:spacing w:beforeLines="0" w:afterLines="0" w:line="360" w:lineRule="auto"/>
        <w:ind w:firstLine="480" w:firstLineChars="200"/>
        <w:jc w:val="both"/>
        <w:rPr>
          <w:rFonts w:hint="eastAsia" w:ascii="宋体" w:hAnsi="宋体" w:eastAsia="宋体" w:cs="宋体"/>
          <w:color w:val="auto"/>
          <w:kern w:val="1"/>
          <w:szCs w:val="24"/>
          <w:highlight w:val="none"/>
          <w:lang w:eastAsia="zh-CN"/>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.2第二阶段：</w:t>
      </w:r>
      <w:r>
        <w:rPr>
          <w:rFonts w:hint="eastAsia" w:ascii="宋体" w:hAnsi="宋体" w:cs="宋体"/>
          <w:color w:val="auto"/>
          <w:kern w:val="1"/>
          <w:szCs w:val="24"/>
          <w:highlight w:val="none"/>
          <w:lang w:eastAsia="zh-CN"/>
        </w:rPr>
        <w:t>开闭所室内电气设备及配套</w:t>
      </w:r>
      <w:r>
        <w:rPr>
          <w:rFonts w:hint="eastAsia" w:ascii="宋体" w:hAnsi="宋体" w:cs="宋体"/>
          <w:color w:val="auto"/>
          <w:kern w:val="1"/>
          <w:szCs w:val="24"/>
          <w:highlight w:val="none"/>
          <w:lang w:val="en-US" w:eastAsia="zh-CN"/>
        </w:rPr>
        <w:t>设施</w:t>
      </w:r>
      <w:r>
        <w:rPr>
          <w:rFonts w:hint="eastAsia" w:ascii="宋体" w:hAnsi="宋体" w:cs="宋体"/>
          <w:color w:val="auto"/>
          <w:kern w:val="1"/>
          <w:szCs w:val="24"/>
          <w:highlight w:val="none"/>
          <w:lang w:eastAsia="zh-CN"/>
        </w:rPr>
        <w:t>（包含环境监测设备）安装完成开关站的所有设备供货及安装</w:t>
      </w:r>
      <w:r>
        <w:rPr>
          <w:rFonts w:hint="eastAsia" w:ascii="宋体" w:hAnsi="宋体" w:cs="宋体"/>
          <w:color w:val="auto"/>
          <w:kern w:val="1"/>
          <w:szCs w:val="24"/>
          <w:highlight w:val="none"/>
        </w:rPr>
        <w:t>，</w:t>
      </w:r>
      <w:r>
        <w:rPr>
          <w:rFonts w:hint="eastAsia" w:ascii="宋体" w:hAnsi="宋体" w:cs="宋体"/>
          <w:color w:val="auto"/>
          <w:kern w:val="1"/>
          <w:szCs w:val="24"/>
          <w:highlight w:val="none"/>
          <w:lang w:eastAsia="zh-CN"/>
        </w:rPr>
        <w:t>并</w:t>
      </w:r>
      <w:r>
        <w:rPr>
          <w:rFonts w:hint="eastAsia" w:ascii="宋体" w:hAnsi="宋体" w:cs="宋体"/>
          <w:color w:val="auto"/>
          <w:kern w:val="1"/>
          <w:szCs w:val="24"/>
          <w:highlight w:val="none"/>
          <w:lang w:val="en-US" w:eastAsia="zh-CN"/>
        </w:rPr>
        <w:t>通过</w:t>
      </w:r>
      <w:r>
        <w:rPr>
          <w:rFonts w:hint="eastAsia" w:ascii="宋体" w:hAnsi="宋体" w:cs="宋体"/>
          <w:color w:val="auto"/>
          <w:kern w:val="1"/>
          <w:szCs w:val="24"/>
          <w:highlight w:val="none"/>
          <w:lang w:eastAsia="zh-CN"/>
        </w:rPr>
        <w:t>该阶段供电局验收</w:t>
      </w:r>
      <w:r>
        <w:rPr>
          <w:rFonts w:hint="eastAsia" w:ascii="宋体" w:hAnsi="宋体" w:cs="宋体"/>
          <w:color w:val="auto"/>
          <w:kern w:val="1"/>
          <w:szCs w:val="24"/>
          <w:highlight w:val="none"/>
          <w:lang w:val="en-US" w:eastAsia="zh-CN"/>
        </w:rPr>
        <w:t>后</w:t>
      </w:r>
      <w:r>
        <w:rPr>
          <w:rFonts w:hint="eastAsia" w:ascii="宋体" w:hAnsi="宋体" w:cs="宋体"/>
          <w:color w:val="auto"/>
          <w:kern w:val="1"/>
          <w:szCs w:val="24"/>
          <w:highlight w:val="none"/>
          <w:lang w:eastAsia="zh-CN"/>
        </w:rPr>
        <w:t>，</w:t>
      </w:r>
      <w:r>
        <w:rPr>
          <w:rFonts w:hint="eastAsia" w:ascii="宋体" w:hAnsi="宋体" w:cs="宋体"/>
          <w:color w:val="auto"/>
          <w:kern w:val="1"/>
          <w:szCs w:val="24"/>
          <w:highlight w:val="none"/>
        </w:rPr>
        <w:t>付至</w:t>
      </w:r>
      <w:r>
        <w:rPr>
          <w:rFonts w:hint="eastAsia" w:ascii="宋体" w:hAnsi="宋体" w:cs="宋体"/>
          <w:color w:val="auto"/>
          <w:kern w:val="1"/>
          <w:szCs w:val="24"/>
          <w:highlight w:val="none"/>
          <w:lang w:eastAsia="zh-CN"/>
        </w:rPr>
        <w:t>该阶段</w:t>
      </w:r>
      <w:r>
        <w:rPr>
          <w:rFonts w:hint="eastAsia" w:ascii="宋体" w:hAnsi="宋体" w:cs="宋体"/>
          <w:color w:val="auto"/>
          <w:kern w:val="1"/>
          <w:szCs w:val="24"/>
          <w:highlight w:val="none"/>
          <w:lang w:val="en-US" w:eastAsia="zh-CN"/>
        </w:rPr>
        <w:t>已完工程价款</w:t>
      </w:r>
      <w:r>
        <w:rPr>
          <w:rFonts w:hint="eastAsia" w:ascii="宋体" w:hAnsi="宋体" w:cs="宋体"/>
          <w:color w:val="auto"/>
          <w:kern w:val="1"/>
          <w:szCs w:val="24"/>
          <w:highlight w:val="none"/>
        </w:rPr>
        <w:t>的</w:t>
      </w:r>
      <w:r>
        <w:rPr>
          <w:rFonts w:hint="eastAsia" w:ascii="宋体" w:hAnsi="宋体" w:cs="宋体"/>
          <w:color w:val="auto"/>
          <w:kern w:val="1"/>
          <w:szCs w:val="24"/>
          <w:highlight w:val="none"/>
          <w:lang w:val="en-US" w:eastAsia="zh-CN"/>
        </w:rPr>
        <w:t>8</w:t>
      </w:r>
      <w:r>
        <w:rPr>
          <w:rFonts w:hint="eastAsia" w:ascii="宋体" w:hAnsi="宋体" w:cs="宋体"/>
          <w:color w:val="auto"/>
          <w:kern w:val="1"/>
          <w:szCs w:val="24"/>
          <w:highlight w:val="none"/>
        </w:rPr>
        <w:t>0%</w:t>
      </w:r>
      <w:r>
        <w:rPr>
          <w:rFonts w:hint="eastAsia" w:ascii="宋体" w:hAnsi="宋体" w:cs="宋体"/>
          <w:color w:val="auto"/>
          <w:kern w:val="1"/>
          <w:szCs w:val="24"/>
          <w:highlight w:val="none"/>
          <w:lang w:eastAsia="zh-CN"/>
        </w:rPr>
        <w:t>。</w:t>
      </w:r>
    </w:p>
    <w:p>
      <w:pPr>
        <w:pStyle w:val="2"/>
        <w:spacing w:beforeLines="0" w:afterLines="0" w:line="360" w:lineRule="auto"/>
        <w:ind w:firstLine="480" w:firstLineChars="200"/>
        <w:jc w:val="both"/>
        <w:rPr>
          <w:rFonts w:hint="eastAsia"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.3第三阶段：</w:t>
      </w:r>
      <w:r>
        <w:rPr>
          <w:rFonts w:hint="eastAsia" w:ascii="宋体" w:hAnsi="宋体" w:cs="宋体"/>
          <w:color w:val="auto"/>
          <w:kern w:val="1"/>
          <w:szCs w:val="24"/>
          <w:highlight w:val="none"/>
          <w:lang w:eastAsia="zh-CN"/>
        </w:rPr>
        <w:t>外网电缆敷设完成、开关站</w:t>
      </w:r>
      <w:r>
        <w:rPr>
          <w:rFonts w:hint="eastAsia" w:ascii="宋体" w:hAnsi="宋体" w:cs="宋体"/>
          <w:color w:val="auto"/>
          <w:kern w:val="1"/>
          <w:szCs w:val="24"/>
          <w:highlight w:val="none"/>
        </w:rPr>
        <w:t>送电完成</w:t>
      </w:r>
      <w:r>
        <w:rPr>
          <w:rFonts w:hint="eastAsia" w:ascii="宋体" w:hAnsi="宋体" w:cs="宋体"/>
          <w:color w:val="auto"/>
          <w:kern w:val="1"/>
          <w:szCs w:val="24"/>
          <w:highlight w:val="none"/>
          <w:lang w:eastAsia="zh-CN"/>
        </w:rPr>
        <w:t>并</w:t>
      </w:r>
      <w:r>
        <w:rPr>
          <w:rFonts w:hint="eastAsia" w:ascii="宋体" w:hAnsi="宋体" w:cs="宋体"/>
          <w:color w:val="auto"/>
          <w:kern w:val="1"/>
          <w:szCs w:val="24"/>
          <w:highlight w:val="none"/>
        </w:rPr>
        <w:t>完成移交、经甲方及相关部门验收合格、配合甲方办理结算完成后，付至结算金额的95%</w:t>
      </w:r>
      <w:r>
        <w:rPr>
          <w:rFonts w:hint="eastAsia" w:ascii="宋体" w:hAnsi="宋体" w:cs="宋体"/>
          <w:color w:val="auto"/>
          <w:kern w:val="1"/>
          <w:szCs w:val="24"/>
          <w:highlight w:val="none"/>
          <w:lang w:eastAsia="zh-CN"/>
        </w:rPr>
        <w:t>。</w:t>
      </w:r>
    </w:p>
    <w:p>
      <w:pPr>
        <w:spacing w:beforeLines="0" w:afterLines="0" w:line="360" w:lineRule="auto"/>
        <w:ind w:firstLine="480" w:firstLineChars="200"/>
        <w:jc w:val="both"/>
        <w:rPr>
          <w:rFonts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.4第四阶段：</w:t>
      </w:r>
      <w:r>
        <w:rPr>
          <w:rFonts w:hint="eastAsia" w:ascii="宋体" w:hAnsi="宋体" w:cs="宋体"/>
          <w:color w:val="auto"/>
          <w:sz w:val="24"/>
          <w:szCs w:val="24"/>
          <w:highlight w:val="none"/>
        </w:rPr>
        <w:t>剩余</w:t>
      </w:r>
      <w:r>
        <w:rPr>
          <w:rFonts w:hint="eastAsia" w:ascii="宋体" w:hAnsi="宋体" w:cs="宋体"/>
          <w:color w:val="auto"/>
          <w:sz w:val="24"/>
          <w:szCs w:val="24"/>
          <w:highlight w:val="none"/>
          <w:lang w:val="en-US" w:eastAsia="zh-CN"/>
        </w:rPr>
        <w:t>结算金额的</w:t>
      </w:r>
      <w:r>
        <w:rPr>
          <w:rFonts w:hint="eastAsia" w:ascii="宋体" w:hAnsi="宋体" w:cs="宋体"/>
          <w:color w:val="auto"/>
          <w:sz w:val="24"/>
          <w:szCs w:val="24"/>
          <w:highlight w:val="none"/>
        </w:rPr>
        <w:t>5%作为质保金，质保期两年</w:t>
      </w:r>
      <w:r>
        <w:rPr>
          <w:rFonts w:hint="eastAsia" w:ascii="宋体" w:hAnsi="宋体" w:cs="宋体"/>
          <w:color w:val="auto"/>
          <w:sz w:val="24"/>
          <w:szCs w:val="24"/>
          <w:highlight w:val="none"/>
          <w:lang w:eastAsia="zh-CN"/>
        </w:rPr>
        <w:t>，</w:t>
      </w:r>
      <w:r>
        <w:rPr>
          <w:rFonts w:hint="eastAsia" w:ascii="宋体" w:hAnsi="宋体" w:cs="宋体"/>
          <w:color w:val="auto"/>
          <w:kern w:val="1"/>
          <w:szCs w:val="24"/>
          <w:highlight w:val="none"/>
        </w:rPr>
        <w:t>自正式电送电完成之日起</w:t>
      </w:r>
      <w:r>
        <w:rPr>
          <w:rFonts w:hint="eastAsia" w:ascii="宋体" w:hAnsi="宋体" w:cs="宋体"/>
          <w:color w:val="auto"/>
          <w:kern w:val="1"/>
          <w:highlight w:val="none"/>
          <w:lang w:bidi="ar"/>
        </w:rPr>
        <w:t>为质保期</w:t>
      </w:r>
      <w:r>
        <w:rPr>
          <w:rFonts w:hint="eastAsia" w:ascii="宋体" w:hAnsi="宋体" w:cs="宋体"/>
          <w:color w:val="auto"/>
          <w:kern w:val="1"/>
          <w:szCs w:val="24"/>
          <w:highlight w:val="none"/>
        </w:rPr>
        <w:t>，质保期内连续运转正常良好，质保期满后甲方在30个工作日内无息付清剩余5%质保金。</w:t>
      </w:r>
    </w:p>
    <w:p>
      <w:pPr>
        <w:spacing w:beforeLines="0" w:afterLines="0" w:line="360" w:lineRule="auto"/>
        <w:ind w:firstLine="480" w:firstLineChars="200"/>
        <w:jc w:val="both"/>
        <w:rPr>
          <w:rFonts w:ascii="宋体" w:hAnsi="宋体" w:cs="宋体"/>
          <w:color w:val="auto"/>
          <w:kern w:val="1"/>
          <w:szCs w:val="24"/>
          <w:highlight w:val="none"/>
        </w:rPr>
      </w:pPr>
      <w:r>
        <w:rPr>
          <w:rFonts w:hint="eastAsia" w:ascii="宋体" w:hAnsi="宋体" w:cs="宋体"/>
          <w:color w:val="auto"/>
          <w:kern w:val="1"/>
          <w:szCs w:val="24"/>
          <w:highlight w:val="none"/>
          <w:lang w:val="en-US" w:eastAsia="zh-CN"/>
        </w:rPr>
        <w:t>1</w:t>
      </w:r>
      <w:r>
        <w:rPr>
          <w:rFonts w:hint="eastAsia" w:ascii="宋体" w:hAnsi="宋体" w:cs="宋体"/>
          <w:color w:val="auto"/>
          <w:kern w:val="1"/>
          <w:szCs w:val="24"/>
          <w:highlight w:val="none"/>
        </w:rPr>
        <w:t>.5、每次付款前中标人向招标人提供等额正式有效增值税专用发票。当甲方向乙方累计支付款项至本合同结算值的95％时，乙方须向甲方开具结算值100％的合法有效的发票，否则甲方除扣留质保金外，有权拒绝支付最后一笔工程款。</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2</w:t>
      </w:r>
      <w:r>
        <w:rPr>
          <w:rFonts w:hint="eastAsia" w:ascii="宋体" w:hAnsi="宋体" w:cs="宋体"/>
          <w:color w:val="auto"/>
          <w:szCs w:val="24"/>
          <w:highlight w:val="none"/>
          <w:lang w:bidi="ar"/>
        </w:rPr>
        <w:t>、乙方应按甲方要求出具合法有效的增值税【专用】发票。乙方应在开票之后【5】个工作日内将发票送达甲方，甲方签收发票的日期为发票的送达日期。</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3</w:t>
      </w:r>
      <w:r>
        <w:rPr>
          <w:rFonts w:hint="eastAsia" w:ascii="宋体" w:hAnsi="宋体" w:cs="宋体"/>
          <w:color w:val="auto"/>
          <w:szCs w:val="24"/>
          <w:highlight w:val="none"/>
          <w:lang w:bidi="ar"/>
        </w:rPr>
        <w:t>、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4</w:t>
      </w:r>
      <w:r>
        <w:rPr>
          <w:rFonts w:hint="eastAsia" w:ascii="宋体" w:hAnsi="宋体" w:cs="宋体"/>
          <w:color w:val="auto"/>
          <w:szCs w:val="24"/>
          <w:highlight w:val="none"/>
          <w:lang w:bidi="ar"/>
        </w:rPr>
        <w:t>、对发票不合规的约定</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（1）乙方提供的发票为增值税专用发票的，因乙方迟延送达、开具错误等原因导致其提供的增值税专用发票没有通过税务部门认证，造成甲方不能抵扣的，甲方有权拒绝接收。</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5</w:t>
      </w:r>
      <w:r>
        <w:rPr>
          <w:rFonts w:hint="eastAsia" w:ascii="宋体" w:hAnsi="宋体" w:cs="宋体"/>
          <w:color w:val="auto"/>
          <w:szCs w:val="24"/>
          <w:highlight w:val="none"/>
          <w:lang w:bidi="ar"/>
        </w:rPr>
        <w:t>、其它税务风险的合同约定，</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（1）如果甲方丢失增值税专用发票联和抵扣联，乙方应向甲方提供专用发票记账联复印件及主管税务机关出具的《丢失增值税专用发票已报税证明单》。</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（2）如果获得开具的汇总专用发票，则乙方应提供其防伪税控系统开具的《销售货物或者提供应税劳务清单》，并加盖发票专用章。</w:t>
      </w:r>
    </w:p>
    <w:p>
      <w:pPr>
        <w:spacing w:line="360" w:lineRule="auto"/>
        <w:ind w:firstLine="240" w:firstLineChars="100"/>
        <w:jc w:val="left"/>
        <w:rPr>
          <w:rFonts w:ascii="宋体" w:hAnsi="宋体" w:cs="宋体"/>
          <w:color w:val="auto"/>
          <w:szCs w:val="24"/>
          <w:highlight w:val="none"/>
          <w:lang w:bidi="ar"/>
        </w:rPr>
      </w:pPr>
      <w:r>
        <w:rPr>
          <w:rFonts w:hint="eastAsia" w:ascii="宋体" w:hAnsi="宋体" w:cs="宋体"/>
          <w:color w:val="auto"/>
          <w:szCs w:val="24"/>
          <w:highlight w:val="none"/>
          <w:lang w:val="en-US" w:eastAsia="zh-CN" w:bidi="ar"/>
        </w:rPr>
        <w:t>6</w:t>
      </w:r>
      <w:r>
        <w:rPr>
          <w:rFonts w:hint="eastAsia" w:ascii="宋体" w:hAnsi="宋体" w:cs="宋体"/>
          <w:color w:val="auto"/>
          <w:szCs w:val="24"/>
          <w:highlight w:val="none"/>
          <w:lang w:bidi="ar"/>
        </w:rPr>
        <w:t>、合同相关的其它税务约定</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（1）如果甲方丢失增值税专用发票联和抵扣联，乙方应向甲方提供专用发票记账联复印件及主管税务机关出具的《丢失增值税专用发票已报税证明单》。</w:t>
      </w:r>
    </w:p>
    <w:p>
      <w:pPr>
        <w:spacing w:line="360" w:lineRule="auto"/>
        <w:jc w:val="left"/>
        <w:rPr>
          <w:rFonts w:ascii="宋体" w:hAnsi="宋体" w:cs="宋体"/>
          <w:color w:val="auto"/>
          <w:szCs w:val="24"/>
          <w:highlight w:val="none"/>
          <w:lang w:bidi="ar"/>
        </w:rPr>
      </w:pPr>
      <w:r>
        <w:rPr>
          <w:rFonts w:hint="eastAsia" w:ascii="宋体" w:hAnsi="宋体" w:cs="宋体"/>
          <w:color w:val="auto"/>
          <w:szCs w:val="24"/>
          <w:highlight w:val="none"/>
          <w:lang w:bidi="ar"/>
        </w:rPr>
        <w:t>（2）如果获得开具的汇总专用发票，则乙方应提供其防伪税控系统开具的《销售货物或者提供应税劳务清单》，并加盖发票专用章。</w:t>
      </w:r>
    </w:p>
    <w:p>
      <w:pPr>
        <w:tabs>
          <w:tab w:val="left" w:pos="63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十</w:t>
      </w:r>
      <w:r>
        <w:rPr>
          <w:rFonts w:hint="eastAsia" w:ascii="宋体" w:hAnsi="宋体" w:cs="宋体"/>
          <w:b/>
          <w:color w:val="auto"/>
          <w:szCs w:val="24"/>
          <w:highlight w:val="none"/>
          <w:lang w:val="en-US" w:eastAsia="zh-CN" w:bidi="ar"/>
        </w:rPr>
        <w:t>一</w:t>
      </w:r>
      <w:r>
        <w:rPr>
          <w:rFonts w:hint="eastAsia" w:ascii="宋体" w:hAnsi="宋体" w:cs="宋体"/>
          <w:b/>
          <w:color w:val="auto"/>
          <w:szCs w:val="24"/>
          <w:highlight w:val="none"/>
          <w:lang w:bidi="ar"/>
        </w:rPr>
        <w:t xml:space="preserve">、双方责任与义务：  </w:t>
      </w:r>
    </w:p>
    <w:p>
      <w:pPr>
        <w:tabs>
          <w:tab w:val="left" w:pos="120"/>
        </w:tabs>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ab/>
      </w:r>
      <w:r>
        <w:rPr>
          <w:rFonts w:hint="eastAsia" w:ascii="宋体" w:hAnsi="宋体" w:cs="宋体"/>
          <w:b/>
          <w:color w:val="auto"/>
          <w:szCs w:val="24"/>
          <w:highlight w:val="none"/>
          <w:lang w:bidi="ar"/>
        </w:rPr>
        <w:t>1、甲方的责任与义务</w:t>
      </w:r>
    </w:p>
    <w:p>
      <w:pPr>
        <w:tabs>
          <w:tab w:val="left" w:pos="630"/>
        </w:tabs>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（1）负责向乙方提供施工图纸、设计变更等技术资料，以此作为乙方施工的依据。</w:t>
      </w:r>
    </w:p>
    <w:p>
      <w:pPr>
        <w:tabs>
          <w:tab w:val="left" w:pos="630"/>
        </w:tabs>
        <w:spacing w:line="360" w:lineRule="auto"/>
        <w:ind w:left="240" w:leftChars="100"/>
        <w:rPr>
          <w:rFonts w:ascii="宋体" w:hAnsi="宋体" w:cs="宋体"/>
          <w:color w:val="auto"/>
          <w:szCs w:val="24"/>
          <w:highlight w:val="none"/>
        </w:rPr>
      </w:pPr>
      <w:r>
        <w:rPr>
          <w:rFonts w:hint="eastAsia" w:ascii="宋体" w:hAnsi="宋体" w:cs="宋体"/>
          <w:color w:val="auto"/>
          <w:szCs w:val="24"/>
          <w:highlight w:val="none"/>
          <w:lang w:bidi="ar"/>
        </w:rPr>
        <w:t>甲方向乙方提供图纸日期和套数：甲方在开工前7天内向乙方提供施工图纸一式贰套。</w:t>
      </w:r>
    </w:p>
    <w:p>
      <w:pPr>
        <w:spacing w:line="360" w:lineRule="auto"/>
        <w:ind w:left="734" w:leftChars="56" w:hanging="600" w:hangingChars="250"/>
        <w:rPr>
          <w:rFonts w:ascii="宋体" w:hAnsi="宋体" w:cs="宋体"/>
          <w:color w:val="auto"/>
          <w:szCs w:val="24"/>
          <w:highlight w:val="none"/>
        </w:rPr>
      </w:pPr>
      <w:r>
        <w:rPr>
          <w:rFonts w:hint="eastAsia" w:ascii="宋体" w:hAnsi="宋体" w:cs="宋体"/>
          <w:color w:val="auto"/>
          <w:szCs w:val="24"/>
          <w:highlight w:val="none"/>
          <w:lang w:bidi="ar"/>
        </w:rPr>
        <w:t>（2）负责组织本供配电工程的图纸会审。</w:t>
      </w:r>
    </w:p>
    <w:p>
      <w:pPr>
        <w:spacing w:line="360" w:lineRule="auto"/>
        <w:ind w:firstLine="120" w:firstLineChars="50"/>
        <w:rPr>
          <w:rFonts w:ascii="宋体" w:hAnsi="宋体" w:cs="宋体"/>
          <w:color w:val="auto"/>
          <w:szCs w:val="24"/>
          <w:highlight w:val="none"/>
        </w:rPr>
      </w:pPr>
      <w:r>
        <w:rPr>
          <w:rFonts w:hint="eastAsia" w:ascii="宋体" w:hAnsi="宋体" w:cs="宋体"/>
          <w:color w:val="auto"/>
          <w:szCs w:val="24"/>
          <w:highlight w:val="none"/>
          <w:lang w:bidi="ar"/>
        </w:rPr>
        <w:t>（3）甲方指派一名甲方代表，甲方代表 ：</w:t>
      </w:r>
      <w:r>
        <w:rPr>
          <w:rFonts w:hint="eastAsia" w:ascii="宋体" w:hAnsi="宋体" w:cs="宋体"/>
          <w:color w:val="auto"/>
          <w:szCs w:val="24"/>
          <w:highlight w:val="none"/>
          <w:u w:val="single"/>
          <w:lang w:eastAsia="zh-CN" w:bidi="ar"/>
        </w:rPr>
        <w:t>毛克予</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lang w:bidi="ar"/>
        </w:rPr>
        <w:t>，职务：项目经理，联系电话：</w:t>
      </w:r>
      <w:r>
        <w:rPr>
          <w:rFonts w:hint="eastAsia" w:ascii="宋体" w:hAnsi="宋体" w:cs="宋体"/>
          <w:color w:val="auto"/>
          <w:szCs w:val="24"/>
          <w:highlight w:val="none"/>
          <w:u w:val="single"/>
          <w:lang w:val="en-US" w:eastAsia="zh-CN" w:bidi="ar"/>
        </w:rPr>
        <w:t>18103889699</w:t>
      </w:r>
      <w:r>
        <w:rPr>
          <w:rFonts w:hint="eastAsia" w:ascii="宋体" w:hAnsi="宋体" w:cs="宋体"/>
          <w:color w:val="auto"/>
          <w:szCs w:val="24"/>
          <w:highlight w:val="none"/>
          <w:lang w:eastAsia="zh-CN" w:bidi="ar"/>
        </w:rPr>
        <w:t>，</w:t>
      </w:r>
      <w:r>
        <w:rPr>
          <w:rFonts w:hint="eastAsia" w:ascii="宋体" w:hAnsi="宋体" w:cs="宋体"/>
          <w:color w:val="auto"/>
          <w:szCs w:val="24"/>
          <w:highlight w:val="none"/>
          <w:lang w:bidi="ar"/>
        </w:rPr>
        <w:t>负责本合同项目工程质量及进度的督查。</w:t>
      </w:r>
    </w:p>
    <w:p>
      <w:pPr>
        <w:pStyle w:val="41"/>
        <w:widowControl w:val="0"/>
        <w:spacing w:before="0" w:beforeAutospacing="0" w:after="0" w:afterAutospacing="0" w:line="360" w:lineRule="auto"/>
        <w:ind w:firstLine="120" w:firstLineChars="50"/>
        <w:jc w:val="both"/>
        <w:rPr>
          <w:rFonts w:hAnsi="宋体" w:cs="宋体"/>
          <w:color w:val="auto"/>
          <w:highlight w:val="none"/>
        </w:rPr>
      </w:pPr>
      <w:r>
        <w:rPr>
          <w:rFonts w:hint="eastAsia" w:hAnsi="宋体" w:cs="宋体"/>
          <w:color w:val="auto"/>
          <w:kern w:val="1"/>
          <w:highlight w:val="none"/>
          <w:lang w:bidi="ar"/>
        </w:rPr>
        <w:t>（4）对乙方呈送的报告和请示及时做出批示。</w:t>
      </w:r>
    </w:p>
    <w:p>
      <w:pPr>
        <w:spacing w:line="360" w:lineRule="auto"/>
        <w:ind w:firstLine="120" w:firstLineChars="50"/>
        <w:rPr>
          <w:rFonts w:ascii="宋体" w:hAnsi="宋体" w:cs="宋体"/>
          <w:color w:val="auto"/>
          <w:szCs w:val="24"/>
          <w:highlight w:val="none"/>
        </w:rPr>
      </w:pPr>
      <w:r>
        <w:rPr>
          <w:rFonts w:hint="eastAsia" w:ascii="宋体" w:hAnsi="宋体" w:cs="宋体"/>
          <w:color w:val="auto"/>
          <w:szCs w:val="24"/>
          <w:highlight w:val="none"/>
          <w:lang w:bidi="ar"/>
        </w:rPr>
        <w:t>（5）负责协调施工用水用电，为施工提供便利条件；费用乙方自理。</w:t>
      </w:r>
    </w:p>
    <w:p>
      <w:pPr>
        <w:pStyle w:val="41"/>
        <w:widowControl w:val="0"/>
        <w:spacing w:before="0" w:beforeAutospacing="0" w:after="0" w:afterAutospacing="0" w:line="360" w:lineRule="auto"/>
        <w:jc w:val="both"/>
        <w:rPr>
          <w:rFonts w:hAnsi="宋体" w:cs="宋体"/>
          <w:color w:val="auto"/>
          <w:highlight w:val="none"/>
        </w:rPr>
      </w:pPr>
      <w:r>
        <w:rPr>
          <w:rFonts w:hint="eastAsia" w:hAnsi="宋体" w:cs="宋体"/>
          <w:color w:val="auto"/>
          <w:kern w:val="1"/>
          <w:highlight w:val="none"/>
          <w:lang w:bidi="ar"/>
        </w:rPr>
        <w:t xml:space="preserve"> （6）协调解决乙方的办公场所、材料堆放场地等施工必备条件，费用乙方负担。</w:t>
      </w:r>
    </w:p>
    <w:p>
      <w:pPr>
        <w:pStyle w:val="41"/>
        <w:widowControl w:val="0"/>
        <w:spacing w:before="0" w:beforeAutospacing="0" w:after="0" w:afterAutospacing="0" w:line="360" w:lineRule="auto"/>
        <w:ind w:left="247" w:leftChars="103" w:right="-382" w:rightChars="-159"/>
        <w:jc w:val="both"/>
        <w:rPr>
          <w:rFonts w:hAnsi="宋体" w:cs="宋体"/>
          <w:color w:val="auto"/>
          <w:highlight w:val="none"/>
        </w:rPr>
      </w:pPr>
      <w:r>
        <w:rPr>
          <w:rFonts w:hint="eastAsia" w:hAnsi="宋体" w:cs="宋体"/>
          <w:color w:val="auto"/>
          <w:kern w:val="1"/>
          <w:highlight w:val="none"/>
          <w:lang w:bidi="ar"/>
        </w:rPr>
        <w:t>（7）协调乙方与主体、装修施工单位的关系。</w:t>
      </w:r>
    </w:p>
    <w:p>
      <w:pPr>
        <w:pStyle w:val="41"/>
        <w:widowControl w:val="0"/>
        <w:spacing w:before="0" w:beforeAutospacing="0" w:after="0" w:afterAutospacing="0" w:line="360" w:lineRule="auto"/>
        <w:ind w:left="247" w:leftChars="103" w:right="-382" w:rightChars="-159"/>
        <w:jc w:val="both"/>
        <w:rPr>
          <w:rFonts w:hAnsi="宋体" w:cs="宋体"/>
          <w:color w:val="auto"/>
          <w:highlight w:val="none"/>
        </w:rPr>
      </w:pPr>
      <w:r>
        <w:rPr>
          <w:rFonts w:hint="eastAsia" w:hAnsi="宋体" w:cs="宋体"/>
          <w:color w:val="auto"/>
          <w:kern w:val="1"/>
          <w:highlight w:val="none"/>
          <w:lang w:bidi="ar"/>
        </w:rPr>
        <w:t>（8）履行合同约定的义务。</w:t>
      </w:r>
    </w:p>
    <w:p>
      <w:pPr>
        <w:pStyle w:val="41"/>
        <w:widowControl w:val="0"/>
        <w:spacing w:before="0" w:beforeAutospacing="0" w:after="0" w:afterAutospacing="0" w:line="360" w:lineRule="auto"/>
        <w:ind w:left="247" w:leftChars="103" w:right="-382" w:rightChars="-159"/>
        <w:jc w:val="both"/>
        <w:rPr>
          <w:rFonts w:hAnsi="宋体" w:cs="宋体"/>
          <w:color w:val="auto"/>
          <w:highlight w:val="none"/>
        </w:rPr>
      </w:pPr>
      <w:r>
        <w:rPr>
          <w:rFonts w:hint="eastAsia" w:hAnsi="宋体" w:cs="宋体"/>
          <w:color w:val="auto"/>
          <w:kern w:val="1"/>
          <w:highlight w:val="none"/>
          <w:lang w:bidi="ar"/>
        </w:rPr>
        <w:t>（9）甲方应做的其它工作：若发生，双方协商解决。</w:t>
      </w:r>
    </w:p>
    <w:p>
      <w:pPr>
        <w:spacing w:line="360" w:lineRule="auto"/>
        <w:ind w:firstLine="120" w:firstLineChars="50"/>
        <w:rPr>
          <w:rFonts w:ascii="宋体" w:hAnsi="宋体" w:cs="宋体"/>
          <w:b/>
          <w:bCs/>
          <w:color w:val="auto"/>
          <w:szCs w:val="24"/>
          <w:highlight w:val="none"/>
        </w:rPr>
      </w:pPr>
      <w:r>
        <w:rPr>
          <w:rFonts w:hint="eastAsia" w:ascii="宋体" w:hAnsi="宋体" w:cs="宋体"/>
          <w:b/>
          <w:bCs/>
          <w:color w:val="auto"/>
          <w:szCs w:val="24"/>
          <w:highlight w:val="none"/>
          <w:lang w:bidi="ar"/>
        </w:rPr>
        <w:t>2、 乙方责任与义务：</w:t>
      </w:r>
    </w:p>
    <w:p>
      <w:pPr>
        <w:tabs>
          <w:tab w:val="left" w:pos="630"/>
        </w:tabs>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（1）指定一名项目经理，负责本项目的组织、管理工作（主要技术负责人和项目经理常驻现场），项目经理：</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u w:val="single"/>
        </w:rPr>
        <w:t>赵虎</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lang w:bidi="ar"/>
        </w:rPr>
        <w:t>联系电话：</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u w:val="single"/>
        </w:rPr>
        <w:t xml:space="preserve">13838808332 </w:t>
      </w:r>
      <w:r>
        <w:rPr>
          <w:rFonts w:hint="eastAsia" w:ascii="宋体" w:hAnsi="宋体" w:cs="宋体"/>
          <w:color w:val="auto"/>
          <w:szCs w:val="24"/>
          <w:highlight w:val="none"/>
          <w:u w:val="single"/>
          <w:lang w:bidi="ar"/>
        </w:rPr>
        <w:t xml:space="preserve"> </w:t>
      </w:r>
      <w:r>
        <w:rPr>
          <w:rFonts w:hint="eastAsia" w:ascii="宋体" w:hAnsi="宋体" w:cs="宋体"/>
          <w:color w:val="auto"/>
          <w:szCs w:val="24"/>
          <w:highlight w:val="none"/>
          <w:lang w:bidi="ar"/>
        </w:rPr>
        <w:t>，其余技术管理人员乙方须提交甲方认可。</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（2）组织施工人员和材料、机械设备进场。</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（3）严格按照经甲方、监理审核的文件及有关技术规范进行施工、保质、按期完成合同所要求的工作内容。</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（4）严格作好施工期间的一切劳动安全保护工作，施工过程中因乙方原因造成发生的事故，一切损失和责任均由乙方自行负责。</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（5）接受甲方和监理对工程质量和进度的监督和检查，根据甲方、监理的意见，对不符合质量要求的部位认真进行整改，直至符合施工图纸和国家施工规范要求。</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 xml:space="preserve"> (6)每个阶段施工完毕必须根据甲方要求按阶段送正式电，如不能按阶段按时送正式电，期间电费差价由乙方承担。</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（7）提供工程所用设备和材料随机提供的质保书、合格证、3C认证等相关资料，并保证将住宅配移交给供电局管理。</w:t>
      </w:r>
    </w:p>
    <w:p>
      <w:pPr>
        <w:spacing w:line="360" w:lineRule="auto"/>
        <w:ind w:firstLine="240" w:firstLineChars="100"/>
        <w:rPr>
          <w:rFonts w:hint="eastAsia" w:ascii="宋体" w:hAnsi="宋体" w:cs="宋体"/>
          <w:color w:val="auto"/>
          <w:szCs w:val="24"/>
          <w:highlight w:val="none"/>
          <w:lang w:bidi="ar"/>
        </w:rPr>
      </w:pPr>
      <w:r>
        <w:rPr>
          <w:rFonts w:hint="eastAsia" w:ascii="宋体" w:hAnsi="宋体" w:cs="宋体"/>
          <w:color w:val="auto"/>
          <w:szCs w:val="24"/>
          <w:highlight w:val="none"/>
          <w:lang w:bidi="ar"/>
        </w:rPr>
        <w:t>（8）负责（含装饰装修工程）向电力主管部门和有关监督部门报批和办理供配电工程验收手续 。</w:t>
      </w:r>
    </w:p>
    <w:p>
      <w:pPr>
        <w:pStyle w:val="2"/>
        <w:ind w:firstLine="240" w:firstLineChars="100"/>
        <w:rPr>
          <w:rFonts w:hint="eastAsia" w:ascii="宋体" w:hAnsi="宋体" w:cs="宋体"/>
          <w:color w:val="auto"/>
          <w:szCs w:val="24"/>
          <w:highlight w:val="none"/>
          <w:lang w:val="en-US" w:eastAsia="zh-CN"/>
        </w:rPr>
      </w:pPr>
      <w:r>
        <w:rPr>
          <w:rFonts w:hint="eastAsia" w:ascii="宋体" w:hAnsi="宋体" w:cs="宋体"/>
          <w:color w:val="auto"/>
          <w:szCs w:val="24"/>
          <w:highlight w:val="none"/>
          <w:lang w:bidi="ar"/>
        </w:rPr>
        <w:t>（9）</w:t>
      </w:r>
      <w:r>
        <w:rPr>
          <w:rFonts w:hint="eastAsia" w:ascii="宋体" w:hAnsi="宋体" w:cs="宋体"/>
          <w:color w:val="auto"/>
          <w:szCs w:val="24"/>
          <w:highlight w:val="none"/>
          <w:lang w:val="en-US" w:eastAsia="zh-CN"/>
        </w:rPr>
        <w:t>若正式电未送，需有临时电方案，需用临时电送上。</w:t>
      </w:r>
    </w:p>
    <w:p>
      <w:pPr>
        <w:pStyle w:val="3"/>
        <w:rPr>
          <w:rFonts w:hint="eastAsia" w:hAnsi="宋体"/>
          <w:color w:val="auto"/>
          <w:highlight w:val="none"/>
          <w:lang w:val="en-US" w:eastAsia="zh-CN"/>
        </w:rPr>
      </w:pPr>
      <w:r>
        <w:rPr>
          <w:rFonts w:hint="eastAsia" w:hAnsi="宋体" w:cs="宋体"/>
          <w:color w:val="auto"/>
          <w:szCs w:val="24"/>
          <w:highlight w:val="none"/>
          <w:lang w:val="en-US" w:eastAsia="zh-CN"/>
        </w:rPr>
        <w:t xml:space="preserve">  （10）负责协调外网电缆沟施工所涉及的市政部门。</w:t>
      </w:r>
    </w:p>
    <w:p>
      <w:pPr>
        <w:pStyle w:val="3"/>
        <w:rPr>
          <w:rFonts w:hint="eastAsia" w:hAnsi="宋体"/>
          <w:color w:val="auto"/>
          <w:highlight w:val="none"/>
          <w:lang w:val="en-US"/>
        </w:rPr>
      </w:pPr>
      <w:r>
        <w:rPr>
          <w:rFonts w:hint="eastAsia" w:hAnsi="宋体" w:cs="宋体"/>
          <w:color w:val="auto"/>
          <w:szCs w:val="24"/>
          <w:highlight w:val="none"/>
          <w:lang w:val="en-US" w:eastAsia="zh-CN"/>
        </w:rPr>
        <w:t xml:space="preserve">  （11）负责敷设10KV电缆进入110KV电缆沟，负责开闭所移交供电局相关部门。</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w:t>
      </w:r>
      <w:r>
        <w:rPr>
          <w:rFonts w:hint="eastAsia" w:ascii="宋体" w:hAnsi="宋体" w:cs="宋体"/>
          <w:color w:val="auto"/>
          <w:szCs w:val="24"/>
          <w:highlight w:val="none"/>
          <w:lang w:val="en-US" w:eastAsia="zh-CN" w:bidi="ar"/>
        </w:rPr>
        <w:t>2</w:t>
      </w:r>
      <w:r>
        <w:rPr>
          <w:rFonts w:hint="eastAsia" w:ascii="宋体" w:hAnsi="宋体" w:cs="宋体"/>
          <w:color w:val="auto"/>
          <w:szCs w:val="24"/>
          <w:highlight w:val="none"/>
          <w:lang w:bidi="ar"/>
        </w:rPr>
        <w:t>）提供竣工图纸、竣工资料叁套，电子版壹套。</w:t>
      </w:r>
    </w:p>
    <w:p>
      <w:pPr>
        <w:spacing w:line="360" w:lineRule="auto"/>
        <w:ind w:firstLine="240" w:firstLineChars="100"/>
        <w:rPr>
          <w:rFonts w:ascii="宋体" w:hAnsi="宋体" w:cs="宋体"/>
          <w:color w:val="auto"/>
          <w:szCs w:val="24"/>
          <w:highlight w:val="none"/>
        </w:rPr>
      </w:pPr>
      <w:r>
        <w:rPr>
          <w:rFonts w:hint="eastAsia" w:ascii="宋体" w:hAnsi="宋体" w:cs="宋体"/>
          <w:color w:val="auto"/>
          <w:szCs w:val="24"/>
          <w:highlight w:val="none"/>
          <w:lang w:bidi="ar"/>
        </w:rPr>
        <w:t>（1</w:t>
      </w:r>
      <w:r>
        <w:rPr>
          <w:rFonts w:hint="eastAsia" w:ascii="宋体" w:hAnsi="宋体" w:cs="宋体"/>
          <w:color w:val="auto"/>
          <w:szCs w:val="24"/>
          <w:highlight w:val="none"/>
          <w:lang w:val="en-US" w:eastAsia="zh-CN" w:bidi="ar"/>
        </w:rPr>
        <w:t>3</w:t>
      </w:r>
      <w:r>
        <w:rPr>
          <w:rFonts w:hint="eastAsia" w:ascii="宋体" w:hAnsi="宋体" w:cs="宋体"/>
          <w:color w:val="auto"/>
          <w:szCs w:val="24"/>
          <w:highlight w:val="none"/>
          <w:lang w:bidi="ar"/>
        </w:rPr>
        <w:t>）履行合同约定的义务。</w:t>
      </w:r>
    </w:p>
    <w:p>
      <w:pPr>
        <w:pStyle w:val="41"/>
        <w:widowControl w:val="0"/>
        <w:spacing w:before="0" w:beforeAutospacing="0" w:after="0" w:afterAutospacing="0" w:line="500" w:lineRule="exact"/>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二</w:t>
      </w:r>
      <w:r>
        <w:rPr>
          <w:rFonts w:hint="eastAsia" w:hAnsi="宋体" w:cs="宋体"/>
          <w:b/>
          <w:color w:val="auto"/>
          <w:kern w:val="1"/>
          <w:highlight w:val="none"/>
          <w:lang w:bidi="ar"/>
        </w:rPr>
        <w:t>、安全施工</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2、乙方及乙方派驻施工现场的项目经理须向甲方签订责任状，对工程质量、安全做出相应承诺和确定目标值。若上述目标不能达到，自愿向甲方给予经济补偿和承担相应的法律责任。</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3、施工现场用电器具应有接地、接零装置和线路布置规范化，安全防护措施到位。乙方自身职工、与甲方有关的第三方人员在现场发生伤亡事故，其经济责任、法律责任和其它民事责任均由乙方负责。</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4、乙方应加强对职工的教育。施工现场严禁酗酒、打架斗殴、赌博和其它违法违章现象，每发现一次，乙方给予甲方500元/次的经济补偿。</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三</w:t>
      </w:r>
      <w:r>
        <w:rPr>
          <w:rFonts w:hint="eastAsia" w:hAnsi="宋体" w:cs="宋体"/>
          <w:b/>
          <w:color w:val="auto"/>
          <w:kern w:val="1"/>
          <w:highlight w:val="none"/>
          <w:lang w:bidi="ar"/>
        </w:rPr>
        <w:t>、现场文明施工及管理要求</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1、乙方在施工中要服从甲方及监理人员的统一指挥，做好防尘防噪措施，各项措施和管理达到示范工程标准。</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2、乙方应保证施工现场的卫生标准、噪音标准等指标满足国家、地方的有关规定。施工中因乙方违反规定造成的损失和发生的费用（若主管部门罚款）均由乙方承担。</w:t>
      </w:r>
    </w:p>
    <w:p>
      <w:pPr>
        <w:pStyle w:val="41"/>
        <w:widowControl w:val="0"/>
        <w:spacing w:before="0" w:beforeAutospacing="0" w:after="0" w:afterAutospacing="0" w:line="360" w:lineRule="auto"/>
        <w:ind w:firstLine="235" w:firstLineChars="98"/>
        <w:jc w:val="both"/>
        <w:rPr>
          <w:rFonts w:hAnsi="宋体" w:cs="宋体"/>
          <w:color w:val="auto"/>
          <w:highlight w:val="none"/>
        </w:rPr>
      </w:pPr>
      <w:r>
        <w:rPr>
          <w:rFonts w:hint="eastAsia" w:hAnsi="宋体" w:cs="宋体"/>
          <w:color w:val="auto"/>
          <w:kern w:val="1"/>
          <w:highlight w:val="none"/>
          <w:lang w:bidi="ar"/>
        </w:rPr>
        <w:t>3、施工过程中如发生扰民或民扰，由乙方与甲方协调解决，费用乙方承担。</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四</w:t>
      </w:r>
      <w:r>
        <w:rPr>
          <w:rFonts w:hint="eastAsia" w:hAnsi="宋体" w:cs="宋体"/>
          <w:b/>
          <w:color w:val="auto"/>
          <w:kern w:val="1"/>
          <w:highlight w:val="none"/>
          <w:lang w:bidi="ar"/>
        </w:rPr>
        <w:t>、设备、材料采购及试验</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设备、材料采购由乙方负责。设备、材料品牌、规格型号必须按（附件2）中主材品牌进行采购。在施工过程中，对此部分材料甲方始终保留甲供或甲控的主动权。若此部分主材由甲方甲供，在结算时直接按照后附附表3中的该种材料的甲供价格及用量乘以税金扣除；若此部分主材由甲方认质认价，在结算时则按照甲方认质认价单中的单价与实际用量乘以税金调整至结算造价中。</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3、本工程承包范围内使用的全部设备、材料及产品必须满足合格品规定，符合当地电力部门和洛阳市质量部门对</w:t>
      </w:r>
      <w:r>
        <w:rPr>
          <w:rFonts w:hint="eastAsia" w:hAnsi="宋体" w:cs="宋体"/>
          <w:color w:val="auto"/>
          <w:highlight w:val="none"/>
          <w:lang w:bidi="ar"/>
        </w:rPr>
        <w:t>电气设备</w:t>
      </w:r>
      <w:r>
        <w:rPr>
          <w:rFonts w:hint="eastAsia" w:hAnsi="宋体" w:cs="宋体"/>
          <w:color w:val="auto"/>
          <w:kern w:val="1"/>
          <w:highlight w:val="none"/>
          <w:lang w:bidi="ar"/>
        </w:rPr>
        <w:t>、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41"/>
        <w:widowControl w:val="0"/>
        <w:spacing w:before="0" w:beforeAutospacing="0" w:after="0" w:afterAutospacing="0" w:line="360" w:lineRule="auto"/>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五</w:t>
      </w:r>
      <w:r>
        <w:rPr>
          <w:rFonts w:hint="eastAsia" w:hAnsi="宋体" w:cs="宋体"/>
          <w:b/>
          <w:color w:val="auto"/>
          <w:kern w:val="1"/>
          <w:highlight w:val="none"/>
          <w:lang w:bidi="ar"/>
        </w:rPr>
        <w:t>、不可抗力</w:t>
      </w:r>
    </w:p>
    <w:p>
      <w:pPr>
        <w:pStyle w:val="41"/>
        <w:widowControl w:val="0"/>
        <w:spacing w:before="0" w:beforeAutospacing="0" w:after="0" w:afterAutospacing="0" w:line="360" w:lineRule="auto"/>
        <w:ind w:firstLine="360" w:firstLineChars="150"/>
        <w:jc w:val="both"/>
        <w:rPr>
          <w:rFonts w:hAnsi="宋体" w:cs="宋体"/>
          <w:color w:val="auto"/>
          <w:highlight w:val="none"/>
        </w:rPr>
      </w:pPr>
      <w:r>
        <w:rPr>
          <w:rFonts w:hint="eastAsia" w:hAnsi="宋体" w:cs="宋体"/>
          <w:color w:val="auto"/>
          <w:kern w:val="1"/>
          <w:highlight w:val="none"/>
          <w:lang w:bidi="ar"/>
        </w:rPr>
        <w:t>1、不可抗力指因战争、动乱、</w:t>
      </w:r>
      <w:r>
        <w:rPr>
          <w:rFonts w:hint="eastAsia" w:hAnsi="宋体" w:cs="宋体"/>
          <w:color w:val="auto"/>
          <w:kern w:val="1"/>
          <w:highlight w:val="none"/>
          <w:lang w:val="en-US" w:eastAsia="zh-CN" w:bidi="ar"/>
        </w:rPr>
        <w:t>瘟疫、</w:t>
      </w:r>
      <w:r>
        <w:rPr>
          <w:rFonts w:hint="eastAsia" w:hAnsi="宋体" w:cs="宋体"/>
          <w:color w:val="auto"/>
          <w:kern w:val="1"/>
          <w:highlight w:val="none"/>
          <w:lang w:bidi="ar"/>
        </w:rPr>
        <w:t>空中飞行物坠落或其他非双方责任造成的爆炸、火灾以及9级以上的台风、7级及7级以上的地震等。（以当地行业主管部门的公告为准 ）</w:t>
      </w:r>
    </w:p>
    <w:p>
      <w:pPr>
        <w:pStyle w:val="41"/>
        <w:widowControl w:val="0"/>
        <w:spacing w:before="0" w:beforeAutospacing="0" w:after="0" w:afterAutospacing="0" w:line="360" w:lineRule="auto"/>
        <w:ind w:right="-175" w:rightChars="-73" w:firstLine="240" w:firstLineChars="100"/>
        <w:jc w:val="both"/>
        <w:rPr>
          <w:rFonts w:hAnsi="宋体" w:cs="宋体"/>
          <w:color w:val="auto"/>
          <w:highlight w:val="none"/>
        </w:rPr>
      </w:pPr>
      <w:r>
        <w:rPr>
          <w:rFonts w:hint="eastAsia" w:hAnsi="宋体" w:cs="宋体"/>
          <w:color w:val="auto"/>
          <w:kern w:val="1"/>
          <w:highlight w:val="none"/>
          <w:lang w:bidi="ar"/>
        </w:rPr>
        <w:t>2、不可抗力发生后，乙方应迅速采取措施，尽力减少损失，并在24小时内向甲方通报受害情况，在事件发生后10日内向甲方报告损失情况和清理、修复的费用。</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3、因灾害所需清理修复工作的费用由双方承担：</w:t>
      </w:r>
    </w:p>
    <w:p>
      <w:pPr>
        <w:pStyle w:val="41"/>
        <w:widowControl w:val="0"/>
        <w:spacing w:before="0" w:beforeAutospacing="0" w:after="0" w:afterAutospacing="0" w:line="360" w:lineRule="auto"/>
        <w:ind w:firstLine="170" w:firstLineChars="71"/>
        <w:jc w:val="both"/>
        <w:rPr>
          <w:rFonts w:hAnsi="宋体" w:cs="宋体"/>
          <w:color w:val="auto"/>
          <w:highlight w:val="none"/>
        </w:rPr>
      </w:pPr>
      <w:r>
        <w:rPr>
          <w:rFonts w:hint="eastAsia" w:hAnsi="宋体" w:cs="宋体"/>
          <w:color w:val="auto"/>
          <w:kern w:val="1"/>
          <w:highlight w:val="none"/>
          <w:lang w:bidi="ar"/>
        </w:rPr>
        <w:t xml:space="preserve">   （1）、人员伤亡由所属单位负责，并承担相应费用；</w:t>
      </w:r>
    </w:p>
    <w:p>
      <w:pPr>
        <w:pStyle w:val="41"/>
        <w:widowControl w:val="0"/>
        <w:spacing w:before="0" w:beforeAutospacing="0" w:after="0" w:afterAutospacing="0" w:line="360" w:lineRule="auto"/>
        <w:ind w:firstLine="560"/>
        <w:jc w:val="both"/>
        <w:rPr>
          <w:rFonts w:hAnsi="宋体" w:cs="宋体"/>
          <w:color w:val="auto"/>
          <w:highlight w:val="none"/>
        </w:rPr>
      </w:pPr>
      <w:r>
        <w:rPr>
          <w:rFonts w:hint="eastAsia" w:hAnsi="宋体" w:cs="宋体"/>
          <w:color w:val="auto"/>
          <w:kern w:val="1"/>
          <w:highlight w:val="none"/>
          <w:lang w:bidi="ar"/>
        </w:rPr>
        <w:t>（2）、造成乙方工程设备、机械的损失等损失由乙方承担；</w:t>
      </w:r>
    </w:p>
    <w:p>
      <w:pPr>
        <w:pStyle w:val="41"/>
        <w:widowControl w:val="0"/>
        <w:spacing w:before="0" w:beforeAutospacing="0" w:after="0" w:afterAutospacing="0" w:line="360" w:lineRule="auto"/>
        <w:ind w:firstLine="560"/>
        <w:jc w:val="both"/>
        <w:rPr>
          <w:rFonts w:hAnsi="宋体" w:cs="宋体"/>
          <w:color w:val="auto"/>
          <w:highlight w:val="none"/>
        </w:rPr>
      </w:pPr>
      <w:r>
        <w:rPr>
          <w:rFonts w:hint="eastAsia" w:hAnsi="宋体" w:cs="宋体"/>
          <w:color w:val="auto"/>
          <w:kern w:val="1"/>
          <w:highlight w:val="none"/>
          <w:lang w:bidi="ar"/>
        </w:rPr>
        <w:t>（3）、所需清理修复工作的责任与费用的承担，双方另行商定。</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六</w:t>
      </w:r>
      <w:r>
        <w:rPr>
          <w:rFonts w:hint="eastAsia" w:hAnsi="宋体" w:cs="宋体"/>
          <w:b/>
          <w:color w:val="auto"/>
          <w:kern w:val="1"/>
          <w:highlight w:val="none"/>
          <w:lang w:bidi="ar"/>
        </w:rPr>
        <w:t>、质保期</w:t>
      </w:r>
    </w:p>
    <w:p>
      <w:pPr>
        <w:pStyle w:val="41"/>
        <w:widowControl w:val="0"/>
        <w:spacing w:before="0" w:beforeAutospacing="0" w:after="0" w:afterAutospacing="0" w:line="360" w:lineRule="auto"/>
        <w:ind w:firstLine="240" w:firstLineChars="100"/>
        <w:jc w:val="both"/>
        <w:rPr>
          <w:rFonts w:hAnsi="宋体" w:cs="宋体"/>
          <w:color w:val="auto"/>
          <w:highlight w:val="none"/>
        </w:rPr>
      </w:pPr>
      <w:r>
        <w:rPr>
          <w:rFonts w:hint="eastAsia" w:hAnsi="宋体" w:cs="宋体"/>
          <w:color w:val="auto"/>
          <w:kern w:val="1"/>
          <w:highlight w:val="none"/>
          <w:lang w:bidi="ar"/>
        </w:rPr>
        <w:t>1、质保期限为两年。自正式电送电完成之日起两年为质保期，质保期内应保证设备连续运转正常良好。</w:t>
      </w:r>
    </w:p>
    <w:p>
      <w:pPr>
        <w:pStyle w:val="41"/>
        <w:widowControl w:val="0"/>
        <w:spacing w:before="0" w:beforeAutospacing="0" w:after="0" w:afterAutospacing="0" w:line="360" w:lineRule="auto"/>
        <w:ind w:firstLine="240" w:firstLineChars="100"/>
        <w:jc w:val="both"/>
        <w:rPr>
          <w:rFonts w:hAnsi="宋体" w:cs="宋体"/>
          <w:color w:val="auto"/>
          <w:kern w:val="1"/>
          <w:highlight w:val="none"/>
          <w:lang w:bidi="ar"/>
        </w:rPr>
      </w:pPr>
      <w:r>
        <w:rPr>
          <w:rFonts w:hint="eastAsia" w:hAnsi="宋体" w:cs="宋体"/>
          <w:color w:val="auto"/>
          <w:kern w:val="1"/>
          <w:highlight w:val="none"/>
          <w:lang w:bidi="ar"/>
        </w:rPr>
        <w:t>2、在质保期内，凡因设备材料质量或安装、调试质量问题，由乙方负责免费保修和更换零配件。</w:t>
      </w:r>
    </w:p>
    <w:p>
      <w:pPr>
        <w:pStyle w:val="41"/>
        <w:widowControl w:val="0"/>
        <w:spacing w:before="0" w:beforeAutospacing="0" w:after="0" w:afterAutospacing="0" w:line="360" w:lineRule="auto"/>
        <w:ind w:firstLine="171" w:firstLineChars="71"/>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七</w:t>
      </w:r>
      <w:r>
        <w:rPr>
          <w:rFonts w:hint="eastAsia" w:hAnsi="宋体" w:cs="宋体"/>
          <w:b/>
          <w:color w:val="auto"/>
          <w:kern w:val="1"/>
          <w:highlight w:val="none"/>
          <w:lang w:bidi="ar"/>
        </w:rPr>
        <w:t>、售后服务措施</w:t>
      </w:r>
    </w:p>
    <w:p>
      <w:pPr>
        <w:pStyle w:val="41"/>
        <w:widowControl w:val="0"/>
        <w:spacing w:before="0" w:beforeAutospacing="0" w:after="0" w:afterAutospacing="0" w:line="360" w:lineRule="auto"/>
        <w:jc w:val="both"/>
        <w:rPr>
          <w:rFonts w:hAnsi="宋体" w:cs="宋体"/>
          <w:color w:val="auto"/>
          <w:highlight w:val="none"/>
        </w:rPr>
      </w:pPr>
      <w:r>
        <w:rPr>
          <w:rFonts w:hint="eastAsia" w:hAnsi="宋体" w:cs="宋体"/>
          <w:color w:val="auto"/>
          <w:highlight w:val="none"/>
          <w:lang w:bidi="ar"/>
        </w:rPr>
        <w:t xml:space="preserve">  1</w:t>
      </w:r>
      <w:r>
        <w:rPr>
          <w:rFonts w:hint="eastAsia" w:hAnsi="宋体" w:cs="宋体"/>
          <w:color w:val="auto"/>
          <w:kern w:val="1"/>
          <w:highlight w:val="none"/>
          <w:lang w:bidi="ar"/>
        </w:rPr>
        <w:t>、</w:t>
      </w:r>
      <w:r>
        <w:rPr>
          <w:rFonts w:hint="eastAsia" w:hAnsi="宋体" w:cs="宋体"/>
          <w:color w:val="auto"/>
          <w:highlight w:val="none"/>
          <w:lang w:bidi="ar"/>
        </w:rPr>
        <w:t>人员培训</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承包人应免费对发包人操作使用人员进行培训，培训内容：</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（1）电气设备的基本原理；</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（2）设备的操作使用和维护并免费提供培训教材及使用手册；</w:t>
      </w:r>
    </w:p>
    <w:p>
      <w:pPr>
        <w:pStyle w:val="41"/>
        <w:widowControl w:val="0"/>
        <w:spacing w:before="0" w:beforeAutospacing="0" w:after="0" w:afterAutospacing="0" w:line="360" w:lineRule="auto"/>
        <w:ind w:firstLine="480" w:firstLineChars="200"/>
        <w:jc w:val="both"/>
        <w:rPr>
          <w:rFonts w:hAnsi="宋体" w:cs="宋体"/>
          <w:color w:val="auto"/>
          <w:highlight w:val="none"/>
        </w:rPr>
      </w:pPr>
      <w:r>
        <w:rPr>
          <w:rFonts w:hint="eastAsia" w:hAnsi="宋体" w:cs="宋体"/>
          <w:color w:val="auto"/>
          <w:highlight w:val="none"/>
          <w:lang w:bidi="ar"/>
        </w:rPr>
        <w:t>（3）紧急情况的处理程序和补救措施。</w:t>
      </w:r>
    </w:p>
    <w:p>
      <w:pPr>
        <w:pStyle w:val="41"/>
        <w:widowControl w:val="0"/>
        <w:spacing w:before="0" w:beforeAutospacing="0" w:after="0" w:afterAutospacing="0" w:line="360" w:lineRule="auto"/>
        <w:ind w:left="391" w:leftChars="113" w:hanging="120" w:hangingChars="50"/>
        <w:jc w:val="both"/>
        <w:rPr>
          <w:rFonts w:hAnsi="宋体" w:cs="宋体"/>
          <w:color w:val="auto"/>
          <w:highlight w:val="none"/>
        </w:rPr>
      </w:pPr>
      <w:r>
        <w:rPr>
          <w:rFonts w:hint="eastAsia" w:hAnsi="宋体" w:cs="宋体"/>
          <w:color w:val="auto"/>
          <w:kern w:val="1"/>
          <w:highlight w:val="none"/>
          <w:lang w:bidi="ar"/>
        </w:rPr>
        <w:t>2、质保期内，乙方应定期对本工程进行回访，定期对系统进行检查、维护，查看值班人员记录，发现隐患迅速消除并向甲方提供书面报告。</w:t>
      </w:r>
    </w:p>
    <w:p>
      <w:pPr>
        <w:pStyle w:val="41"/>
        <w:widowControl w:val="0"/>
        <w:spacing w:before="0" w:beforeAutospacing="0" w:after="0" w:afterAutospacing="0" w:line="360" w:lineRule="auto"/>
        <w:ind w:left="391" w:leftChars="113" w:hanging="120" w:hangingChars="50"/>
        <w:jc w:val="both"/>
        <w:rPr>
          <w:rFonts w:hAnsi="宋体" w:cs="宋体"/>
          <w:color w:val="auto"/>
          <w:highlight w:val="none"/>
        </w:rPr>
      </w:pPr>
      <w:r>
        <w:rPr>
          <w:rFonts w:hint="eastAsia" w:hAnsi="宋体" w:cs="宋体"/>
          <w:color w:val="auto"/>
          <w:kern w:val="1"/>
          <w:highlight w:val="none"/>
          <w:lang w:bidi="ar"/>
        </w:rPr>
        <w:t xml:space="preserve">3、质保期内，乙方须每季度一次派技术人员到现场对系统进行检测、保养，发现问题及时解决。 </w:t>
      </w:r>
    </w:p>
    <w:p>
      <w:pPr>
        <w:pStyle w:val="41"/>
        <w:widowControl w:val="0"/>
        <w:spacing w:before="0" w:beforeAutospacing="0" w:after="0" w:afterAutospacing="0" w:line="360" w:lineRule="auto"/>
        <w:ind w:left="391" w:leftChars="113" w:hanging="120" w:hangingChars="50"/>
        <w:jc w:val="both"/>
        <w:rPr>
          <w:rFonts w:hAnsi="宋体" w:cs="宋体"/>
          <w:color w:val="auto"/>
          <w:highlight w:val="none"/>
        </w:rPr>
      </w:pPr>
      <w:r>
        <w:rPr>
          <w:rFonts w:hint="eastAsia" w:hAnsi="宋体" w:cs="宋体"/>
          <w:color w:val="auto"/>
          <w:kern w:val="1"/>
          <w:highlight w:val="none"/>
          <w:lang w:bidi="ar"/>
        </w:rPr>
        <w:t>4、保修期内若系统发生故障，乙方接到报修电话后在60分钟内赶到现场，故障修复时间约定为2小时以内，若在规定的时间内不能修复，乙方须提供备用设备以保证系统正常运行。</w:t>
      </w:r>
    </w:p>
    <w:p>
      <w:pPr>
        <w:pStyle w:val="41"/>
        <w:widowControl w:val="0"/>
        <w:spacing w:before="0" w:beforeAutospacing="0" w:after="0" w:afterAutospacing="0" w:line="360" w:lineRule="auto"/>
        <w:ind w:left="374" w:leftChars="56" w:hanging="240" w:hangingChars="100"/>
        <w:jc w:val="both"/>
        <w:rPr>
          <w:rFonts w:hAnsi="宋体" w:cs="宋体"/>
          <w:color w:val="auto"/>
          <w:highlight w:val="none"/>
        </w:rPr>
      </w:pPr>
      <w:r>
        <w:rPr>
          <w:rFonts w:hint="eastAsia" w:hAnsi="宋体" w:cs="宋体"/>
          <w:color w:val="auto"/>
          <w:kern w:val="1"/>
          <w:highlight w:val="none"/>
          <w:lang w:bidi="ar"/>
        </w:rPr>
        <w:t>5、免费保修期结束前，乙方须派技术人员对工程整个系统进行一次全面维修和检查，对系统中暴露的问题或隐患及时修复，并以书面形式报告甲方。</w:t>
      </w:r>
    </w:p>
    <w:p>
      <w:pPr>
        <w:widowControl/>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十</w:t>
      </w:r>
      <w:r>
        <w:rPr>
          <w:rFonts w:hint="eastAsia" w:ascii="宋体" w:hAnsi="宋体" w:cs="宋体"/>
          <w:b/>
          <w:color w:val="auto"/>
          <w:szCs w:val="24"/>
          <w:highlight w:val="none"/>
          <w:lang w:val="en-US" w:eastAsia="zh-CN" w:bidi="ar"/>
        </w:rPr>
        <w:t>八</w:t>
      </w:r>
      <w:r>
        <w:rPr>
          <w:rFonts w:hint="eastAsia" w:ascii="宋体" w:hAnsi="宋体" w:cs="宋体"/>
          <w:b/>
          <w:color w:val="auto"/>
          <w:szCs w:val="24"/>
          <w:highlight w:val="none"/>
          <w:lang w:bidi="ar"/>
        </w:rPr>
        <w:t>、违约责任：</w:t>
      </w:r>
    </w:p>
    <w:p>
      <w:pPr>
        <w:widowControl/>
        <w:spacing w:line="360" w:lineRule="auto"/>
        <w:ind w:left="360" w:hanging="360" w:hangingChars="150"/>
        <w:rPr>
          <w:rFonts w:ascii="宋体" w:hAnsi="宋体" w:cs="宋体"/>
          <w:color w:val="auto"/>
          <w:szCs w:val="24"/>
          <w:highlight w:val="none"/>
        </w:rPr>
      </w:pPr>
      <w:r>
        <w:rPr>
          <w:rFonts w:hint="eastAsia" w:ascii="宋体" w:hAnsi="宋体" w:cs="宋体"/>
          <w:color w:val="auto"/>
          <w:szCs w:val="24"/>
          <w:highlight w:val="none"/>
          <w:lang w:bidi="ar"/>
        </w:rPr>
        <w:t xml:space="preserve"> 1、合同签订生效后乙方不得转包本工程，如发现有转包的情况发生，视为乙方违约。甲方有权将乙方清除出场，扣除全部合同履约保证金，并承担由此造成的一切经济损失。</w:t>
      </w:r>
    </w:p>
    <w:p>
      <w:pPr>
        <w:pStyle w:val="41"/>
        <w:widowControl w:val="0"/>
        <w:spacing w:before="0" w:beforeAutospacing="0" w:after="0" w:afterAutospacing="0" w:line="360" w:lineRule="auto"/>
        <w:ind w:left="480" w:hanging="480" w:hangingChars="200"/>
        <w:jc w:val="both"/>
        <w:rPr>
          <w:rFonts w:hAnsi="宋体" w:cs="宋体"/>
          <w:color w:val="auto"/>
          <w:highlight w:val="none"/>
        </w:rPr>
      </w:pPr>
      <w:r>
        <w:rPr>
          <w:rFonts w:hint="eastAsia" w:hAnsi="宋体" w:cs="宋体"/>
          <w:color w:val="auto"/>
          <w:kern w:val="1"/>
          <w:highlight w:val="none"/>
          <w:lang w:bidi="ar"/>
        </w:rPr>
        <w:t xml:space="preserve"> 2、乙方须按甲方要求节点进度按时完工，因乙方原因未能按时完工（除甲方下发工期顺延签证以外），则每延迟一天按本合同工期履约保证的2%向甲方支付违约金。因乙方原因未能按时（已包含甲方下发的工期顺延签证）交工，每延迟一天交工按本合同工期履约保证的5%向甲方支付违约金，累计延迟交工超过一周（含一周）以上时间，每延迟一天按本合同工期履约保证的10%向甲方支付违约金，且甲方有权解除合同，承包方无条件撤离。</w:t>
      </w:r>
    </w:p>
    <w:p>
      <w:pPr>
        <w:spacing w:line="360" w:lineRule="auto"/>
        <w:ind w:left="374" w:leftChars="56" w:hanging="240" w:hangingChars="100"/>
        <w:rPr>
          <w:rFonts w:ascii="宋体" w:hAnsi="宋体" w:cs="宋体"/>
          <w:color w:val="auto"/>
          <w:szCs w:val="24"/>
          <w:highlight w:val="none"/>
        </w:rPr>
      </w:pPr>
      <w:r>
        <w:rPr>
          <w:rFonts w:hint="eastAsia" w:ascii="宋体" w:hAnsi="宋体" w:cs="宋体"/>
          <w:color w:val="auto"/>
          <w:szCs w:val="24"/>
          <w:highlight w:val="none"/>
          <w:lang w:bidi="ar"/>
        </w:rPr>
        <w:t>3、若乙方达不到工程质量目标，甲方有权拒付工程款，乙方向甲方支付合同价款5%的履约保证金不予退还，并无条件返工直到达到质量目标，所造成的一切损失由乙方承担。</w:t>
      </w:r>
    </w:p>
    <w:p>
      <w:pPr>
        <w:spacing w:line="360" w:lineRule="auto"/>
        <w:ind w:left="374" w:leftChars="56" w:hanging="240" w:hangingChars="100"/>
        <w:rPr>
          <w:rFonts w:ascii="宋体" w:hAnsi="宋体" w:cs="宋体"/>
          <w:color w:val="auto"/>
          <w:szCs w:val="24"/>
          <w:highlight w:val="none"/>
        </w:rPr>
      </w:pPr>
      <w:r>
        <w:rPr>
          <w:rFonts w:hint="eastAsia" w:ascii="宋体" w:hAnsi="宋体" w:cs="宋体"/>
          <w:color w:val="auto"/>
          <w:szCs w:val="24"/>
          <w:highlight w:val="none"/>
          <w:lang w:bidi="ar"/>
        </w:rPr>
        <w:t xml:space="preserve">4、如违约方给对方造成损失其违约金不足以弥补经济损失的，还应该向对方赔偿损失。赔偿损失的范围应包括直接损失、间接损失。 </w:t>
      </w:r>
    </w:p>
    <w:p>
      <w:pPr>
        <w:spacing w:line="360" w:lineRule="auto"/>
        <w:ind w:left="374" w:leftChars="56" w:hanging="240" w:hangingChars="100"/>
        <w:rPr>
          <w:rFonts w:ascii="宋体" w:hAnsi="宋体" w:cs="宋体"/>
          <w:color w:val="auto"/>
          <w:szCs w:val="24"/>
          <w:highlight w:val="none"/>
        </w:rPr>
      </w:pPr>
      <w:r>
        <w:rPr>
          <w:rFonts w:hint="eastAsia" w:ascii="宋体" w:hAnsi="宋体" w:cs="宋体"/>
          <w:color w:val="auto"/>
          <w:szCs w:val="24"/>
          <w:highlight w:val="none"/>
          <w:lang w:bidi="ar"/>
        </w:rPr>
        <w:t>5、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widowControl/>
        <w:spacing w:line="360" w:lineRule="auto"/>
        <w:ind w:left="480" w:hanging="480" w:hanging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 xml:space="preserve"> 6、项目经理及主要技术、管理人员，在施工过程中不经甲方同意不得更换，否则按违约处理，每发现一人，乙方向甲方支付5000元补偿；但对不称职者，甲方有权要求更换。 </w:t>
      </w:r>
    </w:p>
    <w:p>
      <w:pPr>
        <w:widowControl/>
        <w:spacing w:line="360" w:lineRule="auto"/>
        <w:ind w:left="480" w:hanging="480" w:hangingChars="200"/>
        <w:rPr>
          <w:rFonts w:hint="eastAsia" w:ascii="宋体" w:hAnsi="宋体" w:eastAsia="宋体" w:cs="宋体"/>
          <w:color w:val="auto"/>
          <w:szCs w:val="24"/>
          <w:highlight w:val="none"/>
          <w:lang w:val="en-US" w:eastAsia="zh-CN" w:bidi="ar"/>
        </w:rPr>
      </w:pPr>
      <w:r>
        <w:rPr>
          <w:rFonts w:hint="eastAsia" w:ascii="宋体" w:hAnsi="宋体" w:cs="宋体"/>
          <w:color w:val="auto"/>
          <w:szCs w:val="24"/>
          <w:highlight w:val="none"/>
          <w:lang w:val="en-US" w:eastAsia="zh-CN" w:bidi="ar"/>
        </w:rPr>
        <w:t>7、</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auto"/>
          <w:sz w:val="24"/>
          <w:szCs w:val="24"/>
          <w:highlight w:val="none"/>
          <w:lang w:val="en-US" w:eastAsia="zh-CN"/>
        </w:rPr>
        <w:t>材料</w:t>
      </w:r>
      <w:r>
        <w:rPr>
          <w:rFonts w:hint="eastAsia" w:ascii="宋体" w:hAnsi="宋体" w:eastAsia="宋体" w:cs="宋体"/>
          <w:color w:val="auto"/>
          <w:sz w:val="24"/>
          <w:szCs w:val="24"/>
          <w:highlight w:val="none"/>
        </w:rPr>
        <w:t>费用等损失由乙方自行承担，同时甲方还有权根据本合同</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追究乙方的违约责任，并</w:t>
      </w:r>
      <w:r>
        <w:rPr>
          <w:rFonts w:hint="eastAsia" w:ascii="宋体" w:hAnsi="宋体" w:eastAsia="宋体" w:cs="宋体"/>
          <w:color w:val="auto"/>
          <w:sz w:val="24"/>
          <w:szCs w:val="24"/>
          <w:highlight w:val="none"/>
        </w:rPr>
        <w:t>向乙方</w:t>
      </w:r>
      <w:r>
        <w:rPr>
          <w:rFonts w:hint="eastAsia" w:ascii="宋体" w:hAnsi="宋体" w:eastAsia="宋体" w:cs="宋体"/>
          <w:color w:val="auto"/>
          <w:sz w:val="24"/>
          <w:szCs w:val="24"/>
          <w:highlight w:val="none"/>
          <w:lang w:val="en-US" w:eastAsia="zh-CN"/>
        </w:rPr>
        <w:t>主张包括但不限于因</w:t>
      </w:r>
      <w:r>
        <w:rPr>
          <w:rFonts w:hint="eastAsia" w:ascii="宋体" w:hAnsi="宋体" w:eastAsia="宋体" w:cs="宋体"/>
          <w:color w:val="auto"/>
          <w:sz w:val="24"/>
          <w:szCs w:val="24"/>
          <w:highlight w:val="none"/>
        </w:rPr>
        <w:t>索赔</w:t>
      </w:r>
      <w:r>
        <w:rPr>
          <w:rFonts w:hint="eastAsia" w:ascii="宋体" w:hAnsi="宋体" w:eastAsia="宋体" w:cs="宋体"/>
          <w:color w:val="auto"/>
          <w:sz w:val="24"/>
          <w:szCs w:val="24"/>
          <w:highlight w:val="none"/>
          <w:lang w:val="en-US" w:eastAsia="zh-CN"/>
        </w:rPr>
        <w:t>产生的诉讼费、保全费、保全担保费、律师费等</w:t>
      </w:r>
      <w:r>
        <w:rPr>
          <w:rFonts w:hint="eastAsia" w:ascii="宋体" w:hAnsi="宋体" w:eastAsia="宋体" w:cs="宋体"/>
          <w:color w:val="auto"/>
          <w:sz w:val="24"/>
          <w:szCs w:val="24"/>
          <w:highlight w:val="none"/>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auto"/>
          <w:sz w:val="24"/>
          <w:szCs w:val="24"/>
          <w:highlight w:val="none"/>
          <w:lang w:val="en-US" w:eastAsia="zh-CN"/>
        </w:rPr>
        <w:t>在质保期满后</w:t>
      </w:r>
      <w:r>
        <w:rPr>
          <w:rFonts w:hint="eastAsia" w:ascii="宋体" w:hAnsi="宋体" w:eastAsia="宋体" w:cs="宋体"/>
          <w:color w:val="auto"/>
          <w:sz w:val="24"/>
          <w:szCs w:val="24"/>
          <w:highlight w:val="none"/>
        </w:rPr>
        <w:t>给予结算100%，乙方拒不履行保修责任或未按期完成保修事项的，该部分工程量甲方不予结算</w:t>
      </w:r>
      <w:r>
        <w:rPr>
          <w:rFonts w:hint="eastAsia" w:ascii="宋体" w:hAnsi="宋体" w:eastAsia="宋体" w:cs="宋体"/>
          <w:color w:val="auto"/>
          <w:sz w:val="24"/>
          <w:szCs w:val="24"/>
          <w:highlight w:val="none"/>
          <w:lang w:eastAsia="zh-CN"/>
        </w:rPr>
        <w:t>。</w:t>
      </w:r>
    </w:p>
    <w:p>
      <w:pPr>
        <w:pStyle w:val="41"/>
        <w:widowControl w:val="0"/>
        <w:spacing w:before="0" w:beforeAutospacing="0" w:after="0" w:afterAutospacing="0" w:line="360" w:lineRule="auto"/>
        <w:jc w:val="both"/>
        <w:rPr>
          <w:rFonts w:hAnsi="宋体" w:cs="宋体"/>
          <w:b/>
          <w:color w:val="auto"/>
          <w:highlight w:val="none"/>
        </w:rPr>
      </w:pPr>
      <w:r>
        <w:rPr>
          <w:rFonts w:hint="eastAsia" w:hAnsi="宋体" w:cs="宋体"/>
          <w:b/>
          <w:color w:val="auto"/>
          <w:kern w:val="1"/>
          <w:highlight w:val="none"/>
          <w:lang w:bidi="ar"/>
        </w:rPr>
        <w:t>十</w:t>
      </w:r>
      <w:r>
        <w:rPr>
          <w:rFonts w:hint="eastAsia" w:hAnsi="宋体" w:cs="宋体"/>
          <w:b/>
          <w:color w:val="auto"/>
          <w:kern w:val="1"/>
          <w:highlight w:val="none"/>
          <w:lang w:val="en-US" w:eastAsia="zh-CN" w:bidi="ar"/>
        </w:rPr>
        <w:t>九</w:t>
      </w:r>
      <w:r>
        <w:rPr>
          <w:rFonts w:hint="eastAsia" w:hAnsi="宋体" w:cs="宋体"/>
          <w:b/>
          <w:color w:val="auto"/>
          <w:highlight w:val="none"/>
          <w:lang w:bidi="ar"/>
        </w:rPr>
        <w:t>、</w:t>
      </w:r>
      <w:r>
        <w:rPr>
          <w:rFonts w:hint="eastAsia" w:hAnsi="宋体" w:cs="宋体"/>
          <w:b/>
          <w:color w:val="auto"/>
          <w:kern w:val="1"/>
          <w:highlight w:val="none"/>
          <w:lang w:bidi="ar"/>
        </w:rPr>
        <w:t>争议及纠纷的解决</w:t>
      </w:r>
    </w:p>
    <w:p>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lang w:bidi="ar"/>
        </w:rPr>
        <w:t>本合同在履行过程中如出现纠纷，双方应友好协商解决；协商不成，双方均可向甲方所在地人民法院提起诉讼。</w:t>
      </w:r>
    </w:p>
    <w:p>
      <w:pPr>
        <w:spacing w:line="360" w:lineRule="auto"/>
        <w:rPr>
          <w:rFonts w:ascii="宋体" w:hAnsi="宋体" w:cs="宋体"/>
          <w:b/>
          <w:color w:val="auto"/>
          <w:szCs w:val="24"/>
          <w:highlight w:val="none"/>
        </w:rPr>
      </w:pPr>
      <w:r>
        <w:rPr>
          <w:rFonts w:hint="eastAsia" w:ascii="宋体" w:hAnsi="宋体" w:cs="宋体"/>
          <w:b/>
          <w:color w:val="auto"/>
          <w:szCs w:val="24"/>
          <w:highlight w:val="none"/>
          <w:lang w:val="en-US" w:eastAsia="zh-CN" w:bidi="ar"/>
        </w:rPr>
        <w:t>二十</w:t>
      </w:r>
      <w:r>
        <w:rPr>
          <w:rFonts w:hint="eastAsia" w:ascii="宋体" w:hAnsi="宋体" w:cs="宋体"/>
          <w:b/>
          <w:color w:val="auto"/>
          <w:szCs w:val="24"/>
          <w:highlight w:val="none"/>
          <w:lang w:bidi="ar"/>
        </w:rPr>
        <w:t>、合同解约条款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乙方未经甲方同意停工</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日（含</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甲方或监理方对同一施工问题连续下发三次整改通知书后乙方无作为或整改问题未</w:t>
      </w:r>
      <w:r>
        <w:rPr>
          <w:rFonts w:hint="eastAsia" w:ascii="宋体" w:hAnsi="宋体" w:eastAsia="宋体" w:cs="宋体"/>
          <w:color w:val="auto"/>
          <w:sz w:val="24"/>
          <w:szCs w:val="24"/>
          <w:highlight w:val="none"/>
          <w:lang w:val="en-US" w:eastAsia="zh-CN"/>
        </w:rPr>
        <w:t>在整改通知书要求的期限内</w:t>
      </w:r>
      <w:r>
        <w:rPr>
          <w:rFonts w:hint="eastAsia" w:ascii="宋体" w:hAnsi="宋体" w:eastAsia="宋体" w:cs="宋体"/>
          <w:color w:val="auto"/>
          <w:sz w:val="24"/>
          <w:szCs w:val="24"/>
          <w:highlight w:val="none"/>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乙方购置不符合合同约定的品牌、厂家、产地、材质、工艺、规格、型号等标准</w:t>
      </w:r>
      <w:r>
        <w:rPr>
          <w:rFonts w:hint="eastAsia" w:ascii="宋体" w:hAnsi="宋体" w:eastAsia="宋体" w:cs="宋体"/>
          <w:color w:val="auto"/>
          <w:sz w:val="24"/>
          <w:szCs w:val="24"/>
          <w:highlight w:val="none"/>
          <w:lang w:val="en-US" w:eastAsia="zh-CN"/>
        </w:rPr>
        <w:t>的产品或者</w:t>
      </w:r>
      <w:r>
        <w:rPr>
          <w:rFonts w:hint="eastAsia" w:ascii="宋体" w:hAnsi="宋体" w:eastAsia="宋体" w:cs="宋体"/>
          <w:color w:val="auto"/>
          <w:sz w:val="24"/>
          <w:szCs w:val="24"/>
          <w:highlight w:val="none"/>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依据本条</w:t>
      </w:r>
      <w:r>
        <w:rPr>
          <w:rFonts w:hint="eastAsia" w:ascii="宋体" w:hAnsi="宋体" w:eastAsia="宋体" w:cs="宋体"/>
          <w:color w:val="auto"/>
          <w:sz w:val="24"/>
          <w:szCs w:val="24"/>
          <w:highlight w:val="none"/>
        </w:rPr>
        <w:t>合同解除后，对于乙方已完工部分质量合格的按照实际工程量给予结算70%，对于不合格部分责令整改，整改合格后给予结算工程70%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auto"/>
          <w:sz w:val="24"/>
          <w:szCs w:val="24"/>
          <w:highlight w:val="none"/>
          <w:lang w:val="en-US" w:eastAsia="zh-CN"/>
        </w:rPr>
        <w:t>如果乙方不主动拆改、整修，甲方可自行整改，相关的费用从未付工程款中直接扣除，不足部分甲方另行向乙方追偿。</w:t>
      </w:r>
    </w:p>
    <w:p>
      <w:pPr>
        <w:spacing w:line="360" w:lineRule="auto"/>
        <w:ind w:firstLine="480" w:firstLineChars="200"/>
        <w:rPr>
          <w:rFonts w:ascii="宋体" w:hAnsi="宋体" w:cs="宋体"/>
          <w:color w:val="auto"/>
          <w:szCs w:val="24"/>
          <w:highlight w:val="none"/>
        </w:rPr>
      </w:pPr>
      <w:r>
        <w:rPr>
          <w:rFonts w:hint="eastAsia" w:ascii="宋体" w:hAnsi="宋体" w:eastAsia="宋体" w:cs="宋体"/>
          <w:color w:val="auto"/>
          <w:sz w:val="24"/>
          <w:szCs w:val="24"/>
          <w:highlight w:val="none"/>
        </w:rPr>
        <w:t>如合同解约甲方有权委托其他公司进行施工。</w:t>
      </w:r>
    </w:p>
    <w:p>
      <w:pPr>
        <w:spacing w:line="360" w:lineRule="auto"/>
        <w:rPr>
          <w:rFonts w:ascii="宋体" w:hAnsi="宋体" w:cs="宋体"/>
          <w:b/>
          <w:color w:val="auto"/>
          <w:szCs w:val="24"/>
          <w:highlight w:val="none"/>
        </w:rPr>
      </w:pPr>
      <w:r>
        <w:rPr>
          <w:rFonts w:hint="eastAsia" w:ascii="宋体" w:hAnsi="宋体" w:cs="宋体"/>
          <w:b/>
          <w:color w:val="auto"/>
          <w:szCs w:val="24"/>
          <w:highlight w:val="none"/>
          <w:lang w:bidi="ar"/>
        </w:rPr>
        <w:t>二十</w:t>
      </w:r>
      <w:r>
        <w:rPr>
          <w:rFonts w:hint="eastAsia" w:ascii="宋体" w:hAnsi="宋体" w:cs="宋体"/>
          <w:b/>
          <w:color w:val="auto"/>
          <w:szCs w:val="24"/>
          <w:highlight w:val="none"/>
          <w:lang w:val="en-US" w:eastAsia="zh-CN" w:bidi="ar"/>
        </w:rPr>
        <w:t>一</w:t>
      </w:r>
      <w:r>
        <w:rPr>
          <w:rFonts w:hint="eastAsia" w:ascii="宋体" w:hAnsi="宋体" w:cs="宋体"/>
          <w:b/>
          <w:color w:val="auto"/>
          <w:szCs w:val="24"/>
          <w:highlight w:val="none"/>
          <w:lang w:bidi="ar"/>
        </w:rPr>
        <w:t>、其他</w:t>
      </w:r>
    </w:p>
    <w:p>
      <w:pPr>
        <w:spacing w:line="360" w:lineRule="auto"/>
        <w:rPr>
          <w:rFonts w:ascii="宋体" w:hAnsi="宋体" w:cs="宋体"/>
          <w:color w:val="auto"/>
          <w:szCs w:val="24"/>
          <w:highlight w:val="none"/>
        </w:rPr>
      </w:pPr>
      <w:r>
        <w:rPr>
          <w:rFonts w:hint="eastAsia" w:ascii="宋体" w:hAnsi="宋体" w:cs="宋体"/>
          <w:color w:val="auto"/>
          <w:szCs w:val="24"/>
          <w:highlight w:val="none"/>
          <w:lang w:bidi="ar"/>
        </w:rPr>
        <w:t>1、本合同签订前</w:t>
      </w:r>
      <w:r>
        <w:rPr>
          <w:rFonts w:hint="eastAsia" w:ascii="宋体" w:hAnsi="宋体" w:cs="宋体"/>
          <w:color w:val="auto"/>
          <w:kern w:val="1"/>
          <w:szCs w:val="24"/>
          <w:highlight w:val="none"/>
        </w:rPr>
        <w:t>，乙方以转账形式向招标方交纳合同履约保证金（</w:t>
      </w:r>
      <w:r>
        <w:rPr>
          <w:rFonts w:hint="eastAsia" w:ascii="宋体" w:hAnsi="宋体" w:cs="宋体"/>
          <w:color w:val="auto"/>
          <w:kern w:val="1"/>
          <w:szCs w:val="24"/>
          <w:highlight w:val="none"/>
          <w:lang w:eastAsia="zh-CN"/>
        </w:rPr>
        <w:t>投标保证金直接转为履约保证金</w:t>
      </w:r>
      <w:r>
        <w:rPr>
          <w:rFonts w:hint="eastAsia" w:ascii="宋体" w:hAnsi="宋体" w:cs="宋体"/>
          <w:color w:val="auto"/>
          <w:kern w:val="1"/>
          <w:szCs w:val="24"/>
          <w:highlight w:val="none"/>
        </w:rPr>
        <w:t>：其中3%为质量履约保证金，2%为工期履约保证金）</w:t>
      </w:r>
      <w:r>
        <w:rPr>
          <w:rFonts w:hint="eastAsia" w:ascii="宋体" w:hAnsi="宋体" w:cs="宋体"/>
          <w:color w:val="auto"/>
          <w:szCs w:val="24"/>
          <w:highlight w:val="none"/>
          <w:lang w:bidi="ar"/>
        </w:rPr>
        <w:t>。工程验收合格后30日内甲方无息退还合同履约保证金。</w:t>
      </w:r>
    </w:p>
    <w:p>
      <w:pPr>
        <w:spacing w:line="360" w:lineRule="auto"/>
        <w:rPr>
          <w:rFonts w:ascii="宋体" w:hAnsi="宋体" w:cs="宋体"/>
          <w:color w:val="auto"/>
          <w:szCs w:val="24"/>
          <w:highlight w:val="none"/>
        </w:rPr>
      </w:pPr>
      <w:r>
        <w:rPr>
          <w:rFonts w:hint="eastAsia" w:ascii="宋体" w:hAnsi="宋体" w:cs="宋体"/>
          <w:color w:val="auto"/>
          <w:szCs w:val="24"/>
          <w:highlight w:val="none"/>
          <w:lang w:bidi="ar"/>
        </w:rPr>
        <w:t>2、本合同,一式柒份，甲方伍份，乙方贰份，自双方签字或盖章，甲方收到乙方合同履约保证金之日起生效。</w:t>
      </w:r>
    </w:p>
    <w:p>
      <w:pPr>
        <w:pStyle w:val="41"/>
        <w:widowControl w:val="0"/>
        <w:spacing w:before="0" w:beforeAutospacing="0" w:after="0" w:afterAutospacing="0" w:line="360" w:lineRule="auto"/>
        <w:jc w:val="both"/>
        <w:rPr>
          <w:rFonts w:hAnsi="宋体" w:cs="宋体"/>
          <w:color w:val="auto"/>
          <w:highlight w:val="none"/>
        </w:rPr>
      </w:pPr>
      <w:r>
        <w:rPr>
          <w:rFonts w:hint="eastAsia" w:hAnsi="宋体" w:cs="宋体"/>
          <w:color w:val="auto"/>
          <w:kern w:val="1"/>
          <w:highlight w:val="none"/>
          <w:lang w:bidi="ar"/>
        </w:rPr>
        <w:t>3、本合同协议书、</w:t>
      </w:r>
      <w:r>
        <w:rPr>
          <w:rFonts w:hint="eastAsia" w:hAnsi="宋体" w:cs="宋体"/>
          <w:color w:val="auto"/>
          <w:highlight w:val="none"/>
          <w:lang w:bidi="ar"/>
        </w:rPr>
        <w:t>投标书及其附件、招标文件、投标答疑、询标记录、国家现行标准规范及有关技术文件、本工程设计施工图纸以及双方有关工程的洽商、变更等书面协议或文件均视为本合同的组成部分。</w:t>
      </w:r>
    </w:p>
    <w:p>
      <w:pPr>
        <w:tabs>
          <w:tab w:val="left" w:pos="55"/>
        </w:tabs>
        <w:spacing w:line="360" w:lineRule="auto"/>
        <w:ind w:right="-1202" w:rightChars="-501"/>
        <w:rPr>
          <w:rFonts w:ascii="宋体" w:hAnsi="宋体" w:cs="宋体"/>
          <w:color w:val="auto"/>
          <w:szCs w:val="24"/>
          <w:highlight w:val="none"/>
        </w:rPr>
      </w:pPr>
      <w:r>
        <w:rPr>
          <w:rFonts w:hint="eastAsia" w:ascii="宋体" w:hAnsi="宋体" w:cs="宋体"/>
          <w:color w:val="auto"/>
          <w:szCs w:val="24"/>
          <w:highlight w:val="none"/>
          <w:lang w:bidi="ar"/>
        </w:rPr>
        <w:t>4、本合同未尽事宜双方另行协商，签订补充协议。</w:t>
      </w:r>
    </w:p>
    <w:p>
      <w:pPr>
        <w:tabs>
          <w:tab w:val="left" w:pos="600"/>
        </w:tabs>
        <w:spacing w:line="360" w:lineRule="auto"/>
        <w:rPr>
          <w:rFonts w:ascii="宋体" w:hAnsi="宋体" w:cs="宋体"/>
          <w:b/>
          <w:bCs/>
          <w:color w:val="auto"/>
          <w:szCs w:val="24"/>
          <w:highlight w:val="none"/>
          <w:lang w:bidi="ar"/>
        </w:rPr>
      </w:pPr>
      <w:r>
        <w:rPr>
          <w:rFonts w:hint="eastAsia" w:ascii="宋体" w:hAnsi="宋体" w:cs="宋体"/>
          <w:b/>
          <w:bCs/>
          <w:color w:val="auto"/>
          <w:szCs w:val="24"/>
          <w:highlight w:val="none"/>
        </w:rPr>
        <w:t>二十</w:t>
      </w:r>
      <w:r>
        <w:rPr>
          <w:rFonts w:hint="eastAsia" w:ascii="宋体" w:hAnsi="宋体" w:cs="宋体"/>
          <w:b/>
          <w:bCs/>
          <w:color w:val="auto"/>
          <w:szCs w:val="24"/>
          <w:highlight w:val="none"/>
          <w:lang w:val="en-US" w:eastAsia="zh-CN"/>
        </w:rPr>
        <w:t>二</w:t>
      </w:r>
      <w:r>
        <w:rPr>
          <w:rFonts w:hint="eastAsia" w:ascii="宋体" w:hAnsi="宋体" w:cs="宋体"/>
          <w:b/>
          <w:bCs/>
          <w:color w:val="auto"/>
          <w:szCs w:val="24"/>
          <w:highlight w:val="none"/>
          <w:lang w:bidi="ar"/>
        </w:rPr>
        <w:t>、送达条款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hint="eastAsia" w:ascii="宋体" w:hAnsi="宋体" w:cs="宋体"/>
          <w:color w:val="auto"/>
          <w:sz w:val="24"/>
          <w:szCs w:val="24"/>
          <w:highlight w:val="none"/>
        </w:rPr>
        <w:t>招采合约部，0379-</w:t>
      </w:r>
      <w:r>
        <w:rPr>
          <w:rFonts w:hint="eastAsia" w:ascii="宋体" w:hAnsi="宋体" w:cs="宋体"/>
          <w:color w:val="auto"/>
          <w:sz w:val="24"/>
          <w:szCs w:val="24"/>
          <w:highlight w:val="none"/>
          <w:lang w:val="en-US" w:eastAsia="zh-CN"/>
        </w:rPr>
        <w:t>60198086</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乙方确认的送达信息为：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送达地址：</w:t>
      </w:r>
      <w:r>
        <w:rPr>
          <w:rFonts w:hint="eastAsia" w:ascii="宋体" w:hAnsi="宋体" w:cs="宋体"/>
          <w:color w:val="auto"/>
          <w:szCs w:val="24"/>
          <w:highlight w:val="none"/>
        </w:rPr>
        <w:t>洛阳市西工区八一路23号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联系人及联系方式：</w:t>
      </w:r>
      <w:r>
        <w:rPr>
          <w:rFonts w:ascii="宋体" w:hAnsi="宋体" w:cs="宋体"/>
          <w:color w:val="auto"/>
          <w:szCs w:val="24"/>
          <w:highlight w:val="none"/>
        </w:rPr>
        <w:t>0379-61185589</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ascii="宋体" w:hAnsi="宋体" w:cs="宋体"/>
          <w:color w:val="auto"/>
          <w:szCs w:val="24"/>
          <w:highlight w:val="none"/>
          <w:lang w:bidi="ar"/>
        </w:rPr>
      </w:pPr>
      <w:r>
        <w:rPr>
          <w:rFonts w:hint="eastAsia" w:ascii="宋体" w:hAnsi="宋体" w:eastAsia="宋体" w:cs="宋体"/>
          <w:color w:val="auto"/>
          <w:sz w:val="24"/>
          <w:szCs w:val="24"/>
          <w:highlight w:val="none"/>
          <w:lang w:val="en-US" w:eastAsia="zh-CN"/>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甲方：洛阳浩德鑫置地有限公司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乙 方：</w:t>
      </w:r>
      <w:r>
        <w:rPr>
          <w:rFonts w:hint="eastAsia" w:ascii="宋体" w:hAnsi="宋体" w:cs="宋体"/>
          <w:color w:val="auto"/>
          <w:sz w:val="30"/>
          <w:szCs w:val="30"/>
          <w:highlight w:val="none"/>
          <w:lang w:eastAsia="zh-CN"/>
        </w:rPr>
        <w:t>洛阳龙羽集团有限公司</w:t>
      </w:r>
      <w:r>
        <w:rPr>
          <w:rFonts w:hint="eastAsia" w:ascii="宋体" w:hAnsi="宋体" w:cs="宋体"/>
          <w:color w:val="auto"/>
          <w:szCs w:val="24"/>
          <w:highlight w:val="none"/>
        </w:rPr>
        <w:t xml:space="preserve">                                                                                                  </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法定代表人：                         法定代表人：</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委托代理人：                         委托代理人：</w:t>
      </w:r>
    </w:p>
    <w:p>
      <w:pPr>
        <w:widowControl/>
        <w:spacing w:before="156" w:beforeLines="50" w:after="156" w:afterLines="50" w:line="360" w:lineRule="auto"/>
        <w:ind w:left="6038" w:leftChars="216" w:right="120" w:rightChars="50" w:hanging="5520" w:hangingChars="2300"/>
        <w:rPr>
          <w:rFonts w:ascii="宋体" w:hAnsi="宋体" w:cs="宋体"/>
          <w:color w:val="auto"/>
          <w:szCs w:val="24"/>
          <w:highlight w:val="none"/>
        </w:rPr>
      </w:pPr>
      <w:r>
        <w:rPr>
          <w:rFonts w:hint="eastAsia" w:ascii="宋体" w:hAnsi="宋体" w:cs="宋体"/>
          <w:color w:val="auto"/>
          <w:szCs w:val="24"/>
          <w:highlight w:val="none"/>
        </w:rPr>
        <w:t>开户行：</w:t>
      </w:r>
      <w:r>
        <w:rPr>
          <w:rFonts w:hint="eastAsia" w:ascii="宋体" w:hAnsi="宋体" w:cs="宋体"/>
          <w:bCs/>
          <w:color w:val="auto"/>
          <w:szCs w:val="24"/>
          <w:highlight w:val="none"/>
        </w:rPr>
        <w:t>工商银行洛阳</w:t>
      </w:r>
      <w:r>
        <w:rPr>
          <w:rFonts w:hint="eastAsia" w:ascii="宋体" w:hAnsi="宋体" w:cs="宋体"/>
          <w:bCs/>
          <w:color w:val="auto"/>
          <w:szCs w:val="24"/>
          <w:highlight w:val="none"/>
          <w:lang w:eastAsia="zh-CN"/>
        </w:rPr>
        <w:t>洛南</w:t>
      </w:r>
      <w:r>
        <w:rPr>
          <w:rFonts w:hint="eastAsia" w:ascii="宋体" w:hAnsi="宋体" w:cs="宋体"/>
          <w:bCs/>
          <w:color w:val="auto"/>
          <w:szCs w:val="24"/>
          <w:highlight w:val="none"/>
        </w:rPr>
        <w:t xml:space="preserve">支行        </w:t>
      </w:r>
      <w:r>
        <w:rPr>
          <w:rFonts w:hint="eastAsia" w:ascii="宋体" w:hAnsi="宋体" w:cs="宋体"/>
          <w:color w:val="auto"/>
          <w:szCs w:val="24"/>
          <w:highlight w:val="none"/>
        </w:rPr>
        <w:t xml:space="preserve"> 开户行：中国银行股份有限公司洛阳车站支行</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账  号：</w:t>
      </w:r>
      <w:bookmarkStart w:id="0" w:name="_Hlk29048930"/>
      <w:r>
        <w:rPr>
          <w:rFonts w:hint="eastAsia" w:ascii="宋体" w:hAnsi="宋体" w:cs="宋体"/>
          <w:bCs/>
          <w:color w:val="auto"/>
          <w:szCs w:val="24"/>
          <w:highlight w:val="none"/>
        </w:rPr>
        <w:t>1705322919200010201</w:t>
      </w:r>
      <w:bookmarkEnd w:id="0"/>
      <w:r>
        <w:rPr>
          <w:rFonts w:hint="eastAsia" w:ascii="宋体" w:hAnsi="宋体" w:cs="宋体"/>
          <w:color w:val="auto"/>
          <w:szCs w:val="24"/>
          <w:highlight w:val="none"/>
        </w:rPr>
        <w:t xml:space="preserve">  </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账  号：</w:t>
      </w:r>
      <w:r>
        <w:rPr>
          <w:rFonts w:ascii="宋体" w:hAnsi="宋体" w:cs="宋体"/>
          <w:color w:val="auto"/>
          <w:szCs w:val="24"/>
          <w:highlight w:val="none"/>
        </w:rPr>
        <w:t>254622934480</w:t>
      </w:r>
    </w:p>
    <w:p>
      <w:pPr>
        <w:widowControl/>
        <w:spacing w:before="156" w:beforeLines="50" w:after="156" w:afterLines="50" w:line="360" w:lineRule="auto"/>
        <w:ind w:left="120" w:leftChars="50" w:right="120" w:rightChars="50" w:firstLine="480" w:firstLineChars="200"/>
        <w:rPr>
          <w:rFonts w:ascii="宋体" w:hAnsi="宋体" w:cs="宋体"/>
          <w:color w:val="auto"/>
          <w:szCs w:val="24"/>
          <w:highlight w:val="none"/>
        </w:rPr>
      </w:pPr>
      <w:r>
        <w:rPr>
          <w:rFonts w:hint="eastAsia" w:ascii="宋体" w:hAnsi="宋体" w:cs="宋体"/>
          <w:color w:val="auto"/>
          <w:szCs w:val="24"/>
          <w:highlight w:val="none"/>
        </w:rPr>
        <w:t>税  号：914103005542480325           税  号：</w:t>
      </w:r>
      <w:r>
        <w:rPr>
          <w:rFonts w:ascii="宋体" w:hAnsi="宋体" w:cs="宋体"/>
          <w:color w:val="auto"/>
          <w:szCs w:val="24"/>
          <w:highlight w:val="none"/>
        </w:rPr>
        <w:t>914103007065667860</w:t>
      </w:r>
    </w:p>
    <w:p>
      <w:pPr>
        <w:spacing w:before="156" w:beforeLines="50" w:after="156" w:afterLines="50"/>
        <w:jc w:val="both"/>
        <w:rPr>
          <w:rFonts w:hint="eastAsia" w:ascii="宋体" w:hAnsi="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eastAsia="zh-CN"/>
        </w:rPr>
        <w:t>附件</w:t>
      </w:r>
      <w:r>
        <w:rPr>
          <w:rFonts w:hint="eastAsia" w:ascii="宋体" w:hAnsi="宋体" w:cs="宋体"/>
          <w:b w:val="0"/>
          <w:bCs w:val="0"/>
          <w:color w:val="auto"/>
          <w:sz w:val="32"/>
          <w:szCs w:val="32"/>
          <w:highlight w:val="none"/>
          <w:lang w:val="en-US" w:eastAsia="zh-CN"/>
        </w:rPr>
        <w:t>1：价格汇总表、明细表、设备价格明细</w:t>
      </w:r>
    </w:p>
    <w:tbl>
      <w:tblPr>
        <w:tblStyle w:val="44"/>
        <w:tblW w:w="9603" w:type="dxa"/>
        <w:tblInd w:w="-289" w:type="dxa"/>
        <w:shd w:val="clear" w:color="auto" w:fill="auto"/>
        <w:tblLayout w:type="fixed"/>
        <w:tblCellMar>
          <w:top w:w="0" w:type="dxa"/>
          <w:left w:w="108" w:type="dxa"/>
          <w:bottom w:w="0" w:type="dxa"/>
          <w:right w:w="108" w:type="dxa"/>
        </w:tblCellMar>
      </w:tblPr>
      <w:tblGrid>
        <w:gridCol w:w="441"/>
        <w:gridCol w:w="951"/>
        <w:gridCol w:w="173"/>
        <w:gridCol w:w="704"/>
        <w:gridCol w:w="934"/>
        <w:gridCol w:w="1180"/>
        <w:gridCol w:w="129"/>
        <w:gridCol w:w="364"/>
        <w:gridCol w:w="237"/>
        <w:gridCol w:w="280"/>
        <w:gridCol w:w="267"/>
        <w:gridCol w:w="340"/>
        <w:gridCol w:w="697"/>
        <w:gridCol w:w="192"/>
        <w:gridCol w:w="129"/>
        <w:gridCol w:w="1033"/>
        <w:gridCol w:w="137"/>
        <w:gridCol w:w="904"/>
        <w:gridCol w:w="399"/>
        <w:gridCol w:w="112"/>
      </w:tblGrid>
      <w:tr>
        <w:tblPrEx>
          <w:shd w:val="clear" w:color="auto" w:fill="auto"/>
          <w:tblCellMar>
            <w:top w:w="0" w:type="dxa"/>
            <w:left w:w="108" w:type="dxa"/>
            <w:bottom w:w="0" w:type="dxa"/>
            <w:right w:w="108" w:type="dxa"/>
          </w:tblCellMar>
        </w:tblPrEx>
        <w:trPr>
          <w:gridAfter w:val="1"/>
          <w:wAfter w:w="112" w:type="dxa"/>
          <w:trHeight w:val="833" w:hRule="atLeast"/>
        </w:trPr>
        <w:tc>
          <w:tcPr>
            <w:tcW w:w="9491" w:type="dxa"/>
            <w:gridSpan w:val="1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开元壹号62#地块开闭所造价汇总表</w:t>
            </w:r>
          </w:p>
        </w:tc>
      </w:tr>
      <w:tr>
        <w:tblPrEx>
          <w:tblCellMar>
            <w:top w:w="0" w:type="dxa"/>
            <w:left w:w="108" w:type="dxa"/>
            <w:bottom w:w="0" w:type="dxa"/>
            <w:right w:w="108" w:type="dxa"/>
          </w:tblCellMar>
        </w:tblPrEx>
        <w:trPr>
          <w:gridAfter w:val="1"/>
          <w:wAfter w:w="112" w:type="dxa"/>
          <w:trHeight w:val="814"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小计</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rPr>
          <w:gridAfter w:val="1"/>
          <w:wAfter w:w="112" w:type="dxa"/>
          <w:trHeight w:val="846"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电气设备安装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3234434.72 </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t>具体见价格明细表</w:t>
            </w:r>
          </w:p>
        </w:tc>
      </w:tr>
      <w:tr>
        <w:tblPrEx>
          <w:tblCellMar>
            <w:top w:w="0" w:type="dxa"/>
            <w:left w:w="108" w:type="dxa"/>
            <w:bottom w:w="0" w:type="dxa"/>
            <w:right w:w="108" w:type="dxa"/>
          </w:tblCellMar>
        </w:tblPrEx>
        <w:trPr>
          <w:gridAfter w:val="1"/>
          <w:wAfter w:w="112" w:type="dxa"/>
          <w:trHeight w:val="846"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土建及配套安装</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265565.28 </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eastAsia="zh-CN"/>
              </w:rPr>
              <w:t>具体见价格明细表</w:t>
            </w:r>
          </w:p>
        </w:tc>
      </w:tr>
      <w:tr>
        <w:tblPrEx>
          <w:tblCellMar>
            <w:top w:w="0" w:type="dxa"/>
            <w:left w:w="108" w:type="dxa"/>
            <w:bottom w:w="0" w:type="dxa"/>
            <w:right w:w="108" w:type="dxa"/>
          </w:tblCellMar>
        </w:tblPrEx>
        <w:trPr>
          <w:gridAfter w:val="1"/>
          <w:wAfter w:w="112" w:type="dxa"/>
          <w:trHeight w:val="846" w:hRule="atLeast"/>
        </w:trPr>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三</w:t>
            </w: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合计（一+二）</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元</w:t>
            </w:r>
          </w:p>
        </w:tc>
        <w:tc>
          <w:tcPr>
            <w:tcW w:w="23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3500000.00 </w:t>
            </w:r>
          </w:p>
        </w:tc>
        <w:tc>
          <w:tcPr>
            <w:tcW w:w="2794" w:type="dxa"/>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gridAfter w:val="1"/>
          <w:wAfter w:w="112" w:type="dxa"/>
          <w:trHeight w:val="846" w:hRule="atLeast"/>
        </w:trPr>
        <w:tc>
          <w:tcPr>
            <w:tcW w:w="1392"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bookmarkStart w:id="1" w:name="_GoBack"/>
          </w:p>
        </w:tc>
        <w:tc>
          <w:tcPr>
            <w:tcW w:w="1811" w:type="dxa"/>
            <w:gridSpan w:val="3"/>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c>
          <w:tcPr>
            <w:tcW w:w="1180" w:type="dxa"/>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c>
          <w:tcPr>
            <w:tcW w:w="2314" w:type="dxa"/>
            <w:gridSpan w:val="7"/>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c>
          <w:tcPr>
            <w:tcW w:w="2794" w:type="dxa"/>
            <w:gridSpan w:val="6"/>
            <w:tcBorders>
              <w:top w:val="nil"/>
              <w:left w:val="nil"/>
              <w:bottom w:val="nil"/>
              <w:right w:val="nil"/>
            </w:tcBorders>
            <w:shd w:val="clear" w:color="auto" w:fill="auto"/>
            <w:noWrap/>
            <w:vAlign w:val="bottom"/>
          </w:tcPr>
          <w:p>
            <w:pPr>
              <w:rPr>
                <w:rFonts w:hint="eastAsia" w:ascii="宋体" w:hAnsi="宋体" w:eastAsia="宋体" w:cs="宋体"/>
                <w:i w:val="0"/>
                <w:iCs w:val="0"/>
                <w:color w:val="auto"/>
                <w:sz w:val="18"/>
                <w:szCs w:val="18"/>
                <w:highlight w:val="none"/>
                <w:u w:val="none"/>
              </w:rPr>
            </w:pPr>
          </w:p>
        </w:tc>
      </w:tr>
      <w:bookmarkEnd w:id="1"/>
      <w:tr>
        <w:tblPrEx>
          <w:tblCellMar>
            <w:top w:w="0" w:type="dxa"/>
            <w:left w:w="108" w:type="dxa"/>
            <w:bottom w:w="0" w:type="dxa"/>
            <w:right w:w="108" w:type="dxa"/>
          </w:tblCellMar>
        </w:tblPrEx>
        <w:trPr>
          <w:trHeight w:val="833" w:hRule="atLeast"/>
        </w:trPr>
        <w:tc>
          <w:tcPr>
            <w:tcW w:w="9603" w:type="dxa"/>
            <w:gridSpan w:val="20"/>
            <w:tcBorders>
              <w:top w:val="nil"/>
              <w:left w:val="nil"/>
              <w:bottom w:val="nil"/>
              <w:right w:val="nil"/>
            </w:tcBorders>
            <w:shd w:val="clear" w:color="auto" w:fill="auto"/>
            <w:vAlign w:val="center"/>
          </w:tcPr>
          <w:p>
            <w:pPr>
              <w:jc w:val="center"/>
              <w:rPr>
                <w:rFonts w:hint="eastAsia" w:ascii="宋体" w:hAnsi="宋体" w:eastAsia="宋体" w:cs="宋体"/>
                <w:i w:val="0"/>
                <w:iCs w:val="0"/>
                <w:color w:val="auto"/>
                <w:sz w:val="18"/>
                <w:szCs w:val="18"/>
                <w:highlight w:val="none"/>
                <w:u w:val="none"/>
                <w:lang w:eastAsia="zh-CN"/>
              </w:rPr>
            </w:pPr>
            <w:r>
              <w:rPr>
                <w:rFonts w:hint="eastAsia" w:ascii="宋体" w:hAnsi="宋体" w:eastAsia="宋体" w:cs="宋体"/>
                <w:i w:val="0"/>
                <w:iCs w:val="0"/>
                <w:color w:val="auto"/>
                <w:sz w:val="18"/>
                <w:szCs w:val="18"/>
                <w:highlight w:val="none"/>
                <w:u w:val="none"/>
                <w:lang w:eastAsia="zh-CN"/>
              </w:rPr>
              <w:t>价格明细表</w:t>
            </w:r>
          </w:p>
        </w:tc>
      </w:tr>
      <w:tr>
        <w:tblPrEx>
          <w:tblCellMar>
            <w:top w:w="0" w:type="dxa"/>
            <w:left w:w="108" w:type="dxa"/>
            <w:bottom w:w="0" w:type="dxa"/>
            <w:right w:w="108" w:type="dxa"/>
          </w:tblCellMar>
        </w:tblPrEx>
        <w:trPr>
          <w:trHeight w:val="429" w:hRule="atLeast"/>
        </w:trPr>
        <w:tc>
          <w:tcPr>
            <w:tcW w:w="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1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项目名称</w:t>
            </w:r>
          </w:p>
        </w:tc>
        <w:tc>
          <w:tcPr>
            <w:tcW w:w="331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项目特征描述</w:t>
            </w:r>
          </w:p>
        </w:tc>
        <w:tc>
          <w:tcPr>
            <w:tcW w:w="5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计量单位</w:t>
            </w:r>
          </w:p>
        </w:tc>
        <w:tc>
          <w:tcPr>
            <w:tcW w:w="6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工程量</w:t>
            </w:r>
          </w:p>
        </w:tc>
        <w:tc>
          <w:tcPr>
            <w:tcW w:w="30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金 额(元)</w:t>
            </w:r>
          </w:p>
        </w:tc>
        <w:tc>
          <w:tcPr>
            <w:tcW w:w="5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品牌</w:t>
            </w:r>
          </w:p>
        </w:tc>
      </w:tr>
      <w:tr>
        <w:tblPrEx>
          <w:tblCellMar>
            <w:top w:w="0" w:type="dxa"/>
            <w:left w:w="108" w:type="dxa"/>
            <w:bottom w:w="0" w:type="dxa"/>
            <w:right w:w="108" w:type="dxa"/>
          </w:tblCellMar>
        </w:tblPrEx>
        <w:trPr>
          <w:trHeight w:val="846"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331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综合单价</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 价</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其中综合单价</w:t>
            </w:r>
          </w:p>
        </w:tc>
        <w:tc>
          <w:tcPr>
            <w:tcW w:w="5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429" w:hRule="atLeast"/>
        </w:trPr>
        <w:tc>
          <w:tcPr>
            <w:tcW w:w="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1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331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5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6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主材价</w:t>
            </w:r>
          </w:p>
        </w:tc>
        <w:tc>
          <w:tcPr>
            <w:tcW w:w="5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73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一</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电气设备安装</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3234434.72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1.名称:10KV电力电缆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2.型号:ZC-YJLV22-8.7/10kV-3X400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3.敷设方式、部位:穿管敷设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6055.7</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257.64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1560190.55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202.43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55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1.名称:电缆中间头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2.型号:3X400,户内冷缩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3.规格:铝芯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4.电压等级（kV):10KV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3146.35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44048.90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0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1.名称:电缆终端头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2.型号:3X400,户内冷缩</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3.规格:铝芯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4.电压等级（kV):10KV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738.3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5906.40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路面破除</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1.名称:路面破除（位置钱江路最东侧）</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57.83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9368.46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535"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混凝土路面恢复</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1.名称:混凝土路面恢复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2.C25破混凝土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3.满足设计及相关规范要求</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204.07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33059.34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挖沟槽土方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2.室内回填土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291.6</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3426.30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2.电缆沟土方开挖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3268.19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电缆保护管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1.名称:电缆保护管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2.材质:MPP管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3.规格:φ200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4.敷设方式:埋地敷设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1728</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323136.00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164.12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06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电缆保护管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1.名称:电缆保护管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2.材质:CPVC管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3.规格:φ200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4.敷设方式:埋地敷设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50.64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154.58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7827.93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134.31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2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1.名称:10kV开关柜（TV柜）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2.规格:金属铠装移开式开关柜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42549.79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85099.58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35736.25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9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1.名称:10kV开关柜（出线柜）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2.规格:金属铠装移开式开关柜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51710.57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620526.84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44140.625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6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1.名称:10kV开关柜（进线柜）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2.规格:金属铠装移开式开关柜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48639.24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97278.48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41598.125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843"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1.名称:10kV开关柜（所用变柜）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2.规格:金属铠装移开式开关柜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40217.34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80434.68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33688.125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82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1.名称:10kV开关柜（分段柜）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2.规格:金属铠装移开式开关柜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52684.03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52684.03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45198.125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09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10kV开关柜</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1.名称:10kV开关柜（隔离柜）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2.规格:金属铠装移开式开关柜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3.其他:含相关调试、附件安装，满足设计及规范要求，含10#槽钢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35467.54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35467.54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29238.75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096"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封闭绝缘母线桥</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1.名称:封闭绝缘母线桥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2.型号:Ie=1250A 400(高)X800(宽)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3865.98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33247.43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江苏和龙</w:t>
            </w:r>
          </w:p>
        </w:tc>
      </w:tr>
      <w:tr>
        <w:tblPrEx>
          <w:tblCellMar>
            <w:top w:w="0" w:type="dxa"/>
            <w:left w:w="108" w:type="dxa"/>
            <w:bottom w:w="0" w:type="dxa"/>
            <w:right w:w="108" w:type="dxa"/>
          </w:tblCellMar>
        </w:tblPrEx>
        <w:trPr>
          <w:trHeight w:val="3762"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环境监测系统</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1.名称:环境监测系统（含宽带敷设及开户）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2.规格:水位超限开关、抽水泵、积水探测器 、水位探测器、烟雾探测器、测温转发模块、电缆接头测温模块、网路球型摄像机、门状态检测器、智能门锁、移动探测器、温湿度传感器、环境监测系统控制柜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3.其它:含设备间的接线以及相关调试、附件安装，满足设计及规范要求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164241.94</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164241.94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12"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2.型号:ZC-YJV-0.6/1-4X35+1X16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3.敷设方式、部位:穿管敷设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158.31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7123.95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132.82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198"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2.型号:ZC-YJV-0.6/1-5X10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3.敷设方式、部位:穿管敷设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76.72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3836.00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62.53</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214"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2.型号:ZC-YJV-0.6/1-3X4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3.敷设方式、部位:穿管敷设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910.70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天龙伟业</w:t>
            </w:r>
          </w:p>
        </w:tc>
      </w:tr>
      <w:tr>
        <w:tblPrEx>
          <w:tblCellMar>
            <w:top w:w="0" w:type="dxa"/>
            <w:left w:w="108" w:type="dxa"/>
            <w:bottom w:w="0" w:type="dxa"/>
            <w:right w:w="108" w:type="dxa"/>
          </w:tblCellMar>
        </w:tblPrEx>
        <w:trPr>
          <w:trHeight w:val="2601"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2.型号:4X35+1X16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4.电压等级（kV):0.6/1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314.09</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1256.36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2.型号:5X10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4.电压等级（kV):0.6/1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92.36</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369.44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60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电力电缆头</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1.名称:电缆头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2.型号:3X4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3.规格:铜芯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4.电压等级（kV):0.6/1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321.20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107"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3.规格:DN50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4.敷设方式:明敷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2388.00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19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3.规格:DN32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4.敷设方式:明敷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23.83</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834.05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5.77</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模拟操作面板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1.名称:模拟操作面板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2.其它:含相关调试、附件安装，满足设计及规范要求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7688.25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7688.25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929"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安全检查设备</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1.名称:安全工器具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2.规格:操作工具柜：接地线、绝缘手套、绝缘靴、高压验电器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操作工器具,接地线,绝缘手套,绝缘鞋,高压验电器、绝缘垫等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3.规格:详见图纸要求，满足设计及规范要求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24809.97</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49619.94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882" w:hRule="atLeast"/>
        </w:trPr>
        <w:tc>
          <w:tcPr>
            <w:tcW w:w="4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12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灭火器</w:t>
            </w:r>
          </w:p>
        </w:tc>
        <w:tc>
          <w:tcPr>
            <w:tcW w:w="3311"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1.形式:专用灭火器材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2.规格、型号:磷酸二氢氨灭火器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3.其它:含相关调试，满足设计及规范要求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4.含与之相关的一切费用</w:t>
            </w:r>
          </w:p>
        </w:tc>
        <w:tc>
          <w:tcPr>
            <w:tcW w:w="51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w:t>
            </w:r>
          </w:p>
        </w:tc>
        <w:tc>
          <w:tcPr>
            <w:tcW w:w="60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018"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109.28</w:t>
            </w:r>
          </w:p>
        </w:tc>
        <w:tc>
          <w:tcPr>
            <w:tcW w:w="10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874.24 </w:t>
            </w:r>
          </w:p>
        </w:tc>
        <w:tc>
          <w:tcPr>
            <w:tcW w:w="1041"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846" w:hRule="atLeast"/>
        </w:trPr>
        <w:tc>
          <w:tcPr>
            <w:tcW w:w="44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二</w:t>
            </w:r>
          </w:p>
        </w:tc>
        <w:tc>
          <w:tcPr>
            <w:tcW w:w="1124"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土建及配套安装</w:t>
            </w:r>
          </w:p>
        </w:tc>
        <w:tc>
          <w:tcPr>
            <w:tcW w:w="3311" w:type="dxa"/>
            <w:gridSpan w:val="5"/>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51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18"/>
                <w:szCs w:val="18"/>
                <w:highlight w:val="none"/>
                <w:u w:val="none"/>
              </w:rPr>
            </w:pPr>
          </w:p>
        </w:tc>
        <w:tc>
          <w:tcPr>
            <w:tcW w:w="60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18"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highlight w:val="none"/>
                <w:u w:val="none"/>
              </w:rPr>
            </w:pPr>
          </w:p>
        </w:tc>
        <w:tc>
          <w:tcPr>
            <w:tcW w:w="1033" w:type="dxa"/>
            <w:tcBorders>
              <w:top w:val="single" w:color="auto" w:sz="4" w:space="0"/>
              <w:left w:val="single" w:color="000000"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265565.28 </w:t>
            </w:r>
          </w:p>
        </w:tc>
        <w:tc>
          <w:tcPr>
            <w:tcW w:w="1041"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right"/>
              <w:rPr>
                <w:rFonts w:hint="eastAsia" w:ascii="宋体" w:hAnsi="宋体" w:eastAsia="宋体" w:cs="宋体"/>
                <w:b/>
                <w:bCs/>
                <w:i w:val="0"/>
                <w:iCs w:val="0"/>
                <w:color w:val="auto"/>
                <w:sz w:val="18"/>
                <w:szCs w:val="18"/>
                <w:highlight w:val="none"/>
                <w:u w:val="none"/>
              </w:rPr>
            </w:pPr>
          </w:p>
        </w:tc>
        <w:tc>
          <w:tcPr>
            <w:tcW w:w="51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auto"/>
                <w:sz w:val="18"/>
                <w:szCs w:val="18"/>
                <w:highlight w:val="none"/>
                <w:u w:val="none"/>
              </w:rPr>
            </w:pPr>
          </w:p>
        </w:tc>
      </w:tr>
      <w:tr>
        <w:tblPrEx>
          <w:tblCellMar>
            <w:top w:w="0" w:type="dxa"/>
            <w:left w:w="108" w:type="dxa"/>
            <w:bottom w:w="0" w:type="dxa"/>
            <w:right w:w="108" w:type="dxa"/>
          </w:tblCellMar>
        </w:tblPrEx>
        <w:trPr>
          <w:trHeight w:val="4244" w:hRule="atLeast"/>
        </w:trPr>
        <w:tc>
          <w:tcPr>
            <w:tcW w:w="441" w:type="dxa"/>
            <w:tcBorders>
              <w:top w:val="single" w:color="auto"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2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电缆沟1-1、3-3剖1000*1500</w:t>
            </w:r>
          </w:p>
        </w:tc>
        <w:tc>
          <w:tcPr>
            <w:tcW w:w="3311" w:type="dxa"/>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2.C15混凝土垫层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3.C30混凝土电缆沟、配筋φ8@200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4.电缆沟钢盖板 详见02J331-GB10-2 8厚花纹钢盖板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5.L56*5、L40*4角钢电缆支架、M-1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6.L50*5角钢、φ6沿沟边通长、φ8@500 L=170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7.混凝土梁L-1 300mm*300mm  配筋φ8、φ14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8.电缆沟内外侧防水砂浆抹面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9.清单中已考虑与此项工作相关的一切费用。</w:t>
            </w:r>
          </w:p>
        </w:tc>
        <w:tc>
          <w:tcPr>
            <w:tcW w:w="51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29.93</w:t>
            </w:r>
          </w:p>
        </w:tc>
        <w:tc>
          <w:tcPr>
            <w:tcW w:w="1018"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2695.62</w:t>
            </w:r>
          </w:p>
        </w:tc>
        <w:tc>
          <w:tcPr>
            <w:tcW w:w="1033" w:type="dxa"/>
            <w:tcBorders>
              <w:top w:val="single" w:color="auto"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80679.91 </w:t>
            </w:r>
          </w:p>
        </w:tc>
        <w:tc>
          <w:tcPr>
            <w:tcW w:w="104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810.24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316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电缆沟1-1剖550*1500、350*1500</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2.C15混凝土垫层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3.C30混凝土电缆沟、配筋φ8@200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4.预埋[10槽钢、φ12@500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5.混凝土梁L-2 200mm*300mm  配筋φ8、φ14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6.电缆沟内外侧防水砂浆抹面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2443.71</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43986.78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708.5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90"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电缆沟1-1剖400*400</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2.C15混凝土垫层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3.C30混凝土电缆沟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4.电缆沟钢盖板 详见02J331-GB4-2 8厚花纹钢盖板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5.L50*5角钢、φ14@600 L=600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6.电缆沟内外侧防水砂浆抹面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839.45</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17628.45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319.48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3664"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电缆沟2-2剖300*400</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2.C15混凝土垫层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3.C30混凝土电缆沟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4.电缆沟钢盖板 详见02J331-GB4-2 8厚花纹钢盖板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5.预埋[10槽钢、φ12@500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6.L50*5角钢、φ6沿沟边通长、φ8@500 L=170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7.电缆沟内外侧防水砂浆抹面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762.71</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3661.01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257.55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回填方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2.室内回填土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224.91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11.75</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2642.69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挖土方</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2.电缆沟土方开挖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m3</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71.78</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28.82</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2068.70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highlight w:val="none"/>
                <w:u w:val="none"/>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细石混凝土楼地面</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1.具体做法详见图纸及图纸问题答疑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2.150厚C20混凝土地面随打随磨光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145.71</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11837.48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39.39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墙面一般装饰</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2.内墙面一般抹灰20mm厚，装饰白水泥批白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294.77</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47.1</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13883.67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0.37</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天棚一般装饰</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2.天棚面打磨两遍，装饰白水泥批白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186.13</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5.02</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934.37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0.37</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直线电缆检修井</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1.具体做法详见图纸新建3#、4#、5#直线电缆检修井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10290.38</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30871.14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3606</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90°转角型电缆井</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1.具体做法详见图纸新建1#、2#90°转角型电缆井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2.清单中已考虑与此项工作相关的一切费用。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11821.19</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23642.38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4171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钢质防火门</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1.具体做法详见图纸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2.门洞口尺寸:1.8*2.8、1.2*2.1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3.门框、扇材质:甲级钢制防火门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7.56</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517.18</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3909.88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断桥铝合金窗</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1.窗代号及洞口尺寸:1.8*2.0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2.框、扇材质:断桥铝合金窗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3.玻璃品种、厚度:中空玻璃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4.不锈钢防盗网，网孔不大于5mm</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603.15</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4342.68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429.2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照明配电箱</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1.名称:照明配电箱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2.型号:详见设计图纸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3.安装方式:安装高度1.4米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4.其它:含端子接线</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2266.54</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2266.54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双电源自动切换装置</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1.名称:双电源自动切换装置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2.型号:详见设计图纸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3.安装方式:安装高度1.4米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4.其它:含端子接线</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4750.85</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4750.85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74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轴流通风机</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1.名称:轴流风机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2.型号:220V 550W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3.附电机、加装时限自启装置</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1310.95</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2621.90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12"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3.规格:DN25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16.21</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567.35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2512"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1.名称:无增塑阻燃钢性PVC管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3.规格:DN15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4.敷设方式: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5.其它:满足设计及规范要求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6.含与之相关的一切费用</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984.00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2.型号:BV6mm2</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7.99</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559.30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2.型号:BV4mm2</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5.75</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805.00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2.型号:BV2.5mm2</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4.86</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729.00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15"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接线盒</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1.名称:塑料接线盒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2.满足设计及规范要求</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9.93</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337.62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1.名称:单相双联二、三极插座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2.规格:250V，15A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3.安装方式:暗装，安装高度0.4米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144.78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1.名称:应急灯插座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2.规格:250V，15A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3.安装方式:暗装，安装高度2.3米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144.78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1.名称:空调插座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2.规格:250V，15A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3.安装方式:暗装，安装高度1.3米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24.13</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48.26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1.名称:暗装二位开关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2.规格:250V，5A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3.安装方式:暗装，安装高度1.3米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22.86</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45.72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1.名称:高效节能双管荧光灯(吊杆式)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2.型号:安装高度3米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3.规格:2*40W</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180.06</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900.30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98.98</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26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1.名称:高效节能单管荧光灯(壁挂式)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2.型号:安装高度3米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3.规格:1*40W</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108.54</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542.70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50.5</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79"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1.名称:应急灯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2.型号:壁挂式(事故状态下保证用电7小时以上)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3.安装方式:安装高度2.3米</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181.44</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1088.64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112.11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348"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普通灯具</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1.名称:高效节能吸顶灯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2.型号:附声控开关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3.规格:1*60W</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348.00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111.1</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1693" w:hRule="atLeast"/>
        </w:trPr>
        <w:tc>
          <w:tcPr>
            <w:tcW w:w="441"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接地母线</w:t>
            </w:r>
          </w:p>
        </w:tc>
        <w:tc>
          <w:tcPr>
            <w:tcW w:w="33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1.名称:镀锌扁钢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2.型号:-50mmX5mm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3.其他:含相关调试、附件安装，满足设计及规范要求</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10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47.73</w:t>
            </w:r>
          </w:p>
        </w:tc>
        <w:tc>
          <w:tcPr>
            <w:tcW w:w="10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8591.40 </w:t>
            </w:r>
          </w:p>
        </w:tc>
        <w:tc>
          <w:tcPr>
            <w:tcW w:w="1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18"/>
                <w:szCs w:val="18"/>
                <w:highlight w:val="none"/>
                <w:u w:val="none"/>
              </w:rPr>
            </w:pPr>
          </w:p>
        </w:tc>
      </w:tr>
      <w:tr>
        <w:tblPrEx>
          <w:tblCellMar>
            <w:top w:w="0" w:type="dxa"/>
            <w:left w:w="108" w:type="dxa"/>
            <w:bottom w:w="0" w:type="dxa"/>
            <w:right w:w="108" w:type="dxa"/>
          </w:tblCellMar>
        </w:tblPrEx>
        <w:trPr>
          <w:trHeight w:val="780" w:hRule="atLeast"/>
        </w:trPr>
        <w:tc>
          <w:tcPr>
            <w:tcW w:w="9603" w:type="dxa"/>
            <w:gridSpan w:val="2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开元壹号62#地块开闭所清单设备</w:t>
            </w:r>
            <w:r>
              <w:rPr>
                <w:rFonts w:hint="eastAsia" w:ascii="宋体" w:hAnsi="宋体" w:cs="宋体"/>
                <w:b/>
                <w:bCs/>
                <w:i w:val="0"/>
                <w:iCs w:val="0"/>
                <w:color w:val="auto"/>
                <w:kern w:val="0"/>
                <w:sz w:val="28"/>
                <w:szCs w:val="28"/>
                <w:highlight w:val="none"/>
                <w:u w:val="none"/>
                <w:lang w:val="en-US" w:eastAsia="zh-CN" w:bidi="ar"/>
              </w:rPr>
              <w:t>价格</w:t>
            </w:r>
            <w:r>
              <w:rPr>
                <w:rFonts w:hint="eastAsia" w:ascii="宋体" w:hAnsi="宋体" w:eastAsia="宋体" w:cs="宋体"/>
                <w:b/>
                <w:bCs/>
                <w:i w:val="0"/>
                <w:iCs w:val="0"/>
                <w:color w:val="auto"/>
                <w:kern w:val="0"/>
                <w:sz w:val="28"/>
                <w:szCs w:val="28"/>
                <w:highlight w:val="none"/>
                <w:u w:val="none"/>
                <w:lang w:val="en-US" w:eastAsia="zh-CN" w:bidi="ar"/>
              </w:rPr>
              <w:t>明细表</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型号规格</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10kV开关柜（TV柜）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35736.25</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71472.5</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XRNP-10-0.5A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8600</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8600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2"/>
                <w:color w:val="auto"/>
                <w:highlight w:val="none"/>
                <w:lang w:val="en-US" w:eastAsia="zh-CN" w:bidi="ar"/>
              </w:rPr>
              <w:t>全封闭式</w:t>
            </w:r>
            <w:r>
              <w:rPr>
                <w:rStyle w:val="93"/>
                <w:rFonts w:hint="eastAsia" w:ascii="宋体" w:hAnsi="宋体" w:eastAsia="宋体" w:cs="宋体"/>
                <w:color w:val="auto"/>
                <w:highlight w:val="none"/>
                <w:lang w:val="en-US" w:eastAsia="zh-CN" w:bidi="ar"/>
              </w:rPr>
              <w:t>0.2/0.5/3P</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2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4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4111.25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35736.25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10kV开关柜（出线柜）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44140.625</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529687.5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  25kA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LZZBJ9 -12 5P20/0.5/0.2S  30/20/20VA-400/5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2445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5078.125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44140.625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10kV开关柜（进线柜）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83196.25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1250-25kA 10KV 50/0.5A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LZZBJ9 -12 5P20/0.5/0.2S  30/20/20VA-400/5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全封闭母线10/0.1 50VA  0.5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4785.625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10kV开关柜（所用变柜）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33688.125</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67376.25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100A/3P 10KV 40/3.15A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0.5/0.2S  75/5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SC11-30/10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3875.625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33688.125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10kV开关柜（隔离柜）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29238.75</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29238.75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le-1250A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0.5/0.2S  75/5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SC11-30/10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3363.75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29238.75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10kV开关柜（分段柜）</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KYN28-12</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断路器、熔断器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1250  25kA</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陕西宝光（合资）</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LZZBJ9 -12 5P20/0.5/0.2S  30/20/20VA-600-1200/5/5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电压互感器电力变压器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天力纯铜</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零序电流互感器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Φ=120mm</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济源高新</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接地开关</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避雷器</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HY5WZ-17/45</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常安</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开关状态综合指示仪</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组</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保护装置</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微机测控保护装置</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许继</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94"/>
                <w:rFonts w:hint="eastAsia" w:ascii="宋体" w:hAnsi="宋体" w:eastAsia="宋体" w:cs="宋体"/>
                <w:color w:val="auto"/>
                <w:highlight w:val="none"/>
                <w:lang w:val="en-US" w:eastAsia="zh-CN" w:bidi="ar"/>
              </w:rPr>
              <w:t>(1)</w:t>
            </w:r>
            <w:r>
              <w:rPr>
                <w:rStyle w:val="92"/>
                <w:color w:val="auto"/>
                <w:highlight w:val="none"/>
                <w:lang w:val="en-US" w:eastAsia="zh-CN" w:bidi="ar"/>
              </w:rPr>
              <w:t>元件费合计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(2)柜体</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800*1500*2300</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8500</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南阳飞龙</w:t>
            </w: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(3)人工费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(4)管理费</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(5)利润</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(6)税费（明确税率）</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4785.625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60" w:hRule="atLeast"/>
        </w:trPr>
        <w:tc>
          <w:tcPr>
            <w:tcW w:w="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单体小计</w:t>
            </w:r>
          </w:p>
        </w:tc>
        <w:tc>
          <w:tcPr>
            <w:tcW w:w="2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1+2+3+4+5+6</w:t>
            </w:r>
          </w:p>
        </w:tc>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5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41598.125</w:t>
            </w:r>
          </w:p>
        </w:tc>
        <w:tc>
          <w:tcPr>
            <w:tcW w:w="15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bl>
    <w:p>
      <w:pPr>
        <w:spacing w:before="156" w:beforeLines="50" w:after="156" w:afterLines="50"/>
        <w:jc w:val="both"/>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36"/>
          <w:szCs w:val="36"/>
          <w:highlight w:val="none"/>
          <w:lang w:eastAsia="zh-CN"/>
        </w:rPr>
        <w:t>附件</w:t>
      </w:r>
      <w:r>
        <w:rPr>
          <w:rFonts w:hint="eastAsia" w:ascii="宋体" w:hAnsi="宋体" w:cs="宋体"/>
          <w:b/>
          <w:bCs/>
          <w:color w:val="auto"/>
          <w:sz w:val="36"/>
          <w:szCs w:val="36"/>
          <w:highlight w:val="none"/>
          <w:lang w:val="en-US" w:eastAsia="zh-CN"/>
        </w:rPr>
        <w:t>2</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廉政合作协议</w:t>
      </w:r>
    </w:p>
    <w:p>
      <w:pPr>
        <w:spacing w:line="440" w:lineRule="exact"/>
        <w:rPr>
          <w:rFonts w:ascii="宋体" w:hAnsi="宋体" w:cs="宋体"/>
          <w:color w:val="auto"/>
          <w:sz w:val="28"/>
          <w:szCs w:val="36"/>
          <w:highlight w:val="none"/>
        </w:rPr>
      </w:pPr>
    </w:p>
    <w:p>
      <w:pPr>
        <w:spacing w:line="440" w:lineRule="exact"/>
        <w:rPr>
          <w:rFonts w:ascii="宋体" w:hAnsi="宋体" w:cs="宋体"/>
          <w:color w:val="auto"/>
          <w:szCs w:val="32"/>
          <w:highlight w:val="none"/>
        </w:rPr>
      </w:pPr>
      <w:r>
        <w:rPr>
          <w:rFonts w:hint="eastAsia" w:ascii="宋体" w:hAnsi="宋体" w:cs="宋体"/>
          <w:color w:val="auto"/>
          <w:szCs w:val="32"/>
          <w:highlight w:val="none"/>
        </w:rPr>
        <w:t>甲方：</w:t>
      </w:r>
      <w:r>
        <w:rPr>
          <w:rFonts w:hint="eastAsia" w:ascii="宋体" w:hAnsi="宋体" w:cs="宋体"/>
          <w:color w:val="auto"/>
          <w:szCs w:val="32"/>
          <w:highlight w:val="none"/>
          <w:u w:val="single"/>
        </w:rPr>
        <w:t>洛阳浩德鑫置地有限公司</w:t>
      </w:r>
    </w:p>
    <w:p>
      <w:pPr>
        <w:spacing w:line="440" w:lineRule="exact"/>
        <w:rPr>
          <w:rFonts w:hint="eastAsia" w:ascii="宋体" w:hAnsi="宋体" w:eastAsia="宋体" w:cs="宋体"/>
          <w:color w:val="auto"/>
          <w:szCs w:val="32"/>
          <w:highlight w:val="none"/>
          <w:u w:val="single"/>
          <w:lang w:eastAsia="zh-CN"/>
        </w:rPr>
      </w:pPr>
      <w:r>
        <w:rPr>
          <w:rFonts w:hint="eastAsia" w:ascii="宋体" w:hAnsi="宋体" w:cs="宋体"/>
          <w:color w:val="auto"/>
          <w:szCs w:val="32"/>
          <w:highlight w:val="none"/>
        </w:rPr>
        <w:t>乙方：</w:t>
      </w:r>
      <w:r>
        <w:rPr>
          <w:rFonts w:hint="eastAsia" w:ascii="宋体" w:hAnsi="宋体" w:cs="宋体"/>
          <w:color w:val="auto"/>
          <w:szCs w:val="32"/>
          <w:highlight w:val="none"/>
          <w:u w:val="single"/>
          <w:lang w:eastAsia="zh-CN"/>
        </w:rPr>
        <w:t>洛阳龙羽集团有限公司</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一．甲方责任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二．乙方责任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i w:val="0"/>
          <w:iCs w:val="0"/>
          <w:color w:val="auto"/>
          <w:sz w:val="24"/>
          <w:szCs w:val="28"/>
          <w:highlight w:val="none"/>
        </w:rPr>
      </w:pPr>
      <w:r>
        <w:rPr>
          <w:rFonts w:hint="eastAsia" w:ascii="宋体" w:hAnsi="宋体" w:eastAsia="宋体" w:cs="宋体"/>
          <w:b/>
          <w:bCs/>
          <w:i w:val="0"/>
          <w:iCs w:val="0"/>
          <w:color w:val="auto"/>
          <w:sz w:val="24"/>
          <w:szCs w:val="28"/>
          <w:highlight w:val="none"/>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drawing>
          <wp:anchor distT="0" distB="0" distL="114300" distR="114300" simplePos="0" relativeHeight="251660288" behindDoc="0" locked="0" layoutInCell="1" allowOverlap="1">
            <wp:simplePos x="0" y="0"/>
            <wp:positionH relativeFrom="column">
              <wp:posOffset>3709035</wp:posOffset>
            </wp:positionH>
            <wp:positionV relativeFrom="paragraph">
              <wp:posOffset>314325</wp:posOffset>
            </wp:positionV>
            <wp:extent cx="1038225" cy="1038225"/>
            <wp:effectExtent l="0" t="0" r="13335" b="13335"/>
            <wp:wrapNone/>
            <wp:docPr id="3"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2</w:t>
      </w:r>
      <w:r>
        <w:rPr>
          <w:rFonts w:hint="eastAsia" w:ascii="宋体" w:hAnsi="宋体" w:eastAsia="宋体" w:cs="宋体"/>
          <w:color w:val="auto"/>
          <w:sz w:val="24"/>
          <w:szCs w:val="28"/>
          <w:highlight w:val="none"/>
        </w:rPr>
        <w:t>）邮箱：hddcfkb@Foxmail.com</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3</w:t>
      </w:r>
      <w:r>
        <w:rPr>
          <w:rFonts w:hint="eastAsia" w:ascii="宋体" w:hAnsi="宋体" w:eastAsia="宋体" w:cs="宋体"/>
          <w:color w:val="auto"/>
          <w:sz w:val="24"/>
          <w:szCs w:val="28"/>
          <w:highlight w:val="none"/>
        </w:rPr>
        <w:t>）电话：集团首席风控官：13903793259；</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rPr>
        <w:t>）电话：集团审计总监：18137710188；</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5</w:t>
      </w:r>
      <w:r>
        <w:rPr>
          <w:rFonts w:hint="eastAsia" w:ascii="宋体" w:hAnsi="宋体" w:eastAsia="宋体" w:cs="宋体"/>
          <w:color w:val="auto"/>
          <w:sz w:val="24"/>
          <w:szCs w:val="28"/>
          <w:highlight w:val="none"/>
        </w:rPr>
        <w:t>）电话：地产风控总监：18638357973；</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rPr>
        <w:t>）电话：地产风控经理：15670305910；</w:t>
      </w:r>
    </w:p>
    <w:p>
      <w:pPr>
        <w:spacing w:line="360" w:lineRule="auto"/>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7</w:t>
      </w:r>
      <w:r>
        <w:rPr>
          <w:rFonts w:hint="eastAsia" w:ascii="宋体" w:hAnsi="宋体" w:eastAsia="宋体" w:cs="宋体"/>
          <w:color w:val="auto"/>
          <w:sz w:val="24"/>
          <w:szCs w:val="28"/>
          <w:highlight w:val="none"/>
        </w:rPr>
        <w:t>）直接和风控人员约定场所当面举报。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11.其它违反法律或者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公司相关制度的行为。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32"/>
          <w:highlight w:val="none"/>
        </w:rPr>
      </w:pPr>
      <w:r>
        <w:rPr>
          <w:rFonts w:hint="eastAsia" w:ascii="宋体" w:hAnsi="宋体" w:cs="宋体"/>
          <w:color w:val="auto"/>
          <w:sz w:val="24"/>
          <w:highlight w:val="none"/>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甲方：</w:t>
      </w:r>
      <w:r>
        <w:rPr>
          <w:rFonts w:hint="eastAsia" w:ascii="宋体" w:hAnsi="宋体" w:cs="宋体"/>
          <w:color w:val="auto"/>
          <w:sz w:val="24"/>
          <w:szCs w:val="32"/>
          <w:highlight w:val="none"/>
          <w:lang w:eastAsia="zh-CN"/>
        </w:rPr>
        <w:t>洛阳浩德鑫置地限公司</w:t>
      </w:r>
      <w:r>
        <w:rPr>
          <w:rFonts w:hint="eastAsia" w:ascii="宋体" w:hAnsi="宋体" w:cs="宋体"/>
          <w:color w:val="auto"/>
          <w:sz w:val="24"/>
          <w:szCs w:val="32"/>
          <w:highlight w:val="none"/>
        </w:rPr>
        <w:t xml:space="preserve">          </w:t>
      </w:r>
      <w:r>
        <w:rPr>
          <w:rFonts w:hint="eastAsia" w:ascii="宋体" w:hAnsi="宋体" w:cs="宋体"/>
          <w:color w:val="auto"/>
          <w:sz w:val="24"/>
          <w:szCs w:val="32"/>
          <w:highlight w:val="none"/>
          <w:lang w:val="en-US" w:eastAsia="zh-CN"/>
        </w:rPr>
        <w:t xml:space="preserve">          </w:t>
      </w:r>
      <w:r>
        <w:rPr>
          <w:rFonts w:hint="eastAsia" w:ascii="宋体" w:hAnsi="宋体" w:cs="宋体"/>
          <w:color w:val="auto"/>
          <w:sz w:val="24"/>
          <w:szCs w:val="32"/>
          <w:highlight w:val="none"/>
        </w:rPr>
        <w:t>乙方：</w:t>
      </w:r>
      <w:r>
        <w:rPr>
          <w:rFonts w:hint="eastAsia" w:ascii="宋体" w:hAnsi="宋体" w:cs="宋体"/>
          <w:color w:val="auto"/>
          <w:sz w:val="24"/>
          <w:szCs w:val="32"/>
          <w:highlight w:val="none"/>
          <w:lang w:eastAsia="zh-CN"/>
        </w:rPr>
        <w:t>洛阳龙羽集团有限公司</w:t>
      </w:r>
    </w:p>
    <w:p>
      <w:pPr>
        <w:spacing w:line="600" w:lineRule="auto"/>
        <w:ind w:firstLine="480" w:firstLineChars="200"/>
        <w:rPr>
          <w:rFonts w:ascii="宋体" w:hAnsi="宋体" w:cs="宋体"/>
          <w:color w:val="auto"/>
          <w:szCs w:val="32"/>
          <w:highlight w:val="none"/>
        </w:rPr>
      </w:pPr>
      <w:r>
        <w:rPr>
          <w:rFonts w:hint="eastAsia" w:ascii="宋体" w:hAnsi="宋体" w:cs="宋体"/>
          <w:color w:val="auto"/>
          <w:sz w:val="24"/>
          <w:szCs w:val="32"/>
          <w:highlight w:val="none"/>
          <w:lang w:val="en-US" w:eastAsia="zh-CN"/>
        </w:rPr>
        <w:t>日期：2021年9月                             日期：2021年9月</w:t>
      </w:r>
      <w:r>
        <w:rPr>
          <w:rFonts w:hint="eastAsia" w:ascii="宋体" w:hAnsi="宋体" w:cs="宋体"/>
          <w:color w:val="auto"/>
          <w:szCs w:val="32"/>
          <w:highlight w:val="none"/>
        </w:rPr>
        <w:t xml:space="preserve"> </w:t>
      </w:r>
    </w:p>
    <w:sectPr>
      <w:headerReference r:id="rId3" w:type="default"/>
      <w:footerReference r:id="rId4" w:type="default"/>
      <w:pgSz w:w="11906" w:h="16838"/>
      <w:pgMar w:top="1440" w:right="1800" w:bottom="1440" w:left="1180"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single" w:color="auto" w:sz="4" w:space="1"/>
      </w:pBdr>
      <w:tabs>
        <w:tab w:val="clear" w:pos="4153"/>
      </w:tabs>
      <w:ind w:left="0" w:leftChars="0" w:right="46"/>
      <w:jc w:val="both"/>
      <w:rPr>
        <w:rFonts w:hint="eastAsia" w:ascii="宋体" w:hAnsi="宋体" w:eastAsia="宋体"/>
        <w:sz w:val="21"/>
        <w:szCs w:val="21"/>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46" w:firstLine="0" w:firstLineChars="0"/>
      <w:jc w:val="both"/>
      <w:rPr>
        <w:rFonts w:ascii="Batang"/>
        <w:color w:val="999999"/>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NotTrackMove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E6C"/>
    <w:rsid w:val="0002623D"/>
    <w:rsid w:val="000936F9"/>
    <w:rsid w:val="000B3EDB"/>
    <w:rsid w:val="000D26C8"/>
    <w:rsid w:val="000D6B54"/>
    <w:rsid w:val="00100C15"/>
    <w:rsid w:val="00112F37"/>
    <w:rsid w:val="0012500A"/>
    <w:rsid w:val="00172A27"/>
    <w:rsid w:val="00191138"/>
    <w:rsid w:val="001A6A80"/>
    <w:rsid w:val="001E1477"/>
    <w:rsid w:val="00200F8E"/>
    <w:rsid w:val="00214FB5"/>
    <w:rsid w:val="00215528"/>
    <w:rsid w:val="00217A46"/>
    <w:rsid w:val="0023640C"/>
    <w:rsid w:val="002A0538"/>
    <w:rsid w:val="002B0A59"/>
    <w:rsid w:val="002C6E09"/>
    <w:rsid w:val="002D2A5D"/>
    <w:rsid w:val="002D2E4E"/>
    <w:rsid w:val="002D7C34"/>
    <w:rsid w:val="002F54E2"/>
    <w:rsid w:val="00337E43"/>
    <w:rsid w:val="003459DC"/>
    <w:rsid w:val="00361D86"/>
    <w:rsid w:val="00375A68"/>
    <w:rsid w:val="00391934"/>
    <w:rsid w:val="003B25DF"/>
    <w:rsid w:val="003B2B3C"/>
    <w:rsid w:val="003B5FC8"/>
    <w:rsid w:val="003C2C6C"/>
    <w:rsid w:val="00443089"/>
    <w:rsid w:val="00452C9F"/>
    <w:rsid w:val="00474DC6"/>
    <w:rsid w:val="004D1E1C"/>
    <w:rsid w:val="004E37CA"/>
    <w:rsid w:val="004E5451"/>
    <w:rsid w:val="004E78BF"/>
    <w:rsid w:val="004F1EAD"/>
    <w:rsid w:val="004F5178"/>
    <w:rsid w:val="00501483"/>
    <w:rsid w:val="00525F8B"/>
    <w:rsid w:val="00534C97"/>
    <w:rsid w:val="005648F6"/>
    <w:rsid w:val="00570C35"/>
    <w:rsid w:val="005828CD"/>
    <w:rsid w:val="005F4688"/>
    <w:rsid w:val="005F60DA"/>
    <w:rsid w:val="006969DD"/>
    <w:rsid w:val="006E434C"/>
    <w:rsid w:val="006F36C3"/>
    <w:rsid w:val="00720003"/>
    <w:rsid w:val="00723612"/>
    <w:rsid w:val="00725B97"/>
    <w:rsid w:val="0078582E"/>
    <w:rsid w:val="0081246B"/>
    <w:rsid w:val="00833059"/>
    <w:rsid w:val="0083423D"/>
    <w:rsid w:val="00864308"/>
    <w:rsid w:val="008825E1"/>
    <w:rsid w:val="00883693"/>
    <w:rsid w:val="00883ED0"/>
    <w:rsid w:val="008A369A"/>
    <w:rsid w:val="008C20A2"/>
    <w:rsid w:val="008D22D6"/>
    <w:rsid w:val="008E7327"/>
    <w:rsid w:val="008F67A7"/>
    <w:rsid w:val="00903AA1"/>
    <w:rsid w:val="00916846"/>
    <w:rsid w:val="009515D3"/>
    <w:rsid w:val="00960572"/>
    <w:rsid w:val="00967F85"/>
    <w:rsid w:val="00973263"/>
    <w:rsid w:val="009B1946"/>
    <w:rsid w:val="00A003E9"/>
    <w:rsid w:val="00A010C3"/>
    <w:rsid w:val="00A45829"/>
    <w:rsid w:val="00A62A13"/>
    <w:rsid w:val="00A95E14"/>
    <w:rsid w:val="00AC4783"/>
    <w:rsid w:val="00AD0C24"/>
    <w:rsid w:val="00B02C1D"/>
    <w:rsid w:val="00B95703"/>
    <w:rsid w:val="00BC0E92"/>
    <w:rsid w:val="00BC27D3"/>
    <w:rsid w:val="00BF0416"/>
    <w:rsid w:val="00BF5F73"/>
    <w:rsid w:val="00C0502E"/>
    <w:rsid w:val="00C1211F"/>
    <w:rsid w:val="00C62DF1"/>
    <w:rsid w:val="00C8603E"/>
    <w:rsid w:val="00D36042"/>
    <w:rsid w:val="00D40345"/>
    <w:rsid w:val="00D435CF"/>
    <w:rsid w:val="00D63376"/>
    <w:rsid w:val="00D65CDD"/>
    <w:rsid w:val="00DA0F0D"/>
    <w:rsid w:val="00DA3FE6"/>
    <w:rsid w:val="00DA68ED"/>
    <w:rsid w:val="00E2161D"/>
    <w:rsid w:val="00E34CC7"/>
    <w:rsid w:val="00E44D0A"/>
    <w:rsid w:val="00E72062"/>
    <w:rsid w:val="00E869AE"/>
    <w:rsid w:val="00EA0BCD"/>
    <w:rsid w:val="00EA1BDB"/>
    <w:rsid w:val="00EC640F"/>
    <w:rsid w:val="00F017FB"/>
    <w:rsid w:val="00F11A36"/>
    <w:rsid w:val="00F22C58"/>
    <w:rsid w:val="00F314A1"/>
    <w:rsid w:val="00F35DD2"/>
    <w:rsid w:val="00F60EBC"/>
    <w:rsid w:val="00F6189C"/>
    <w:rsid w:val="00F664BA"/>
    <w:rsid w:val="00F97431"/>
    <w:rsid w:val="00FD69D7"/>
    <w:rsid w:val="00FE7EEB"/>
    <w:rsid w:val="01072AC9"/>
    <w:rsid w:val="01917894"/>
    <w:rsid w:val="01F0159D"/>
    <w:rsid w:val="01F95703"/>
    <w:rsid w:val="01FA2C0B"/>
    <w:rsid w:val="01FD2C1A"/>
    <w:rsid w:val="02064CB5"/>
    <w:rsid w:val="02100D7E"/>
    <w:rsid w:val="025F68E9"/>
    <w:rsid w:val="030C6666"/>
    <w:rsid w:val="031D2F23"/>
    <w:rsid w:val="03306128"/>
    <w:rsid w:val="035A3613"/>
    <w:rsid w:val="035D3B47"/>
    <w:rsid w:val="038A2C41"/>
    <w:rsid w:val="03D34DCC"/>
    <w:rsid w:val="042F236B"/>
    <w:rsid w:val="046C713D"/>
    <w:rsid w:val="04737FBB"/>
    <w:rsid w:val="048B5FB4"/>
    <w:rsid w:val="049D0D0D"/>
    <w:rsid w:val="051E41F2"/>
    <w:rsid w:val="05E62C66"/>
    <w:rsid w:val="06022278"/>
    <w:rsid w:val="060A3D7B"/>
    <w:rsid w:val="060B16EF"/>
    <w:rsid w:val="061C4744"/>
    <w:rsid w:val="062570C3"/>
    <w:rsid w:val="06443FD4"/>
    <w:rsid w:val="06A7256C"/>
    <w:rsid w:val="06B523B4"/>
    <w:rsid w:val="06D6265A"/>
    <w:rsid w:val="06EA4A59"/>
    <w:rsid w:val="07277E4A"/>
    <w:rsid w:val="07312958"/>
    <w:rsid w:val="073F6231"/>
    <w:rsid w:val="07583439"/>
    <w:rsid w:val="07BF4B46"/>
    <w:rsid w:val="07CF67A4"/>
    <w:rsid w:val="07D33E57"/>
    <w:rsid w:val="07E07279"/>
    <w:rsid w:val="085E77F2"/>
    <w:rsid w:val="08742FE7"/>
    <w:rsid w:val="08870981"/>
    <w:rsid w:val="08964419"/>
    <w:rsid w:val="08A301E0"/>
    <w:rsid w:val="08DD785C"/>
    <w:rsid w:val="08F22A9E"/>
    <w:rsid w:val="094D6FBC"/>
    <w:rsid w:val="09573DEF"/>
    <w:rsid w:val="096C547C"/>
    <w:rsid w:val="097D251D"/>
    <w:rsid w:val="098047A7"/>
    <w:rsid w:val="09DA7B0C"/>
    <w:rsid w:val="0A122D36"/>
    <w:rsid w:val="0A801079"/>
    <w:rsid w:val="0A960A6B"/>
    <w:rsid w:val="0AE56ABF"/>
    <w:rsid w:val="0B4F2300"/>
    <w:rsid w:val="0BA26BDC"/>
    <w:rsid w:val="0BC4723C"/>
    <w:rsid w:val="0BE74F15"/>
    <w:rsid w:val="0C213484"/>
    <w:rsid w:val="0C337593"/>
    <w:rsid w:val="0C77648A"/>
    <w:rsid w:val="0CD0636B"/>
    <w:rsid w:val="0D102BB5"/>
    <w:rsid w:val="0D177805"/>
    <w:rsid w:val="0DC30CBA"/>
    <w:rsid w:val="0E09061B"/>
    <w:rsid w:val="0E1B3897"/>
    <w:rsid w:val="0E3F2C3E"/>
    <w:rsid w:val="0E407913"/>
    <w:rsid w:val="0E6E2065"/>
    <w:rsid w:val="0EE5178E"/>
    <w:rsid w:val="0F457322"/>
    <w:rsid w:val="0F4C71A5"/>
    <w:rsid w:val="0F5C6E37"/>
    <w:rsid w:val="10026D1B"/>
    <w:rsid w:val="1051674C"/>
    <w:rsid w:val="106D5EC4"/>
    <w:rsid w:val="109E016A"/>
    <w:rsid w:val="10B309F0"/>
    <w:rsid w:val="10C05D7B"/>
    <w:rsid w:val="11071670"/>
    <w:rsid w:val="111858E8"/>
    <w:rsid w:val="115033D9"/>
    <w:rsid w:val="117048C5"/>
    <w:rsid w:val="118A2253"/>
    <w:rsid w:val="11A021F8"/>
    <w:rsid w:val="11B06995"/>
    <w:rsid w:val="11C0052E"/>
    <w:rsid w:val="11D16ECB"/>
    <w:rsid w:val="1204449F"/>
    <w:rsid w:val="12160F3D"/>
    <w:rsid w:val="12AB3870"/>
    <w:rsid w:val="12D60722"/>
    <w:rsid w:val="12DF1144"/>
    <w:rsid w:val="130C79FF"/>
    <w:rsid w:val="137C1C8F"/>
    <w:rsid w:val="14017EB9"/>
    <w:rsid w:val="142F05CE"/>
    <w:rsid w:val="14360F37"/>
    <w:rsid w:val="14E7189E"/>
    <w:rsid w:val="152500E3"/>
    <w:rsid w:val="15314A2E"/>
    <w:rsid w:val="15553142"/>
    <w:rsid w:val="1565427F"/>
    <w:rsid w:val="1574656B"/>
    <w:rsid w:val="15883C49"/>
    <w:rsid w:val="15896B07"/>
    <w:rsid w:val="158D1EAF"/>
    <w:rsid w:val="15970C2F"/>
    <w:rsid w:val="15AC2C8E"/>
    <w:rsid w:val="15BC36F9"/>
    <w:rsid w:val="15CA4C2B"/>
    <w:rsid w:val="15F25956"/>
    <w:rsid w:val="15F863B3"/>
    <w:rsid w:val="161E1735"/>
    <w:rsid w:val="163B69E9"/>
    <w:rsid w:val="16FA3DEE"/>
    <w:rsid w:val="16FE5A71"/>
    <w:rsid w:val="170B5EA3"/>
    <w:rsid w:val="175B0F1E"/>
    <w:rsid w:val="17BF6EB3"/>
    <w:rsid w:val="17E625C2"/>
    <w:rsid w:val="17F51804"/>
    <w:rsid w:val="18090D76"/>
    <w:rsid w:val="18335364"/>
    <w:rsid w:val="185509E3"/>
    <w:rsid w:val="187212AC"/>
    <w:rsid w:val="18B36492"/>
    <w:rsid w:val="18F2497C"/>
    <w:rsid w:val="18FE17EE"/>
    <w:rsid w:val="190D1B7B"/>
    <w:rsid w:val="19594F60"/>
    <w:rsid w:val="199A10B7"/>
    <w:rsid w:val="19FB6C73"/>
    <w:rsid w:val="1A2B7B75"/>
    <w:rsid w:val="1A7C0600"/>
    <w:rsid w:val="1A9D028E"/>
    <w:rsid w:val="1AA21277"/>
    <w:rsid w:val="1B0E2FDD"/>
    <w:rsid w:val="1B2A271F"/>
    <w:rsid w:val="1BBA4C58"/>
    <w:rsid w:val="1BD50639"/>
    <w:rsid w:val="1BD937BC"/>
    <w:rsid w:val="1BD958D9"/>
    <w:rsid w:val="1BF06A09"/>
    <w:rsid w:val="1BF65128"/>
    <w:rsid w:val="1C1945A6"/>
    <w:rsid w:val="1C197538"/>
    <w:rsid w:val="1C2D098F"/>
    <w:rsid w:val="1C41645D"/>
    <w:rsid w:val="1C4824DF"/>
    <w:rsid w:val="1C5967C2"/>
    <w:rsid w:val="1C656C23"/>
    <w:rsid w:val="1C7E28F5"/>
    <w:rsid w:val="1CE046C9"/>
    <w:rsid w:val="1D0667AD"/>
    <w:rsid w:val="1DB34357"/>
    <w:rsid w:val="1DFF4788"/>
    <w:rsid w:val="1E214C26"/>
    <w:rsid w:val="1E63486F"/>
    <w:rsid w:val="1E784900"/>
    <w:rsid w:val="1EDF220C"/>
    <w:rsid w:val="1EF32682"/>
    <w:rsid w:val="1F06052A"/>
    <w:rsid w:val="1F4C48BD"/>
    <w:rsid w:val="1F8221AC"/>
    <w:rsid w:val="1FA73C1A"/>
    <w:rsid w:val="1FA84DA5"/>
    <w:rsid w:val="1FE07339"/>
    <w:rsid w:val="200E1C53"/>
    <w:rsid w:val="205632FF"/>
    <w:rsid w:val="20660D56"/>
    <w:rsid w:val="207E0F00"/>
    <w:rsid w:val="209B77D4"/>
    <w:rsid w:val="20AD01D7"/>
    <w:rsid w:val="20BB3469"/>
    <w:rsid w:val="20E9368B"/>
    <w:rsid w:val="21284ECA"/>
    <w:rsid w:val="213563B0"/>
    <w:rsid w:val="2168390B"/>
    <w:rsid w:val="216C1524"/>
    <w:rsid w:val="21810223"/>
    <w:rsid w:val="2185375B"/>
    <w:rsid w:val="21B41808"/>
    <w:rsid w:val="21C1096F"/>
    <w:rsid w:val="21EA2970"/>
    <w:rsid w:val="21F47D0E"/>
    <w:rsid w:val="220F53E3"/>
    <w:rsid w:val="22135B75"/>
    <w:rsid w:val="221C138B"/>
    <w:rsid w:val="22281E40"/>
    <w:rsid w:val="223009B6"/>
    <w:rsid w:val="227B700E"/>
    <w:rsid w:val="228658AB"/>
    <w:rsid w:val="22A81840"/>
    <w:rsid w:val="22AE2023"/>
    <w:rsid w:val="22B304A2"/>
    <w:rsid w:val="22F36350"/>
    <w:rsid w:val="22F535FA"/>
    <w:rsid w:val="233F7DCA"/>
    <w:rsid w:val="23684505"/>
    <w:rsid w:val="237F77E2"/>
    <w:rsid w:val="23916E91"/>
    <w:rsid w:val="23BD3F0B"/>
    <w:rsid w:val="23FC7B97"/>
    <w:rsid w:val="240E1AF6"/>
    <w:rsid w:val="243D7784"/>
    <w:rsid w:val="249308BE"/>
    <w:rsid w:val="24956E97"/>
    <w:rsid w:val="24AB558E"/>
    <w:rsid w:val="24C624D4"/>
    <w:rsid w:val="24F65B0F"/>
    <w:rsid w:val="24F9018D"/>
    <w:rsid w:val="250A6132"/>
    <w:rsid w:val="252E36C2"/>
    <w:rsid w:val="255B7FD2"/>
    <w:rsid w:val="25624ABE"/>
    <w:rsid w:val="257B496A"/>
    <w:rsid w:val="25801456"/>
    <w:rsid w:val="25B215E3"/>
    <w:rsid w:val="25C416C1"/>
    <w:rsid w:val="260B6EAB"/>
    <w:rsid w:val="27264473"/>
    <w:rsid w:val="27A44A0A"/>
    <w:rsid w:val="28026EEA"/>
    <w:rsid w:val="281C391F"/>
    <w:rsid w:val="285A54F9"/>
    <w:rsid w:val="289C5C7B"/>
    <w:rsid w:val="28D027C1"/>
    <w:rsid w:val="28D906B5"/>
    <w:rsid w:val="28E55CAB"/>
    <w:rsid w:val="28EB2AD5"/>
    <w:rsid w:val="28F64A89"/>
    <w:rsid w:val="29195F6C"/>
    <w:rsid w:val="292A4880"/>
    <w:rsid w:val="292B376C"/>
    <w:rsid w:val="293041A7"/>
    <w:rsid w:val="29506674"/>
    <w:rsid w:val="29724C94"/>
    <w:rsid w:val="29BE6110"/>
    <w:rsid w:val="29E262B4"/>
    <w:rsid w:val="2A101A48"/>
    <w:rsid w:val="2A46060C"/>
    <w:rsid w:val="2A490F20"/>
    <w:rsid w:val="2A5113A5"/>
    <w:rsid w:val="2A8D6CCA"/>
    <w:rsid w:val="2A9E58A2"/>
    <w:rsid w:val="2AAF0549"/>
    <w:rsid w:val="2AAF4247"/>
    <w:rsid w:val="2AB34939"/>
    <w:rsid w:val="2AB35CCC"/>
    <w:rsid w:val="2B122C35"/>
    <w:rsid w:val="2B213375"/>
    <w:rsid w:val="2B3910D2"/>
    <w:rsid w:val="2B470F10"/>
    <w:rsid w:val="2B586026"/>
    <w:rsid w:val="2B88197A"/>
    <w:rsid w:val="2B8D7EBF"/>
    <w:rsid w:val="2BA8442D"/>
    <w:rsid w:val="2BB3300F"/>
    <w:rsid w:val="2C244A8B"/>
    <w:rsid w:val="2C3F1464"/>
    <w:rsid w:val="2CAC29D6"/>
    <w:rsid w:val="2D4F1427"/>
    <w:rsid w:val="2D8639BE"/>
    <w:rsid w:val="2D9124BA"/>
    <w:rsid w:val="2DAF13AE"/>
    <w:rsid w:val="2DB57E4B"/>
    <w:rsid w:val="2DB95E33"/>
    <w:rsid w:val="2DDA6624"/>
    <w:rsid w:val="2E0D0AEF"/>
    <w:rsid w:val="2EA22753"/>
    <w:rsid w:val="2EE97BBC"/>
    <w:rsid w:val="2F655F55"/>
    <w:rsid w:val="2F9E5337"/>
    <w:rsid w:val="2FB165D9"/>
    <w:rsid w:val="2FBF5CA8"/>
    <w:rsid w:val="2FE24FA7"/>
    <w:rsid w:val="30657705"/>
    <w:rsid w:val="30661875"/>
    <w:rsid w:val="30B9603D"/>
    <w:rsid w:val="30CC1770"/>
    <w:rsid w:val="30D435EB"/>
    <w:rsid w:val="31350C4C"/>
    <w:rsid w:val="31576C02"/>
    <w:rsid w:val="3182724D"/>
    <w:rsid w:val="319B00D5"/>
    <w:rsid w:val="321364C4"/>
    <w:rsid w:val="321F0552"/>
    <w:rsid w:val="326E688F"/>
    <w:rsid w:val="32707621"/>
    <w:rsid w:val="32E766E9"/>
    <w:rsid w:val="33455BDC"/>
    <w:rsid w:val="33726B13"/>
    <w:rsid w:val="33800718"/>
    <w:rsid w:val="33B11A56"/>
    <w:rsid w:val="33DF33E6"/>
    <w:rsid w:val="34337BA3"/>
    <w:rsid w:val="346F3BA7"/>
    <w:rsid w:val="34740116"/>
    <w:rsid w:val="349A34DB"/>
    <w:rsid w:val="34CC4B3B"/>
    <w:rsid w:val="34DB2D39"/>
    <w:rsid w:val="34E70AD6"/>
    <w:rsid w:val="35301450"/>
    <w:rsid w:val="35367747"/>
    <w:rsid w:val="358A3883"/>
    <w:rsid w:val="35BA0802"/>
    <w:rsid w:val="35C269B5"/>
    <w:rsid w:val="35DF2B69"/>
    <w:rsid w:val="360665DE"/>
    <w:rsid w:val="362941A2"/>
    <w:rsid w:val="362D444E"/>
    <w:rsid w:val="362E3E38"/>
    <w:rsid w:val="364D63A5"/>
    <w:rsid w:val="36613E2D"/>
    <w:rsid w:val="368970CF"/>
    <w:rsid w:val="3694046E"/>
    <w:rsid w:val="36BF2124"/>
    <w:rsid w:val="36D812BF"/>
    <w:rsid w:val="36F13AC4"/>
    <w:rsid w:val="36FE033F"/>
    <w:rsid w:val="37254F27"/>
    <w:rsid w:val="372C3208"/>
    <w:rsid w:val="375D78B4"/>
    <w:rsid w:val="377A4B26"/>
    <w:rsid w:val="377E3A62"/>
    <w:rsid w:val="37DC6E40"/>
    <w:rsid w:val="37F720AC"/>
    <w:rsid w:val="3812131C"/>
    <w:rsid w:val="382B20B3"/>
    <w:rsid w:val="38465EC0"/>
    <w:rsid w:val="38495459"/>
    <w:rsid w:val="38817344"/>
    <w:rsid w:val="38B7563D"/>
    <w:rsid w:val="38BF5C6D"/>
    <w:rsid w:val="38DB7D7B"/>
    <w:rsid w:val="38EE3475"/>
    <w:rsid w:val="390A3637"/>
    <w:rsid w:val="390E4241"/>
    <w:rsid w:val="391478FC"/>
    <w:rsid w:val="391D679C"/>
    <w:rsid w:val="3922664B"/>
    <w:rsid w:val="396665B7"/>
    <w:rsid w:val="39920585"/>
    <w:rsid w:val="3992458E"/>
    <w:rsid w:val="39BB7346"/>
    <w:rsid w:val="39D903B6"/>
    <w:rsid w:val="3A1F0DF9"/>
    <w:rsid w:val="3A2871B8"/>
    <w:rsid w:val="3AC761B5"/>
    <w:rsid w:val="3ACB7183"/>
    <w:rsid w:val="3ADB69A5"/>
    <w:rsid w:val="3AE841F3"/>
    <w:rsid w:val="3B5B0FEB"/>
    <w:rsid w:val="3BAF6E35"/>
    <w:rsid w:val="3BB92E6A"/>
    <w:rsid w:val="3BDA7340"/>
    <w:rsid w:val="3C5B4A7D"/>
    <w:rsid w:val="3C6A38E9"/>
    <w:rsid w:val="3C7250F5"/>
    <w:rsid w:val="3C800A4A"/>
    <w:rsid w:val="3C98331B"/>
    <w:rsid w:val="3CC2331A"/>
    <w:rsid w:val="3CE202A8"/>
    <w:rsid w:val="3CE26E32"/>
    <w:rsid w:val="3CF32897"/>
    <w:rsid w:val="3D0038A0"/>
    <w:rsid w:val="3D577B32"/>
    <w:rsid w:val="3D716A78"/>
    <w:rsid w:val="3D7D0C44"/>
    <w:rsid w:val="3DC27ECD"/>
    <w:rsid w:val="3E3948A1"/>
    <w:rsid w:val="3E4619B8"/>
    <w:rsid w:val="3E841CC2"/>
    <w:rsid w:val="3FA72113"/>
    <w:rsid w:val="3FB0077D"/>
    <w:rsid w:val="3FC020EA"/>
    <w:rsid w:val="3FD0050F"/>
    <w:rsid w:val="3FE714C4"/>
    <w:rsid w:val="40237E5B"/>
    <w:rsid w:val="4042792B"/>
    <w:rsid w:val="40FD3F09"/>
    <w:rsid w:val="411128F0"/>
    <w:rsid w:val="41151554"/>
    <w:rsid w:val="411C6212"/>
    <w:rsid w:val="4141765A"/>
    <w:rsid w:val="415146FD"/>
    <w:rsid w:val="415575CE"/>
    <w:rsid w:val="417C49FE"/>
    <w:rsid w:val="41A2236C"/>
    <w:rsid w:val="41C5325F"/>
    <w:rsid w:val="41CA788D"/>
    <w:rsid w:val="41D75A95"/>
    <w:rsid w:val="41EE5598"/>
    <w:rsid w:val="42390D6B"/>
    <w:rsid w:val="426104F4"/>
    <w:rsid w:val="426866B5"/>
    <w:rsid w:val="42716FB6"/>
    <w:rsid w:val="428117D6"/>
    <w:rsid w:val="42831B60"/>
    <w:rsid w:val="428D00BE"/>
    <w:rsid w:val="42CA0901"/>
    <w:rsid w:val="42CC5625"/>
    <w:rsid w:val="42EB4E75"/>
    <w:rsid w:val="42F978B7"/>
    <w:rsid w:val="43246398"/>
    <w:rsid w:val="43455508"/>
    <w:rsid w:val="43661FA0"/>
    <w:rsid w:val="437C1F45"/>
    <w:rsid w:val="43B83004"/>
    <w:rsid w:val="43E170D0"/>
    <w:rsid w:val="443570D7"/>
    <w:rsid w:val="443A2C07"/>
    <w:rsid w:val="4460459C"/>
    <w:rsid w:val="44E14896"/>
    <w:rsid w:val="450B0DDE"/>
    <w:rsid w:val="451A2516"/>
    <w:rsid w:val="459B1F40"/>
    <w:rsid w:val="45A476A5"/>
    <w:rsid w:val="45C11FC0"/>
    <w:rsid w:val="45FD4563"/>
    <w:rsid w:val="460B5851"/>
    <w:rsid w:val="461E75CD"/>
    <w:rsid w:val="46646DD3"/>
    <w:rsid w:val="468C5A41"/>
    <w:rsid w:val="46D27A40"/>
    <w:rsid w:val="46E266F9"/>
    <w:rsid w:val="47082F5C"/>
    <w:rsid w:val="471F1551"/>
    <w:rsid w:val="47307D24"/>
    <w:rsid w:val="47371B03"/>
    <w:rsid w:val="47474688"/>
    <w:rsid w:val="475A3339"/>
    <w:rsid w:val="476541E3"/>
    <w:rsid w:val="47882E21"/>
    <w:rsid w:val="4797180C"/>
    <w:rsid w:val="49937543"/>
    <w:rsid w:val="49AD606D"/>
    <w:rsid w:val="49BF04E4"/>
    <w:rsid w:val="49C35B92"/>
    <w:rsid w:val="49F57B95"/>
    <w:rsid w:val="49FE565F"/>
    <w:rsid w:val="4A1A65A2"/>
    <w:rsid w:val="4A702F34"/>
    <w:rsid w:val="4A706FB0"/>
    <w:rsid w:val="4A890919"/>
    <w:rsid w:val="4A9B0728"/>
    <w:rsid w:val="4A9B21F0"/>
    <w:rsid w:val="4AB81593"/>
    <w:rsid w:val="4B281166"/>
    <w:rsid w:val="4B4D0F13"/>
    <w:rsid w:val="4B603673"/>
    <w:rsid w:val="4BB212CB"/>
    <w:rsid w:val="4BDD4E1E"/>
    <w:rsid w:val="4C312059"/>
    <w:rsid w:val="4C9C3748"/>
    <w:rsid w:val="4CA11ED9"/>
    <w:rsid w:val="4CE832B7"/>
    <w:rsid w:val="4D046F69"/>
    <w:rsid w:val="4D1122D4"/>
    <w:rsid w:val="4D37405A"/>
    <w:rsid w:val="4D663D60"/>
    <w:rsid w:val="4DA75692"/>
    <w:rsid w:val="4DC220FC"/>
    <w:rsid w:val="4DE52644"/>
    <w:rsid w:val="4E28352F"/>
    <w:rsid w:val="4E2C224E"/>
    <w:rsid w:val="4E3D66A8"/>
    <w:rsid w:val="4E5E2FCE"/>
    <w:rsid w:val="4E7F7C13"/>
    <w:rsid w:val="4EA96124"/>
    <w:rsid w:val="4EB34D80"/>
    <w:rsid w:val="4EB7284F"/>
    <w:rsid w:val="4EC004A5"/>
    <w:rsid w:val="4F023232"/>
    <w:rsid w:val="4F243ED1"/>
    <w:rsid w:val="4F8A59D4"/>
    <w:rsid w:val="4F9A49FA"/>
    <w:rsid w:val="4FBD7F68"/>
    <w:rsid w:val="4FE60410"/>
    <w:rsid w:val="4FF24DD3"/>
    <w:rsid w:val="501A5098"/>
    <w:rsid w:val="505E3468"/>
    <w:rsid w:val="507A324C"/>
    <w:rsid w:val="50AF5037"/>
    <w:rsid w:val="510A7E4A"/>
    <w:rsid w:val="51150640"/>
    <w:rsid w:val="511D55A3"/>
    <w:rsid w:val="512166AA"/>
    <w:rsid w:val="51511DCB"/>
    <w:rsid w:val="515F6864"/>
    <w:rsid w:val="5161608E"/>
    <w:rsid w:val="51676676"/>
    <w:rsid w:val="51756B96"/>
    <w:rsid w:val="520F4294"/>
    <w:rsid w:val="52295F56"/>
    <w:rsid w:val="52CA3091"/>
    <w:rsid w:val="53005373"/>
    <w:rsid w:val="53010E8A"/>
    <w:rsid w:val="539F0D5A"/>
    <w:rsid w:val="53B7725F"/>
    <w:rsid w:val="53C365DB"/>
    <w:rsid w:val="53C52E07"/>
    <w:rsid w:val="53EE23BF"/>
    <w:rsid w:val="54393A5B"/>
    <w:rsid w:val="54A85071"/>
    <w:rsid w:val="54B7270E"/>
    <w:rsid w:val="54BF4C96"/>
    <w:rsid w:val="553A5043"/>
    <w:rsid w:val="55664272"/>
    <w:rsid w:val="556C60B3"/>
    <w:rsid w:val="55D437C1"/>
    <w:rsid w:val="55EA209E"/>
    <w:rsid w:val="55EB4403"/>
    <w:rsid w:val="55F22EC4"/>
    <w:rsid w:val="55FB2704"/>
    <w:rsid w:val="5606068F"/>
    <w:rsid w:val="56347BFE"/>
    <w:rsid w:val="564C2DC5"/>
    <w:rsid w:val="565C2946"/>
    <w:rsid w:val="56890A8D"/>
    <w:rsid w:val="56AD586B"/>
    <w:rsid w:val="57283E0B"/>
    <w:rsid w:val="572F58EA"/>
    <w:rsid w:val="576B5785"/>
    <w:rsid w:val="57C12864"/>
    <w:rsid w:val="57EB51CE"/>
    <w:rsid w:val="581A5A10"/>
    <w:rsid w:val="582F7C9C"/>
    <w:rsid w:val="585003F4"/>
    <w:rsid w:val="585C28AB"/>
    <w:rsid w:val="58DB7B6B"/>
    <w:rsid w:val="58E00368"/>
    <w:rsid w:val="58ED4F64"/>
    <w:rsid w:val="58F7186D"/>
    <w:rsid w:val="590739A9"/>
    <w:rsid w:val="59210902"/>
    <w:rsid w:val="593B3F1E"/>
    <w:rsid w:val="593E44C7"/>
    <w:rsid w:val="59517F0B"/>
    <w:rsid w:val="59654336"/>
    <w:rsid w:val="59A24EAE"/>
    <w:rsid w:val="59A51736"/>
    <w:rsid w:val="59E47F30"/>
    <w:rsid w:val="5A317220"/>
    <w:rsid w:val="5AAD49D1"/>
    <w:rsid w:val="5AB865E5"/>
    <w:rsid w:val="5AC445F6"/>
    <w:rsid w:val="5AE453BD"/>
    <w:rsid w:val="5AFA040B"/>
    <w:rsid w:val="5B1B5005"/>
    <w:rsid w:val="5B1F63CB"/>
    <w:rsid w:val="5B312DE4"/>
    <w:rsid w:val="5B4535FC"/>
    <w:rsid w:val="5B8637C9"/>
    <w:rsid w:val="5BAD170D"/>
    <w:rsid w:val="5BFF6ACC"/>
    <w:rsid w:val="5C0A6E8C"/>
    <w:rsid w:val="5C610174"/>
    <w:rsid w:val="5C8E0CE1"/>
    <w:rsid w:val="5C8E760E"/>
    <w:rsid w:val="5C91292C"/>
    <w:rsid w:val="5CA579C5"/>
    <w:rsid w:val="5CFD7060"/>
    <w:rsid w:val="5D072428"/>
    <w:rsid w:val="5D187049"/>
    <w:rsid w:val="5D1F3AA4"/>
    <w:rsid w:val="5D235F07"/>
    <w:rsid w:val="5D2E6FEF"/>
    <w:rsid w:val="5D444EF8"/>
    <w:rsid w:val="5D5A45B5"/>
    <w:rsid w:val="5D731444"/>
    <w:rsid w:val="5DD14A36"/>
    <w:rsid w:val="5DFC702A"/>
    <w:rsid w:val="5E484ECF"/>
    <w:rsid w:val="5E4D4D2E"/>
    <w:rsid w:val="5E581E70"/>
    <w:rsid w:val="5E784311"/>
    <w:rsid w:val="5E8F1627"/>
    <w:rsid w:val="5EC85E2F"/>
    <w:rsid w:val="5F0D5B98"/>
    <w:rsid w:val="5F1D12CB"/>
    <w:rsid w:val="5F2B1033"/>
    <w:rsid w:val="5F4D3766"/>
    <w:rsid w:val="5F7D646E"/>
    <w:rsid w:val="5F821A41"/>
    <w:rsid w:val="5F824C39"/>
    <w:rsid w:val="5FB05B4B"/>
    <w:rsid w:val="5FB9411A"/>
    <w:rsid w:val="5FD1196B"/>
    <w:rsid w:val="5FEA7730"/>
    <w:rsid w:val="60092262"/>
    <w:rsid w:val="600D3631"/>
    <w:rsid w:val="6069382F"/>
    <w:rsid w:val="60A97FB2"/>
    <w:rsid w:val="60F6302D"/>
    <w:rsid w:val="61092F57"/>
    <w:rsid w:val="612B059A"/>
    <w:rsid w:val="617075EF"/>
    <w:rsid w:val="61B424C8"/>
    <w:rsid w:val="61DA25EE"/>
    <w:rsid w:val="620D6B6D"/>
    <w:rsid w:val="62236E48"/>
    <w:rsid w:val="626148A8"/>
    <w:rsid w:val="629038C3"/>
    <w:rsid w:val="62D1432C"/>
    <w:rsid w:val="62DC61D8"/>
    <w:rsid w:val="634D4858"/>
    <w:rsid w:val="635E1A4C"/>
    <w:rsid w:val="63675565"/>
    <w:rsid w:val="63831726"/>
    <w:rsid w:val="63A67290"/>
    <w:rsid w:val="63E044E9"/>
    <w:rsid w:val="63EB12C1"/>
    <w:rsid w:val="64176014"/>
    <w:rsid w:val="645079C8"/>
    <w:rsid w:val="64911B37"/>
    <w:rsid w:val="64997CFD"/>
    <w:rsid w:val="64B65B72"/>
    <w:rsid w:val="6522377E"/>
    <w:rsid w:val="662B5608"/>
    <w:rsid w:val="663F7D97"/>
    <w:rsid w:val="66641087"/>
    <w:rsid w:val="66D0375F"/>
    <w:rsid w:val="66EA4CF0"/>
    <w:rsid w:val="67292EB3"/>
    <w:rsid w:val="67874E83"/>
    <w:rsid w:val="679A7B08"/>
    <w:rsid w:val="679C6B4C"/>
    <w:rsid w:val="687F4C1D"/>
    <w:rsid w:val="68C2756A"/>
    <w:rsid w:val="68CB1738"/>
    <w:rsid w:val="68DA0A22"/>
    <w:rsid w:val="690F0847"/>
    <w:rsid w:val="693D1B33"/>
    <w:rsid w:val="69423022"/>
    <w:rsid w:val="69896C65"/>
    <w:rsid w:val="69962A40"/>
    <w:rsid w:val="6A3C4858"/>
    <w:rsid w:val="6A7241DA"/>
    <w:rsid w:val="6ABD7DF6"/>
    <w:rsid w:val="6ACB5C2B"/>
    <w:rsid w:val="6ADB1523"/>
    <w:rsid w:val="6AFC7FA7"/>
    <w:rsid w:val="6B3C253E"/>
    <w:rsid w:val="6B562619"/>
    <w:rsid w:val="6B6C2B07"/>
    <w:rsid w:val="6B8107D6"/>
    <w:rsid w:val="6B8B2E95"/>
    <w:rsid w:val="6BC66592"/>
    <w:rsid w:val="6C6258FC"/>
    <w:rsid w:val="6C8F5FED"/>
    <w:rsid w:val="6D2032E6"/>
    <w:rsid w:val="6D871E5D"/>
    <w:rsid w:val="6DB7708E"/>
    <w:rsid w:val="6DF8337A"/>
    <w:rsid w:val="6E1C4E4E"/>
    <w:rsid w:val="6E3F5BBC"/>
    <w:rsid w:val="6E664226"/>
    <w:rsid w:val="6E9047F2"/>
    <w:rsid w:val="6EC07D65"/>
    <w:rsid w:val="6ECE02F5"/>
    <w:rsid w:val="6FC572DF"/>
    <w:rsid w:val="6FCE5BF7"/>
    <w:rsid w:val="70277A82"/>
    <w:rsid w:val="7084221D"/>
    <w:rsid w:val="70995ECF"/>
    <w:rsid w:val="70C31153"/>
    <w:rsid w:val="70E37F25"/>
    <w:rsid w:val="70F175E0"/>
    <w:rsid w:val="710E3FF5"/>
    <w:rsid w:val="71321D8A"/>
    <w:rsid w:val="715B4FAC"/>
    <w:rsid w:val="7161477F"/>
    <w:rsid w:val="71717CF1"/>
    <w:rsid w:val="71B13060"/>
    <w:rsid w:val="723513B9"/>
    <w:rsid w:val="723C47D5"/>
    <w:rsid w:val="72401A80"/>
    <w:rsid w:val="724463AD"/>
    <w:rsid w:val="72534273"/>
    <w:rsid w:val="72803A86"/>
    <w:rsid w:val="72A4012B"/>
    <w:rsid w:val="72F17CFC"/>
    <w:rsid w:val="73173CE2"/>
    <w:rsid w:val="73627B42"/>
    <w:rsid w:val="73704370"/>
    <w:rsid w:val="73A365F5"/>
    <w:rsid w:val="73DC4D25"/>
    <w:rsid w:val="73DF2697"/>
    <w:rsid w:val="741F31BC"/>
    <w:rsid w:val="7431777C"/>
    <w:rsid w:val="744A3547"/>
    <w:rsid w:val="745436E9"/>
    <w:rsid w:val="74877EEA"/>
    <w:rsid w:val="74F21636"/>
    <w:rsid w:val="751440B3"/>
    <w:rsid w:val="75933184"/>
    <w:rsid w:val="75B855D2"/>
    <w:rsid w:val="75BD6169"/>
    <w:rsid w:val="75C379FA"/>
    <w:rsid w:val="75F36C4E"/>
    <w:rsid w:val="76110225"/>
    <w:rsid w:val="762F086F"/>
    <w:rsid w:val="76314A17"/>
    <w:rsid w:val="765A05BC"/>
    <w:rsid w:val="76BD6FDB"/>
    <w:rsid w:val="76EF1C48"/>
    <w:rsid w:val="772A17B4"/>
    <w:rsid w:val="775E513F"/>
    <w:rsid w:val="778B45B5"/>
    <w:rsid w:val="77FF6F6D"/>
    <w:rsid w:val="785F1400"/>
    <w:rsid w:val="78916523"/>
    <w:rsid w:val="78BD7DA6"/>
    <w:rsid w:val="796F46CE"/>
    <w:rsid w:val="79876F3B"/>
    <w:rsid w:val="79C771E2"/>
    <w:rsid w:val="79F14CED"/>
    <w:rsid w:val="79F30AC2"/>
    <w:rsid w:val="7A1A5A52"/>
    <w:rsid w:val="7A724C9F"/>
    <w:rsid w:val="7A9A52A7"/>
    <w:rsid w:val="7ACF2BC4"/>
    <w:rsid w:val="7B334F2B"/>
    <w:rsid w:val="7B5E4E76"/>
    <w:rsid w:val="7B673063"/>
    <w:rsid w:val="7BA060D4"/>
    <w:rsid w:val="7BB01186"/>
    <w:rsid w:val="7BB248B9"/>
    <w:rsid w:val="7BD10827"/>
    <w:rsid w:val="7BEC38D9"/>
    <w:rsid w:val="7C057C0C"/>
    <w:rsid w:val="7C2B0D47"/>
    <w:rsid w:val="7C5908FB"/>
    <w:rsid w:val="7CA512FC"/>
    <w:rsid w:val="7CE4079E"/>
    <w:rsid w:val="7CEF6506"/>
    <w:rsid w:val="7CF66AAB"/>
    <w:rsid w:val="7CFA011A"/>
    <w:rsid w:val="7D023B43"/>
    <w:rsid w:val="7D32165D"/>
    <w:rsid w:val="7D330928"/>
    <w:rsid w:val="7D6D684D"/>
    <w:rsid w:val="7DAA59ED"/>
    <w:rsid w:val="7DEF4505"/>
    <w:rsid w:val="7E11330D"/>
    <w:rsid w:val="7E207BF6"/>
    <w:rsid w:val="7E9D18B0"/>
    <w:rsid w:val="7E9E5C9C"/>
    <w:rsid w:val="7F0B7248"/>
    <w:rsid w:val="7F1C640A"/>
    <w:rsid w:val="7F675BB4"/>
    <w:rsid w:val="7F695182"/>
    <w:rsid w:val="7FE83C65"/>
    <w:rsid w:val="7FE915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7"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nhideWhenUsed="0" w:uiPriority="99" w:semiHidden="0"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0"/>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9">
    <w:name w:val="heading 2"/>
    <w:basedOn w:val="1"/>
    <w:next w:val="8"/>
    <w:link w:val="51"/>
    <w:qFormat/>
    <w:uiPriority w:val="99"/>
    <w:pPr>
      <w:keepNext/>
      <w:keepLines/>
      <w:numPr>
        <w:ilvl w:val="1"/>
        <w:numId w:val="1"/>
      </w:numPr>
      <w:tabs>
        <w:tab w:val="left" w:pos="0"/>
        <w:tab w:val="left" w:pos="360"/>
      </w:tabs>
      <w:adjustRightInd w:val="0"/>
      <w:spacing w:before="160" w:after="160" w:line="160" w:lineRule="atLeast"/>
      <w:ind w:left="851" w:hanging="284"/>
      <w:textAlignment w:val="baseline"/>
      <w:outlineLvl w:val="1"/>
    </w:pPr>
    <w:rPr>
      <w:rFonts w:ascii="黑体" w:eastAsia="黑体"/>
      <w:kern w:val="0"/>
      <w:sz w:val="28"/>
      <w:szCs w:val="20"/>
    </w:rPr>
  </w:style>
  <w:style w:type="paragraph" w:styleId="10">
    <w:name w:val="heading 3"/>
    <w:basedOn w:val="1"/>
    <w:next w:val="8"/>
    <w:link w:val="52"/>
    <w:qFormat/>
    <w:uiPriority w:val="99"/>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11">
    <w:name w:val="heading 4"/>
    <w:basedOn w:val="1"/>
    <w:next w:val="1"/>
    <w:link w:val="53"/>
    <w:qFormat/>
    <w:uiPriority w:val="99"/>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54"/>
    <w:qFormat/>
    <w:uiPriority w:val="99"/>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13">
    <w:name w:val="heading 6"/>
    <w:basedOn w:val="1"/>
    <w:next w:val="1"/>
    <w:link w:val="55"/>
    <w:qFormat/>
    <w:uiPriority w:val="99"/>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4">
    <w:name w:val="heading 7"/>
    <w:basedOn w:val="1"/>
    <w:next w:val="1"/>
    <w:link w:val="56"/>
    <w:qFormat/>
    <w:uiPriority w:val="99"/>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5">
    <w:name w:val="heading 8"/>
    <w:basedOn w:val="1"/>
    <w:next w:val="1"/>
    <w:link w:val="57"/>
    <w:qFormat/>
    <w:uiPriority w:val="99"/>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6">
    <w:name w:val="heading 9"/>
    <w:basedOn w:val="1"/>
    <w:next w:val="1"/>
    <w:link w:val="58"/>
    <w:qFormat/>
    <w:uiPriority w:val="99"/>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99"/>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left="0" w:leftChars="0" w:firstLine="0" w:firstLineChars="0"/>
    </w:pPr>
  </w:style>
  <w:style w:type="paragraph" w:styleId="6">
    <w:name w:val="Body Text Indent"/>
    <w:basedOn w:val="1"/>
    <w:next w:val="2"/>
    <w:link w:val="63"/>
    <w:qFormat/>
    <w:uiPriority w:val="99"/>
    <w:pPr>
      <w:ind w:firstLine="645"/>
    </w:pPr>
    <w:rPr>
      <w:rFonts w:ascii="宋体"/>
      <w:sz w:val="32"/>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99"/>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59"/>
    <w:qFormat/>
    <w:uiPriority w:val="0"/>
    <w:pPr>
      <w:jc w:val="left"/>
    </w:pPr>
  </w:style>
  <w:style w:type="paragraph" w:styleId="21">
    <w:name w:val="Body Text 3"/>
    <w:basedOn w:val="1"/>
    <w:link w:val="61"/>
    <w:qFormat/>
    <w:uiPriority w:val="99"/>
    <w:pPr>
      <w:spacing w:after="120"/>
    </w:pPr>
    <w:rPr>
      <w:rFonts w:ascii="Times New Roman" w:hAnsi="Times New Roman"/>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4">
    <w:name w:val="Plain Text"/>
    <w:basedOn w:val="1"/>
    <w:link w:val="64"/>
    <w:qFormat/>
    <w:uiPriority w:val="99"/>
    <w:pPr>
      <w:spacing w:line="360" w:lineRule="auto"/>
      <w:ind w:firstLine="200" w:firstLineChars="200"/>
    </w:pPr>
    <w:rPr>
      <w:rFonts w:ascii="宋体" w:hAnsi="宋体" w:eastAsia="仿宋_GB2312" w:cs="Courier New"/>
      <w:szCs w:val="21"/>
    </w:rPr>
  </w:style>
  <w:style w:type="paragraph" w:styleId="25">
    <w:name w:val="Date"/>
    <w:basedOn w:val="1"/>
    <w:next w:val="1"/>
    <w:link w:val="65"/>
    <w:qFormat/>
    <w:uiPriority w:val="99"/>
    <w:pPr>
      <w:ind w:left="2500" w:leftChars="2500"/>
    </w:pPr>
  </w:style>
  <w:style w:type="paragraph" w:styleId="26">
    <w:name w:val="Body Text Indent 2"/>
    <w:basedOn w:val="1"/>
    <w:link w:val="66"/>
    <w:qFormat/>
    <w:uiPriority w:val="99"/>
    <w:pPr>
      <w:ind w:firstLine="630"/>
    </w:pPr>
    <w:rPr>
      <w:rFonts w:ascii="宋体"/>
      <w:sz w:val="32"/>
      <w:szCs w:val="20"/>
    </w:rPr>
  </w:style>
  <w:style w:type="paragraph" w:styleId="27">
    <w:name w:val="List Continue 5"/>
    <w:basedOn w:val="1"/>
    <w:qFormat/>
    <w:uiPriority w:val="99"/>
    <w:pPr>
      <w:spacing w:after="120"/>
      <w:ind w:left="1000" w:leftChars="1000"/>
    </w:pPr>
    <w:rPr>
      <w:rFonts w:ascii="Times New Roman" w:hAnsi="Times New Roman"/>
      <w:szCs w:val="20"/>
    </w:rPr>
  </w:style>
  <w:style w:type="paragraph" w:styleId="28">
    <w:name w:val="Balloon Text"/>
    <w:basedOn w:val="1"/>
    <w:link w:val="67"/>
    <w:qFormat/>
    <w:uiPriority w:val="99"/>
    <w:rPr>
      <w:sz w:val="18"/>
      <w:szCs w:val="18"/>
    </w:rPr>
  </w:style>
  <w:style w:type="paragraph" w:styleId="29">
    <w:name w:val="footer"/>
    <w:basedOn w:val="1"/>
    <w:link w:val="68"/>
    <w:qFormat/>
    <w:uiPriority w:val="99"/>
    <w:pPr>
      <w:tabs>
        <w:tab w:val="center" w:pos="4153"/>
        <w:tab w:val="right" w:pos="8306"/>
      </w:tabs>
      <w:snapToGrid w:val="0"/>
      <w:jc w:val="left"/>
    </w:pPr>
    <w:rPr>
      <w:kern w:val="0"/>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2">
    <w:name w:val="List Continue 4"/>
    <w:basedOn w:val="1"/>
    <w:qFormat/>
    <w:uiPriority w:val="99"/>
    <w:pPr>
      <w:spacing w:after="120"/>
      <w:ind w:left="800" w:leftChars="800"/>
    </w:pPr>
    <w:rPr>
      <w:rFonts w:ascii="Times New Roman" w:hAnsi="Times New Roman"/>
      <w:szCs w:val="20"/>
    </w:rPr>
  </w:style>
  <w:style w:type="paragraph" w:styleId="33">
    <w:name w:val="List"/>
    <w:basedOn w:val="1"/>
    <w:qFormat/>
    <w:uiPriority w:val="99"/>
    <w:pPr>
      <w:ind w:left="200" w:hanging="200" w:hangingChars="200"/>
    </w:pPr>
    <w:rPr>
      <w:rFonts w:ascii="Times New Roman" w:hAnsi="Times New Roman"/>
      <w:szCs w:val="20"/>
    </w:rPr>
  </w:style>
  <w:style w:type="paragraph" w:styleId="34">
    <w:name w:val="footnote text"/>
    <w:basedOn w:val="1"/>
    <w:link w:val="70"/>
    <w:qFormat/>
    <w:uiPriority w:val="99"/>
    <w:pPr>
      <w:adjustRightInd w:val="0"/>
      <w:spacing w:line="312" w:lineRule="atLeast"/>
      <w:jc w:val="left"/>
    </w:pPr>
    <w:rPr>
      <w:rFonts w:ascii="Times New Roman" w:hAnsi="Times New Roman"/>
      <w:kern w:val="0"/>
      <w:sz w:val="18"/>
      <w:szCs w:val="20"/>
    </w:rPr>
  </w:style>
  <w:style w:type="paragraph" w:styleId="35">
    <w:name w:val="List 5"/>
    <w:basedOn w:val="1"/>
    <w:qFormat/>
    <w:uiPriority w:val="99"/>
    <w:pPr>
      <w:ind w:left="1000" w:leftChars="800" w:hanging="200" w:hangingChars="200"/>
    </w:pPr>
    <w:rPr>
      <w:rFonts w:ascii="Times New Roman" w:hAnsi="Times New Roman"/>
      <w:szCs w:val="20"/>
    </w:rPr>
  </w:style>
  <w:style w:type="paragraph" w:styleId="36">
    <w:name w:val="Body Text Indent 3"/>
    <w:basedOn w:val="1"/>
    <w:link w:val="71"/>
    <w:qFormat/>
    <w:uiPriority w:val="99"/>
    <w:pPr>
      <w:spacing w:line="360" w:lineRule="auto"/>
      <w:ind w:firstLine="468"/>
    </w:pPr>
    <w:rPr>
      <w:rFonts w:ascii="Times New Roman" w:hAnsi="Times New Roman"/>
      <w:szCs w:val="20"/>
    </w:rPr>
  </w:style>
  <w:style w:type="paragraph" w:styleId="37">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8">
    <w:name w:val="Body Text 2"/>
    <w:basedOn w:val="1"/>
    <w:link w:val="72"/>
    <w:qFormat/>
    <w:uiPriority w:val="99"/>
    <w:pPr>
      <w:spacing w:after="120" w:line="480" w:lineRule="auto"/>
    </w:pPr>
    <w:rPr>
      <w:rFonts w:ascii="Times New Roman" w:hAnsi="Times New Roman"/>
      <w:szCs w:val="20"/>
    </w:rPr>
  </w:style>
  <w:style w:type="paragraph" w:styleId="39">
    <w:name w:val="List 4"/>
    <w:basedOn w:val="1"/>
    <w:qFormat/>
    <w:uiPriority w:val="99"/>
    <w:pPr>
      <w:ind w:left="800" w:leftChars="600" w:hanging="200" w:hangingChars="200"/>
    </w:pPr>
    <w:rPr>
      <w:rFonts w:ascii="Times New Roman" w:hAnsi="Times New Roman"/>
      <w:szCs w:val="20"/>
    </w:rPr>
  </w:style>
  <w:style w:type="paragraph" w:styleId="40">
    <w:name w:val="List Continue 2"/>
    <w:basedOn w:val="1"/>
    <w:qFormat/>
    <w:uiPriority w:val="99"/>
    <w:pPr>
      <w:spacing w:after="120"/>
      <w:ind w:left="400" w:leftChars="400"/>
    </w:pPr>
    <w:rPr>
      <w:rFonts w:ascii="Times New Roman" w:hAnsi="Times New Roman"/>
      <w:szCs w:val="20"/>
    </w:rPr>
  </w:style>
  <w:style w:type="paragraph" w:styleId="41">
    <w:name w:val="Normal (Web)"/>
    <w:basedOn w:val="1"/>
    <w:qFormat/>
    <w:uiPriority w:val="7"/>
    <w:pPr>
      <w:widowControl/>
      <w:spacing w:before="100" w:beforeAutospacing="1" w:after="100" w:afterAutospacing="1"/>
      <w:jc w:val="left"/>
    </w:pPr>
    <w:rPr>
      <w:rFonts w:ascii="宋体"/>
      <w:kern w:val="0"/>
      <w:szCs w:val="24"/>
    </w:rPr>
  </w:style>
  <w:style w:type="paragraph" w:styleId="42">
    <w:name w:val="List Continue 3"/>
    <w:basedOn w:val="1"/>
    <w:qFormat/>
    <w:uiPriority w:val="99"/>
    <w:pPr>
      <w:spacing w:after="120"/>
      <w:ind w:left="600" w:leftChars="600"/>
    </w:pPr>
    <w:rPr>
      <w:rFonts w:ascii="Times New Roman" w:hAnsi="Times New Roman"/>
      <w:szCs w:val="20"/>
    </w:rPr>
  </w:style>
  <w:style w:type="paragraph" w:styleId="43">
    <w:name w:val="annotation subject"/>
    <w:basedOn w:val="20"/>
    <w:next w:val="20"/>
    <w:link w:val="60"/>
    <w:qFormat/>
    <w:uiPriority w:val="99"/>
    <w:rPr>
      <w:b/>
      <w:bCs/>
    </w:rPr>
  </w:style>
  <w:style w:type="character" w:styleId="46">
    <w:name w:val="page number"/>
    <w:qFormat/>
    <w:uiPriority w:val="0"/>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szCs w:val="21"/>
    </w:rPr>
  </w:style>
  <w:style w:type="character" w:customStyle="1" w:styleId="50">
    <w:name w:val="标题 1 字符"/>
    <w:link w:val="7"/>
    <w:qFormat/>
    <w:uiPriority w:val="9"/>
    <w:rPr>
      <w:rFonts w:ascii="Calibri" w:hAnsi="Calibri"/>
      <w:b/>
      <w:bCs/>
      <w:kern w:val="44"/>
      <w:sz w:val="44"/>
      <w:szCs w:val="44"/>
    </w:rPr>
  </w:style>
  <w:style w:type="character" w:customStyle="1" w:styleId="51">
    <w:name w:val="标题 2 字符"/>
    <w:link w:val="9"/>
    <w:semiHidden/>
    <w:qFormat/>
    <w:uiPriority w:val="9"/>
    <w:rPr>
      <w:rFonts w:ascii="Cambria" w:hAnsi="Cambria" w:eastAsia="宋体" w:cs="Times New Roman"/>
      <w:b/>
      <w:bCs/>
      <w:sz w:val="32"/>
      <w:szCs w:val="32"/>
    </w:rPr>
  </w:style>
  <w:style w:type="character" w:customStyle="1" w:styleId="52">
    <w:name w:val="标题 3 字符"/>
    <w:link w:val="10"/>
    <w:semiHidden/>
    <w:qFormat/>
    <w:uiPriority w:val="9"/>
    <w:rPr>
      <w:rFonts w:ascii="Calibri" w:hAnsi="Calibri"/>
      <w:b/>
      <w:bCs/>
      <w:sz w:val="32"/>
      <w:szCs w:val="32"/>
    </w:rPr>
  </w:style>
  <w:style w:type="character" w:customStyle="1" w:styleId="53">
    <w:name w:val="标题 4 字符"/>
    <w:link w:val="11"/>
    <w:semiHidden/>
    <w:qFormat/>
    <w:uiPriority w:val="9"/>
    <w:rPr>
      <w:rFonts w:ascii="Cambria" w:hAnsi="Cambria" w:eastAsia="宋体" w:cs="Times New Roman"/>
      <w:b/>
      <w:bCs/>
      <w:sz w:val="28"/>
      <w:szCs w:val="28"/>
    </w:rPr>
  </w:style>
  <w:style w:type="character" w:customStyle="1" w:styleId="54">
    <w:name w:val="标题 5 字符"/>
    <w:link w:val="12"/>
    <w:semiHidden/>
    <w:qFormat/>
    <w:uiPriority w:val="9"/>
    <w:rPr>
      <w:rFonts w:ascii="Calibri" w:hAnsi="Calibri"/>
      <w:b/>
      <w:bCs/>
      <w:sz w:val="28"/>
      <w:szCs w:val="28"/>
    </w:rPr>
  </w:style>
  <w:style w:type="character" w:customStyle="1" w:styleId="55">
    <w:name w:val="标题 6 字符"/>
    <w:link w:val="13"/>
    <w:semiHidden/>
    <w:qFormat/>
    <w:uiPriority w:val="9"/>
    <w:rPr>
      <w:rFonts w:ascii="Cambria" w:hAnsi="Cambria" w:eastAsia="宋体" w:cs="Times New Roman"/>
      <w:b/>
      <w:bCs/>
      <w:sz w:val="24"/>
      <w:szCs w:val="24"/>
    </w:rPr>
  </w:style>
  <w:style w:type="character" w:customStyle="1" w:styleId="56">
    <w:name w:val="标题 7 字符"/>
    <w:link w:val="14"/>
    <w:semiHidden/>
    <w:qFormat/>
    <w:uiPriority w:val="9"/>
    <w:rPr>
      <w:rFonts w:ascii="Calibri" w:hAnsi="Calibri"/>
      <w:b/>
      <w:bCs/>
      <w:sz w:val="24"/>
      <w:szCs w:val="24"/>
    </w:rPr>
  </w:style>
  <w:style w:type="character" w:customStyle="1" w:styleId="57">
    <w:name w:val="标题 8 字符"/>
    <w:link w:val="15"/>
    <w:semiHidden/>
    <w:qFormat/>
    <w:uiPriority w:val="9"/>
    <w:rPr>
      <w:rFonts w:ascii="Cambria" w:hAnsi="Cambria" w:eastAsia="宋体" w:cs="Times New Roman"/>
      <w:sz w:val="24"/>
      <w:szCs w:val="24"/>
    </w:rPr>
  </w:style>
  <w:style w:type="character" w:customStyle="1" w:styleId="58">
    <w:name w:val="标题 9 字符"/>
    <w:link w:val="16"/>
    <w:semiHidden/>
    <w:qFormat/>
    <w:uiPriority w:val="9"/>
    <w:rPr>
      <w:rFonts w:ascii="Cambria" w:hAnsi="Cambria" w:eastAsia="宋体" w:cs="Times New Roman"/>
      <w:szCs w:val="21"/>
    </w:rPr>
  </w:style>
  <w:style w:type="character" w:customStyle="1" w:styleId="59">
    <w:name w:val="批注文字 字符"/>
    <w:link w:val="20"/>
    <w:qFormat/>
    <w:uiPriority w:val="0"/>
    <w:rPr>
      <w:rFonts w:ascii="Calibri" w:hAnsi="Calibri"/>
    </w:rPr>
  </w:style>
  <w:style w:type="character" w:customStyle="1" w:styleId="60">
    <w:name w:val="批注主题 字符"/>
    <w:link w:val="43"/>
    <w:semiHidden/>
    <w:qFormat/>
    <w:uiPriority w:val="99"/>
    <w:rPr>
      <w:rFonts w:ascii="Calibri" w:hAnsi="Calibri"/>
      <w:b/>
      <w:bCs/>
    </w:rPr>
  </w:style>
  <w:style w:type="character" w:customStyle="1" w:styleId="61">
    <w:name w:val="正文文本 3 字符"/>
    <w:link w:val="21"/>
    <w:semiHidden/>
    <w:qFormat/>
    <w:uiPriority w:val="99"/>
    <w:rPr>
      <w:rFonts w:ascii="Calibri" w:hAnsi="Calibri"/>
      <w:sz w:val="16"/>
      <w:szCs w:val="16"/>
    </w:rPr>
  </w:style>
  <w:style w:type="character" w:customStyle="1" w:styleId="62">
    <w:name w:val="正文文本 字符"/>
    <w:link w:val="2"/>
    <w:semiHidden/>
    <w:qFormat/>
    <w:uiPriority w:val="99"/>
    <w:rPr>
      <w:rFonts w:ascii="Calibri" w:hAnsi="Calibri"/>
    </w:rPr>
  </w:style>
  <w:style w:type="character" w:customStyle="1" w:styleId="63">
    <w:name w:val="正文文本缩进 字符"/>
    <w:link w:val="6"/>
    <w:semiHidden/>
    <w:qFormat/>
    <w:uiPriority w:val="99"/>
    <w:rPr>
      <w:rFonts w:ascii="Calibri" w:hAnsi="Calibri"/>
    </w:rPr>
  </w:style>
  <w:style w:type="character" w:customStyle="1" w:styleId="64">
    <w:name w:val="纯文本 字符"/>
    <w:link w:val="24"/>
    <w:semiHidden/>
    <w:qFormat/>
    <w:uiPriority w:val="99"/>
    <w:rPr>
      <w:rFonts w:ascii="宋体" w:hAnsi="Courier New" w:cs="Courier New"/>
      <w:szCs w:val="21"/>
    </w:rPr>
  </w:style>
  <w:style w:type="character" w:customStyle="1" w:styleId="65">
    <w:name w:val="日期 字符"/>
    <w:link w:val="25"/>
    <w:semiHidden/>
    <w:qFormat/>
    <w:uiPriority w:val="99"/>
    <w:rPr>
      <w:rFonts w:ascii="Calibri" w:hAnsi="Calibri"/>
    </w:rPr>
  </w:style>
  <w:style w:type="character" w:customStyle="1" w:styleId="66">
    <w:name w:val="正文文本缩进 2 字符"/>
    <w:link w:val="26"/>
    <w:semiHidden/>
    <w:qFormat/>
    <w:uiPriority w:val="99"/>
    <w:rPr>
      <w:rFonts w:ascii="Calibri" w:hAnsi="Calibri"/>
    </w:rPr>
  </w:style>
  <w:style w:type="character" w:customStyle="1" w:styleId="67">
    <w:name w:val="批注框文本 字符"/>
    <w:link w:val="28"/>
    <w:semiHidden/>
    <w:qFormat/>
    <w:uiPriority w:val="99"/>
    <w:rPr>
      <w:rFonts w:ascii="Calibri" w:hAnsi="Calibri"/>
      <w:sz w:val="0"/>
      <w:szCs w:val="0"/>
    </w:rPr>
  </w:style>
  <w:style w:type="character" w:customStyle="1" w:styleId="68">
    <w:name w:val="页脚 字符"/>
    <w:link w:val="29"/>
    <w:qFormat/>
    <w:uiPriority w:val="99"/>
    <w:rPr>
      <w:rFonts w:ascii="Calibri" w:hAnsi="Calibri"/>
      <w:sz w:val="18"/>
      <w:szCs w:val="18"/>
    </w:rPr>
  </w:style>
  <w:style w:type="character" w:customStyle="1" w:styleId="69">
    <w:name w:val="页眉 字符"/>
    <w:link w:val="30"/>
    <w:semiHidden/>
    <w:qFormat/>
    <w:uiPriority w:val="99"/>
    <w:rPr>
      <w:rFonts w:ascii="Calibri" w:hAnsi="Calibri"/>
      <w:sz w:val="18"/>
      <w:szCs w:val="18"/>
    </w:rPr>
  </w:style>
  <w:style w:type="character" w:customStyle="1" w:styleId="70">
    <w:name w:val="脚注文本 字符"/>
    <w:link w:val="34"/>
    <w:semiHidden/>
    <w:qFormat/>
    <w:uiPriority w:val="99"/>
    <w:rPr>
      <w:rFonts w:ascii="Calibri" w:hAnsi="Calibri"/>
      <w:sz w:val="18"/>
      <w:szCs w:val="18"/>
    </w:rPr>
  </w:style>
  <w:style w:type="character" w:customStyle="1" w:styleId="71">
    <w:name w:val="正文文本缩进 3 字符"/>
    <w:link w:val="36"/>
    <w:semiHidden/>
    <w:qFormat/>
    <w:uiPriority w:val="99"/>
    <w:rPr>
      <w:rFonts w:ascii="Calibri" w:hAnsi="Calibri"/>
      <w:sz w:val="16"/>
      <w:szCs w:val="16"/>
    </w:rPr>
  </w:style>
  <w:style w:type="character" w:customStyle="1" w:styleId="72">
    <w:name w:val="正文文本 2 字符"/>
    <w:link w:val="38"/>
    <w:semiHidden/>
    <w:qFormat/>
    <w:uiPriority w:val="99"/>
    <w:rPr>
      <w:rFonts w:ascii="Calibri" w:hAnsi="Calibri"/>
    </w:rPr>
  </w:style>
  <w:style w:type="paragraph" w:customStyle="1" w:styleId="73">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4">
    <w:name w:val="简单回函地址"/>
    <w:basedOn w:val="1"/>
    <w:qFormat/>
    <w:uiPriority w:val="99"/>
    <w:rPr>
      <w:rFonts w:ascii="Times New Roman" w:hAnsi="Times New Roman"/>
      <w:szCs w:val="20"/>
    </w:rPr>
  </w:style>
  <w:style w:type="paragraph" w:customStyle="1" w:styleId="75">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6">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77">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78">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79">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1">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2">
    <w:name w:val="正文内容"/>
    <w:basedOn w:val="1"/>
    <w:qFormat/>
    <w:uiPriority w:val="99"/>
    <w:pPr>
      <w:widowControl/>
      <w:jc w:val="left"/>
    </w:pPr>
    <w:rPr>
      <w:rFonts w:ascii="宋体" w:cs="宋体"/>
      <w:kern w:val="0"/>
      <w:sz w:val="28"/>
      <w:szCs w:val="24"/>
    </w:rPr>
  </w:style>
  <w:style w:type="paragraph" w:customStyle="1" w:styleId="83">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4">
    <w:name w:val="_Style 6"/>
    <w:basedOn w:val="1"/>
    <w:qFormat/>
    <w:uiPriority w:val="99"/>
    <w:pPr>
      <w:adjustRightInd w:val="0"/>
      <w:spacing w:line="360" w:lineRule="atLeast"/>
    </w:pPr>
    <w:rPr>
      <w:rFonts w:ascii="Times New Roman" w:hAnsi="Times New Roman"/>
      <w:szCs w:val="24"/>
    </w:rPr>
  </w:style>
  <w:style w:type="paragraph" w:customStyle="1" w:styleId="85">
    <w:name w:val="p0"/>
    <w:basedOn w:val="1"/>
    <w:qFormat/>
    <w:uiPriority w:val="99"/>
    <w:pPr>
      <w:widowControl/>
    </w:pPr>
    <w:rPr>
      <w:rFonts w:ascii="Times New Roman" w:hAnsi="Times New Roman"/>
      <w:kern w:val="0"/>
      <w:szCs w:val="21"/>
    </w:rPr>
  </w:style>
  <w:style w:type="character" w:customStyle="1" w:styleId="86">
    <w:name w:val="1051"/>
    <w:qFormat/>
    <w:uiPriority w:val="99"/>
    <w:rPr>
      <w:rFonts w:cs="Times New Roman"/>
      <w:sz w:val="21"/>
      <w:szCs w:val="21"/>
    </w:rPr>
  </w:style>
  <w:style w:type="character" w:customStyle="1" w:styleId="87">
    <w:name w:val="ca-10"/>
    <w:basedOn w:val="45"/>
    <w:qFormat/>
    <w:uiPriority w:val="0"/>
  </w:style>
  <w:style w:type="character" w:customStyle="1" w:styleId="88">
    <w:name w:val="ca-12"/>
    <w:basedOn w:val="45"/>
    <w:qFormat/>
    <w:uiPriority w:val="0"/>
  </w:style>
  <w:style w:type="paragraph" w:customStyle="1" w:styleId="89">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90">
    <w:name w:val="页眉 Char"/>
    <w:qFormat/>
    <w:uiPriority w:val="0"/>
    <w:rPr>
      <w:sz w:val="18"/>
      <w:szCs w:val="18"/>
    </w:rPr>
  </w:style>
  <w:style w:type="character" w:customStyle="1" w:styleId="91">
    <w:name w:val="页脚 Char"/>
    <w:qFormat/>
    <w:uiPriority w:val="0"/>
    <w:rPr>
      <w:sz w:val="18"/>
      <w:szCs w:val="18"/>
    </w:rPr>
  </w:style>
  <w:style w:type="character" w:customStyle="1" w:styleId="92">
    <w:name w:val="font61"/>
    <w:basedOn w:val="45"/>
    <w:uiPriority w:val="0"/>
    <w:rPr>
      <w:rFonts w:hint="eastAsia" w:ascii="宋体" w:hAnsi="宋体" w:eastAsia="宋体" w:cs="宋体"/>
      <w:color w:val="000000"/>
      <w:sz w:val="20"/>
      <w:szCs w:val="20"/>
      <w:u w:val="none"/>
    </w:rPr>
  </w:style>
  <w:style w:type="character" w:customStyle="1" w:styleId="93">
    <w:name w:val="font21"/>
    <w:basedOn w:val="45"/>
    <w:uiPriority w:val="0"/>
    <w:rPr>
      <w:rFonts w:hint="default" w:ascii="Arial" w:hAnsi="Arial" w:cs="Arial"/>
      <w:color w:val="000000"/>
      <w:sz w:val="20"/>
      <w:szCs w:val="20"/>
      <w:u w:val="none"/>
    </w:rPr>
  </w:style>
  <w:style w:type="character" w:customStyle="1" w:styleId="94">
    <w:name w:val="font41"/>
    <w:basedOn w:val="45"/>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4066</Words>
  <Characters>23178</Characters>
  <Lines>193</Lines>
  <Paragraphs>54</Paragraphs>
  <TotalTime>2</TotalTime>
  <ScaleCrop>false</ScaleCrop>
  <LinksUpToDate>false</LinksUpToDate>
  <CharactersWithSpaces>27190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DD</cp:lastModifiedBy>
  <cp:lastPrinted>2021-08-18T09:17:00Z</cp:lastPrinted>
  <dcterms:modified xsi:type="dcterms:W3CDTF">2021-09-16T07:44:21Z</dcterms:modified>
  <dc:title>洛</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1C62AE6713BA4E0BA1716C286808A81A</vt:lpwstr>
  </property>
</Properties>
</file>