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1135" w:firstLineChars="245"/>
        <w:rPr>
          <w:rFonts w:ascii="宋体" w:hAnsi="宋体"/>
          <w:b/>
          <w:bCs/>
          <w:sz w:val="48"/>
          <w:szCs w:val="28"/>
        </w:rPr>
      </w:pPr>
    </w:p>
    <w:p>
      <w:pPr>
        <w:spacing w:line="580" w:lineRule="exact"/>
        <w:ind w:firstLine="1135" w:firstLineChars="245"/>
        <w:rPr>
          <w:rFonts w:ascii="宋体" w:hAnsi="宋体"/>
          <w:b/>
          <w:bCs/>
          <w:sz w:val="48"/>
          <w:szCs w:val="28"/>
        </w:rPr>
      </w:pPr>
    </w:p>
    <w:p>
      <w:pPr>
        <w:spacing w:line="360" w:lineRule="auto"/>
        <w:ind w:firstLine="1852" w:firstLineChars="400"/>
        <w:rPr>
          <w:rFonts w:ascii="宋体" w:hAnsi="宋体" w:cs="宋体"/>
          <w:b/>
          <w:sz w:val="52"/>
          <w:szCs w:val="52"/>
        </w:rPr>
      </w:pPr>
      <w:r>
        <w:rPr>
          <w:rFonts w:hint="eastAsia" w:ascii="宋体" w:hAnsi="宋体"/>
          <w:b/>
          <w:bCs/>
          <w:sz w:val="48"/>
          <w:szCs w:val="28"/>
        </w:rPr>
        <w:t xml:space="preserve">   </w:t>
      </w:r>
      <w:r>
        <w:rPr>
          <w:rFonts w:ascii="宋体" w:hAnsi="宋体"/>
          <w:b/>
          <w:bCs/>
          <w:sz w:val="48"/>
          <w:szCs w:val="28"/>
        </w:rPr>
        <w:t xml:space="preserve">    </w:t>
      </w:r>
    </w:p>
    <w:p>
      <w:pPr>
        <w:spacing w:line="360" w:lineRule="auto"/>
        <w:ind w:firstLine="1006" w:firstLineChars="200"/>
        <w:rPr>
          <w:rFonts w:ascii="宋体" w:hAnsi="宋体" w:cs="宋体"/>
          <w:b/>
          <w:sz w:val="52"/>
          <w:szCs w:val="52"/>
        </w:rPr>
      </w:pPr>
      <w:bookmarkStart w:id="0" w:name="_GoBack"/>
      <w:bookmarkEnd w:id="0"/>
      <w:r>
        <w:rPr>
          <w:rFonts w:hint="eastAsia" w:ascii="宋体" w:hAnsi="宋体" w:cs="宋体"/>
          <w:b/>
          <w:sz w:val="52"/>
          <w:szCs w:val="52"/>
          <w:lang w:val="en-US" w:eastAsia="zh-CN"/>
        </w:rPr>
        <w:t>开元壹号62地块一期开关插座面板</w:t>
      </w:r>
      <w:r>
        <w:rPr>
          <w:rFonts w:hint="eastAsia" w:ascii="宋体" w:hAnsi="宋体" w:cs="宋体"/>
          <w:b/>
          <w:sz w:val="52"/>
          <w:szCs w:val="52"/>
        </w:rPr>
        <w:t xml:space="preserve">      </w:t>
      </w:r>
    </w:p>
    <w:p>
      <w:pPr>
        <w:spacing w:line="360" w:lineRule="auto"/>
        <w:rPr>
          <w:rFonts w:ascii="宋体" w:hAnsi="宋体" w:cs="宋体"/>
          <w:b/>
          <w:sz w:val="52"/>
          <w:szCs w:val="52"/>
        </w:rPr>
      </w:pPr>
      <w:r>
        <w:rPr>
          <w:rFonts w:hint="eastAsia" w:ascii="宋体" w:hAnsi="宋体" w:cs="宋体"/>
          <w:b/>
          <w:sz w:val="52"/>
          <w:szCs w:val="52"/>
        </w:rPr>
        <w:t xml:space="preserve">               </w:t>
      </w:r>
      <w:r>
        <w:rPr>
          <w:rFonts w:ascii="宋体" w:hAnsi="宋体" w:cs="宋体"/>
          <w:b/>
          <w:sz w:val="52"/>
          <w:szCs w:val="52"/>
        </w:rPr>
        <w:t xml:space="preserve"> </w:t>
      </w:r>
      <w:r>
        <w:rPr>
          <w:rFonts w:hint="eastAsia" w:ascii="宋体" w:hAnsi="宋体" w:cs="宋体"/>
          <w:b/>
          <w:sz w:val="52"/>
          <w:szCs w:val="52"/>
        </w:rPr>
        <w:t>供货合同</w:t>
      </w:r>
    </w:p>
    <w:p>
      <w:pPr>
        <w:spacing w:line="360" w:lineRule="auto"/>
        <w:jc w:val="center"/>
        <w:rPr>
          <w:rFonts w:ascii="宋体" w:hAnsi="宋体" w:cs="宋体"/>
          <w:b/>
          <w:sz w:val="52"/>
          <w:szCs w:val="52"/>
        </w:rPr>
      </w:pPr>
    </w:p>
    <w:p>
      <w:pPr>
        <w:rPr>
          <w:rFonts w:ascii="宋体" w:hAnsi="宋体" w:cs="宋体"/>
          <w:b/>
          <w:sz w:val="32"/>
          <w:szCs w:val="32"/>
        </w:rPr>
      </w:pPr>
      <w:r>
        <w:rPr>
          <w:rFonts w:hint="eastAsia" w:ascii="宋体" w:hAnsi="宋体" w:cs="宋体"/>
          <w:b/>
          <w:sz w:val="32"/>
          <w:szCs w:val="32"/>
        </w:rPr>
        <w:t xml:space="preserve">      </w:t>
      </w: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r>
        <w:rPr>
          <w:rFonts w:hint="eastAsia" w:ascii="宋体" w:hAnsi="宋体" w:cs="宋体"/>
          <w:b/>
          <w:sz w:val="32"/>
          <w:szCs w:val="32"/>
        </w:rPr>
        <w:t xml:space="preserve">            成本代码：3.2.1.2</w:t>
      </w:r>
    </w:p>
    <w:p>
      <w:pPr>
        <w:rPr>
          <w:rFonts w:ascii="宋体" w:hAnsi="宋体" w:cs="宋体"/>
          <w:b/>
          <w:sz w:val="32"/>
          <w:szCs w:val="32"/>
        </w:rPr>
      </w:pPr>
      <w:r>
        <w:rPr>
          <w:rFonts w:hint="eastAsia" w:ascii="宋体" w:hAnsi="宋体" w:cs="宋体"/>
          <w:b/>
          <w:sz w:val="32"/>
          <w:szCs w:val="32"/>
        </w:rPr>
        <w:t xml:space="preserve">            合同编号：KYYH.62-JA-106</w:t>
      </w:r>
    </w:p>
    <w:p>
      <w:pPr>
        <w:ind w:firstLine="909" w:firstLineChars="300"/>
        <w:rPr>
          <w:rFonts w:ascii="宋体" w:hAnsi="宋体" w:cs="宋体"/>
          <w:b/>
          <w:sz w:val="32"/>
          <w:szCs w:val="32"/>
        </w:rPr>
      </w:pPr>
      <w:r>
        <w:rPr>
          <w:rFonts w:hint="eastAsia" w:ascii="宋体" w:hAnsi="宋体" w:cs="宋体"/>
          <w:b/>
          <w:sz w:val="32"/>
          <w:szCs w:val="32"/>
        </w:rPr>
        <w:t xml:space="preserve">      </w:t>
      </w:r>
    </w:p>
    <w:p>
      <w:pPr>
        <w:ind w:firstLine="1818" w:firstLineChars="600"/>
        <w:rPr>
          <w:rFonts w:ascii="宋体" w:hAnsi="宋体" w:cs="宋体"/>
          <w:b/>
          <w:sz w:val="32"/>
          <w:szCs w:val="32"/>
        </w:rPr>
      </w:pPr>
    </w:p>
    <w:p>
      <w:pPr>
        <w:ind w:firstLine="1818" w:firstLineChars="600"/>
        <w:rPr>
          <w:rFonts w:ascii="宋体" w:hAnsi="宋体" w:cs="宋体"/>
          <w:b/>
          <w:sz w:val="32"/>
          <w:szCs w:val="32"/>
        </w:rPr>
      </w:pPr>
    </w:p>
    <w:p>
      <w:pPr>
        <w:ind w:firstLine="1818" w:firstLineChars="600"/>
        <w:rPr>
          <w:rFonts w:ascii="宋体" w:hAnsi="宋体" w:cs="宋体"/>
          <w:b/>
          <w:sz w:val="32"/>
          <w:szCs w:val="32"/>
        </w:rPr>
      </w:pPr>
      <w:r>
        <w:rPr>
          <w:rFonts w:hint="eastAsia" w:ascii="宋体" w:hAnsi="宋体" w:cs="宋体"/>
          <w:b/>
          <w:sz w:val="32"/>
          <w:szCs w:val="32"/>
        </w:rPr>
        <w:t xml:space="preserve">甲    方: 洛阳浩德鑫置地有限公司           </w:t>
      </w:r>
    </w:p>
    <w:p>
      <w:pPr>
        <w:ind w:firstLine="909" w:firstLineChars="300"/>
        <w:rPr>
          <w:rFonts w:ascii="宋体" w:hAnsi="宋体" w:cs="宋体"/>
          <w:b/>
          <w:sz w:val="32"/>
          <w:szCs w:val="32"/>
        </w:rPr>
      </w:pPr>
      <w:r>
        <w:rPr>
          <w:rFonts w:hint="eastAsia" w:ascii="宋体" w:hAnsi="宋体" w:cs="宋体"/>
          <w:b/>
          <w:sz w:val="32"/>
          <w:szCs w:val="32"/>
        </w:rPr>
        <w:t xml:space="preserve">      乙    方: </w:t>
      </w:r>
      <w:r>
        <w:rPr>
          <w:rFonts w:hint="eastAsia" w:ascii="宋体" w:hAnsi="宋体" w:eastAsia="宋体" w:cs="宋体"/>
          <w:b/>
          <w:sz w:val="32"/>
          <w:szCs w:val="32"/>
        </w:rPr>
        <w:t xml:space="preserve">河南艾思普特商贸有限公司 </w:t>
      </w:r>
      <w:r>
        <w:rPr>
          <w:rFonts w:hint="eastAsia" w:ascii="宋体" w:hAnsi="宋体" w:cs="宋体"/>
          <w:b/>
          <w:sz w:val="32"/>
          <w:szCs w:val="32"/>
        </w:rPr>
        <w:t xml:space="preserve"> </w:t>
      </w:r>
    </w:p>
    <w:p>
      <w:pPr>
        <w:ind w:firstLine="1818" w:firstLineChars="600"/>
        <w:rPr>
          <w:rFonts w:hint="eastAsia" w:ascii="宋体" w:hAnsi="宋体" w:eastAsia="宋体" w:cs="宋体"/>
          <w:b/>
          <w:sz w:val="32"/>
          <w:szCs w:val="32"/>
          <w:lang w:eastAsia="zh-CN"/>
        </w:rPr>
        <w:sectPr>
          <w:headerReference r:id="rId3" w:type="default"/>
          <w:footerReference r:id="rId4" w:type="default"/>
          <w:footerReference r:id="rId5" w:type="even"/>
          <w:pgSz w:w="11906" w:h="16838"/>
          <w:pgMar w:top="1440" w:right="1080" w:bottom="1440" w:left="1080" w:header="851" w:footer="992" w:gutter="0"/>
          <w:pgNumType w:fmt="decimal"/>
          <w:cols w:space="720" w:num="1"/>
          <w:docGrid w:type="linesAndChars" w:linePitch="312" w:charSpace="-3486"/>
        </w:sectPr>
      </w:pPr>
      <w:r>
        <w:rPr>
          <w:rFonts w:hint="eastAsia" w:ascii="宋体" w:hAnsi="宋体" w:cs="宋体"/>
          <w:b/>
          <w:sz w:val="32"/>
          <w:szCs w:val="32"/>
        </w:rPr>
        <w:t>签订日期: 202</w:t>
      </w:r>
      <w:r>
        <w:rPr>
          <w:rFonts w:ascii="宋体" w:hAnsi="宋体" w:cs="宋体"/>
          <w:b/>
          <w:sz w:val="32"/>
          <w:szCs w:val="32"/>
        </w:rPr>
        <w:t>1</w:t>
      </w:r>
      <w:r>
        <w:rPr>
          <w:rFonts w:hint="eastAsia" w:ascii="宋体" w:hAnsi="宋体" w:cs="宋体"/>
          <w:b/>
          <w:sz w:val="32"/>
          <w:szCs w:val="32"/>
        </w:rPr>
        <w:t>年</w:t>
      </w:r>
      <w:r>
        <w:rPr>
          <w:rFonts w:hint="eastAsia" w:ascii="宋体" w:hAnsi="宋体" w:cs="宋体"/>
          <w:b/>
          <w:sz w:val="32"/>
          <w:szCs w:val="32"/>
          <w:lang w:val="en-US" w:eastAsia="zh-CN"/>
        </w:rPr>
        <w:t>10</w:t>
      </w:r>
      <w:r>
        <w:rPr>
          <w:rFonts w:hint="eastAsia" w:ascii="宋体" w:hAnsi="宋体" w:cs="宋体"/>
          <w:b/>
          <w:sz w:val="32"/>
          <w:szCs w:val="32"/>
        </w:rPr>
        <w:t>月</w:t>
      </w:r>
      <w:r>
        <w:rPr>
          <w:rFonts w:hint="eastAsia" w:ascii="宋体" w:hAnsi="宋体" w:cs="宋体"/>
          <w:b/>
          <w:sz w:val="32"/>
          <w:szCs w:val="32"/>
          <w:lang w:val="en-US" w:eastAsia="zh-CN"/>
        </w:rPr>
        <w:t xml:space="preserve"> 日</w:t>
      </w:r>
    </w:p>
    <w:p>
      <w:pPr>
        <w:spacing w:line="360" w:lineRule="auto"/>
        <w:jc w:val="center"/>
        <w:rPr>
          <w:rFonts w:ascii="宋体" w:hAnsi="宋体" w:cs="宋体"/>
          <w:b/>
          <w:sz w:val="36"/>
          <w:szCs w:val="36"/>
        </w:rPr>
      </w:pPr>
      <w:r>
        <w:rPr>
          <w:rFonts w:hint="eastAsia" w:ascii="宋体" w:hAnsi="宋体" w:cs="宋体"/>
          <w:b/>
          <w:sz w:val="36"/>
          <w:szCs w:val="36"/>
          <w:lang w:val="en-US" w:eastAsia="zh-CN"/>
        </w:rPr>
        <w:t>开元壹号62地块一期开关插座面板</w:t>
      </w:r>
      <w:r>
        <w:rPr>
          <w:rFonts w:hint="eastAsia" w:ascii="宋体" w:hAnsi="宋体" w:cs="宋体"/>
          <w:b/>
          <w:sz w:val="36"/>
          <w:szCs w:val="36"/>
        </w:rPr>
        <w:t>供货合同</w:t>
      </w:r>
    </w:p>
    <w:p>
      <w:pPr>
        <w:spacing w:line="360" w:lineRule="auto"/>
        <w:rPr>
          <w:rFonts w:ascii="宋体" w:hAnsi="宋体" w:cs="宋体"/>
          <w:sz w:val="24"/>
        </w:rPr>
      </w:pP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甲方（需方）：</w:t>
      </w:r>
      <w:r>
        <w:rPr>
          <w:rFonts w:hint="eastAsia" w:asciiTheme="minorEastAsia" w:hAnsiTheme="minorEastAsia" w:eastAsiaTheme="minorEastAsia" w:cstheme="minorEastAsia"/>
          <w:spacing w:val="-2"/>
          <w:sz w:val="24"/>
          <w:szCs w:val="24"/>
          <w:u w:val="single"/>
        </w:rPr>
        <w:t>洛阳浩德鑫置地有限公司</w:t>
      </w:r>
    </w:p>
    <w:p>
      <w:pPr>
        <w:tabs>
          <w:tab w:val="left" w:pos="840"/>
        </w:tabs>
        <w:snapToGrid w:val="0"/>
        <w:spacing w:line="360" w:lineRule="auto"/>
        <w:rPr>
          <w:rFonts w:hint="eastAsia" w:asciiTheme="minorEastAsia" w:hAnsiTheme="minorEastAsia" w:eastAsiaTheme="minorEastAsia" w:cstheme="minorEastAsia"/>
          <w:spacing w:val="-1"/>
          <w:sz w:val="24"/>
          <w:szCs w:val="24"/>
          <w:u w:val="single"/>
        </w:rPr>
      </w:pPr>
      <w:r>
        <w:rPr>
          <w:rFonts w:hint="eastAsia" w:asciiTheme="minorEastAsia" w:hAnsiTheme="minorEastAsia" w:eastAsiaTheme="minorEastAsia" w:cstheme="minorEastAsia"/>
          <w:spacing w:val="-1"/>
          <w:sz w:val="24"/>
          <w:szCs w:val="24"/>
        </w:rPr>
        <w:t>乙方（供方）：</w:t>
      </w:r>
      <w:r>
        <w:rPr>
          <w:rFonts w:hint="eastAsia" w:asciiTheme="minorEastAsia" w:hAnsiTheme="minorEastAsia" w:eastAsiaTheme="minorEastAsia" w:cstheme="minorEastAsia"/>
          <w:bCs/>
          <w:color w:val="auto"/>
          <w:sz w:val="24"/>
          <w:szCs w:val="24"/>
          <w:u w:val="single"/>
        </w:rPr>
        <w:t>河南艾思普特商贸有限公司</w:t>
      </w:r>
    </w:p>
    <w:p>
      <w:pPr>
        <w:spacing w:line="360" w:lineRule="auto"/>
        <w:ind w:firstLine="44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rPr>
          <w:rFonts w:ascii="宋体" w:hAnsi="宋体" w:cs="宋体"/>
          <w:sz w:val="24"/>
        </w:rPr>
      </w:pPr>
      <w:r>
        <w:rPr>
          <w:rFonts w:hint="eastAsia" w:ascii="宋体" w:hAnsi="宋体" w:cs="宋体"/>
          <w:b/>
          <w:bCs/>
          <w:sz w:val="24"/>
        </w:rPr>
        <w:t>一、材料名称、规格、品牌、数量、金额</w:t>
      </w:r>
    </w:p>
    <w:p>
      <w:pPr>
        <w:spacing w:line="360" w:lineRule="auto"/>
        <w:ind w:firstLine="494" w:firstLineChars="200"/>
        <w:jc w:val="left"/>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pacing w:val="12"/>
          <w:kern w:val="1"/>
          <w:sz w:val="24"/>
          <w:szCs w:val="24"/>
        </w:rPr>
        <w:t>工程范围：</w:t>
      </w:r>
      <w:r>
        <w:rPr>
          <w:rFonts w:hint="eastAsia" w:asciiTheme="minorEastAsia" w:hAnsiTheme="minorEastAsia" w:eastAsiaTheme="minorEastAsia" w:cstheme="minorEastAsia"/>
          <w:spacing w:val="12"/>
          <w:kern w:val="1"/>
          <w:sz w:val="24"/>
          <w:szCs w:val="24"/>
          <w:lang w:val="en-US" w:eastAsia="zh-CN"/>
        </w:rPr>
        <w:t>开元壹号62地块一期开关插座面板供货</w:t>
      </w:r>
      <w:r>
        <w:rPr>
          <w:rFonts w:hint="eastAsia" w:asciiTheme="minorEastAsia" w:hAnsiTheme="minorEastAsia" w:eastAsiaTheme="minorEastAsia" w:cstheme="minorEastAsia"/>
          <w:snapToGrid w:val="0"/>
          <w:kern w:val="0"/>
          <w:sz w:val="24"/>
          <w:szCs w:val="24"/>
        </w:rPr>
        <w:t>合同清单量为暂定量，</w:t>
      </w:r>
      <w:r>
        <w:rPr>
          <w:rFonts w:hint="eastAsia" w:asciiTheme="minorEastAsia" w:hAnsiTheme="minorEastAsia" w:eastAsiaTheme="minorEastAsia" w:cstheme="minorEastAsia"/>
          <w:sz w:val="24"/>
          <w:szCs w:val="24"/>
        </w:rPr>
        <w:t>详见附件</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《工程量清单计价表》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napToGrid w:val="0"/>
          <w:kern w:val="0"/>
          <w:sz w:val="24"/>
          <w:szCs w:val="24"/>
        </w:rPr>
        <w:t>乙方每次供货时需向甲方书面确认。需按施工方每次申报的规格型号、数量并经甲方工程部确认后的书面确认单进行安排供货。</w:t>
      </w:r>
    </w:p>
    <w:p>
      <w:pPr>
        <w:spacing w:line="360" w:lineRule="auto"/>
        <w:rPr>
          <w:rFonts w:cs="宋体" w:asciiTheme="minorEastAsia" w:hAnsiTheme="minorEastAsia" w:eastAsiaTheme="minorEastAsia"/>
          <w:b/>
          <w:bCs/>
          <w:sz w:val="24"/>
          <w:szCs w:val="22"/>
        </w:rPr>
      </w:pPr>
      <w:r>
        <w:rPr>
          <w:rFonts w:hint="eastAsia" w:cs="宋体" w:asciiTheme="minorEastAsia" w:hAnsiTheme="minorEastAsia" w:eastAsiaTheme="minorEastAsia"/>
          <w:b/>
          <w:bCs/>
          <w:sz w:val="24"/>
          <w:szCs w:val="22"/>
        </w:rPr>
        <w:t>二、合同价款</w:t>
      </w:r>
    </w:p>
    <w:p>
      <w:pPr>
        <w:keepNext w:val="0"/>
        <w:keepLines w:val="0"/>
        <w:pageBreakBefore w:val="0"/>
        <w:widowControl w:val="0"/>
        <w:kinsoku w:val="0"/>
        <w:wordWrap/>
        <w:overflowPunct w:val="0"/>
        <w:topLinePunct w:val="0"/>
        <w:autoSpaceDE w:val="0"/>
        <w:autoSpaceDN w:val="0"/>
        <w:bidi w:val="0"/>
        <w:adjustRightInd/>
        <w:snapToGrid/>
        <w:spacing w:line="360" w:lineRule="auto"/>
        <w:ind w:firstLine="44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本合同为固定单价合同，暂定总价</w:t>
      </w:r>
      <w:r>
        <w:rPr>
          <w:rFonts w:hint="eastAsia" w:asciiTheme="minorEastAsia" w:hAnsiTheme="minorEastAsia" w:eastAsiaTheme="minorEastAsia" w:cstheme="minorEastAsia"/>
          <w:position w:val="-2"/>
          <w:sz w:val="24"/>
          <w:szCs w:val="24"/>
        </w:rPr>
        <w:t>为人民币金额（大写</w:t>
      </w:r>
      <w:r>
        <w:rPr>
          <w:rFonts w:hint="eastAsia" w:asciiTheme="minorEastAsia" w:hAnsiTheme="minorEastAsia" w:eastAsiaTheme="minorEastAsia" w:cstheme="minorEastAsia"/>
          <w:kern w:val="2"/>
          <w:sz w:val="24"/>
          <w:szCs w:val="24"/>
        </w:rPr>
        <w:t>）</w:t>
      </w:r>
      <w:r>
        <w:rPr>
          <w:rFonts w:hint="eastAsia" w:asciiTheme="minorEastAsia" w:hAnsiTheme="minorEastAsia" w:eastAsiaTheme="minorEastAsia" w:cstheme="minorEastAsia"/>
          <w:b/>
          <w:bCs/>
          <w:i w:val="0"/>
          <w:iCs w:val="0"/>
          <w:sz w:val="24"/>
          <w:u w:val="single"/>
          <w:lang w:val="en-US" w:eastAsia="zh-CN"/>
        </w:rPr>
        <w:t>贰拾捌万贰仟叁佰玖拾柒元陆角伍分</w:t>
      </w:r>
      <w:r>
        <w:rPr>
          <w:rFonts w:hint="eastAsia" w:asciiTheme="minorEastAsia" w:hAnsiTheme="minorEastAsia" w:eastAsiaTheme="minorEastAsia" w:cstheme="minorEastAsia"/>
          <w:position w:val="-2"/>
          <w:sz w:val="24"/>
          <w:szCs w:val="24"/>
        </w:rPr>
        <w:t>（人民币小写</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sz w:val="24"/>
          <w:u w:val="single"/>
          <w:lang w:val="en-US" w:eastAsia="zh-CN"/>
        </w:rPr>
        <w:t>282397.65</w:t>
      </w:r>
      <w:r>
        <w:rPr>
          <w:rFonts w:hint="eastAsia" w:asciiTheme="minorEastAsia" w:hAnsiTheme="minorEastAsia" w:eastAsiaTheme="minorEastAsia" w:cstheme="minorEastAsia"/>
          <w:sz w:val="24"/>
        </w:rPr>
        <w:t>元），上述金额为含税价格。其中，不含税金额为人民币金额（大写）</w:t>
      </w:r>
      <w:r>
        <w:rPr>
          <w:rFonts w:hint="eastAsia" w:asciiTheme="minorEastAsia" w:hAnsiTheme="minorEastAsia" w:eastAsiaTheme="minorEastAsia" w:cstheme="minorEastAsia"/>
          <w:b/>
          <w:sz w:val="24"/>
          <w:highlight w:val="none"/>
          <w:u w:val="single"/>
          <w:lang w:val="en-US" w:eastAsia="zh-CN"/>
        </w:rPr>
        <w:t>贰拾肆万玖仟玖佰零玖元肆角贰分</w:t>
      </w:r>
      <w:r>
        <w:rPr>
          <w:rFonts w:hint="eastAsia" w:asciiTheme="minorEastAsia" w:hAnsiTheme="minorEastAsia" w:eastAsiaTheme="minorEastAsia" w:cstheme="minorEastAsia"/>
          <w:sz w:val="24"/>
          <w:highlight w:val="none"/>
        </w:rPr>
        <w:t>（人民币小写：</w:t>
      </w:r>
      <w:r>
        <w:rPr>
          <w:rFonts w:hint="eastAsia" w:asciiTheme="minorEastAsia" w:hAnsiTheme="minorEastAsia" w:eastAsiaTheme="minorEastAsia" w:cstheme="minorEastAsia"/>
          <w:b/>
          <w:sz w:val="24"/>
          <w:highlight w:val="none"/>
          <w:u w:val="single"/>
          <w:lang w:val="en-US" w:eastAsia="zh-CN"/>
        </w:rPr>
        <w:t>249909.42</w:t>
      </w:r>
      <w:r>
        <w:rPr>
          <w:rFonts w:hint="eastAsia" w:asciiTheme="minorEastAsia" w:hAnsiTheme="minorEastAsia" w:eastAsiaTheme="minorEastAsia" w:cstheme="minorEastAsia"/>
          <w:sz w:val="24"/>
          <w:highlight w:val="none"/>
        </w:rPr>
        <w:t>元），增值税率为【</w:t>
      </w:r>
      <w:r>
        <w:rPr>
          <w:rFonts w:hint="eastAsia" w:asciiTheme="minorEastAsia" w:hAnsiTheme="minorEastAsia" w:eastAsiaTheme="minorEastAsia" w:cstheme="minorEastAsia"/>
          <w:sz w:val="24"/>
          <w:highlight w:val="none"/>
          <w:lang w:val="en-US" w:eastAsia="zh-CN"/>
        </w:rPr>
        <w:t>13</w:t>
      </w:r>
      <w:r>
        <w:rPr>
          <w:rFonts w:hint="eastAsia" w:asciiTheme="minorEastAsia" w:hAnsiTheme="minorEastAsia" w:eastAsiaTheme="minorEastAsia" w:cstheme="minorEastAsia"/>
          <w:sz w:val="24"/>
          <w:highlight w:val="none"/>
        </w:rPr>
        <w:t>】%，税款为人民币金额（大写）</w:t>
      </w:r>
      <w:r>
        <w:rPr>
          <w:rFonts w:hint="eastAsia" w:asciiTheme="minorEastAsia" w:hAnsiTheme="minorEastAsia" w:eastAsiaTheme="minorEastAsia" w:cstheme="minorEastAsia"/>
          <w:b/>
          <w:sz w:val="24"/>
          <w:highlight w:val="none"/>
          <w:u w:val="single"/>
          <w:lang w:val="en-US" w:eastAsia="zh-CN"/>
        </w:rPr>
        <w:t>叁万贰仟肆佰捌拾捌元贰角叁分</w:t>
      </w:r>
      <w:r>
        <w:rPr>
          <w:rFonts w:hint="eastAsia" w:asciiTheme="minorEastAsia" w:hAnsiTheme="minorEastAsia" w:eastAsiaTheme="minorEastAsia" w:cstheme="minorEastAsia"/>
          <w:sz w:val="24"/>
          <w:highlight w:val="none"/>
        </w:rPr>
        <w:t>（人民币小写：</w:t>
      </w:r>
      <w:r>
        <w:rPr>
          <w:rFonts w:hint="eastAsia" w:asciiTheme="minorEastAsia" w:hAnsiTheme="minorEastAsia" w:eastAsiaTheme="minorEastAsia" w:cstheme="minorEastAsia"/>
          <w:b/>
          <w:sz w:val="24"/>
          <w:highlight w:val="none"/>
          <w:u w:val="single"/>
          <w:lang w:val="en-US" w:eastAsia="zh-CN"/>
        </w:rPr>
        <w:t>32488.23</w:t>
      </w:r>
      <w:r>
        <w:rPr>
          <w:rFonts w:hint="eastAsia" w:asciiTheme="minorEastAsia" w:hAnsiTheme="minorEastAsia" w:eastAsiaTheme="minorEastAsia" w:cstheme="minorEastAsia"/>
          <w:sz w:val="24"/>
          <w:highlight w:val="none"/>
        </w:rPr>
        <w:t>元）</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szCs w:val="24"/>
        </w:rPr>
        <w:t>合同价款包括：材料费、包装、运输（含保险费、卸车费）、管理、利润、税金、货到工地负责堆放至甲方指定地点所发生的一切费用。</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三、发票开具要求及责任</w:t>
      </w:r>
    </w:p>
    <w:p>
      <w:pPr>
        <w:spacing w:line="360" w:lineRule="auto"/>
        <w:ind w:firstLine="446" w:firstLineChars="200"/>
        <w:rPr>
          <w:rFonts w:ascii="宋体" w:hAnsi="宋体" w:cs="宋体"/>
          <w:sz w:val="24"/>
          <w:szCs w:val="24"/>
        </w:rPr>
      </w:pPr>
      <w:r>
        <w:rPr>
          <w:rFonts w:hint="eastAsia" w:ascii="宋体" w:hAnsi="宋体" w:cs="宋体"/>
          <w:sz w:val="24"/>
          <w:szCs w:val="24"/>
        </w:rPr>
        <w:t>1、对发票不合规的约定：</w:t>
      </w:r>
    </w:p>
    <w:p>
      <w:pPr>
        <w:spacing w:line="360" w:lineRule="auto"/>
        <w:ind w:firstLine="446" w:firstLineChars="200"/>
        <w:rPr>
          <w:rFonts w:hint="eastAsia"/>
          <w:sz w:val="28"/>
          <w:szCs w:val="28"/>
        </w:rPr>
      </w:pPr>
      <w:r>
        <w:rPr>
          <w:rFonts w:hint="eastAsia" w:ascii="宋体" w:hAnsi="宋体" w:cs="宋体"/>
          <w:sz w:val="24"/>
          <w:szCs w:val="24"/>
        </w:rPr>
        <w:t>1.1、乙方提供的发票为增值税专用发票，因乙方迟延送达、开具错误等原因导致其提供的增值税专用发票没有通过税务部门认证，造成甲方不能抵扣的，甲方有权拒绝接收</w:t>
      </w:r>
      <w:r>
        <w:rPr>
          <w:rFonts w:hint="eastAsia"/>
          <w:sz w:val="28"/>
          <w:szCs w:val="28"/>
        </w:rPr>
        <w:t>。</w:t>
      </w:r>
    </w:p>
    <w:p>
      <w:pPr>
        <w:spacing w:line="360" w:lineRule="auto"/>
        <w:ind w:firstLine="446" w:firstLineChars="200"/>
        <w:rPr>
          <w:rFonts w:ascii="宋体" w:hAnsi="宋体" w:cs="宋体"/>
          <w:sz w:val="24"/>
          <w:szCs w:val="24"/>
        </w:rPr>
      </w:pPr>
      <w:r>
        <w:rPr>
          <w:rFonts w:hint="eastAsia" w:ascii="宋体" w:hAnsi="宋体" w:cs="宋体"/>
          <w:sz w:val="24"/>
          <w:szCs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46" w:firstLineChars="200"/>
        <w:rPr>
          <w:rFonts w:hint="eastAsia" w:ascii="宋体" w:hAnsi="宋体" w:cs="宋体"/>
          <w:sz w:val="24"/>
          <w:szCs w:val="24"/>
        </w:rPr>
      </w:pPr>
      <w:r>
        <w:rPr>
          <w:rFonts w:hint="eastAsia" w:ascii="宋体" w:hAnsi="宋体" w:cs="宋体"/>
          <w:sz w:val="24"/>
          <w:szCs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 20 %的违约金，违约金不足以弥补甲方损失的，乙方应予赔偿，甲方有权终止合同。</w:t>
      </w:r>
    </w:p>
    <w:p>
      <w:pPr>
        <w:spacing w:line="360" w:lineRule="auto"/>
        <w:ind w:firstLine="446" w:firstLineChars="200"/>
        <w:rPr>
          <w:rFonts w:hint="eastAsia" w:ascii="宋体" w:hAnsi="宋体" w:cs="宋体"/>
          <w:sz w:val="24"/>
          <w:szCs w:val="24"/>
        </w:rPr>
      </w:pPr>
      <w:r>
        <w:rPr>
          <w:rFonts w:hint="eastAsia" w:ascii="宋体" w:hAnsi="宋体" w:cs="宋体"/>
          <w:sz w:val="24"/>
          <w:szCs w:val="24"/>
        </w:rPr>
        <w:t>1.4、经甲方验收合格后【3】日内，乙方应按甲方要求出具合法有效的增值税【专用】发票（若由于条件限制必须与小规模纳税人签订合同时，也应当要求小规模纳税人开具由税务局代开的增值税专用发票）。乙方应在开票之后【3】个工作日内将发票送达甲方，甲方签收发票的日期为发票的送达日期。</w:t>
      </w:r>
    </w:p>
    <w:p>
      <w:pPr>
        <w:spacing w:line="360" w:lineRule="auto"/>
        <w:ind w:firstLine="446" w:firstLineChars="200"/>
        <w:rPr>
          <w:rFonts w:ascii="宋体" w:hAnsi="宋体" w:cs="宋体"/>
          <w:sz w:val="24"/>
          <w:szCs w:val="24"/>
        </w:rPr>
      </w:pPr>
      <w:r>
        <w:rPr>
          <w:rFonts w:hint="eastAsia" w:ascii="宋体" w:hAnsi="宋体" w:cs="宋体"/>
          <w:sz w:val="24"/>
          <w:szCs w:val="24"/>
        </w:rPr>
        <w:t>1.5、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46" w:firstLineChars="200"/>
        <w:rPr>
          <w:rFonts w:ascii="宋体" w:hAnsi="宋体" w:cs="宋体"/>
          <w:sz w:val="24"/>
          <w:szCs w:val="24"/>
        </w:rPr>
      </w:pPr>
      <w:r>
        <w:rPr>
          <w:rFonts w:hint="eastAsia" w:ascii="宋体" w:hAnsi="宋体" w:cs="宋体"/>
          <w:sz w:val="24"/>
          <w:szCs w:val="24"/>
        </w:rPr>
        <w:t>2、其它税务风险的合同约定：</w:t>
      </w:r>
    </w:p>
    <w:p>
      <w:pPr>
        <w:spacing w:line="360" w:lineRule="auto"/>
        <w:ind w:firstLine="446" w:firstLineChars="200"/>
        <w:rPr>
          <w:rFonts w:ascii="宋体" w:hAnsi="宋体" w:cs="宋体"/>
          <w:sz w:val="24"/>
          <w:szCs w:val="24"/>
        </w:rPr>
      </w:pPr>
      <w:r>
        <w:rPr>
          <w:rFonts w:hint="eastAsia" w:ascii="宋体" w:hAnsi="宋体" w:cs="宋体"/>
          <w:sz w:val="24"/>
          <w:szCs w:val="24"/>
        </w:rPr>
        <w:t>2.1、如果甲方丢失增值税专用发票联和抵扣联，乙方应向甲方提供专用发票记账联复印件，并加盖乙方发票专用章。</w:t>
      </w:r>
    </w:p>
    <w:p>
      <w:pPr>
        <w:spacing w:line="360" w:lineRule="auto"/>
        <w:ind w:firstLine="446" w:firstLineChars="200"/>
        <w:rPr>
          <w:rFonts w:hint="eastAsia" w:ascii="宋体" w:hAnsi="宋体" w:cs="宋体"/>
          <w:sz w:val="24"/>
          <w:szCs w:val="24"/>
        </w:rPr>
      </w:pPr>
      <w:r>
        <w:rPr>
          <w:rFonts w:hint="eastAsia" w:ascii="宋体" w:hAnsi="宋体" w:cs="宋体"/>
          <w:sz w:val="24"/>
          <w:szCs w:val="24"/>
        </w:rPr>
        <w:t>2.2、如果获得开具的汇总专用发票，则乙方应提供其防伪税控系统开具的《销售货物或者提供应税劳务清单》，并加盖发票专用章。</w:t>
      </w:r>
    </w:p>
    <w:p>
      <w:pPr>
        <w:spacing w:line="360" w:lineRule="auto"/>
        <w:rPr>
          <w:rFonts w:ascii="宋体" w:hAnsi="宋体" w:cs="宋体"/>
          <w:sz w:val="24"/>
        </w:rPr>
      </w:pPr>
      <w:r>
        <w:rPr>
          <w:rFonts w:hint="eastAsia" w:ascii="宋体" w:hAnsi="宋体" w:cs="宋体"/>
          <w:b/>
          <w:bCs/>
          <w:sz w:val="24"/>
        </w:rPr>
        <w:t>四、质量要求</w:t>
      </w:r>
    </w:p>
    <w:p>
      <w:pPr>
        <w:spacing w:line="360" w:lineRule="auto"/>
        <w:ind w:firstLine="446" w:firstLineChars="200"/>
        <w:rPr>
          <w:rFonts w:ascii="宋体" w:hAnsi="宋体" w:cs="宋体"/>
          <w:sz w:val="24"/>
        </w:rPr>
      </w:pPr>
      <w:r>
        <w:rPr>
          <w:rFonts w:hint="eastAsia" w:ascii="宋体" w:hAnsi="宋体" w:cs="宋体"/>
          <w:sz w:val="24"/>
        </w:rPr>
        <w:t xml:space="preserve">1、乙方应严格按照双方约定的质量和技术标准要求供应材料，且需符合现行的国家标准。 </w:t>
      </w:r>
    </w:p>
    <w:p>
      <w:pPr>
        <w:spacing w:line="360" w:lineRule="auto"/>
        <w:ind w:firstLine="446" w:firstLineChars="200"/>
        <w:rPr>
          <w:rFonts w:ascii="宋体" w:hAnsi="宋体" w:cs="宋体"/>
          <w:sz w:val="24"/>
        </w:rPr>
      </w:pPr>
      <w:r>
        <w:rPr>
          <w:rFonts w:hint="eastAsia" w:ascii="宋体" w:hAnsi="宋体" w:cs="宋体"/>
          <w:sz w:val="24"/>
        </w:rPr>
        <w:t>2、乙方应随每批产品提供相应的《产品合格证明》、《质量检验报告》、《产品质量保证书》、材料发票和其他相关技术质量资料。</w:t>
      </w:r>
    </w:p>
    <w:p>
      <w:pPr>
        <w:spacing w:line="360" w:lineRule="auto"/>
        <w:ind w:firstLine="446" w:firstLineChars="200"/>
        <w:rPr>
          <w:rFonts w:ascii="宋体" w:hAnsi="宋体" w:cs="宋体"/>
          <w:sz w:val="24"/>
        </w:rPr>
      </w:pPr>
      <w:r>
        <w:rPr>
          <w:rFonts w:hint="eastAsia" w:ascii="宋体" w:hAnsi="宋体" w:cs="宋体"/>
          <w:sz w:val="24"/>
        </w:rPr>
        <w:t>3、乙方所供的开关插座质量必须符合相应的国家检验质量标准，如达不到此标准，甲方有权要求乙方退货，其运费由乙方承担。</w:t>
      </w:r>
    </w:p>
    <w:p>
      <w:pPr>
        <w:spacing w:line="360" w:lineRule="auto"/>
        <w:ind w:firstLine="446" w:firstLineChars="200"/>
        <w:rPr>
          <w:rFonts w:ascii="宋体" w:hAnsi="宋体" w:cs="宋体"/>
          <w:sz w:val="24"/>
        </w:rPr>
      </w:pPr>
      <w:r>
        <w:rPr>
          <w:rFonts w:hint="eastAsia" w:ascii="宋体" w:hAnsi="宋体" w:cs="宋体"/>
          <w:sz w:val="24"/>
        </w:rPr>
        <w:t>4、各型开关插座的规格、型号必须符合设计要求，应有合格证、“CCC”认证标志和认证证书复印件。</w:t>
      </w:r>
    </w:p>
    <w:p>
      <w:pPr>
        <w:spacing w:line="360" w:lineRule="auto"/>
        <w:ind w:firstLine="446" w:firstLineChars="200"/>
        <w:rPr>
          <w:rFonts w:ascii="宋体" w:hAnsi="宋体" w:cs="宋体"/>
          <w:sz w:val="24"/>
        </w:rPr>
      </w:pPr>
      <w:r>
        <w:rPr>
          <w:rFonts w:hint="eastAsia" w:ascii="宋体" w:hAnsi="宋体" w:cs="宋体"/>
          <w:sz w:val="24"/>
        </w:rPr>
        <w:t>5、开关插座的绝缘性能、导电性能和阻燃性能必须符合相应的国家检验质量标准。</w:t>
      </w:r>
    </w:p>
    <w:p>
      <w:pPr>
        <w:spacing w:line="360" w:lineRule="auto"/>
        <w:ind w:firstLine="446" w:firstLineChars="200"/>
        <w:rPr>
          <w:rFonts w:ascii="宋体" w:hAnsi="宋体" w:cs="宋体"/>
          <w:sz w:val="24"/>
        </w:rPr>
      </w:pPr>
      <w:r>
        <w:rPr>
          <w:rFonts w:hint="eastAsia" w:ascii="宋体" w:hAnsi="宋体" w:cs="宋体"/>
          <w:sz w:val="24"/>
        </w:rPr>
        <w:t>6、塑料（台）板，应具有足够的强度。塑料（台）板应平整，无弯翘变形等现象。</w:t>
      </w:r>
    </w:p>
    <w:p>
      <w:pPr>
        <w:spacing w:line="360" w:lineRule="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、包装标准及包装方式</w:t>
      </w:r>
    </w:p>
    <w:p>
      <w:pPr>
        <w:spacing w:line="360" w:lineRule="auto"/>
        <w:rPr>
          <w:rFonts w:ascii="宋体" w:hAnsi="宋体" w:cs="宋体"/>
          <w:sz w:val="24"/>
        </w:rPr>
      </w:pPr>
      <w:r>
        <w:rPr>
          <w:rFonts w:hint="eastAsia" w:ascii="宋体" w:hAnsi="宋体" w:cs="宋体"/>
          <w:sz w:val="24"/>
        </w:rPr>
        <w:t xml:space="preserve">    纸箱包装。</w:t>
      </w:r>
    </w:p>
    <w:p>
      <w:pPr>
        <w:spacing w:line="360" w:lineRule="auto"/>
        <w:rPr>
          <w:rFonts w:ascii="宋体" w:hAnsi="宋体" w:cs="宋体"/>
          <w:b/>
          <w:bCs/>
          <w:sz w:val="24"/>
        </w:rPr>
      </w:pPr>
      <w:r>
        <w:rPr>
          <w:rFonts w:hint="eastAsia" w:ascii="宋体" w:hAnsi="宋体" w:cs="宋体"/>
          <w:b/>
          <w:bCs/>
          <w:sz w:val="24"/>
          <w:lang w:val="en-US" w:eastAsia="zh-CN"/>
        </w:rPr>
        <w:t>六</w:t>
      </w:r>
      <w:r>
        <w:rPr>
          <w:rFonts w:hint="eastAsia" w:ascii="宋体" w:hAnsi="宋体" w:cs="宋体"/>
          <w:b/>
          <w:bCs/>
          <w:sz w:val="24"/>
        </w:rPr>
        <w:t>、交货时间、地点及交货方式</w:t>
      </w:r>
    </w:p>
    <w:p>
      <w:pPr>
        <w:spacing w:line="360" w:lineRule="auto"/>
        <w:ind w:firstLine="446" w:firstLineChars="200"/>
        <w:rPr>
          <w:rFonts w:ascii="宋体" w:hAnsi="宋体" w:cs="宋体"/>
          <w:sz w:val="24"/>
        </w:rPr>
      </w:pPr>
      <w:r>
        <w:rPr>
          <w:rFonts w:hint="eastAsia" w:ascii="宋体" w:hAnsi="宋体" w:cs="宋体"/>
          <w:sz w:val="24"/>
        </w:rPr>
        <w:t>1、产品的交货期限：合同签订，接到甲方通知后7个工作日内；</w:t>
      </w:r>
    </w:p>
    <w:p>
      <w:pPr>
        <w:spacing w:line="360" w:lineRule="auto"/>
        <w:ind w:firstLine="446" w:firstLineChars="200"/>
        <w:rPr>
          <w:rFonts w:ascii="宋体" w:hAnsi="宋体" w:cs="宋体"/>
          <w:sz w:val="24"/>
        </w:rPr>
      </w:pPr>
      <w:r>
        <w:rPr>
          <w:rFonts w:hint="eastAsia" w:ascii="宋体" w:hAnsi="宋体" w:cs="宋体"/>
          <w:sz w:val="24"/>
        </w:rPr>
        <w:t>2、产品的交货地点：</w:t>
      </w:r>
      <w:r>
        <w:rPr>
          <w:rFonts w:hint="eastAsia" w:ascii="宋体" w:hAnsi="宋体" w:cs="宋体"/>
          <w:sz w:val="24"/>
          <w:lang w:val="en-US" w:eastAsia="zh-CN"/>
        </w:rPr>
        <w:t>洛阳开元壹号</w:t>
      </w:r>
      <w:r>
        <w:rPr>
          <w:rFonts w:hint="eastAsia" w:ascii="宋体" w:hAnsi="宋体" w:cs="宋体"/>
          <w:sz w:val="24"/>
        </w:rPr>
        <w:t>项目内，甲方指定地点；</w:t>
      </w:r>
    </w:p>
    <w:p>
      <w:pPr>
        <w:spacing w:line="360" w:lineRule="auto"/>
        <w:ind w:firstLine="446" w:firstLineChars="200"/>
        <w:rPr>
          <w:rFonts w:ascii="宋体" w:hAnsi="宋体" w:cs="宋体"/>
          <w:sz w:val="24"/>
        </w:rPr>
      </w:pPr>
      <w:r>
        <w:rPr>
          <w:rFonts w:hint="eastAsia" w:ascii="宋体" w:hAnsi="宋体" w:cs="宋体"/>
          <w:sz w:val="24"/>
        </w:rPr>
        <w:t>3、交货方式：</w:t>
      </w:r>
      <w:r>
        <w:rPr>
          <w:rFonts w:hint="eastAsia" w:ascii="宋体" w:hAnsi="宋体" w:cs="宋体"/>
          <w:bCs/>
          <w:sz w:val="24"/>
        </w:rPr>
        <w:t>根据甲方的工期要求供货。</w:t>
      </w:r>
      <w:r>
        <w:rPr>
          <w:rFonts w:hint="eastAsia" w:ascii="宋体" w:hAnsi="宋体" w:cs="宋体"/>
          <w:sz w:val="24"/>
        </w:rPr>
        <w:t xml:space="preserve"> </w:t>
      </w:r>
    </w:p>
    <w:p>
      <w:pPr>
        <w:spacing w:line="360" w:lineRule="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、货款结算方式及付款时间</w:t>
      </w:r>
    </w:p>
    <w:p>
      <w:pPr>
        <w:spacing w:line="360" w:lineRule="auto"/>
        <w:ind w:firstLine="446"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1、结算方式：</w:t>
      </w:r>
    </w:p>
    <w:p>
      <w:pPr>
        <w:spacing w:line="360" w:lineRule="auto"/>
        <w:ind w:firstLine="446"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结算采用“固定单价</w:t>
      </w:r>
      <w:r>
        <w:rPr>
          <w:rFonts w:cs="Arial" w:asciiTheme="minorEastAsia" w:hAnsiTheme="minorEastAsia" w:eastAsiaTheme="minorEastAsia"/>
          <w:sz w:val="24"/>
        </w:rPr>
        <w:t>×</w:t>
      </w:r>
      <w:r>
        <w:rPr>
          <w:rFonts w:hint="eastAsia" w:cs="宋体" w:asciiTheme="minorEastAsia" w:hAnsiTheme="minorEastAsia" w:eastAsiaTheme="minorEastAsia"/>
          <w:sz w:val="24"/>
        </w:rPr>
        <w:t>实际供应数量-应扣费用”以实结算的方式。</w:t>
      </w:r>
    </w:p>
    <w:p>
      <w:pPr>
        <w:spacing w:line="360" w:lineRule="auto"/>
        <w:ind w:firstLine="446"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乙方将产品生产完毕全部运送到甲方指定施工现场，由甲方委托的监理方组织工程施工方一并进行验收合格后，由甲方、乙方、工程施工方及监理方共同在乙方出具的四联供货验收单(附件二)上签字认可。甲方持两联，工程施工方、乙方各持一联，作为结算依据。</w:t>
      </w:r>
    </w:p>
    <w:p>
      <w:pPr>
        <w:spacing w:line="360" w:lineRule="auto"/>
        <w:ind w:firstLine="446"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付款方式</w:t>
      </w:r>
      <w:r>
        <w:rPr>
          <w:rFonts w:hint="eastAsia" w:cs="宋体" w:asciiTheme="minorEastAsia" w:hAnsiTheme="minorEastAsia" w:eastAsiaTheme="minorEastAsia"/>
          <w:sz w:val="24"/>
          <w:lang w:val="en-US" w:eastAsia="zh-CN"/>
        </w:rPr>
        <w:t>及质保期</w:t>
      </w:r>
      <w:r>
        <w:rPr>
          <w:rFonts w:hint="eastAsia" w:cs="宋体" w:asciiTheme="minorEastAsia" w:hAnsiTheme="minorEastAsia" w:eastAsiaTheme="minorEastAsia"/>
          <w:sz w:val="24"/>
        </w:rPr>
        <w:t>：</w:t>
      </w:r>
    </w:p>
    <w:p>
      <w:pPr>
        <w:spacing w:line="360" w:lineRule="auto"/>
        <w:ind w:firstLine="446"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cs="宋体" w:asciiTheme="minorEastAsia" w:hAnsiTheme="minorEastAsia" w:eastAsiaTheme="minorEastAsia"/>
          <w:sz w:val="24"/>
        </w:rPr>
        <w:t>1</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本合同无预付款，</w:t>
      </w:r>
    </w:p>
    <w:p>
      <w:pPr>
        <w:spacing w:line="360" w:lineRule="auto"/>
        <w:ind w:firstLine="446"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rPr>
        <w:t>2.</w:t>
      </w:r>
      <w:r>
        <w:rPr>
          <w:rFonts w:cs="宋体" w:asciiTheme="minorEastAsia" w:hAnsiTheme="minorEastAsia" w:eastAsiaTheme="minorEastAsia"/>
          <w:sz w:val="24"/>
        </w:rPr>
        <w:t>2</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每批次开关插座全部货物送到后十日内，甲方支付本批次送货金额的80%；待全部验收完毕并配合甲方完成结算后30个工作日内支付至结算总价的95%，留取结算总价的5%为质保金，质保期满无质量问题，一次性无息付清该质保金。质保期一年</w:t>
      </w:r>
      <w:r>
        <w:rPr>
          <w:rFonts w:hint="eastAsia" w:cs="宋体" w:asciiTheme="minorEastAsia" w:hAnsiTheme="minorEastAsia" w:eastAsiaTheme="minorEastAsia"/>
          <w:sz w:val="24"/>
          <w:highlight w:val="none"/>
        </w:rPr>
        <w:t>，自工程竣工验收合格移交建设单位时起算。</w:t>
      </w:r>
    </w:p>
    <w:p>
      <w:pPr>
        <w:autoSpaceDN w:val="0"/>
        <w:spacing w:line="360" w:lineRule="auto"/>
        <w:ind w:firstLine="446" w:firstLineChars="200"/>
        <w:rPr>
          <w:rFonts w:hint="eastAsia" w:asciiTheme="minorEastAsia" w:hAnsiTheme="minorEastAsia" w:eastAsiaTheme="minorEastAsia"/>
          <w:sz w:val="24"/>
          <w:szCs w:val="24"/>
        </w:rPr>
      </w:pPr>
      <w:r>
        <w:rPr>
          <w:rFonts w:hint="eastAsia" w:asciiTheme="minorEastAsia" w:hAnsiTheme="minorEastAsia" w:eastAsiaTheme="minorEastAsia"/>
          <w:sz w:val="24"/>
        </w:rPr>
        <w:t>2.3</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每次付款时，乙方需提供等额有效的增值税专用发票，否则甲方有权拒付相应货款；甲方向乙方支付至结算总价的</w:t>
      </w:r>
      <w:r>
        <w:rPr>
          <w:rFonts w:hint="eastAsia" w:cs="宋体" w:asciiTheme="minorEastAsia" w:hAnsiTheme="minorEastAsia" w:eastAsiaTheme="minorEastAsia"/>
          <w:sz w:val="24"/>
        </w:rPr>
        <w:t>95%前，</w:t>
      </w:r>
      <w:r>
        <w:rPr>
          <w:rFonts w:hint="eastAsia" w:asciiTheme="minorEastAsia" w:hAnsiTheme="minorEastAsia" w:eastAsiaTheme="minorEastAsia"/>
          <w:sz w:val="24"/>
          <w:szCs w:val="24"/>
        </w:rPr>
        <w:t>乙方应</w:t>
      </w:r>
      <w:r>
        <w:rPr>
          <w:rFonts w:hint="eastAsia" w:cs="Tahoma" w:asciiTheme="minorEastAsia" w:hAnsiTheme="minorEastAsia" w:eastAsiaTheme="minorEastAsia"/>
          <w:sz w:val="24"/>
          <w:szCs w:val="24"/>
        </w:rPr>
        <w:t>将结算金额</w:t>
      </w:r>
      <w:r>
        <w:rPr>
          <w:rFonts w:cs="Tahoma" w:asciiTheme="minorEastAsia" w:hAnsiTheme="minorEastAsia" w:eastAsiaTheme="minorEastAsia"/>
          <w:sz w:val="24"/>
          <w:szCs w:val="24"/>
        </w:rPr>
        <w:t>100</w:t>
      </w:r>
      <w:r>
        <w:rPr>
          <w:rFonts w:asciiTheme="minorEastAsia" w:hAnsiTheme="minorEastAsia" w:eastAsiaTheme="minorEastAsia"/>
          <w:sz w:val="24"/>
          <w:szCs w:val="24"/>
        </w:rPr>
        <w:t>%</w:t>
      </w:r>
      <w:r>
        <w:rPr>
          <w:rFonts w:cs="Tahoma" w:asciiTheme="minorEastAsia" w:hAnsiTheme="minorEastAsia" w:eastAsiaTheme="minorEastAsia"/>
          <w:sz w:val="24"/>
          <w:szCs w:val="24"/>
        </w:rPr>
        <w:t>的</w:t>
      </w:r>
      <w:r>
        <w:rPr>
          <w:rFonts w:hint="eastAsia" w:asciiTheme="minorEastAsia" w:hAnsiTheme="minorEastAsia" w:eastAsiaTheme="minorEastAsia"/>
          <w:sz w:val="24"/>
          <w:szCs w:val="24"/>
        </w:rPr>
        <w:t>正规、有效的增值税专用发票</w:t>
      </w:r>
      <w:r>
        <w:rPr>
          <w:rFonts w:hint="eastAsia" w:cs="Tahoma" w:asciiTheme="minorEastAsia" w:hAnsiTheme="minorEastAsia" w:eastAsiaTheme="minorEastAsia"/>
          <w:sz w:val="24"/>
          <w:szCs w:val="24"/>
        </w:rPr>
        <w:t>全</w:t>
      </w:r>
      <w:r>
        <w:rPr>
          <w:rFonts w:cs="Tahoma" w:asciiTheme="minorEastAsia" w:hAnsiTheme="minorEastAsia" w:eastAsiaTheme="minorEastAsia"/>
          <w:sz w:val="24"/>
          <w:szCs w:val="24"/>
        </w:rPr>
        <w:t>额开具，否则甲方除扣留质保金外，有权拒绝支付</w:t>
      </w:r>
      <w:r>
        <w:rPr>
          <w:rFonts w:hint="eastAsia" w:cs="Tahoma" w:asciiTheme="minorEastAsia" w:hAnsiTheme="minorEastAsia" w:eastAsiaTheme="minorEastAsia"/>
          <w:sz w:val="24"/>
          <w:szCs w:val="24"/>
        </w:rPr>
        <w:t>该</w:t>
      </w:r>
      <w:r>
        <w:rPr>
          <w:rFonts w:cs="Tahoma" w:asciiTheme="minorEastAsia" w:hAnsiTheme="minorEastAsia" w:eastAsiaTheme="minorEastAsia"/>
          <w:sz w:val="24"/>
          <w:szCs w:val="24"/>
        </w:rPr>
        <w:t>笔</w:t>
      </w:r>
      <w:r>
        <w:rPr>
          <w:rFonts w:hint="eastAsia" w:cs="Tahoma" w:asciiTheme="minorEastAsia" w:hAnsiTheme="minorEastAsia" w:eastAsiaTheme="minorEastAsia"/>
          <w:sz w:val="24"/>
          <w:szCs w:val="24"/>
        </w:rPr>
        <w:t>货</w:t>
      </w:r>
      <w:r>
        <w:rPr>
          <w:rFonts w:cs="Tahoma" w:asciiTheme="minorEastAsia" w:hAnsiTheme="minorEastAsia" w:eastAsiaTheme="minorEastAsia"/>
          <w:sz w:val="24"/>
          <w:szCs w:val="24"/>
        </w:rPr>
        <w:t>款。</w:t>
      </w:r>
      <w:r>
        <w:rPr>
          <w:rFonts w:hint="eastAsia" w:asciiTheme="minorEastAsia" w:hAnsiTheme="minorEastAsia" w:eastAsiaTheme="minorEastAsia"/>
          <w:sz w:val="24"/>
          <w:szCs w:val="24"/>
        </w:rPr>
        <w:t>乙方应在开票之后5个工作日内将发票送达甲方，甲方签收发票的日期为发票的送达日期。</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jc w:val="both"/>
        <w:textAlignment w:val="auto"/>
        <w:rPr>
          <w:rFonts w:hint="eastAsia" w:ascii="宋体" w:hAnsi="宋体" w:eastAsia="宋体" w:cs="宋体"/>
          <w:kern w:val="2"/>
          <w:sz w:val="24"/>
          <w:szCs w:val="24"/>
          <w:highlight w:val="none"/>
        </w:rPr>
      </w:pP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rPr>
        <w:t>、对发票不合规的约定</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jc w:val="both"/>
        <w:textAlignment w:val="auto"/>
        <w:rPr>
          <w:rFonts w:hint="eastAsia" w:ascii="宋体" w:hAnsi="宋体" w:eastAsia="宋体" w:cs="宋体"/>
          <w:kern w:val="2"/>
          <w:sz w:val="24"/>
          <w:szCs w:val="24"/>
          <w:highlight w:val="none"/>
        </w:rPr>
      </w:pP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rPr>
        <w:t>.1</w:t>
      </w:r>
      <w:r>
        <w:rPr>
          <w:rFonts w:hint="eastAsia" w:ascii="宋体" w:hAnsi="宋体" w:cs="宋体"/>
          <w:kern w:val="2"/>
          <w:sz w:val="24"/>
          <w:szCs w:val="24"/>
          <w:highlight w:val="none"/>
          <w:lang w:val="en-US" w:eastAsia="zh-CN"/>
        </w:rPr>
        <w:t xml:space="preserve"> </w:t>
      </w:r>
      <w:r>
        <w:rPr>
          <w:rFonts w:hint="eastAsia" w:ascii="宋体" w:hAnsi="宋体" w:eastAsia="宋体" w:cs="宋体"/>
          <w:kern w:val="2"/>
          <w:sz w:val="24"/>
          <w:szCs w:val="24"/>
          <w:highlight w:val="none"/>
        </w:rPr>
        <w:t>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jc w:val="both"/>
        <w:textAlignment w:val="auto"/>
        <w:rPr>
          <w:rFonts w:hint="eastAsia" w:ascii="宋体" w:hAnsi="宋体" w:eastAsia="宋体" w:cs="宋体"/>
          <w:kern w:val="2"/>
          <w:sz w:val="24"/>
          <w:szCs w:val="24"/>
          <w:highlight w:val="none"/>
        </w:rPr>
      </w:pP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rPr>
        <w:t>.2</w:t>
      </w:r>
      <w:r>
        <w:rPr>
          <w:rFonts w:hint="eastAsia" w:ascii="宋体" w:hAnsi="宋体" w:cs="宋体"/>
          <w:kern w:val="2"/>
          <w:sz w:val="24"/>
          <w:szCs w:val="24"/>
          <w:highlight w:val="none"/>
          <w:lang w:val="en-US" w:eastAsia="zh-CN"/>
        </w:rPr>
        <w:t xml:space="preserve"> </w:t>
      </w:r>
      <w:r>
        <w:rPr>
          <w:rFonts w:hint="eastAsia" w:ascii="宋体" w:hAnsi="宋体" w:eastAsia="宋体" w:cs="宋体"/>
          <w:kern w:val="2"/>
          <w:sz w:val="24"/>
          <w:szCs w:val="24"/>
          <w:highlight w:val="none"/>
        </w:rPr>
        <w:t>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jc w:val="both"/>
        <w:textAlignment w:val="auto"/>
        <w:rPr>
          <w:rFonts w:hint="eastAsia" w:ascii="宋体" w:hAnsi="宋体" w:eastAsia="宋体" w:cs="宋体"/>
          <w:kern w:val="2"/>
          <w:sz w:val="24"/>
          <w:szCs w:val="24"/>
          <w:highlight w:val="none"/>
        </w:rPr>
      </w:pP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rPr>
        <w:t>.3</w:t>
      </w:r>
      <w:r>
        <w:rPr>
          <w:rFonts w:hint="eastAsia" w:ascii="宋体" w:hAnsi="宋体" w:cs="宋体"/>
          <w:kern w:val="2"/>
          <w:sz w:val="24"/>
          <w:szCs w:val="24"/>
          <w:highlight w:val="none"/>
          <w:lang w:val="en-US" w:eastAsia="zh-CN"/>
        </w:rPr>
        <w:t xml:space="preserve"> </w:t>
      </w:r>
      <w:r>
        <w:rPr>
          <w:rFonts w:hint="eastAsia" w:ascii="宋体" w:hAnsi="宋体" w:eastAsia="宋体" w:cs="宋体"/>
          <w:kern w:val="2"/>
          <w:sz w:val="24"/>
          <w:szCs w:val="24"/>
          <w:highlight w:val="none"/>
        </w:rPr>
        <w:t>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jc w:val="both"/>
        <w:textAlignment w:val="auto"/>
        <w:rPr>
          <w:rFonts w:hint="eastAsia" w:ascii="宋体" w:hAnsi="宋体" w:eastAsia="宋体" w:cs="宋体"/>
          <w:kern w:val="2"/>
          <w:sz w:val="24"/>
          <w:szCs w:val="24"/>
          <w:highlight w:val="none"/>
        </w:rPr>
      </w:pPr>
      <w:r>
        <w:rPr>
          <w:rFonts w:hint="eastAsia" w:ascii="宋体" w:hAnsi="宋体" w:cs="宋体"/>
          <w:kern w:val="2"/>
          <w:sz w:val="24"/>
          <w:szCs w:val="24"/>
          <w:highlight w:val="none"/>
          <w:lang w:val="en-US" w:eastAsia="zh-CN"/>
        </w:rPr>
        <w:t>4</w:t>
      </w:r>
      <w:r>
        <w:rPr>
          <w:rFonts w:hint="eastAsia" w:ascii="宋体" w:hAnsi="宋体" w:eastAsia="宋体" w:cs="宋体"/>
          <w:kern w:val="2"/>
          <w:sz w:val="24"/>
          <w:szCs w:val="24"/>
          <w:highlight w:val="none"/>
        </w:rPr>
        <w:t>、其它税务风险的合同约定，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jc w:val="both"/>
        <w:textAlignment w:val="auto"/>
        <w:rPr>
          <w:rFonts w:hint="eastAsia" w:ascii="宋体" w:hAnsi="宋体" w:eastAsia="宋体" w:cs="宋体"/>
          <w:kern w:val="2"/>
          <w:sz w:val="24"/>
          <w:szCs w:val="24"/>
          <w:highlight w:val="none"/>
        </w:rPr>
      </w:pPr>
      <w:r>
        <w:rPr>
          <w:rFonts w:hint="eastAsia" w:ascii="宋体" w:hAnsi="宋体" w:cs="宋体"/>
          <w:kern w:val="2"/>
          <w:sz w:val="24"/>
          <w:szCs w:val="24"/>
          <w:highlight w:val="none"/>
          <w:lang w:val="en-US" w:eastAsia="zh-CN"/>
        </w:rPr>
        <w:t>4</w:t>
      </w:r>
      <w:r>
        <w:rPr>
          <w:rFonts w:hint="eastAsia" w:ascii="宋体" w:hAnsi="宋体" w:eastAsia="宋体" w:cs="宋体"/>
          <w:kern w:val="2"/>
          <w:sz w:val="24"/>
          <w:szCs w:val="24"/>
          <w:highlight w:val="none"/>
        </w:rPr>
        <w:t>.1</w:t>
      </w:r>
      <w:r>
        <w:rPr>
          <w:rFonts w:hint="eastAsia" w:ascii="宋体" w:hAnsi="宋体" w:cs="宋体"/>
          <w:kern w:val="2"/>
          <w:sz w:val="24"/>
          <w:szCs w:val="24"/>
          <w:highlight w:val="none"/>
          <w:lang w:val="en-US" w:eastAsia="zh-CN"/>
        </w:rPr>
        <w:t xml:space="preserve"> </w:t>
      </w:r>
      <w:r>
        <w:rPr>
          <w:rFonts w:hint="eastAsia" w:ascii="宋体" w:hAnsi="宋体" w:eastAsia="宋体" w:cs="宋体"/>
          <w:kern w:val="2"/>
          <w:sz w:val="24"/>
          <w:szCs w:val="24"/>
          <w:highlight w:val="none"/>
        </w:rPr>
        <w:t>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jc w:val="both"/>
        <w:textAlignment w:val="auto"/>
      </w:pPr>
      <w:r>
        <w:rPr>
          <w:rFonts w:hint="eastAsia" w:ascii="宋体" w:hAnsi="宋体" w:cs="宋体"/>
          <w:kern w:val="2"/>
          <w:sz w:val="24"/>
          <w:szCs w:val="24"/>
          <w:highlight w:val="none"/>
          <w:lang w:val="en-US" w:eastAsia="zh-CN"/>
        </w:rPr>
        <w:t>4</w:t>
      </w:r>
      <w:r>
        <w:rPr>
          <w:rFonts w:hint="eastAsia" w:ascii="宋体" w:hAnsi="宋体" w:eastAsia="宋体" w:cs="宋体"/>
          <w:kern w:val="2"/>
          <w:sz w:val="24"/>
          <w:szCs w:val="24"/>
          <w:highlight w:val="none"/>
        </w:rPr>
        <w:t>.2</w:t>
      </w:r>
      <w:r>
        <w:rPr>
          <w:rFonts w:hint="eastAsia" w:ascii="宋体" w:hAnsi="宋体" w:cs="宋体"/>
          <w:kern w:val="2"/>
          <w:sz w:val="24"/>
          <w:szCs w:val="24"/>
          <w:highlight w:val="none"/>
          <w:lang w:val="en-US" w:eastAsia="zh-CN"/>
        </w:rPr>
        <w:t xml:space="preserve"> </w:t>
      </w:r>
      <w:r>
        <w:rPr>
          <w:rFonts w:hint="eastAsia" w:ascii="宋体" w:hAnsi="宋体" w:eastAsia="宋体" w:cs="宋体"/>
          <w:kern w:val="2"/>
          <w:sz w:val="24"/>
          <w:szCs w:val="24"/>
          <w:highlight w:val="none"/>
        </w:rPr>
        <w:t>如果获得开具的汇总专用发票，则乙方应提供其防伪税控系统开具的《销售货物或者提供应税劳务清单》，并加盖发票专用章。</w:t>
      </w:r>
    </w:p>
    <w:p>
      <w:pPr>
        <w:spacing w:line="360" w:lineRule="auto"/>
        <w:rPr>
          <w:rFonts w:hint="eastAsia" w:cs="宋体" w:asciiTheme="minorEastAsia" w:hAnsiTheme="minorEastAsia" w:eastAsiaTheme="minorEastAsia"/>
          <w:b/>
          <w:bCs/>
          <w:sz w:val="24"/>
          <w:lang w:val="en-US" w:eastAsia="zh-CN"/>
        </w:rPr>
      </w:pPr>
      <w:r>
        <w:rPr>
          <w:rFonts w:hint="eastAsia" w:cs="宋体" w:asciiTheme="minorEastAsia" w:hAnsiTheme="minorEastAsia" w:eastAsiaTheme="minorEastAsia"/>
          <w:b/>
          <w:bCs/>
          <w:sz w:val="24"/>
          <w:lang w:val="en-US" w:eastAsia="zh-CN"/>
        </w:rPr>
        <w:t>八</w:t>
      </w:r>
      <w:r>
        <w:rPr>
          <w:rFonts w:hint="eastAsia" w:cs="宋体" w:asciiTheme="minorEastAsia" w:hAnsiTheme="minorEastAsia" w:eastAsiaTheme="minorEastAsia"/>
          <w:b/>
          <w:bCs/>
          <w:sz w:val="24"/>
        </w:rPr>
        <w:t>、质保期</w:t>
      </w:r>
      <w:r>
        <w:rPr>
          <w:rFonts w:hint="eastAsia" w:cs="宋体" w:asciiTheme="minorEastAsia" w:hAnsiTheme="minorEastAsia" w:eastAsiaTheme="minorEastAsia"/>
          <w:b/>
          <w:bCs/>
          <w:sz w:val="24"/>
          <w:lang w:val="en-US" w:eastAsia="zh-CN"/>
        </w:rPr>
        <w:t>维修</w:t>
      </w:r>
    </w:p>
    <w:p>
      <w:pPr>
        <w:tabs>
          <w:tab w:val="left" w:pos="2700"/>
          <w:tab w:val="left" w:pos="3780"/>
          <w:tab w:val="left" w:pos="5400"/>
        </w:tabs>
        <w:spacing w:line="360" w:lineRule="auto"/>
        <w:ind w:firstLine="446" w:firstLineChars="200"/>
        <w:rPr>
          <w:rFonts w:cs="宋体" w:asciiTheme="minorEastAsia" w:hAnsiTheme="minorEastAsia" w:eastAsiaTheme="minorEastAsia"/>
          <w:sz w:val="24"/>
        </w:rPr>
      </w:pPr>
      <w:r>
        <w:rPr>
          <w:rFonts w:hint="eastAsia" w:cs="宋体" w:asciiTheme="minorEastAsia" w:hAnsiTheme="minorEastAsia" w:eastAsiaTheme="minorEastAsia"/>
          <w:sz w:val="24"/>
        </w:rPr>
        <w:t>乙方供应的所有开关插座面板属于保修范围、内容的项目，乙方应当在接到保修通知之日起48小时内派人保修。乙方不在约定期限内派人维修或更换的，甲方可以委托他人维修或更换，费用由乙方全部承担。在正常使用中，对于由乙方开关插座自身质量问题造成的客户索赔，根据其实际损失或评估价值，乙方应承担由此造成的一切责任和损失。</w:t>
      </w:r>
    </w:p>
    <w:p>
      <w:pPr>
        <w:spacing w:line="360" w:lineRule="auto"/>
        <w:rPr>
          <w:rFonts w:ascii="宋体" w:hAnsi="宋体" w:cs="宋体"/>
          <w:b/>
          <w:bCs/>
          <w:sz w:val="24"/>
        </w:rPr>
      </w:pPr>
      <w:r>
        <w:rPr>
          <w:rFonts w:hint="eastAsia" w:ascii="宋体" w:hAnsi="宋体" w:cs="宋体"/>
          <w:b/>
          <w:bCs/>
          <w:sz w:val="24"/>
          <w:lang w:val="en-US" w:eastAsia="zh-CN"/>
        </w:rPr>
        <w:t>九</w:t>
      </w:r>
      <w:r>
        <w:rPr>
          <w:rFonts w:hint="eastAsia" w:ascii="宋体" w:hAnsi="宋体" w:cs="宋体"/>
          <w:b/>
          <w:bCs/>
          <w:sz w:val="24"/>
        </w:rPr>
        <w:t>、违约责任</w:t>
      </w:r>
    </w:p>
    <w:p>
      <w:pPr>
        <w:spacing w:line="360" w:lineRule="auto"/>
        <w:ind w:firstLine="446" w:firstLineChars="200"/>
        <w:rPr>
          <w:rFonts w:ascii="宋体" w:hAnsi="宋体" w:cs="宋体"/>
          <w:sz w:val="24"/>
        </w:rPr>
      </w:pPr>
      <w:r>
        <w:rPr>
          <w:rFonts w:hint="eastAsia" w:ascii="宋体" w:hAnsi="宋体" w:cs="宋体"/>
          <w:sz w:val="24"/>
        </w:rPr>
        <w:t>1、乙方所供产品品种、型号、规格、颜色、质量必须和乙方提供给甲方的样品保持一致，不符合规定的，由乙方负责包换或包修，并承担修理、调换或退货而支付的实际费用。乙方不能修理或者不能调换的，按不能交货处理。产品型号、规格、电压等级、质量等不符合本合同规定时，乙方应负责保退、保换。</w:t>
      </w:r>
    </w:p>
    <w:p>
      <w:pPr>
        <w:spacing w:line="360" w:lineRule="auto"/>
        <w:ind w:firstLine="446" w:firstLineChars="200"/>
        <w:rPr>
          <w:rFonts w:ascii="宋体" w:hAnsi="宋体" w:cs="宋体"/>
          <w:sz w:val="24"/>
        </w:rPr>
      </w:pPr>
      <w:r>
        <w:rPr>
          <w:rFonts w:hint="eastAsia" w:ascii="宋体" w:hAnsi="宋体" w:cs="宋体"/>
          <w:sz w:val="24"/>
        </w:rPr>
        <w:t>2、产品交货时间不符合合同规定时，每延期1天，乙方应偿付甲方延期交货部分货款总值2‰的违约金。</w:t>
      </w:r>
    </w:p>
    <w:p>
      <w:pPr>
        <w:spacing w:line="360" w:lineRule="auto"/>
        <w:ind w:firstLine="446" w:firstLineChars="200"/>
        <w:rPr>
          <w:rFonts w:ascii="宋体" w:hAnsi="宋体" w:cs="宋体"/>
          <w:sz w:val="24"/>
        </w:rPr>
      </w:pPr>
      <w:r>
        <w:rPr>
          <w:rFonts w:hint="eastAsia" w:ascii="宋体" w:hAnsi="宋体" w:cs="宋体"/>
          <w:sz w:val="24"/>
        </w:rPr>
        <w:t>3、开关插座在正常使用中，确因开关插座自身质量问题引起的火灾、触电等安全事故，乙方应承担由此造成的一切责任和损失。</w:t>
      </w:r>
    </w:p>
    <w:p>
      <w:pPr>
        <w:spacing w:line="360" w:lineRule="auto"/>
        <w:ind w:firstLine="480"/>
        <w:rPr>
          <w:rFonts w:ascii="宋体" w:hAnsi="宋体" w:cs="宋体"/>
          <w:sz w:val="24"/>
        </w:rPr>
      </w:pPr>
      <w:r>
        <w:rPr>
          <w:rFonts w:hint="eastAsia" w:ascii="宋体" w:hAnsi="宋体" w:cs="宋体"/>
          <w:sz w:val="24"/>
        </w:rPr>
        <w:t>4、甲、乙双方应严格履行合同规定的各项条款，如合同一方违约，由违约方承担责任，并参照合同法及双方商定的有关条款赔偿经济损失。</w:t>
      </w:r>
    </w:p>
    <w:p>
      <w:pPr>
        <w:spacing w:line="360" w:lineRule="auto"/>
        <w:ind w:firstLine="480"/>
        <w:rPr>
          <w:rFonts w:hint="eastAsia" w:ascii="宋体" w:hAnsi="宋体" w:cs="宋体"/>
          <w:sz w:val="24"/>
        </w:rPr>
      </w:pPr>
      <w:r>
        <w:rPr>
          <w:rFonts w:hint="eastAsia" w:ascii="宋体" w:hAnsi="宋体" w:cs="宋体"/>
          <w:sz w:val="24"/>
        </w:rPr>
        <w:t>5、</w:t>
      </w:r>
      <w:r>
        <w:rPr>
          <w:rFonts w:hint="eastAsia" w:ascii="宋体" w:hAnsi="宋体" w:cs="宋体"/>
          <w:kern w:val="2"/>
          <w:sz w:val="24"/>
          <w:szCs w:val="24"/>
          <w:highlight w:val="none"/>
          <w:lang w:val="en-US" w:eastAsia="zh-CN"/>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r>
        <w:rPr>
          <w:rFonts w:hint="eastAsia" w:ascii="宋体" w:hAnsi="宋体" w:cs="宋体"/>
          <w:sz w:val="24"/>
        </w:rPr>
        <w:t>。</w:t>
      </w:r>
    </w:p>
    <w:p>
      <w:pPr>
        <w:pStyle w:val="2"/>
        <w:spacing w:line="360" w:lineRule="auto"/>
        <w:ind w:firstLine="391" w:firstLineChars="175"/>
        <w:jc w:val="left"/>
        <w:rPr>
          <w:rFonts w:hint="eastAsia" w:ascii="宋体" w:hAnsi="宋体" w:cs="宋体"/>
          <w:sz w:val="24"/>
          <w:szCs w:val="24"/>
        </w:rPr>
      </w:pPr>
      <w:r>
        <w:rPr>
          <w:rFonts w:hint="eastAsia" w:ascii="宋体" w:hAnsi="宋体" w:eastAsia="宋体" w:cs="宋体"/>
          <w:sz w:val="24"/>
          <w:szCs w:val="24"/>
          <w:lang w:val="en-US" w:eastAsia="zh-CN"/>
        </w:rPr>
        <w:t>6</w:t>
      </w:r>
      <w:r>
        <w:rPr>
          <w:rFonts w:hint="eastAsia" w:ascii="宋体" w:hAnsi="宋体" w:cs="宋体"/>
          <w:sz w:val="24"/>
          <w:szCs w:val="24"/>
        </w:rPr>
        <w:t>、甲乙双方均不需对不可抗力原因而造成的违约责任负责。不可抗力是不能合理控制其在没有过错或过失的情况下的事件，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pPr>
        <w:spacing w:line="360" w:lineRule="auto"/>
        <w:rPr>
          <w:rFonts w:ascii="宋体" w:hAnsi="宋体" w:cs="宋体"/>
          <w:b/>
          <w:bCs/>
          <w:sz w:val="24"/>
          <w:szCs w:val="24"/>
        </w:rPr>
      </w:pPr>
      <w:r>
        <w:rPr>
          <w:rFonts w:hint="eastAsia" w:ascii="宋体" w:hAnsi="宋体" w:cs="宋体"/>
          <w:b/>
          <w:bCs/>
          <w:sz w:val="24"/>
          <w:szCs w:val="24"/>
        </w:rPr>
        <w:t>十、送达条款</w:t>
      </w:r>
    </w:p>
    <w:p>
      <w:pPr>
        <w:spacing w:line="360" w:lineRule="auto"/>
        <w:ind w:firstLine="446" w:firstLineChars="200"/>
        <w:jc w:val="left"/>
      </w:pPr>
      <w:r>
        <w:rPr>
          <w:rFonts w:ascii="宋体" w:hAnsi="宋体" w:cs="宋体"/>
          <w:sz w:val="24"/>
        </w:rPr>
        <w:t>甲方</w:t>
      </w:r>
      <w:r>
        <w:rPr>
          <w:rFonts w:hint="eastAsia" w:ascii="宋体" w:hAnsi="宋体" w:cs="宋体"/>
          <w:sz w:val="24"/>
          <w:lang w:val="en-US" w:eastAsia="zh-CN"/>
        </w:rPr>
        <w:t>确认的</w:t>
      </w:r>
      <w:r>
        <w:rPr>
          <w:rFonts w:ascii="宋体" w:hAnsi="宋体" w:cs="宋体"/>
          <w:sz w:val="24"/>
        </w:rPr>
        <w:t>送达信息如下：</w:t>
      </w:r>
    </w:p>
    <w:p>
      <w:pPr>
        <w:spacing w:line="360" w:lineRule="auto"/>
        <w:ind w:firstLine="446" w:firstLineChars="200"/>
        <w:rPr>
          <w:rFonts w:ascii="宋体" w:hAnsi="宋体" w:cs="宋体"/>
          <w:sz w:val="24"/>
          <w:szCs w:val="24"/>
        </w:rPr>
      </w:pPr>
      <w:r>
        <w:rPr>
          <w:rFonts w:hint="eastAsia" w:ascii="宋体" w:hAnsi="宋体" w:cs="宋体"/>
          <w:sz w:val="24"/>
          <w:szCs w:val="24"/>
        </w:rPr>
        <w:t>送达地址：</w:t>
      </w:r>
      <w:r>
        <w:rPr>
          <w:rFonts w:hint="eastAsia" w:ascii="宋体" w:hAnsi="宋体" w:cs="宋体"/>
          <w:sz w:val="24"/>
          <w:szCs w:val="24"/>
          <w:u w:val="single"/>
        </w:rPr>
        <w:t>洛阳市洛龙区开元大道开元壹号营销中心三楼</w:t>
      </w:r>
    </w:p>
    <w:p>
      <w:pPr>
        <w:spacing w:line="360" w:lineRule="auto"/>
        <w:ind w:firstLine="446" w:firstLineChars="200"/>
        <w:rPr>
          <w:rFonts w:ascii="宋体" w:hAnsi="宋体" w:cs="宋体"/>
          <w:sz w:val="24"/>
          <w:szCs w:val="24"/>
          <w:u w:val="single"/>
        </w:rPr>
      </w:pPr>
      <w:r>
        <w:rPr>
          <w:rFonts w:hint="eastAsia" w:ascii="宋体" w:hAnsi="宋体" w:cs="宋体"/>
          <w:sz w:val="24"/>
          <w:szCs w:val="24"/>
        </w:rPr>
        <w:t>联系人及联系方式：</w:t>
      </w:r>
      <w:r>
        <w:rPr>
          <w:rFonts w:hint="eastAsia" w:ascii="宋体" w:hAnsi="宋体" w:cs="宋体"/>
          <w:sz w:val="24"/>
          <w:szCs w:val="24"/>
          <w:u w:val="single"/>
        </w:rPr>
        <w:t>招采合约部 0379-</w:t>
      </w:r>
      <w:r>
        <w:rPr>
          <w:rFonts w:ascii="宋体" w:hAnsi="宋体" w:cs="宋体"/>
          <w:sz w:val="24"/>
          <w:szCs w:val="24"/>
          <w:u w:val="single"/>
        </w:rPr>
        <w:t>60198086</w:t>
      </w:r>
    </w:p>
    <w:p>
      <w:pPr>
        <w:spacing w:line="360" w:lineRule="auto"/>
        <w:ind w:firstLine="446" w:firstLineChars="200"/>
        <w:rPr>
          <w:rFonts w:hint="eastAsia" w:ascii="宋体" w:hAnsi="宋体" w:cs="宋体"/>
          <w:sz w:val="24"/>
          <w:szCs w:val="24"/>
        </w:rPr>
      </w:pPr>
      <w:r>
        <w:rPr>
          <w:rFonts w:hint="eastAsia" w:ascii="宋体" w:hAnsi="宋体" w:cs="宋体"/>
          <w:sz w:val="24"/>
          <w:szCs w:val="24"/>
        </w:rPr>
        <w:t>乙方确认的送达信息</w:t>
      </w:r>
      <w:r>
        <w:rPr>
          <w:rFonts w:hint="eastAsia" w:ascii="宋体" w:hAnsi="宋体" w:cs="宋体"/>
          <w:sz w:val="24"/>
          <w:szCs w:val="24"/>
          <w:lang w:val="en-US" w:eastAsia="zh-CN"/>
        </w:rPr>
        <w:t>如下</w:t>
      </w:r>
      <w:r>
        <w:rPr>
          <w:rFonts w:hint="eastAsia" w:ascii="宋体" w:hAnsi="宋体" w:cs="宋体"/>
          <w:sz w:val="24"/>
          <w:szCs w:val="24"/>
        </w:rPr>
        <w:t xml:space="preserve">： </w:t>
      </w:r>
    </w:p>
    <w:p>
      <w:pPr>
        <w:spacing w:line="360" w:lineRule="auto"/>
        <w:ind w:firstLine="480"/>
        <w:rPr>
          <w:rFonts w:ascii="宋体" w:hAnsi="宋体" w:cs="宋体"/>
          <w:sz w:val="24"/>
          <w:szCs w:val="24"/>
        </w:rPr>
      </w:pPr>
      <w:r>
        <w:rPr>
          <w:rFonts w:hint="eastAsia" w:ascii="宋体" w:hAnsi="宋体" w:cs="宋体"/>
          <w:sz w:val="24"/>
          <w:szCs w:val="24"/>
        </w:rPr>
        <w:t>送达地址：</w:t>
      </w:r>
      <w:r>
        <w:rPr>
          <w:rFonts w:hint="eastAsia" w:ascii="宋体" w:hAnsi="宋体" w:cs="宋体"/>
          <w:sz w:val="24"/>
          <w:szCs w:val="24"/>
          <w:u w:val="single"/>
        </w:rPr>
        <w:t>郑州市管城区七里河南路设计师大厦北塔503室</w:t>
      </w:r>
      <w:r>
        <w:rPr>
          <w:rFonts w:hint="eastAsia" w:asciiTheme="minorEastAsia" w:hAnsiTheme="minorEastAsia" w:eastAsiaTheme="minorEastAsia" w:cstheme="minorEastAsia"/>
          <w:bCs/>
          <w:color w:val="auto"/>
          <w:sz w:val="24"/>
          <w:szCs w:val="24"/>
          <w:u w:val="single"/>
        </w:rPr>
        <w:t>河南艾思普特商贸有限公司</w:t>
      </w:r>
      <w:r>
        <w:rPr>
          <w:rFonts w:hint="eastAsia" w:ascii="宋体" w:hAnsi="宋体" w:cs="宋体"/>
          <w:sz w:val="24"/>
          <w:szCs w:val="24"/>
        </w:rPr>
        <w:t xml:space="preserve">                                                 </w:t>
      </w:r>
    </w:p>
    <w:p>
      <w:pPr>
        <w:spacing w:line="360" w:lineRule="auto"/>
        <w:ind w:firstLine="446" w:firstLineChars="200"/>
        <w:rPr>
          <w:rFonts w:hint="default" w:ascii="宋体" w:hAnsi="宋体" w:eastAsia="宋体" w:cs="宋体"/>
          <w:sz w:val="24"/>
          <w:szCs w:val="24"/>
          <w:highlight w:val="yellow"/>
          <w:u w:val="single"/>
          <w:lang w:val="en-US" w:eastAsia="zh-CN"/>
        </w:rPr>
      </w:pPr>
      <w:r>
        <w:rPr>
          <w:rFonts w:hint="eastAsia" w:ascii="宋体" w:hAnsi="宋体" w:cs="宋体"/>
          <w:sz w:val="24"/>
          <w:szCs w:val="24"/>
        </w:rPr>
        <w:t>联系人及联系方式：</w:t>
      </w:r>
      <w:r>
        <w:rPr>
          <w:rFonts w:hint="eastAsia" w:ascii="宋体" w:hAnsi="宋体" w:cs="宋体"/>
          <w:sz w:val="24"/>
          <w:szCs w:val="24"/>
          <w:u w:val="single"/>
        </w:rPr>
        <w:t>王斌、18837101236</w:t>
      </w:r>
      <w:r>
        <w:rPr>
          <w:rFonts w:hint="eastAsia" w:ascii="宋体" w:hAnsi="宋体" w:cs="宋体"/>
          <w:sz w:val="24"/>
          <w:szCs w:val="24"/>
          <w:u w:val="single"/>
          <w:lang w:val="en-US" w:eastAsia="zh-CN"/>
        </w:rPr>
        <w:t xml:space="preserve">   </w:t>
      </w:r>
    </w:p>
    <w:p>
      <w:pPr>
        <w:spacing w:line="360" w:lineRule="auto"/>
        <w:ind w:firstLine="446" w:firstLineChars="200"/>
      </w:pPr>
      <w:r>
        <w:rPr>
          <w:rFonts w:hint="eastAsia" w:ascii="宋体" w:hAnsi="宋体" w:cs="宋体"/>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、合同解约条款</w:t>
      </w:r>
    </w:p>
    <w:p>
      <w:pPr>
        <w:spacing w:line="360" w:lineRule="auto"/>
        <w:ind w:firstLine="446" w:firstLineChars="200"/>
        <w:rPr>
          <w:rFonts w:ascii="宋体" w:hAnsi="宋体" w:cs="宋体"/>
          <w:sz w:val="24"/>
        </w:rPr>
      </w:pPr>
      <w:r>
        <w:rPr>
          <w:rFonts w:hint="eastAsia" w:ascii="宋体" w:hAnsi="宋体" w:cs="宋体"/>
          <w:sz w:val="24"/>
        </w:rPr>
        <w:t>如发生以下情况甲方有权解除合同：</w:t>
      </w:r>
    </w:p>
    <w:p>
      <w:pPr>
        <w:spacing w:line="360" w:lineRule="auto"/>
        <w:ind w:firstLine="446" w:firstLineChars="200"/>
        <w:rPr>
          <w:rFonts w:ascii="宋体" w:hAnsi="宋体" w:cs="宋体"/>
          <w:sz w:val="24"/>
        </w:rPr>
      </w:pPr>
      <w:r>
        <w:rPr>
          <w:rFonts w:hint="eastAsia" w:ascii="宋体" w:hAnsi="宋体" w:cs="宋体"/>
          <w:sz w:val="24"/>
        </w:rPr>
        <w:t>乙方购置不符合合同约定的品牌、厂家、产地、材质、工艺、规格、型号等标准的产品或者假冒伪劣产品用于本工程。</w:t>
      </w:r>
    </w:p>
    <w:p>
      <w:pPr>
        <w:spacing w:line="360" w:lineRule="auto"/>
        <w:ind w:firstLine="446" w:firstLineChars="200"/>
        <w:rPr>
          <w:rFonts w:ascii="宋体" w:hAnsi="宋体" w:cs="宋体"/>
          <w:sz w:val="24"/>
        </w:rPr>
      </w:pPr>
      <w:r>
        <w:rPr>
          <w:rFonts w:hint="eastAsia" w:ascii="宋体" w:hAnsi="宋体" w:cs="宋体"/>
          <w:sz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如合同解约甲方有权委托其他公司进行</w:t>
      </w:r>
      <w:r>
        <w:rPr>
          <w:rFonts w:hint="eastAsia" w:ascii="宋体" w:hAnsi="宋体" w:cs="宋体"/>
          <w:sz w:val="24"/>
          <w:lang w:val="en-US" w:eastAsia="zh-CN"/>
        </w:rPr>
        <w:t>供货</w:t>
      </w:r>
      <w:r>
        <w:rPr>
          <w:rFonts w:hint="eastAsia" w:ascii="宋体" w:hAnsi="宋体" w:cs="宋体"/>
          <w:sz w:val="24"/>
        </w:rPr>
        <w:t>。</w:t>
      </w:r>
    </w:p>
    <w:p>
      <w:pPr>
        <w:spacing w:line="360" w:lineRule="auto"/>
        <w:rPr>
          <w:rFonts w:ascii="宋体" w:hAnsi="宋体" w:cs="宋体"/>
          <w:b/>
          <w:bCs/>
          <w:sz w:val="24"/>
        </w:rPr>
      </w:pPr>
      <w:r>
        <w:rPr>
          <w:rFonts w:hint="eastAsia" w:ascii="宋体" w:hAnsi="宋体" w:cs="宋体"/>
          <w:b/>
          <w:bCs/>
          <w:sz w:val="24"/>
        </w:rPr>
        <w:t>十</w:t>
      </w:r>
      <w:r>
        <w:rPr>
          <w:rFonts w:hint="eastAsia" w:ascii="宋体" w:hAnsi="宋体" w:cs="宋体"/>
          <w:b/>
          <w:bCs/>
          <w:sz w:val="24"/>
          <w:lang w:val="en-US" w:eastAsia="zh-CN"/>
        </w:rPr>
        <w:t>二</w:t>
      </w:r>
      <w:r>
        <w:rPr>
          <w:rFonts w:hint="eastAsia" w:ascii="宋体" w:hAnsi="宋体" w:cs="宋体"/>
          <w:b/>
          <w:bCs/>
          <w:sz w:val="24"/>
        </w:rPr>
        <w:t>、补充条款</w:t>
      </w:r>
    </w:p>
    <w:p>
      <w:pPr>
        <w:spacing w:line="360" w:lineRule="auto"/>
        <w:ind w:firstLine="446" w:firstLineChars="200"/>
        <w:rPr>
          <w:rFonts w:ascii="宋体" w:hAnsi="宋体"/>
          <w:sz w:val="24"/>
          <w:szCs w:val="24"/>
        </w:rPr>
      </w:pPr>
      <w:r>
        <w:rPr>
          <w:rFonts w:hint="eastAsia" w:ascii="宋体" w:hAnsi="宋体"/>
          <w:sz w:val="24"/>
          <w:szCs w:val="24"/>
        </w:rPr>
        <w:t>1、本合同自双方</w:t>
      </w:r>
      <w:r>
        <w:rPr>
          <w:rFonts w:hint="eastAsia" w:ascii="宋体" w:hAnsi="宋体"/>
          <w:sz w:val="24"/>
          <w:szCs w:val="24"/>
          <w:lang w:val="en-US" w:eastAsia="zh-CN"/>
        </w:rPr>
        <w:t>签字并盖章</w:t>
      </w:r>
      <w:r>
        <w:rPr>
          <w:rFonts w:hint="eastAsia" w:ascii="宋体" w:hAnsi="宋体"/>
          <w:sz w:val="24"/>
          <w:szCs w:val="24"/>
        </w:rPr>
        <w:t>后生效。本合同未尽事宜，可由双方协商解决并签署书面补充协议，补充协议与本合同享有同等法律效力。</w:t>
      </w:r>
    </w:p>
    <w:p>
      <w:pPr>
        <w:spacing w:line="360" w:lineRule="auto"/>
        <w:ind w:firstLine="446" w:firstLineChars="200"/>
        <w:rPr>
          <w:rFonts w:ascii="宋体" w:hAnsi="宋体"/>
          <w:sz w:val="24"/>
          <w:szCs w:val="24"/>
        </w:rPr>
      </w:pPr>
      <w:r>
        <w:rPr>
          <w:rFonts w:ascii="宋体" w:hAnsi="宋体"/>
          <w:sz w:val="24"/>
          <w:szCs w:val="24"/>
        </w:rPr>
        <w:t>2</w:t>
      </w:r>
      <w:r>
        <w:rPr>
          <w:rFonts w:hint="eastAsia" w:ascii="宋体" w:hAnsi="宋体"/>
          <w:sz w:val="24"/>
          <w:szCs w:val="24"/>
        </w:rPr>
        <w:t>、</w:t>
      </w:r>
      <w:r>
        <w:rPr>
          <w:rFonts w:hint="eastAsia" w:ascii="宋体" w:hAnsi="宋体" w:cs="宋体"/>
          <w:sz w:val="24"/>
          <w:szCs w:val="24"/>
        </w:rPr>
        <w:t>发生争议双方应友好协商解决，协商不成的，双方同意由合同签订地（洛阳市洛龙区开元大道1号开元壹号营销中心）人民法院管辖。</w:t>
      </w:r>
    </w:p>
    <w:p>
      <w:pPr>
        <w:spacing w:line="360" w:lineRule="auto"/>
        <w:ind w:firstLine="446" w:firstLineChars="200"/>
        <w:rPr>
          <w:rFonts w:hint="eastAsia" w:ascii="宋体" w:hAnsi="宋体" w:cs="宋体"/>
          <w:sz w:val="24"/>
          <w:szCs w:val="24"/>
        </w:rPr>
      </w:pPr>
      <w:r>
        <w:rPr>
          <w:rFonts w:ascii="宋体" w:hAnsi="宋体"/>
          <w:color w:val="auto"/>
          <w:sz w:val="24"/>
          <w:szCs w:val="24"/>
        </w:rPr>
        <w:t>3</w:t>
      </w:r>
      <w:r>
        <w:rPr>
          <w:rFonts w:hint="eastAsia" w:ascii="宋体" w:hAnsi="宋体"/>
          <w:color w:val="auto"/>
          <w:sz w:val="24"/>
          <w:szCs w:val="24"/>
        </w:rPr>
        <w:t>、合同</w:t>
      </w:r>
      <w:r>
        <w:rPr>
          <w:rFonts w:hint="eastAsia" w:ascii="宋体" w:hAnsi="宋体" w:cs="宋体"/>
          <w:sz w:val="24"/>
          <w:szCs w:val="24"/>
        </w:rPr>
        <w:t>合同附件为本合同不可分割的组成部分，本合同连同附件一式陆份，甲方伍份，乙方壹份，具有同等法律效力。</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kern w:val="2"/>
          <w:sz w:val="24"/>
          <w:szCs w:val="24"/>
          <w:highlight w:val="none"/>
        </w:rPr>
      </w:pPr>
      <w:r>
        <w:rPr>
          <w:rFonts w:hint="eastAsia" w:ascii="宋体" w:hAnsi="宋体" w:cs="宋体"/>
          <w:b/>
          <w:bCs/>
          <w:kern w:val="2"/>
          <w:sz w:val="24"/>
          <w:szCs w:val="24"/>
          <w:highlight w:val="none"/>
          <w:lang w:val="en-US" w:eastAsia="zh-CN"/>
        </w:rPr>
        <w:t>十三</w:t>
      </w:r>
      <w:r>
        <w:rPr>
          <w:rFonts w:hint="eastAsia" w:ascii="宋体" w:hAnsi="宋体" w:cs="宋体"/>
          <w:b/>
          <w:bCs/>
          <w:kern w:val="2"/>
          <w:sz w:val="24"/>
          <w:szCs w:val="24"/>
          <w:highlight w:val="none"/>
          <w:lang w:eastAsia="zh-CN"/>
        </w:rPr>
        <w:t>、</w:t>
      </w:r>
      <w:r>
        <w:rPr>
          <w:rFonts w:hint="eastAsia" w:ascii="宋体" w:hAnsi="宋体" w:eastAsia="宋体" w:cs="宋体"/>
          <w:b/>
          <w:bCs/>
          <w:kern w:val="2"/>
          <w:sz w:val="24"/>
          <w:szCs w:val="24"/>
          <w:highlight w:val="none"/>
        </w:rPr>
        <w:t>附件</w:t>
      </w:r>
    </w:p>
    <w:p>
      <w:pPr>
        <w:pStyle w:val="38"/>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1、</w:t>
      </w:r>
      <w:r>
        <w:rPr>
          <w:rFonts w:hint="eastAsia" w:ascii="宋体" w:hAnsi="宋体" w:eastAsia="宋体" w:cs="宋体"/>
          <w:kern w:val="2"/>
          <w:sz w:val="24"/>
          <w:szCs w:val="24"/>
          <w:highlight w:val="none"/>
        </w:rPr>
        <w:t>附件一、</w:t>
      </w:r>
      <w:r>
        <w:rPr>
          <w:rFonts w:hint="eastAsia" w:ascii="宋体" w:hAnsi="宋体" w:eastAsia="宋体" w:cs="宋体"/>
          <w:kern w:val="2"/>
          <w:sz w:val="24"/>
          <w:szCs w:val="24"/>
          <w:highlight w:val="none"/>
          <w:lang w:val="en-US" w:eastAsia="zh-CN"/>
        </w:rPr>
        <w:t>《工程量清单计价表》</w:t>
      </w:r>
    </w:p>
    <w:p>
      <w:pPr>
        <w:pStyle w:val="38"/>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eastAsia="宋体" w:cs="宋体"/>
          <w:kern w:val="2"/>
          <w:sz w:val="24"/>
          <w:szCs w:val="24"/>
          <w:highlight w:val="none"/>
          <w:lang w:val="en-US" w:eastAsia="zh-CN"/>
        </w:rPr>
        <w:t>二</w:t>
      </w:r>
      <w:r>
        <w:rPr>
          <w:rFonts w:hint="eastAsia" w:ascii="宋体" w:hAnsi="宋体" w:eastAsia="宋体" w:cs="宋体"/>
          <w:kern w:val="2"/>
          <w:sz w:val="24"/>
          <w:szCs w:val="24"/>
          <w:highlight w:val="none"/>
        </w:rPr>
        <w:t>、</w:t>
      </w:r>
      <w:r>
        <w:rPr>
          <w:rFonts w:hint="eastAsia" w:cs="宋体" w:asciiTheme="minorEastAsia" w:hAnsiTheme="minorEastAsia" w:eastAsiaTheme="minorEastAsia"/>
          <w:sz w:val="24"/>
          <w:szCs w:val="24"/>
        </w:rPr>
        <w:t>开关插座验收单（四方签字单）</w:t>
      </w:r>
    </w:p>
    <w:p>
      <w:pPr>
        <w:pStyle w:val="38"/>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pP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eastAsia="宋体" w:cs="宋体"/>
          <w:kern w:val="2"/>
          <w:sz w:val="24"/>
          <w:szCs w:val="24"/>
          <w:highlight w:val="none"/>
          <w:lang w:val="en-US" w:eastAsia="zh-CN"/>
        </w:rPr>
        <w:t>三</w:t>
      </w:r>
      <w:r>
        <w:rPr>
          <w:rFonts w:hint="eastAsia" w:ascii="宋体" w:hAnsi="宋体" w:eastAsia="宋体" w:cs="宋体"/>
          <w:kern w:val="2"/>
          <w:sz w:val="24"/>
          <w:szCs w:val="24"/>
          <w:highlight w:val="none"/>
        </w:rPr>
        <w:t>、廉政合作协议</w:t>
      </w:r>
    </w:p>
    <w:p>
      <w:pPr>
        <w:spacing w:line="360" w:lineRule="auto"/>
        <w:rPr>
          <w:rFonts w:ascii="宋体" w:hAnsi="宋体" w:cs="宋体"/>
          <w:sz w:val="24"/>
          <w:szCs w:val="24"/>
        </w:rPr>
      </w:pPr>
    </w:p>
    <w:p>
      <w:pPr>
        <w:spacing w:line="360" w:lineRule="auto"/>
        <w:ind w:firstLine="446" w:firstLineChars="200"/>
        <w:rPr>
          <w:rFonts w:ascii="宋体" w:hAnsi="宋体" w:cs="宋体"/>
          <w:sz w:val="24"/>
          <w:szCs w:val="24"/>
        </w:rPr>
      </w:pPr>
      <w:r>
        <w:rPr>
          <w:rFonts w:hint="eastAsia" w:ascii="宋体" w:hAnsi="宋体" w:cs="宋体"/>
          <w:sz w:val="24"/>
          <w:szCs w:val="24"/>
        </w:rPr>
        <w:t>（以下无正文）</w:t>
      </w:r>
    </w:p>
    <w:p>
      <w:pPr>
        <w:spacing w:line="360" w:lineRule="auto"/>
        <w:rPr>
          <w:rFonts w:ascii="宋体" w:hAnsi="宋体" w:cs="宋体"/>
          <w:sz w:val="24"/>
          <w:szCs w:val="24"/>
        </w:rPr>
      </w:pPr>
    </w:p>
    <w:p>
      <w:pPr>
        <w:tabs>
          <w:tab w:val="left" w:pos="840"/>
        </w:tabs>
        <w:snapToGrid w:val="0"/>
        <w:spacing w:line="360" w:lineRule="auto"/>
        <w:rPr>
          <w:rFonts w:ascii="宋体" w:hAnsi="宋体" w:cs="宋体"/>
          <w:spacing w:val="-1"/>
          <w:sz w:val="24"/>
          <w:u w:val="single"/>
        </w:rPr>
      </w:pPr>
      <w:r>
        <w:rPr>
          <w:rFonts w:hint="eastAsia" w:ascii="宋体" w:hAnsi="宋体"/>
          <w:sz w:val="18"/>
          <w:szCs w:val="18"/>
        </w:rPr>
        <w:t xml:space="preserve">甲方（盖章）:洛阳浩德鑫置地有限公司  </w:t>
      </w:r>
      <w:r>
        <w:rPr>
          <w:rFonts w:ascii="宋体" w:hAnsi="宋体"/>
          <w:sz w:val="18"/>
          <w:szCs w:val="18"/>
        </w:rPr>
        <w:t xml:space="preserve">          </w:t>
      </w:r>
      <w:r>
        <w:rPr>
          <w:rFonts w:hint="eastAsia" w:ascii="宋体" w:hAnsi="宋体"/>
          <w:sz w:val="18"/>
          <w:szCs w:val="18"/>
        </w:rPr>
        <w:t xml:space="preserve">    乙方（盖章）:</w:t>
      </w:r>
      <w:r>
        <w:rPr>
          <w:rFonts w:hint="eastAsia" w:ascii="宋体" w:hAnsi="宋体" w:eastAsia="宋体" w:cs="Times New Roman"/>
          <w:sz w:val="18"/>
          <w:szCs w:val="18"/>
        </w:rPr>
        <w:t>河南艾思普特商贸有限公司</w:t>
      </w:r>
    </w:p>
    <w:p>
      <w:pPr>
        <w:spacing w:line="480" w:lineRule="auto"/>
        <w:rPr>
          <w:rFonts w:ascii="宋体" w:hAnsi="宋体"/>
          <w:sz w:val="18"/>
          <w:szCs w:val="18"/>
        </w:rPr>
      </w:pPr>
      <w:r>
        <w:rPr>
          <w:rFonts w:hint="eastAsia" w:ascii="宋体" w:hAnsi="宋体"/>
          <w:sz w:val="18"/>
          <w:szCs w:val="18"/>
        </w:rPr>
        <w:t>法 人 代 表：</w:t>
      </w:r>
      <w:r>
        <w:rPr>
          <w:rFonts w:hint="eastAsia" w:ascii="宋体" w:hAnsi="宋体"/>
          <w:sz w:val="18"/>
          <w:szCs w:val="18"/>
        </w:rPr>
        <w:tab/>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法 人 代 表：</w:t>
      </w:r>
    </w:p>
    <w:p>
      <w:pPr>
        <w:spacing w:line="480" w:lineRule="auto"/>
        <w:rPr>
          <w:rFonts w:ascii="宋体" w:hAnsi="宋体"/>
          <w:sz w:val="18"/>
          <w:szCs w:val="18"/>
        </w:rPr>
      </w:pPr>
      <w:r>
        <w:rPr>
          <w:rFonts w:hint="eastAsia" w:ascii="宋体" w:hAnsi="宋体"/>
          <w:sz w:val="18"/>
          <w:szCs w:val="18"/>
        </w:rPr>
        <w:t xml:space="preserve">或授权委托人：                            </w:t>
      </w:r>
      <w:r>
        <w:rPr>
          <w:rFonts w:ascii="宋体" w:hAnsi="宋体"/>
          <w:sz w:val="18"/>
          <w:szCs w:val="18"/>
        </w:rPr>
        <w:t xml:space="preserve">         </w:t>
      </w:r>
      <w:r>
        <w:rPr>
          <w:rFonts w:hint="eastAsia" w:ascii="宋体" w:hAnsi="宋体"/>
          <w:sz w:val="18"/>
          <w:szCs w:val="18"/>
        </w:rPr>
        <w:t>或授权委托人：</w:t>
      </w:r>
    </w:p>
    <w:p>
      <w:pPr>
        <w:spacing w:line="480" w:lineRule="auto"/>
        <w:rPr>
          <w:rFonts w:ascii="宋体" w:hAnsi="宋体"/>
          <w:sz w:val="18"/>
          <w:szCs w:val="18"/>
        </w:rPr>
      </w:pPr>
      <w:r>
        <w:rPr>
          <w:rFonts w:hint="eastAsia" w:ascii="宋体" w:hAnsi="宋体"/>
          <w:sz w:val="18"/>
          <w:szCs w:val="18"/>
        </w:rPr>
        <w:t xml:space="preserve">税号：91410 30055 42480 325               </w:t>
      </w:r>
      <w:r>
        <w:rPr>
          <w:rFonts w:ascii="宋体" w:hAnsi="宋体"/>
          <w:sz w:val="18"/>
          <w:szCs w:val="18"/>
        </w:rPr>
        <w:t xml:space="preserve">         </w:t>
      </w:r>
      <w:r>
        <w:rPr>
          <w:rFonts w:hint="eastAsia" w:ascii="宋体" w:hAnsi="宋体"/>
          <w:sz w:val="18"/>
          <w:szCs w:val="18"/>
        </w:rPr>
        <w:t>税号：</w:t>
      </w:r>
      <w:r>
        <w:rPr>
          <w:rFonts w:hint="eastAsia" w:ascii="宋体" w:hAnsi="宋体" w:eastAsia="宋体" w:cs="Times New Roman"/>
          <w:sz w:val="18"/>
          <w:szCs w:val="18"/>
        </w:rPr>
        <w:t>91410</w:t>
      </w:r>
      <w:r>
        <w:rPr>
          <w:rFonts w:hint="eastAsia" w:ascii="宋体" w:hAnsi="宋体" w:eastAsia="宋体" w:cs="Times New Roman"/>
          <w:sz w:val="18"/>
          <w:szCs w:val="18"/>
          <w:lang w:val="en-US" w:eastAsia="zh-CN"/>
        </w:rPr>
        <w:t xml:space="preserve"> </w:t>
      </w:r>
      <w:r>
        <w:rPr>
          <w:rFonts w:hint="eastAsia" w:ascii="宋体" w:hAnsi="宋体" w:eastAsia="宋体" w:cs="Times New Roman"/>
          <w:sz w:val="18"/>
          <w:szCs w:val="18"/>
        </w:rPr>
        <w:t>10007</w:t>
      </w:r>
      <w:r>
        <w:rPr>
          <w:rFonts w:hint="eastAsia" w:ascii="宋体" w:hAnsi="宋体" w:eastAsia="宋体" w:cs="Times New Roman"/>
          <w:sz w:val="18"/>
          <w:szCs w:val="18"/>
          <w:lang w:val="en-US" w:eastAsia="zh-CN"/>
        </w:rPr>
        <w:t xml:space="preserve"> </w:t>
      </w:r>
      <w:r>
        <w:rPr>
          <w:rFonts w:hint="eastAsia" w:ascii="宋体" w:hAnsi="宋体" w:eastAsia="宋体" w:cs="Times New Roman"/>
          <w:sz w:val="18"/>
          <w:szCs w:val="18"/>
        </w:rPr>
        <w:t>78150</w:t>
      </w:r>
      <w:r>
        <w:rPr>
          <w:rFonts w:hint="eastAsia" w:ascii="宋体" w:hAnsi="宋体" w:eastAsia="宋体" w:cs="Times New Roman"/>
          <w:sz w:val="18"/>
          <w:szCs w:val="18"/>
          <w:lang w:val="en-US" w:eastAsia="zh-CN"/>
        </w:rPr>
        <w:t xml:space="preserve"> </w:t>
      </w:r>
      <w:r>
        <w:rPr>
          <w:rFonts w:hint="eastAsia" w:ascii="宋体" w:hAnsi="宋体" w:eastAsia="宋体" w:cs="Times New Roman"/>
          <w:sz w:val="18"/>
          <w:szCs w:val="18"/>
        </w:rPr>
        <w:t>05H</w:t>
      </w:r>
    </w:p>
    <w:p>
      <w:pPr>
        <w:spacing w:line="480" w:lineRule="auto"/>
        <w:rPr>
          <w:rFonts w:ascii="宋体" w:hAnsi="宋体"/>
          <w:sz w:val="18"/>
          <w:szCs w:val="18"/>
        </w:rPr>
      </w:pPr>
      <w:r>
        <w:rPr>
          <w:rFonts w:hint="eastAsia" w:ascii="宋体" w:hAnsi="宋体"/>
          <w:sz w:val="18"/>
          <w:szCs w:val="18"/>
        </w:rPr>
        <w:t xml:space="preserve">账户：00000061411416707012               </w:t>
      </w:r>
      <w:r>
        <w:rPr>
          <w:rFonts w:ascii="宋体" w:hAnsi="宋体"/>
          <w:sz w:val="18"/>
          <w:szCs w:val="18"/>
        </w:rPr>
        <w:t xml:space="preserve">          </w:t>
      </w:r>
      <w:r>
        <w:rPr>
          <w:rFonts w:hint="eastAsia" w:ascii="宋体" w:hAnsi="宋体"/>
          <w:sz w:val="18"/>
          <w:szCs w:val="18"/>
        </w:rPr>
        <w:t>账户：</w:t>
      </w:r>
      <w:r>
        <w:rPr>
          <w:rFonts w:hint="eastAsia" w:ascii="宋体" w:hAnsi="宋体" w:eastAsia="宋体" w:cs="Times New Roman"/>
          <w:sz w:val="18"/>
          <w:szCs w:val="18"/>
        </w:rPr>
        <w:t>41001533020052510545</w:t>
      </w:r>
    </w:p>
    <w:p>
      <w:pPr>
        <w:spacing w:line="360" w:lineRule="auto"/>
        <w:rPr>
          <w:rFonts w:hint="eastAsia" w:ascii="宋体" w:hAnsi="宋体"/>
          <w:sz w:val="18"/>
          <w:szCs w:val="18"/>
        </w:rPr>
      </w:pPr>
      <w:r>
        <w:rPr>
          <w:rFonts w:hint="eastAsia" w:ascii="宋体" w:hAnsi="宋体"/>
          <w:sz w:val="18"/>
          <w:szCs w:val="18"/>
        </w:rPr>
        <w:t>开户行：洛阳农村商业银行股份有限公司李楼支行</w:t>
      </w:r>
      <w:r>
        <w:rPr>
          <w:rFonts w:ascii="宋体" w:hAnsi="宋体"/>
          <w:sz w:val="18"/>
          <w:szCs w:val="18"/>
        </w:rPr>
        <w:t xml:space="preserve"> </w:t>
      </w:r>
      <w:r>
        <w:rPr>
          <w:rFonts w:hint="eastAsia" w:ascii="宋体" w:hAnsi="宋体"/>
          <w:sz w:val="18"/>
          <w:szCs w:val="18"/>
        </w:rPr>
        <w:t xml:space="preserve">      开户行：</w:t>
      </w:r>
      <w:r>
        <w:rPr>
          <w:rFonts w:hint="eastAsia" w:ascii="宋体" w:hAnsi="宋体" w:eastAsia="宋体" w:cs="Times New Roman"/>
          <w:sz w:val="18"/>
          <w:szCs w:val="18"/>
        </w:rPr>
        <w:t>中国建设银行股份有限公司郑州建业支行</w:t>
      </w:r>
    </w:p>
    <w:p>
      <w:pPr>
        <w:spacing w:line="360" w:lineRule="auto"/>
        <w:rPr>
          <w:rFonts w:ascii="宋体" w:hAnsi="宋体" w:cs="宋体"/>
          <w:b/>
          <w:kern w:val="0"/>
          <w:sz w:val="24"/>
          <w:szCs w:val="24"/>
        </w:rPr>
      </w:pPr>
      <w:r>
        <w:rPr>
          <w:rFonts w:hint="eastAsia" w:ascii="宋体" w:hAnsi="宋体"/>
          <w:bCs/>
          <w:sz w:val="18"/>
          <w:szCs w:val="18"/>
          <w:highlight w:val="none"/>
        </w:rPr>
        <w:t>日期：</w:t>
      </w:r>
      <w:r>
        <w:rPr>
          <w:rFonts w:ascii="宋体" w:hAnsi="宋体"/>
          <w:bCs/>
          <w:sz w:val="18"/>
          <w:szCs w:val="18"/>
          <w:highlight w:val="none"/>
        </w:rPr>
        <w:t xml:space="preserve"> </w:t>
      </w:r>
      <w:r>
        <w:rPr>
          <w:rFonts w:hint="eastAsia" w:ascii="宋体" w:hAnsi="宋体"/>
          <w:bCs/>
          <w:sz w:val="18"/>
          <w:szCs w:val="18"/>
          <w:highlight w:val="none"/>
        </w:rPr>
        <w:t>2</w:t>
      </w:r>
      <w:r>
        <w:rPr>
          <w:rFonts w:ascii="宋体" w:hAnsi="宋体"/>
          <w:bCs/>
          <w:sz w:val="18"/>
          <w:szCs w:val="18"/>
          <w:highlight w:val="none"/>
        </w:rPr>
        <w:t>021</w:t>
      </w:r>
      <w:r>
        <w:rPr>
          <w:rFonts w:hint="eastAsia" w:ascii="宋体" w:hAnsi="宋体"/>
          <w:bCs/>
          <w:sz w:val="18"/>
          <w:szCs w:val="18"/>
          <w:highlight w:val="none"/>
        </w:rPr>
        <w:t>年</w:t>
      </w:r>
      <w:r>
        <w:rPr>
          <w:rFonts w:hint="eastAsia" w:ascii="宋体" w:hAnsi="宋体"/>
          <w:bCs/>
          <w:sz w:val="18"/>
          <w:szCs w:val="18"/>
          <w:highlight w:val="none"/>
          <w:lang w:val="en-US" w:eastAsia="zh-CN"/>
        </w:rPr>
        <w:t>10</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日期：2</w:t>
      </w:r>
      <w:r>
        <w:rPr>
          <w:rFonts w:ascii="宋体" w:hAnsi="宋体"/>
          <w:bCs/>
          <w:sz w:val="18"/>
          <w:szCs w:val="18"/>
          <w:highlight w:val="none"/>
        </w:rPr>
        <w:t>021</w:t>
      </w:r>
      <w:r>
        <w:rPr>
          <w:rFonts w:hint="eastAsia" w:ascii="宋体" w:hAnsi="宋体"/>
          <w:bCs/>
          <w:sz w:val="18"/>
          <w:szCs w:val="18"/>
          <w:highlight w:val="none"/>
        </w:rPr>
        <w:t>年</w:t>
      </w:r>
      <w:r>
        <w:rPr>
          <w:rFonts w:hint="eastAsia" w:ascii="宋体" w:hAnsi="宋体"/>
          <w:bCs/>
          <w:sz w:val="18"/>
          <w:szCs w:val="18"/>
          <w:highlight w:val="none"/>
          <w:lang w:val="en-US" w:eastAsia="zh-CN"/>
        </w:rPr>
        <w:t>10</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w:t>
      </w: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r>
        <w:rPr>
          <w:rFonts w:ascii="宋体" w:hAnsi="宋体" w:cs="宋体"/>
          <w:b/>
          <w:kern w:val="0"/>
          <w:sz w:val="24"/>
          <w:szCs w:val="24"/>
        </w:rPr>
        <w:t>附件一</w:t>
      </w:r>
      <w:r>
        <w:rPr>
          <w:rFonts w:hint="eastAsia" w:ascii="宋体" w:hAnsi="宋体" w:eastAsia="宋体" w:cs="宋体"/>
          <w:b/>
          <w:bCs/>
          <w:kern w:val="2"/>
          <w:sz w:val="24"/>
          <w:szCs w:val="24"/>
          <w:highlight w:val="none"/>
          <w:lang w:val="en-US" w:eastAsia="zh-CN"/>
        </w:rPr>
        <w:t>《工程量清单计价表》</w:t>
      </w:r>
    </w:p>
    <w:tbl>
      <w:tblPr>
        <w:tblStyle w:val="21"/>
        <w:tblW w:w="99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7"/>
        <w:gridCol w:w="1999"/>
        <w:gridCol w:w="1785"/>
        <w:gridCol w:w="770"/>
        <w:gridCol w:w="771"/>
        <w:gridCol w:w="1397"/>
        <w:gridCol w:w="1143"/>
        <w:gridCol w:w="1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9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品牌及系列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（元/个）</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一位跷板式暗开关</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250V 10A</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7918</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31117.74</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施耐德畅意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二位跷板式暗开关</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250V 10A</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2803</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16145.28</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施耐德畅意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三位跷板式暗开关</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250V 10A</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147.78</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施耐德畅意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一位双控开关</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250V 10A</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281.76</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施耐德畅意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39"/>
                <w:lang w:val="en-US" w:eastAsia="zh-CN" w:bidi="ar"/>
              </w:rPr>
              <w:t xml:space="preserve">3+2 </w:t>
            </w:r>
            <w:r>
              <w:rPr>
                <w:rStyle w:val="40"/>
                <w:lang w:val="en-US" w:eastAsia="zh-CN" w:bidi="ar"/>
              </w:rPr>
              <w:t>孔插座</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10A</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18066</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89246.04</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施耐德畅意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 孔带开关插座</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16A</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37091.6</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施耐德畅意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 孔带开关插座</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10A</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7173.76</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施耐德畅意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39"/>
                <w:lang w:val="en-US" w:eastAsia="zh-CN" w:bidi="ar"/>
              </w:rPr>
              <w:t xml:space="preserve">3+2 </w:t>
            </w:r>
            <w:r>
              <w:rPr>
                <w:rStyle w:val="40"/>
                <w:lang w:val="en-US" w:eastAsia="zh-CN" w:bidi="ar"/>
              </w:rPr>
              <w:t>孔带开关插座</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10A</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26364.65</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施耐德畅意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39"/>
                <w:lang w:val="en-US" w:eastAsia="zh-CN" w:bidi="ar"/>
              </w:rPr>
              <w:t>四联</w:t>
            </w:r>
            <w:r>
              <w:rPr>
                <w:rStyle w:val="41"/>
                <w:rFonts w:eastAsia="宋体"/>
                <w:lang w:val="en-US" w:eastAsia="zh-CN" w:bidi="ar"/>
              </w:rPr>
              <w:t xml:space="preserve"> 3+2 </w:t>
            </w:r>
            <w:r>
              <w:rPr>
                <w:rStyle w:val="40"/>
                <w:lang w:val="en-US" w:eastAsia="zh-CN" w:bidi="ar"/>
              </w:rPr>
              <w:t>孔插座</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10A</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18.71</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38130.98</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施耐德畅意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防溅盒</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20527.15</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白板</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12733</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16170.91</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282397.65</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bl>
    <w:p>
      <w:pPr>
        <w:spacing w:line="360" w:lineRule="exact"/>
        <w:rPr>
          <w:rFonts w:ascii="宋体" w:hAnsi="宋体"/>
          <w:b/>
          <w:kern w:val="0"/>
          <w:sz w:val="28"/>
          <w:szCs w:val="28"/>
        </w:rPr>
      </w:pPr>
    </w:p>
    <w:p>
      <w:pPr>
        <w:spacing w:line="360" w:lineRule="exact"/>
        <w:rPr>
          <w:rFonts w:hint="eastAsia" w:ascii="宋体" w:hAnsi="宋体" w:eastAsia="宋体"/>
          <w:b/>
          <w:kern w:val="0"/>
          <w:sz w:val="28"/>
          <w:szCs w:val="28"/>
          <w:lang w:eastAsia="zh-CN"/>
        </w:rPr>
      </w:pPr>
    </w:p>
    <w:p>
      <w:pPr>
        <w:spacing w:line="360" w:lineRule="exact"/>
        <w:rPr>
          <w:rFonts w:ascii="宋体" w:hAnsi="宋体"/>
          <w:b/>
          <w:kern w:val="0"/>
          <w:sz w:val="28"/>
          <w:szCs w:val="28"/>
        </w:rPr>
      </w:pPr>
    </w:p>
    <w:p>
      <w:pPr>
        <w:spacing w:line="360" w:lineRule="exact"/>
        <w:rPr>
          <w:rFonts w:ascii="宋体" w:hAnsi="宋体"/>
          <w:b/>
          <w:kern w:val="0"/>
          <w:sz w:val="28"/>
          <w:szCs w:val="28"/>
        </w:rPr>
      </w:pPr>
    </w:p>
    <w:p>
      <w:pPr>
        <w:spacing w:line="360" w:lineRule="exact"/>
        <w:rPr>
          <w:rFonts w:ascii="宋体" w:hAnsi="宋体"/>
          <w:b/>
          <w:kern w:val="0"/>
          <w:sz w:val="28"/>
          <w:szCs w:val="28"/>
        </w:rPr>
      </w:pPr>
    </w:p>
    <w:p>
      <w:pPr>
        <w:spacing w:line="360" w:lineRule="exact"/>
        <w:rPr>
          <w:rFonts w:ascii="宋体" w:hAnsi="宋体"/>
          <w:b/>
          <w:kern w:val="0"/>
          <w:sz w:val="28"/>
          <w:szCs w:val="28"/>
        </w:rPr>
      </w:pPr>
    </w:p>
    <w:p>
      <w:pPr>
        <w:spacing w:line="360" w:lineRule="exact"/>
        <w:rPr>
          <w:rFonts w:ascii="宋体" w:hAnsi="宋体"/>
          <w:b/>
          <w:kern w:val="0"/>
          <w:sz w:val="28"/>
          <w:szCs w:val="28"/>
        </w:rPr>
      </w:pPr>
    </w:p>
    <w:p>
      <w:pPr>
        <w:spacing w:line="360" w:lineRule="exact"/>
        <w:rPr>
          <w:rFonts w:ascii="宋体" w:hAnsi="宋体"/>
          <w:b/>
          <w:kern w:val="0"/>
          <w:sz w:val="28"/>
          <w:szCs w:val="28"/>
        </w:rPr>
      </w:pPr>
    </w:p>
    <w:p>
      <w:pPr>
        <w:spacing w:line="360" w:lineRule="exact"/>
        <w:rPr>
          <w:rFonts w:ascii="宋体" w:hAnsi="宋体"/>
          <w:b/>
          <w:kern w:val="0"/>
          <w:sz w:val="28"/>
          <w:szCs w:val="28"/>
        </w:rPr>
      </w:pPr>
    </w:p>
    <w:p>
      <w:pPr>
        <w:spacing w:line="360" w:lineRule="exact"/>
        <w:rPr>
          <w:rFonts w:ascii="宋体" w:hAnsi="宋体"/>
          <w:b/>
          <w:kern w:val="0"/>
          <w:sz w:val="28"/>
          <w:szCs w:val="28"/>
        </w:rPr>
      </w:pPr>
    </w:p>
    <w:p>
      <w:pPr>
        <w:spacing w:line="360" w:lineRule="exact"/>
        <w:rPr>
          <w:rFonts w:hint="eastAsia" w:asciiTheme="minorEastAsia" w:hAnsiTheme="minorEastAsia" w:eastAsiaTheme="minorEastAsia"/>
          <w:b/>
          <w:kern w:val="0"/>
          <w:sz w:val="24"/>
          <w:szCs w:val="24"/>
        </w:rPr>
      </w:pPr>
    </w:p>
    <w:p>
      <w:pPr>
        <w:spacing w:line="360" w:lineRule="exact"/>
        <w:rPr>
          <w:rFonts w:hint="eastAsia" w:asciiTheme="minorEastAsia" w:hAnsiTheme="minorEastAsia" w:eastAsiaTheme="minorEastAsia"/>
          <w:b/>
          <w:kern w:val="0"/>
          <w:sz w:val="24"/>
          <w:szCs w:val="24"/>
        </w:rPr>
      </w:pPr>
    </w:p>
    <w:p>
      <w:pPr>
        <w:spacing w:line="360" w:lineRule="exact"/>
        <w:rPr>
          <w:rFonts w:hint="eastAsia" w:asciiTheme="minorEastAsia" w:hAnsiTheme="minorEastAsia" w:eastAsiaTheme="minorEastAsia"/>
          <w:b/>
          <w:kern w:val="0"/>
          <w:sz w:val="24"/>
          <w:szCs w:val="24"/>
        </w:rPr>
      </w:pPr>
    </w:p>
    <w:p>
      <w:pPr>
        <w:spacing w:line="360" w:lineRule="exact"/>
        <w:rPr>
          <w:rFonts w:hint="eastAsia" w:asciiTheme="minorEastAsia" w:hAnsiTheme="minorEastAsia" w:eastAsiaTheme="minorEastAsia"/>
          <w:b/>
          <w:kern w:val="0"/>
          <w:sz w:val="24"/>
          <w:szCs w:val="24"/>
        </w:rPr>
      </w:pPr>
    </w:p>
    <w:p>
      <w:pPr>
        <w:spacing w:line="360" w:lineRule="exact"/>
        <w:rPr>
          <w:rFonts w:ascii="宋体" w:hAnsi="宋体"/>
          <w:b/>
          <w:kern w:val="0"/>
          <w:sz w:val="28"/>
          <w:szCs w:val="28"/>
        </w:rPr>
      </w:pPr>
      <w:r>
        <w:rPr>
          <w:rFonts w:hint="eastAsia" w:asciiTheme="minorEastAsia" w:hAnsiTheme="minorEastAsia" w:eastAsiaTheme="minorEastAsia"/>
          <w:b/>
          <w:kern w:val="0"/>
          <w:sz w:val="24"/>
          <w:szCs w:val="24"/>
        </w:rPr>
        <w:t>附件二：</w:t>
      </w:r>
      <w:r>
        <w:rPr>
          <w:rFonts w:hint="eastAsia" w:ascii="宋体" w:hAnsi="宋体"/>
          <w:b/>
          <w:kern w:val="0"/>
          <w:sz w:val="28"/>
          <w:szCs w:val="28"/>
        </w:rPr>
        <w:t xml:space="preserve">          </w:t>
      </w:r>
    </w:p>
    <w:p>
      <w:pPr>
        <w:spacing w:line="360" w:lineRule="exact"/>
        <w:jc w:val="center"/>
        <w:rPr>
          <w:rFonts w:ascii="宋体" w:hAnsi="宋体"/>
          <w:b/>
          <w:kern w:val="0"/>
          <w:sz w:val="28"/>
          <w:szCs w:val="28"/>
        </w:rPr>
      </w:pPr>
      <w:r>
        <w:rPr>
          <w:rFonts w:hint="eastAsia" w:ascii="宋体" w:hAnsi="宋体"/>
          <w:b/>
          <w:kern w:val="0"/>
          <w:sz w:val="32"/>
          <w:szCs w:val="32"/>
        </w:rPr>
        <w:t>开关插座验收单（四方签字单）</w:t>
      </w:r>
    </w:p>
    <w:tbl>
      <w:tblPr>
        <w:tblStyle w:val="21"/>
        <w:tblpPr w:leftFromText="180" w:rightFromText="180" w:vertAnchor="text" w:horzAnchor="page" w:tblpX="1428" w:tblpY="337"/>
        <w:tblOverlap w:val="never"/>
        <w:tblW w:w="9138" w:type="dxa"/>
        <w:tblInd w:w="0" w:type="dxa"/>
        <w:tblLayout w:type="fixed"/>
        <w:tblCellMar>
          <w:top w:w="0" w:type="dxa"/>
          <w:left w:w="15" w:type="dxa"/>
          <w:bottom w:w="0" w:type="dxa"/>
          <w:right w:w="15" w:type="dxa"/>
        </w:tblCellMar>
      </w:tblPr>
      <w:tblGrid>
        <w:gridCol w:w="1364"/>
        <w:gridCol w:w="1831"/>
        <w:gridCol w:w="2222"/>
        <w:gridCol w:w="1641"/>
        <w:gridCol w:w="2080"/>
      </w:tblGrid>
      <w:tr>
        <w:tblPrEx>
          <w:tblCellMar>
            <w:top w:w="0" w:type="dxa"/>
            <w:left w:w="15" w:type="dxa"/>
            <w:bottom w:w="0" w:type="dxa"/>
            <w:right w:w="15" w:type="dxa"/>
          </w:tblCellMar>
        </w:tblPrEx>
        <w:trPr>
          <w:trHeight w:val="300" w:hRule="atLeast"/>
        </w:trPr>
        <w:tc>
          <w:tcPr>
            <w:tcW w:w="1364" w:type="dxa"/>
            <w:tcBorders>
              <w:top w:val="single" w:color="000000" w:sz="4" w:space="0"/>
              <w:left w:val="single" w:color="000000" w:sz="4" w:space="0"/>
              <w:right w:val="single" w:color="000000" w:sz="4" w:space="0"/>
            </w:tcBorders>
          </w:tcPr>
          <w:p>
            <w:pPr>
              <w:tabs>
                <w:tab w:val="left" w:pos="840"/>
              </w:tabs>
              <w:autoSpaceDN w:val="0"/>
              <w:jc w:val="center"/>
              <w:textAlignment w:val="center"/>
              <w:rPr>
                <w:rFonts w:ascii="宋体" w:hAnsi="宋体"/>
                <w:sz w:val="24"/>
              </w:rPr>
            </w:pPr>
            <w:r>
              <w:rPr>
                <w:rFonts w:ascii="宋体" w:hAnsi="宋体"/>
                <w:sz w:val="28"/>
              </w:rPr>
              <w:t>序号</w:t>
            </w:r>
          </w:p>
        </w:tc>
        <w:tc>
          <w:tcPr>
            <w:tcW w:w="1831" w:type="dxa"/>
            <w:tcBorders>
              <w:top w:val="single" w:color="000000" w:sz="4" w:space="0"/>
              <w:left w:val="single" w:color="000000" w:sz="4" w:space="0"/>
              <w:right w:val="single" w:color="000000" w:sz="4" w:space="0"/>
            </w:tcBorders>
            <w:vAlign w:val="center"/>
          </w:tcPr>
          <w:p>
            <w:pPr>
              <w:autoSpaceDN w:val="0"/>
              <w:jc w:val="center"/>
              <w:textAlignment w:val="center"/>
              <w:rPr>
                <w:rFonts w:ascii="宋体" w:hAnsi="宋体"/>
                <w:sz w:val="28"/>
              </w:rPr>
            </w:pPr>
            <w:r>
              <w:rPr>
                <w:rFonts w:hint="eastAsia" w:ascii="宋体" w:hAnsi="宋体"/>
                <w:sz w:val="28"/>
              </w:rPr>
              <w:t>名称</w:t>
            </w:r>
          </w:p>
        </w:tc>
        <w:tc>
          <w:tcPr>
            <w:tcW w:w="2222" w:type="dxa"/>
            <w:tcBorders>
              <w:top w:val="single" w:color="000000" w:sz="4" w:space="0"/>
              <w:left w:val="single" w:color="000000"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8"/>
              </w:rPr>
              <w:t>规格</w:t>
            </w:r>
            <w:r>
              <w:rPr>
                <w:rFonts w:ascii="宋体" w:hAnsi="宋体"/>
                <w:sz w:val="28"/>
              </w:rPr>
              <w:t>型</w:t>
            </w:r>
            <w:r>
              <w:rPr>
                <w:rFonts w:hint="eastAsia" w:ascii="宋体" w:hAnsi="宋体"/>
                <w:sz w:val="28"/>
              </w:rPr>
              <w:t>号</w:t>
            </w: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r>
              <w:rPr>
                <w:rFonts w:ascii="宋体" w:hAnsi="宋体"/>
                <w:sz w:val="24"/>
              </w:rPr>
              <w:t>数量</w:t>
            </w: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备注</w:t>
            </w:r>
          </w:p>
        </w:tc>
      </w:tr>
      <w:tr>
        <w:tblPrEx>
          <w:tblCellMar>
            <w:top w:w="0" w:type="dxa"/>
            <w:left w:w="15" w:type="dxa"/>
            <w:bottom w:w="0" w:type="dxa"/>
            <w:right w:w="15" w:type="dxa"/>
          </w:tblCellMar>
        </w:tblPrEx>
        <w:trPr>
          <w:trHeight w:val="510" w:hRule="atLeast"/>
        </w:trPr>
        <w:tc>
          <w:tcPr>
            <w:tcW w:w="1364"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ascii="宋体" w:hAnsi="宋体"/>
                <w:sz w:val="24"/>
              </w:rPr>
              <w:t>1</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ascii="宋体" w:hAnsi="宋体"/>
                <w:sz w:val="24"/>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ascii="宋体" w:hAnsi="宋体"/>
                <w:sz w:val="24"/>
              </w:rPr>
              <w:t>3</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ascii="宋体" w:hAnsi="宋体"/>
                <w:sz w:val="24"/>
              </w:rPr>
              <w:t>4</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ascii="宋体" w:hAnsi="宋体"/>
                <w:sz w:val="24"/>
              </w:rPr>
              <w:t>5</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ascii="宋体" w:hAnsi="宋体"/>
                <w:sz w:val="24"/>
              </w:rPr>
              <w:t>6</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ascii="宋体" w:hAnsi="宋体"/>
                <w:sz w:val="24"/>
              </w:rPr>
              <w:t>7</w:t>
            </w:r>
          </w:p>
        </w:tc>
        <w:tc>
          <w:tcPr>
            <w:tcW w:w="1831" w:type="dxa"/>
            <w:tcBorders>
              <w:top w:val="single" w:color="000000" w:sz="4" w:space="0"/>
              <w:left w:val="single" w:color="000000" w:sz="4" w:space="0"/>
              <w:bottom w:val="single" w:color="auto" w:sz="4" w:space="0"/>
            </w:tcBorders>
            <w:vAlign w:val="center"/>
          </w:tcPr>
          <w:p>
            <w:pPr>
              <w:autoSpaceDN w:val="0"/>
              <w:jc w:val="center"/>
              <w:textAlignment w:val="center"/>
              <w:rPr>
                <w:rFonts w:ascii="宋体" w:hAnsi="宋体"/>
                <w:sz w:val="24"/>
              </w:rPr>
            </w:pPr>
          </w:p>
        </w:tc>
        <w:tc>
          <w:tcPr>
            <w:tcW w:w="2222" w:type="dxa"/>
            <w:tcBorders>
              <w:top w:val="single" w:color="000000" w:sz="4" w:space="0"/>
              <w:left w:val="single" w:color="000000" w:sz="4" w:space="0"/>
              <w:bottom w:val="single" w:color="auto" w:sz="4" w:space="0"/>
            </w:tcBorders>
            <w:vAlign w:val="center"/>
          </w:tcPr>
          <w:p>
            <w:pPr>
              <w:autoSpaceDN w:val="0"/>
              <w:jc w:val="center"/>
              <w:textAlignment w:val="center"/>
              <w:rPr>
                <w:rFonts w:ascii="宋体" w:hAnsi="宋体"/>
                <w:sz w:val="24"/>
              </w:rPr>
            </w:pPr>
          </w:p>
        </w:tc>
        <w:tc>
          <w:tcPr>
            <w:tcW w:w="1641"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2080"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right w:val="single" w:color="000000" w:sz="4" w:space="0"/>
            </w:tcBorders>
            <w:vAlign w:val="center"/>
          </w:tcPr>
          <w:p>
            <w:pPr>
              <w:autoSpaceDN w:val="0"/>
              <w:jc w:val="center"/>
              <w:textAlignment w:val="center"/>
              <w:rPr>
                <w:rFonts w:ascii="宋体" w:hAnsi="宋体"/>
                <w:sz w:val="24"/>
              </w:rPr>
            </w:pPr>
            <w:r>
              <w:rPr>
                <w:rFonts w:ascii="宋体" w:hAnsi="宋体"/>
                <w:sz w:val="24"/>
              </w:rPr>
              <w:t>8</w:t>
            </w:r>
          </w:p>
        </w:tc>
        <w:tc>
          <w:tcPr>
            <w:tcW w:w="1831" w:type="dxa"/>
            <w:tcBorders>
              <w:top w:val="single" w:color="auto" w:sz="4" w:space="0"/>
              <w:left w:val="single" w:color="000000" w:sz="4" w:space="0"/>
              <w:bottom w:val="single" w:color="000000" w:sz="4" w:space="0"/>
            </w:tcBorders>
            <w:vAlign w:val="center"/>
          </w:tcPr>
          <w:p>
            <w:pPr>
              <w:autoSpaceDN w:val="0"/>
              <w:jc w:val="center"/>
              <w:textAlignment w:val="center"/>
              <w:rPr>
                <w:rFonts w:ascii="宋体" w:hAnsi="宋体"/>
                <w:sz w:val="24"/>
              </w:rPr>
            </w:pPr>
          </w:p>
        </w:tc>
        <w:tc>
          <w:tcPr>
            <w:tcW w:w="2222" w:type="dxa"/>
            <w:tcBorders>
              <w:top w:val="single" w:color="auto" w:sz="4" w:space="0"/>
              <w:left w:val="single" w:color="000000" w:sz="4" w:space="0"/>
              <w:bottom w:val="single" w:color="000000" w:sz="4" w:space="0"/>
            </w:tcBorders>
            <w:vAlign w:val="center"/>
          </w:tcPr>
          <w:p>
            <w:pPr>
              <w:autoSpaceDN w:val="0"/>
              <w:jc w:val="center"/>
              <w:textAlignment w:val="center"/>
              <w:rPr>
                <w:rFonts w:ascii="宋体" w:hAnsi="宋体"/>
                <w:sz w:val="24"/>
              </w:rPr>
            </w:pPr>
          </w:p>
        </w:tc>
        <w:tc>
          <w:tcPr>
            <w:tcW w:w="1641"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080" w:type="dxa"/>
            <w:tcBorders>
              <w:top w:val="single" w:color="auto" w:sz="4" w:space="0"/>
              <w:left w:val="single" w:color="000000" w:sz="4" w:space="0"/>
              <w:bottom w:val="single" w:color="000000" w:sz="4" w:space="0"/>
              <w:right w:val="single" w:color="auto" w:sz="4" w:space="0"/>
            </w:tcBorders>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甲方签字</w:t>
            </w:r>
          </w:p>
        </w:tc>
        <w:tc>
          <w:tcPr>
            <w:tcW w:w="7774" w:type="dxa"/>
            <w:gridSpan w:val="4"/>
            <w:tcBorders>
              <w:top w:val="single" w:color="000000" w:sz="4" w:space="0"/>
              <w:bottom w:val="single" w:color="000000" w:sz="4" w:space="0"/>
              <w:right w:val="single" w:color="auto" w:sz="4" w:space="0"/>
            </w:tcBorders>
            <w:vAlign w:val="center"/>
          </w:tcPr>
          <w:p>
            <w:pPr>
              <w:autoSpaceDN w:val="0"/>
              <w:jc w:val="center"/>
              <w:textAlignment w:val="center"/>
              <w:rPr>
                <w:rFonts w:ascii="宋体" w:hAnsi="宋体"/>
                <w:sz w:val="24"/>
              </w:rPr>
            </w:pPr>
            <w:r>
              <w:rPr>
                <w:rFonts w:hint="eastAsia" w:ascii="宋体" w:hAnsi="宋体"/>
                <w:sz w:val="24"/>
              </w:rPr>
              <w:t>质量验收结果：</w:t>
            </w: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乙方签字</w:t>
            </w:r>
          </w:p>
        </w:tc>
        <w:tc>
          <w:tcPr>
            <w:tcW w:w="7774" w:type="dxa"/>
            <w:gridSpan w:val="4"/>
            <w:tcBorders>
              <w:top w:val="single" w:color="000000" w:sz="4" w:space="0"/>
              <w:bottom w:val="single" w:color="000000" w:sz="4" w:space="0"/>
              <w:right w:val="single" w:color="auto" w:sz="4" w:space="0"/>
            </w:tcBorders>
            <w:vAlign w:val="center"/>
          </w:tcPr>
          <w:p>
            <w:pPr>
              <w:autoSpaceDN w:val="0"/>
              <w:jc w:val="center"/>
              <w:textAlignment w:val="center"/>
              <w:rPr>
                <w:rFonts w:ascii="宋体" w:hAnsi="宋体"/>
                <w:sz w:val="24"/>
              </w:rPr>
            </w:pPr>
            <w:r>
              <w:rPr>
                <w:rFonts w:hint="eastAsia" w:ascii="宋体" w:hAnsi="宋体"/>
                <w:sz w:val="24"/>
              </w:rPr>
              <w:t>质量验收结果：</w:t>
            </w: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监理签字</w:t>
            </w:r>
          </w:p>
        </w:tc>
        <w:tc>
          <w:tcPr>
            <w:tcW w:w="7774" w:type="dxa"/>
            <w:gridSpan w:val="4"/>
            <w:tcBorders>
              <w:top w:val="single" w:color="000000" w:sz="4" w:space="0"/>
              <w:bottom w:val="single" w:color="000000" w:sz="4" w:space="0"/>
              <w:right w:val="single" w:color="auto" w:sz="4" w:space="0"/>
            </w:tcBorders>
            <w:vAlign w:val="center"/>
          </w:tcPr>
          <w:p>
            <w:pPr>
              <w:autoSpaceDN w:val="0"/>
              <w:jc w:val="center"/>
              <w:textAlignment w:val="center"/>
              <w:rPr>
                <w:rFonts w:ascii="宋体" w:hAnsi="宋体"/>
                <w:sz w:val="24"/>
              </w:rPr>
            </w:pPr>
            <w:r>
              <w:rPr>
                <w:rFonts w:hint="eastAsia" w:ascii="宋体" w:hAnsi="宋体"/>
                <w:sz w:val="24"/>
              </w:rPr>
              <w:t>质量验收结果：</w:t>
            </w: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施工单位</w:t>
            </w:r>
          </w:p>
        </w:tc>
        <w:tc>
          <w:tcPr>
            <w:tcW w:w="7774" w:type="dxa"/>
            <w:gridSpan w:val="4"/>
            <w:tcBorders>
              <w:top w:val="single" w:color="000000" w:sz="4" w:space="0"/>
              <w:bottom w:val="single" w:color="auto" w:sz="4" w:space="0"/>
              <w:right w:val="single" w:color="auto" w:sz="4" w:space="0"/>
            </w:tcBorders>
            <w:vAlign w:val="center"/>
          </w:tcPr>
          <w:p>
            <w:pPr>
              <w:autoSpaceDN w:val="0"/>
              <w:jc w:val="center"/>
              <w:textAlignment w:val="center"/>
              <w:rPr>
                <w:rFonts w:ascii="宋体" w:hAnsi="宋体"/>
                <w:sz w:val="24"/>
              </w:rPr>
            </w:pPr>
            <w:r>
              <w:rPr>
                <w:rFonts w:hint="eastAsia" w:ascii="宋体" w:hAnsi="宋体"/>
                <w:sz w:val="24"/>
              </w:rPr>
              <w:t>质量验收结果：</w:t>
            </w:r>
          </w:p>
        </w:tc>
      </w:tr>
    </w:tbl>
    <w:p>
      <w:pPr>
        <w:spacing w:line="40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一、验收标准：</w:t>
      </w:r>
    </w:p>
    <w:p>
      <w:pPr>
        <w:numPr>
          <w:ilvl w:val="0"/>
          <w:numId w:val="0"/>
        </w:numPr>
        <w:spacing w:line="400" w:lineRule="exact"/>
        <w:ind w:firstLine="446" w:firstLineChars="200"/>
        <w:jc w:val="left"/>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出厂合格证齐全；</w:t>
      </w:r>
    </w:p>
    <w:p>
      <w:pPr>
        <w:numPr>
          <w:ilvl w:val="0"/>
          <w:numId w:val="0"/>
        </w:numPr>
        <w:spacing w:line="400" w:lineRule="exact"/>
        <w:ind w:firstLine="446" w:firstLineChars="200"/>
        <w:jc w:val="left"/>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表观合格（与样品一致）；</w:t>
      </w:r>
    </w:p>
    <w:p>
      <w:pPr>
        <w:numPr>
          <w:ilvl w:val="0"/>
          <w:numId w:val="0"/>
        </w:numPr>
        <w:spacing w:line="400" w:lineRule="exact"/>
        <w:ind w:firstLine="446" w:firstLineChars="200"/>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其它约定与合同要求一致。</w:t>
      </w:r>
    </w:p>
    <w:p>
      <w:pPr>
        <w:spacing w:line="440" w:lineRule="exact"/>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二、</w:t>
      </w:r>
      <w:r>
        <w:rPr>
          <w:rFonts w:hint="eastAsia" w:asciiTheme="minorEastAsia" w:hAnsiTheme="minorEastAsia" w:eastAsiaTheme="minorEastAsia"/>
          <w:sz w:val="24"/>
          <w:lang w:val="en-US" w:eastAsia="zh-CN"/>
        </w:rPr>
        <w:t>验收结果：</w:t>
      </w:r>
    </w:p>
    <w:p>
      <w:pPr>
        <w:spacing w:line="440" w:lineRule="exact"/>
        <w:ind w:firstLine="446"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1、质量验收结果必须以“质量合格”或“质量不合格”字样填写，不得含糊其辞。</w:t>
      </w:r>
    </w:p>
    <w:p>
      <w:pPr>
        <w:spacing w:line="440" w:lineRule="exact"/>
        <w:ind w:firstLine="446" w:firstLineChars="200"/>
        <w:jc w:val="left"/>
        <w:rPr>
          <w:rFonts w:asciiTheme="minorEastAsia" w:hAnsiTheme="minorEastAsia" w:eastAsiaTheme="minorEastAsia"/>
          <w:b/>
          <w:bCs/>
          <w:sz w:val="32"/>
          <w:szCs w:val="32"/>
        </w:rPr>
      </w:pPr>
      <w:r>
        <w:rPr>
          <w:rFonts w:hint="eastAsia" w:asciiTheme="minorEastAsia" w:hAnsiTheme="minorEastAsia" w:eastAsiaTheme="minorEastAsia"/>
          <w:sz w:val="24"/>
        </w:rPr>
        <w:t>2、招采第一批次验收参加，以后不再参与。</w:t>
      </w:r>
    </w:p>
    <w:p>
      <w:pPr>
        <w:pStyle w:val="38"/>
        <w:ind w:firstLine="0" w:firstLineChars="0"/>
        <w:rPr>
          <w:rFonts w:hint="eastAsia"/>
          <w:b/>
          <w:sz w:val="24"/>
          <w:szCs w:val="24"/>
        </w:rPr>
      </w:pPr>
    </w:p>
    <w:p>
      <w:pPr>
        <w:pStyle w:val="4"/>
        <w:jc w:val="both"/>
      </w:pPr>
    </w:p>
    <w:p>
      <w:pPr>
        <w:pStyle w:val="38"/>
        <w:ind w:firstLine="0" w:firstLineChars="0"/>
        <w:rPr>
          <w:rFonts w:hint="eastAsia" w:eastAsia="宋体"/>
          <w:b/>
          <w:lang w:val="en-US" w:eastAsia="zh-CN"/>
        </w:rPr>
      </w:pPr>
      <w:r>
        <w:rPr>
          <w:rFonts w:hint="eastAsia"/>
          <w:b/>
          <w:sz w:val="24"/>
          <w:szCs w:val="24"/>
        </w:rPr>
        <w:t>附件</w:t>
      </w:r>
      <w:r>
        <w:rPr>
          <w:rFonts w:hint="eastAsia"/>
          <w:b/>
          <w:sz w:val="24"/>
          <w:szCs w:val="24"/>
          <w:lang w:val="en-US" w:eastAsia="zh-CN"/>
        </w:rPr>
        <w:t>三</w:t>
      </w:r>
    </w:p>
    <w:p>
      <w:pPr>
        <w:spacing w:line="360" w:lineRule="auto"/>
        <w:jc w:val="center"/>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廉政合作协议</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u w:val="single"/>
        </w:rPr>
        <w:t>洛阳浩德鑫置地有限公司</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sz w:val="24"/>
          <w:szCs w:val="24"/>
          <w:u w:val="single"/>
        </w:rPr>
        <w:t>河南艾思普特商贸有限公司</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b/>
          <w:sz w:val="24"/>
          <w:szCs w:val="24"/>
        </w:rPr>
      </w:pPr>
      <w:r>
        <w:rPr>
          <w:rFonts w:hint="eastAsia" w:ascii="宋体" w:hAnsi="宋体" w:eastAsia="宋体" w:cs="宋体"/>
          <w:b/>
          <w:sz w:val="24"/>
          <w:szCs w:val="24"/>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b/>
          <w:sz w:val="24"/>
          <w:szCs w:val="24"/>
        </w:rPr>
      </w:pPr>
      <w:r>
        <w:rPr>
          <w:rFonts w:hint="eastAsia" w:ascii="宋体" w:hAnsi="宋体" w:eastAsia="宋体" w:cs="宋体"/>
          <w:b/>
          <w:sz w:val="24"/>
          <w:szCs w:val="24"/>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b/>
          <w:sz w:val="24"/>
          <w:szCs w:val="24"/>
        </w:rPr>
      </w:pPr>
      <w:r>
        <w:rPr>
          <w:rFonts w:hint="eastAsia" w:ascii="宋体" w:hAnsi="宋体" w:eastAsia="宋体" w:cs="宋体"/>
          <w:b/>
          <w:sz w:val="24"/>
          <w:szCs w:val="24"/>
        </w:rPr>
        <w:t>三、为维护甲乙双方的合法利益，营造良好的商务环境，甲方建立多种举报渠道（如下）。甲方风控人员将恪守职业道德，严格履行保密义务！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（1）微信小程序举报（扫面右侧二维码进入程序，举报信息直达董事长）</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（2）邮箱：hddcfkb@Foxmail.com</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3766185</wp:posOffset>
            </wp:positionH>
            <wp:positionV relativeFrom="paragraph">
              <wp:posOffset>247650</wp:posOffset>
            </wp:positionV>
            <wp:extent cx="1038225" cy="1038225"/>
            <wp:effectExtent l="0" t="0" r="9525" b="9525"/>
            <wp:wrapNone/>
            <wp:docPr id="13"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32dc313b898daf07a491037a11ba2c8"/>
                    <pic:cNvPicPr>
                      <a:picLocks noChangeAspect="1"/>
                    </pic:cNvPicPr>
                  </pic:nvPicPr>
                  <pic:blipFill>
                    <a:blip r:embed="rId7"/>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4"/>
        </w:rPr>
        <w:t>（3）电话：集团首席风控官：13903793259；</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（4）电话：集团审计总监：18137710188；</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（5）电话：地产风控总监：18638357973；</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（6）电话：地产风控经理：15670305910；</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（7）直接和风控人员约定场所当面举报。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b/>
          <w:sz w:val="24"/>
          <w:szCs w:val="24"/>
        </w:rPr>
      </w:pPr>
      <w:r>
        <w:rPr>
          <w:rFonts w:hint="eastAsia" w:ascii="宋体" w:hAnsi="宋体" w:eastAsia="宋体" w:cs="宋体"/>
          <w:b/>
          <w:sz w:val="24"/>
          <w:szCs w:val="24"/>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（以下无正文）</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甲方：洛阳浩德鑫置地有限公司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eastAsia="宋体" w:cs="宋体"/>
          <w:sz w:val="24"/>
          <w:szCs w:val="24"/>
          <w:u w:val="none"/>
        </w:rPr>
        <w:t>河南艾思普特商贸有限公司</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b/>
          <w:sz w:val="24"/>
          <w:szCs w:val="24"/>
        </w:rPr>
      </w:pPr>
      <w:r>
        <w:rPr>
          <w:rFonts w:hint="eastAsia" w:ascii="宋体" w:hAnsi="宋体" w:eastAsia="宋体" w:cs="宋体"/>
          <w:sz w:val="24"/>
          <w:szCs w:val="24"/>
        </w:rPr>
        <w:t>签署日期：2021年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             签署日期：2021年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sectPr>
      <w:pgSz w:w="11906" w:h="16838"/>
      <w:pgMar w:top="1417" w:right="1066" w:bottom="1417" w:left="1400" w:header="851" w:footer="992" w:gutter="0"/>
      <w:pgNumType w:fmt="decimal"/>
      <w:cols w:space="0" w:num="1"/>
      <w:rtlGutter w:val="0"/>
      <w:docGrid w:type="linesAndChars" w:linePitch="348" w:charSpace="-34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2"/>
      <w:rPr>
        <w:rStyle w:val="23"/>
      </w:rPr>
    </w:pPr>
    <w:r>
      <w:fldChar w:fldCharType="begin"/>
    </w:r>
    <w:r>
      <w:rPr>
        <w:rStyle w:val="23"/>
      </w:rPr>
      <w:instrText xml:space="preserve">PAGE  </w:instrText>
    </w:r>
    <w:r>
      <w:fldChar w:fldCharType="separate"/>
    </w:r>
    <w:r>
      <w:rPr>
        <w:rStyle w:val="23"/>
      </w:rPr>
      <w:t>3</w:t>
    </w:r>
    <w: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422" w:rightChars="201" w:firstLine="270" w:firstLineChars="150"/>
      <w:jc w:val="left"/>
      <w:rPr>
        <w:b/>
        <w:color w:val="5F5F5F"/>
        <w:sz w:val="24"/>
        <w:u w:val="single"/>
      </w:rPr>
    </w:pPr>
    <w:r>
      <w:drawing>
        <wp:inline distT="0" distB="0" distL="114300" distR="114300">
          <wp:extent cx="1019810" cy="314325"/>
          <wp:effectExtent l="0" t="0" r="8890" b="9525"/>
          <wp:docPr id="9" name="图片 10"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r>
      <w:rPr>
        <w:rFonts w:hint="eastAsia"/>
        <w:b/>
        <w:color w:val="5F5F5F"/>
        <w:sz w:val="24"/>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D5757"/>
    <w:multiLevelType w:val="multilevel"/>
    <w:tmpl w:val="57BD5757"/>
    <w:lvl w:ilvl="0" w:tentative="0">
      <w:start w:val="0"/>
      <w:numFmt w:val="decimal"/>
      <w:lvlText w:val=""/>
      <w:lvlJc w:val="left"/>
    </w:lvl>
    <w:lvl w:ilvl="1" w:tentative="0">
      <w:start w:val="0"/>
      <w:numFmt w:val="decimal"/>
      <w:pStyle w:val="9"/>
      <w:lvlText w:val=""/>
      <w:lvlJc w:val="left"/>
    </w:lvl>
    <w:lvl w:ilvl="2" w:tentative="0">
      <w:start w:val="0"/>
      <w:numFmt w:val="decimal"/>
      <w:pStyle w:val="10"/>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74"/>
  <w:displayHorizontalDrawingGridEvery w:val="1"/>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C34"/>
    <w:rsid w:val="00006D41"/>
    <w:rsid w:val="0001660C"/>
    <w:rsid w:val="0001777D"/>
    <w:rsid w:val="000304E0"/>
    <w:rsid w:val="00032E29"/>
    <w:rsid w:val="00035457"/>
    <w:rsid w:val="0003722D"/>
    <w:rsid w:val="00040403"/>
    <w:rsid w:val="000414AF"/>
    <w:rsid w:val="000456F7"/>
    <w:rsid w:val="00046C44"/>
    <w:rsid w:val="00051D33"/>
    <w:rsid w:val="00055069"/>
    <w:rsid w:val="00061B8C"/>
    <w:rsid w:val="000717A9"/>
    <w:rsid w:val="00081592"/>
    <w:rsid w:val="000B1871"/>
    <w:rsid w:val="000B725B"/>
    <w:rsid w:val="000B7F77"/>
    <w:rsid w:val="000C1AF3"/>
    <w:rsid w:val="000D1923"/>
    <w:rsid w:val="000E0AA9"/>
    <w:rsid w:val="000E3A0C"/>
    <w:rsid w:val="000F0B74"/>
    <w:rsid w:val="000F2E16"/>
    <w:rsid w:val="001016CC"/>
    <w:rsid w:val="00110416"/>
    <w:rsid w:val="00111C91"/>
    <w:rsid w:val="001220BC"/>
    <w:rsid w:val="00125C09"/>
    <w:rsid w:val="00126AAA"/>
    <w:rsid w:val="0013198D"/>
    <w:rsid w:val="00135C13"/>
    <w:rsid w:val="00141B2B"/>
    <w:rsid w:val="0014360A"/>
    <w:rsid w:val="00144268"/>
    <w:rsid w:val="0014469C"/>
    <w:rsid w:val="0014641F"/>
    <w:rsid w:val="00155001"/>
    <w:rsid w:val="001671E1"/>
    <w:rsid w:val="0017150A"/>
    <w:rsid w:val="00172A27"/>
    <w:rsid w:val="001758C2"/>
    <w:rsid w:val="00180988"/>
    <w:rsid w:val="00181646"/>
    <w:rsid w:val="00186B0E"/>
    <w:rsid w:val="00191A22"/>
    <w:rsid w:val="00193F5D"/>
    <w:rsid w:val="001A06B1"/>
    <w:rsid w:val="001A67D0"/>
    <w:rsid w:val="001B41FF"/>
    <w:rsid w:val="001B4985"/>
    <w:rsid w:val="001C3659"/>
    <w:rsid w:val="001C75D8"/>
    <w:rsid w:val="001D2AD7"/>
    <w:rsid w:val="001D406D"/>
    <w:rsid w:val="001D46FD"/>
    <w:rsid w:val="001E1C0D"/>
    <w:rsid w:val="001E2F32"/>
    <w:rsid w:val="00201783"/>
    <w:rsid w:val="0020284B"/>
    <w:rsid w:val="002118C2"/>
    <w:rsid w:val="00213692"/>
    <w:rsid w:val="00213D13"/>
    <w:rsid w:val="002143E3"/>
    <w:rsid w:val="00224709"/>
    <w:rsid w:val="002318D0"/>
    <w:rsid w:val="00233504"/>
    <w:rsid w:val="00237F9E"/>
    <w:rsid w:val="00241483"/>
    <w:rsid w:val="00252BDE"/>
    <w:rsid w:val="00254040"/>
    <w:rsid w:val="002552D2"/>
    <w:rsid w:val="00257A11"/>
    <w:rsid w:val="00260CDF"/>
    <w:rsid w:val="002622C9"/>
    <w:rsid w:val="002633F0"/>
    <w:rsid w:val="002637F5"/>
    <w:rsid w:val="0027420A"/>
    <w:rsid w:val="00277612"/>
    <w:rsid w:val="00280609"/>
    <w:rsid w:val="002855DA"/>
    <w:rsid w:val="00287251"/>
    <w:rsid w:val="00294E44"/>
    <w:rsid w:val="002951F8"/>
    <w:rsid w:val="00297B7A"/>
    <w:rsid w:val="002A0AD9"/>
    <w:rsid w:val="002A148E"/>
    <w:rsid w:val="002A2868"/>
    <w:rsid w:val="002B24EF"/>
    <w:rsid w:val="002B5D0B"/>
    <w:rsid w:val="002C0C73"/>
    <w:rsid w:val="002C1EE1"/>
    <w:rsid w:val="002D1EEE"/>
    <w:rsid w:val="002D2E48"/>
    <w:rsid w:val="002D4A92"/>
    <w:rsid w:val="002D55AD"/>
    <w:rsid w:val="002E3872"/>
    <w:rsid w:val="002E4EF0"/>
    <w:rsid w:val="002E53D5"/>
    <w:rsid w:val="00300436"/>
    <w:rsid w:val="003047C0"/>
    <w:rsid w:val="00306F70"/>
    <w:rsid w:val="00310EEC"/>
    <w:rsid w:val="00313F22"/>
    <w:rsid w:val="003244CF"/>
    <w:rsid w:val="00332F58"/>
    <w:rsid w:val="0034363E"/>
    <w:rsid w:val="00343D85"/>
    <w:rsid w:val="00355D58"/>
    <w:rsid w:val="00357AC7"/>
    <w:rsid w:val="00361AA6"/>
    <w:rsid w:val="0036354F"/>
    <w:rsid w:val="00363937"/>
    <w:rsid w:val="00375319"/>
    <w:rsid w:val="003755E9"/>
    <w:rsid w:val="00380B98"/>
    <w:rsid w:val="0038704D"/>
    <w:rsid w:val="0039453A"/>
    <w:rsid w:val="003B5103"/>
    <w:rsid w:val="003C139F"/>
    <w:rsid w:val="003C44CC"/>
    <w:rsid w:val="003C68CF"/>
    <w:rsid w:val="003D3287"/>
    <w:rsid w:val="003D49DB"/>
    <w:rsid w:val="003D4A10"/>
    <w:rsid w:val="003D6E8D"/>
    <w:rsid w:val="003E2D9D"/>
    <w:rsid w:val="003E4DEF"/>
    <w:rsid w:val="004039D2"/>
    <w:rsid w:val="00405574"/>
    <w:rsid w:val="00413545"/>
    <w:rsid w:val="0041557C"/>
    <w:rsid w:val="0042406E"/>
    <w:rsid w:val="00426CF2"/>
    <w:rsid w:val="00427F9D"/>
    <w:rsid w:val="004322FB"/>
    <w:rsid w:val="004409FD"/>
    <w:rsid w:val="004465F2"/>
    <w:rsid w:val="00450678"/>
    <w:rsid w:val="00453B49"/>
    <w:rsid w:val="0045401E"/>
    <w:rsid w:val="00465661"/>
    <w:rsid w:val="004709EA"/>
    <w:rsid w:val="00471499"/>
    <w:rsid w:val="00472727"/>
    <w:rsid w:val="004749ED"/>
    <w:rsid w:val="00480E47"/>
    <w:rsid w:val="00485E30"/>
    <w:rsid w:val="00492759"/>
    <w:rsid w:val="00495AA3"/>
    <w:rsid w:val="004A63AA"/>
    <w:rsid w:val="004B0E06"/>
    <w:rsid w:val="004B3A2B"/>
    <w:rsid w:val="004B6036"/>
    <w:rsid w:val="004B6D52"/>
    <w:rsid w:val="004C0A22"/>
    <w:rsid w:val="004C18A4"/>
    <w:rsid w:val="004C2533"/>
    <w:rsid w:val="004C3C65"/>
    <w:rsid w:val="004C716E"/>
    <w:rsid w:val="004D352F"/>
    <w:rsid w:val="004D78E0"/>
    <w:rsid w:val="004E0381"/>
    <w:rsid w:val="004E4A7B"/>
    <w:rsid w:val="004F3072"/>
    <w:rsid w:val="004F548D"/>
    <w:rsid w:val="00502C52"/>
    <w:rsid w:val="0050570E"/>
    <w:rsid w:val="005120AE"/>
    <w:rsid w:val="00512E25"/>
    <w:rsid w:val="00514A7F"/>
    <w:rsid w:val="005169E6"/>
    <w:rsid w:val="00524A5C"/>
    <w:rsid w:val="00532A2D"/>
    <w:rsid w:val="00537ADF"/>
    <w:rsid w:val="00554ADA"/>
    <w:rsid w:val="005561C1"/>
    <w:rsid w:val="0056255B"/>
    <w:rsid w:val="0056434F"/>
    <w:rsid w:val="00570D87"/>
    <w:rsid w:val="005836E7"/>
    <w:rsid w:val="00585618"/>
    <w:rsid w:val="00587BB4"/>
    <w:rsid w:val="00594002"/>
    <w:rsid w:val="00594518"/>
    <w:rsid w:val="005A5CBC"/>
    <w:rsid w:val="005C72DF"/>
    <w:rsid w:val="005D4F07"/>
    <w:rsid w:val="005D70E5"/>
    <w:rsid w:val="005D7B93"/>
    <w:rsid w:val="005E1C45"/>
    <w:rsid w:val="005E3697"/>
    <w:rsid w:val="005E4F98"/>
    <w:rsid w:val="005E677C"/>
    <w:rsid w:val="005E6EDA"/>
    <w:rsid w:val="005E7453"/>
    <w:rsid w:val="005F0C5C"/>
    <w:rsid w:val="005F37BB"/>
    <w:rsid w:val="00606405"/>
    <w:rsid w:val="00607480"/>
    <w:rsid w:val="00611CD1"/>
    <w:rsid w:val="00630FA5"/>
    <w:rsid w:val="0063157C"/>
    <w:rsid w:val="006367F7"/>
    <w:rsid w:val="00637146"/>
    <w:rsid w:val="00643ACD"/>
    <w:rsid w:val="006447FD"/>
    <w:rsid w:val="006515E9"/>
    <w:rsid w:val="0066223C"/>
    <w:rsid w:val="00667785"/>
    <w:rsid w:val="00670964"/>
    <w:rsid w:val="00671A9C"/>
    <w:rsid w:val="006739A9"/>
    <w:rsid w:val="00674384"/>
    <w:rsid w:val="00675385"/>
    <w:rsid w:val="00676973"/>
    <w:rsid w:val="0067780A"/>
    <w:rsid w:val="0069020F"/>
    <w:rsid w:val="006A03E7"/>
    <w:rsid w:val="006B0ED9"/>
    <w:rsid w:val="006C16B3"/>
    <w:rsid w:val="006C24F9"/>
    <w:rsid w:val="00700CF9"/>
    <w:rsid w:val="0070285F"/>
    <w:rsid w:val="00703177"/>
    <w:rsid w:val="00704A24"/>
    <w:rsid w:val="007122ED"/>
    <w:rsid w:val="00716F76"/>
    <w:rsid w:val="007259DD"/>
    <w:rsid w:val="0072676C"/>
    <w:rsid w:val="00740A03"/>
    <w:rsid w:val="007531FB"/>
    <w:rsid w:val="00753B2B"/>
    <w:rsid w:val="007604E6"/>
    <w:rsid w:val="0076440B"/>
    <w:rsid w:val="00770152"/>
    <w:rsid w:val="00770D0B"/>
    <w:rsid w:val="00772E53"/>
    <w:rsid w:val="007757BA"/>
    <w:rsid w:val="00777775"/>
    <w:rsid w:val="00782261"/>
    <w:rsid w:val="0078373C"/>
    <w:rsid w:val="007844AA"/>
    <w:rsid w:val="007869AB"/>
    <w:rsid w:val="007A06BB"/>
    <w:rsid w:val="007A16CD"/>
    <w:rsid w:val="007A20C3"/>
    <w:rsid w:val="007A7F45"/>
    <w:rsid w:val="007B46EF"/>
    <w:rsid w:val="007C16FC"/>
    <w:rsid w:val="007C2520"/>
    <w:rsid w:val="007C4AC6"/>
    <w:rsid w:val="007C51BC"/>
    <w:rsid w:val="007C55C3"/>
    <w:rsid w:val="007C5EA3"/>
    <w:rsid w:val="007D2E52"/>
    <w:rsid w:val="007D62FA"/>
    <w:rsid w:val="007F02F4"/>
    <w:rsid w:val="0080239E"/>
    <w:rsid w:val="0081040E"/>
    <w:rsid w:val="008144A0"/>
    <w:rsid w:val="00822FBD"/>
    <w:rsid w:val="008350A2"/>
    <w:rsid w:val="00843935"/>
    <w:rsid w:val="00851DF2"/>
    <w:rsid w:val="00851FDB"/>
    <w:rsid w:val="00854473"/>
    <w:rsid w:val="00856681"/>
    <w:rsid w:val="008567D2"/>
    <w:rsid w:val="00857078"/>
    <w:rsid w:val="00862A30"/>
    <w:rsid w:val="008656ED"/>
    <w:rsid w:val="0088760B"/>
    <w:rsid w:val="008A6C71"/>
    <w:rsid w:val="008B4D81"/>
    <w:rsid w:val="008C09D7"/>
    <w:rsid w:val="008D116C"/>
    <w:rsid w:val="008D6306"/>
    <w:rsid w:val="008D727E"/>
    <w:rsid w:val="008E3723"/>
    <w:rsid w:val="008E63D4"/>
    <w:rsid w:val="008E68E3"/>
    <w:rsid w:val="008F08FF"/>
    <w:rsid w:val="008F1D27"/>
    <w:rsid w:val="008F421D"/>
    <w:rsid w:val="008F6E66"/>
    <w:rsid w:val="00901AC9"/>
    <w:rsid w:val="00904DD9"/>
    <w:rsid w:val="00910765"/>
    <w:rsid w:val="009115D6"/>
    <w:rsid w:val="0091496D"/>
    <w:rsid w:val="00940E59"/>
    <w:rsid w:val="00940E7E"/>
    <w:rsid w:val="00946C23"/>
    <w:rsid w:val="00953241"/>
    <w:rsid w:val="00964BA2"/>
    <w:rsid w:val="00972195"/>
    <w:rsid w:val="009801F2"/>
    <w:rsid w:val="00980B42"/>
    <w:rsid w:val="009920F1"/>
    <w:rsid w:val="009939AA"/>
    <w:rsid w:val="009A2AAE"/>
    <w:rsid w:val="009A6CE1"/>
    <w:rsid w:val="009B1DD2"/>
    <w:rsid w:val="009B2751"/>
    <w:rsid w:val="009B3732"/>
    <w:rsid w:val="009B3CF2"/>
    <w:rsid w:val="009C0D7A"/>
    <w:rsid w:val="009C0D9C"/>
    <w:rsid w:val="009C21B6"/>
    <w:rsid w:val="009C26A6"/>
    <w:rsid w:val="009C7D94"/>
    <w:rsid w:val="009E3178"/>
    <w:rsid w:val="009E79A1"/>
    <w:rsid w:val="009F466C"/>
    <w:rsid w:val="009F5F85"/>
    <w:rsid w:val="00A0168F"/>
    <w:rsid w:val="00A052B1"/>
    <w:rsid w:val="00A1541C"/>
    <w:rsid w:val="00A1612B"/>
    <w:rsid w:val="00A23C64"/>
    <w:rsid w:val="00A2496E"/>
    <w:rsid w:val="00A41E9B"/>
    <w:rsid w:val="00A50BF1"/>
    <w:rsid w:val="00A5563D"/>
    <w:rsid w:val="00A613F0"/>
    <w:rsid w:val="00A647F6"/>
    <w:rsid w:val="00A64920"/>
    <w:rsid w:val="00A660A9"/>
    <w:rsid w:val="00A66FC1"/>
    <w:rsid w:val="00A670BC"/>
    <w:rsid w:val="00A675B6"/>
    <w:rsid w:val="00A709FD"/>
    <w:rsid w:val="00A73325"/>
    <w:rsid w:val="00A73BB5"/>
    <w:rsid w:val="00A7580B"/>
    <w:rsid w:val="00A82986"/>
    <w:rsid w:val="00AA483F"/>
    <w:rsid w:val="00AB0FB4"/>
    <w:rsid w:val="00AC26E4"/>
    <w:rsid w:val="00AC5874"/>
    <w:rsid w:val="00AC6B79"/>
    <w:rsid w:val="00AC6E6C"/>
    <w:rsid w:val="00AD2128"/>
    <w:rsid w:val="00AD310E"/>
    <w:rsid w:val="00AE599A"/>
    <w:rsid w:val="00AE6FB1"/>
    <w:rsid w:val="00AF2E81"/>
    <w:rsid w:val="00AF3574"/>
    <w:rsid w:val="00AF4F88"/>
    <w:rsid w:val="00B00392"/>
    <w:rsid w:val="00B04692"/>
    <w:rsid w:val="00B103A2"/>
    <w:rsid w:val="00B11BEA"/>
    <w:rsid w:val="00B24789"/>
    <w:rsid w:val="00B31B26"/>
    <w:rsid w:val="00B40281"/>
    <w:rsid w:val="00B4467B"/>
    <w:rsid w:val="00B52337"/>
    <w:rsid w:val="00B73B27"/>
    <w:rsid w:val="00B87DEA"/>
    <w:rsid w:val="00B916FF"/>
    <w:rsid w:val="00B91B43"/>
    <w:rsid w:val="00B955E4"/>
    <w:rsid w:val="00B965C4"/>
    <w:rsid w:val="00BA20DB"/>
    <w:rsid w:val="00BB5F85"/>
    <w:rsid w:val="00BC5B84"/>
    <w:rsid w:val="00BD0D0C"/>
    <w:rsid w:val="00BD0DFF"/>
    <w:rsid w:val="00BD1542"/>
    <w:rsid w:val="00BD245C"/>
    <w:rsid w:val="00BD6CBB"/>
    <w:rsid w:val="00BE0AF7"/>
    <w:rsid w:val="00BE0C46"/>
    <w:rsid w:val="00BE603F"/>
    <w:rsid w:val="00BE622A"/>
    <w:rsid w:val="00BF17EB"/>
    <w:rsid w:val="00BF3FDB"/>
    <w:rsid w:val="00BF4860"/>
    <w:rsid w:val="00BF6D8C"/>
    <w:rsid w:val="00C00835"/>
    <w:rsid w:val="00C2386F"/>
    <w:rsid w:val="00C23DF6"/>
    <w:rsid w:val="00C333CA"/>
    <w:rsid w:val="00C33C15"/>
    <w:rsid w:val="00C34BCA"/>
    <w:rsid w:val="00C35AFD"/>
    <w:rsid w:val="00C35EEE"/>
    <w:rsid w:val="00C372FA"/>
    <w:rsid w:val="00C41D6C"/>
    <w:rsid w:val="00C51EC1"/>
    <w:rsid w:val="00C537FE"/>
    <w:rsid w:val="00C5421F"/>
    <w:rsid w:val="00C57505"/>
    <w:rsid w:val="00C60397"/>
    <w:rsid w:val="00C671B3"/>
    <w:rsid w:val="00C70BA5"/>
    <w:rsid w:val="00C7313C"/>
    <w:rsid w:val="00C8047A"/>
    <w:rsid w:val="00C83FB8"/>
    <w:rsid w:val="00C864ED"/>
    <w:rsid w:val="00C87300"/>
    <w:rsid w:val="00C91CBA"/>
    <w:rsid w:val="00C92295"/>
    <w:rsid w:val="00CA16A3"/>
    <w:rsid w:val="00CA4273"/>
    <w:rsid w:val="00CA5925"/>
    <w:rsid w:val="00CA5FD2"/>
    <w:rsid w:val="00CB16B3"/>
    <w:rsid w:val="00CB333C"/>
    <w:rsid w:val="00CB37E6"/>
    <w:rsid w:val="00CB6840"/>
    <w:rsid w:val="00CC0C77"/>
    <w:rsid w:val="00CD186F"/>
    <w:rsid w:val="00CD1E36"/>
    <w:rsid w:val="00CE03D5"/>
    <w:rsid w:val="00CE0B57"/>
    <w:rsid w:val="00CF506C"/>
    <w:rsid w:val="00D12F74"/>
    <w:rsid w:val="00D16F01"/>
    <w:rsid w:val="00D23981"/>
    <w:rsid w:val="00D24D4F"/>
    <w:rsid w:val="00D2523C"/>
    <w:rsid w:val="00D3073E"/>
    <w:rsid w:val="00D40A90"/>
    <w:rsid w:val="00D4409E"/>
    <w:rsid w:val="00D54095"/>
    <w:rsid w:val="00D5512E"/>
    <w:rsid w:val="00D62058"/>
    <w:rsid w:val="00D6322B"/>
    <w:rsid w:val="00D658A3"/>
    <w:rsid w:val="00D6614D"/>
    <w:rsid w:val="00D71AEE"/>
    <w:rsid w:val="00D72CB2"/>
    <w:rsid w:val="00D742ED"/>
    <w:rsid w:val="00D805D6"/>
    <w:rsid w:val="00D842B0"/>
    <w:rsid w:val="00D87D00"/>
    <w:rsid w:val="00D964C0"/>
    <w:rsid w:val="00D968B2"/>
    <w:rsid w:val="00D977B3"/>
    <w:rsid w:val="00DA0346"/>
    <w:rsid w:val="00DA0C4B"/>
    <w:rsid w:val="00DA1CFA"/>
    <w:rsid w:val="00DA26FA"/>
    <w:rsid w:val="00DA42DB"/>
    <w:rsid w:val="00DA54DB"/>
    <w:rsid w:val="00DA59DD"/>
    <w:rsid w:val="00DB7892"/>
    <w:rsid w:val="00DC0049"/>
    <w:rsid w:val="00DC43E0"/>
    <w:rsid w:val="00DE48C0"/>
    <w:rsid w:val="00DE518F"/>
    <w:rsid w:val="00DF3D7B"/>
    <w:rsid w:val="00E000B1"/>
    <w:rsid w:val="00E01245"/>
    <w:rsid w:val="00E05D62"/>
    <w:rsid w:val="00E06803"/>
    <w:rsid w:val="00E132B2"/>
    <w:rsid w:val="00E311AD"/>
    <w:rsid w:val="00E356CD"/>
    <w:rsid w:val="00E37C69"/>
    <w:rsid w:val="00E436EF"/>
    <w:rsid w:val="00E44428"/>
    <w:rsid w:val="00E50499"/>
    <w:rsid w:val="00E51A66"/>
    <w:rsid w:val="00E603D1"/>
    <w:rsid w:val="00E6364D"/>
    <w:rsid w:val="00E656EA"/>
    <w:rsid w:val="00E66D03"/>
    <w:rsid w:val="00E75554"/>
    <w:rsid w:val="00E75F44"/>
    <w:rsid w:val="00E83026"/>
    <w:rsid w:val="00EA57C1"/>
    <w:rsid w:val="00EB24C2"/>
    <w:rsid w:val="00EB3399"/>
    <w:rsid w:val="00EB4560"/>
    <w:rsid w:val="00EB4E1A"/>
    <w:rsid w:val="00EB6F4B"/>
    <w:rsid w:val="00EC11E7"/>
    <w:rsid w:val="00EC4EA1"/>
    <w:rsid w:val="00ED0C8F"/>
    <w:rsid w:val="00ED1D01"/>
    <w:rsid w:val="00ED55DF"/>
    <w:rsid w:val="00ED60D4"/>
    <w:rsid w:val="00EE32B1"/>
    <w:rsid w:val="00EF4785"/>
    <w:rsid w:val="00EF5498"/>
    <w:rsid w:val="00F03E90"/>
    <w:rsid w:val="00F077E1"/>
    <w:rsid w:val="00F13CD1"/>
    <w:rsid w:val="00F16219"/>
    <w:rsid w:val="00F253F8"/>
    <w:rsid w:val="00F32997"/>
    <w:rsid w:val="00F356C8"/>
    <w:rsid w:val="00F45929"/>
    <w:rsid w:val="00F46838"/>
    <w:rsid w:val="00F51701"/>
    <w:rsid w:val="00F5233E"/>
    <w:rsid w:val="00F62046"/>
    <w:rsid w:val="00F6215B"/>
    <w:rsid w:val="00F63566"/>
    <w:rsid w:val="00F645FB"/>
    <w:rsid w:val="00F81F83"/>
    <w:rsid w:val="00F977CA"/>
    <w:rsid w:val="00FA142E"/>
    <w:rsid w:val="00FA34B1"/>
    <w:rsid w:val="00FB17ED"/>
    <w:rsid w:val="00FC03DF"/>
    <w:rsid w:val="00FC18C0"/>
    <w:rsid w:val="00FC46B2"/>
    <w:rsid w:val="00FC4C57"/>
    <w:rsid w:val="00FE1D28"/>
    <w:rsid w:val="00FE2B5B"/>
    <w:rsid w:val="00FE7D45"/>
    <w:rsid w:val="00FF1274"/>
    <w:rsid w:val="00FF3F9E"/>
    <w:rsid w:val="015F7FEE"/>
    <w:rsid w:val="01EC5C03"/>
    <w:rsid w:val="03924D2B"/>
    <w:rsid w:val="057D442F"/>
    <w:rsid w:val="06572553"/>
    <w:rsid w:val="06A11F5B"/>
    <w:rsid w:val="07987578"/>
    <w:rsid w:val="081376F6"/>
    <w:rsid w:val="081B1B47"/>
    <w:rsid w:val="08DB2D3D"/>
    <w:rsid w:val="09340EFA"/>
    <w:rsid w:val="094D4FB5"/>
    <w:rsid w:val="0A075715"/>
    <w:rsid w:val="0BCF45B9"/>
    <w:rsid w:val="0C9A6C71"/>
    <w:rsid w:val="0CF06046"/>
    <w:rsid w:val="0E0E698C"/>
    <w:rsid w:val="0ECE038D"/>
    <w:rsid w:val="0F0E2595"/>
    <w:rsid w:val="0F3559DD"/>
    <w:rsid w:val="0F5A696F"/>
    <w:rsid w:val="0FD958C3"/>
    <w:rsid w:val="0FE9767F"/>
    <w:rsid w:val="102C13A4"/>
    <w:rsid w:val="108D399D"/>
    <w:rsid w:val="10940BAB"/>
    <w:rsid w:val="10F207A9"/>
    <w:rsid w:val="144204BF"/>
    <w:rsid w:val="1604514E"/>
    <w:rsid w:val="16454F59"/>
    <w:rsid w:val="16585646"/>
    <w:rsid w:val="170F4BC1"/>
    <w:rsid w:val="175511B1"/>
    <w:rsid w:val="17B61E4B"/>
    <w:rsid w:val="1A406338"/>
    <w:rsid w:val="1AD672FE"/>
    <w:rsid w:val="1C03339F"/>
    <w:rsid w:val="1C6B239E"/>
    <w:rsid w:val="1D6C39E2"/>
    <w:rsid w:val="1D7F7E46"/>
    <w:rsid w:val="1DA1615E"/>
    <w:rsid w:val="1DBF4080"/>
    <w:rsid w:val="1DDB584B"/>
    <w:rsid w:val="1F196EA3"/>
    <w:rsid w:val="1FB003B1"/>
    <w:rsid w:val="20031C26"/>
    <w:rsid w:val="20A66C25"/>
    <w:rsid w:val="226D781A"/>
    <w:rsid w:val="258B2904"/>
    <w:rsid w:val="25A04B09"/>
    <w:rsid w:val="2680204A"/>
    <w:rsid w:val="2B180F35"/>
    <w:rsid w:val="2B2F5B50"/>
    <w:rsid w:val="2B3556D6"/>
    <w:rsid w:val="2B777D59"/>
    <w:rsid w:val="2BC0708E"/>
    <w:rsid w:val="2D2960FD"/>
    <w:rsid w:val="2DB268DF"/>
    <w:rsid w:val="2EB74A30"/>
    <w:rsid w:val="2EDF270A"/>
    <w:rsid w:val="2FA13190"/>
    <w:rsid w:val="2FA96E93"/>
    <w:rsid w:val="2FD41DF6"/>
    <w:rsid w:val="30A43FEF"/>
    <w:rsid w:val="33DA37AF"/>
    <w:rsid w:val="351A5FA4"/>
    <w:rsid w:val="368B6DFC"/>
    <w:rsid w:val="38AD2179"/>
    <w:rsid w:val="39401891"/>
    <w:rsid w:val="39B83D2C"/>
    <w:rsid w:val="3A9B61FE"/>
    <w:rsid w:val="3BFA4B9A"/>
    <w:rsid w:val="3C0F17EB"/>
    <w:rsid w:val="3C154398"/>
    <w:rsid w:val="3CE8668F"/>
    <w:rsid w:val="3DB418B0"/>
    <w:rsid w:val="3E0744DE"/>
    <w:rsid w:val="3E7D322C"/>
    <w:rsid w:val="3E9623DE"/>
    <w:rsid w:val="3F7769D2"/>
    <w:rsid w:val="400925AC"/>
    <w:rsid w:val="419E5966"/>
    <w:rsid w:val="419E5DB8"/>
    <w:rsid w:val="46526152"/>
    <w:rsid w:val="47B9567D"/>
    <w:rsid w:val="480621F5"/>
    <w:rsid w:val="48547B3D"/>
    <w:rsid w:val="48DA252A"/>
    <w:rsid w:val="4AA746D4"/>
    <w:rsid w:val="4AC204D2"/>
    <w:rsid w:val="4ADF1C1F"/>
    <w:rsid w:val="4B097418"/>
    <w:rsid w:val="4C56662C"/>
    <w:rsid w:val="4D234244"/>
    <w:rsid w:val="4DDA0125"/>
    <w:rsid w:val="4FA20DF6"/>
    <w:rsid w:val="506A4808"/>
    <w:rsid w:val="51D53D86"/>
    <w:rsid w:val="51ED67ED"/>
    <w:rsid w:val="53626283"/>
    <w:rsid w:val="53EE42D9"/>
    <w:rsid w:val="55090059"/>
    <w:rsid w:val="55CC4FC1"/>
    <w:rsid w:val="56210112"/>
    <w:rsid w:val="5685072F"/>
    <w:rsid w:val="56B352BC"/>
    <w:rsid w:val="58B7736D"/>
    <w:rsid w:val="5B172D3B"/>
    <w:rsid w:val="5B926640"/>
    <w:rsid w:val="5BE263E8"/>
    <w:rsid w:val="5D6B0E7F"/>
    <w:rsid w:val="5D94245A"/>
    <w:rsid w:val="5E0C7E66"/>
    <w:rsid w:val="5E471B3D"/>
    <w:rsid w:val="5F0B7409"/>
    <w:rsid w:val="5F207626"/>
    <w:rsid w:val="612E5101"/>
    <w:rsid w:val="61711B41"/>
    <w:rsid w:val="61C35772"/>
    <w:rsid w:val="61F3789C"/>
    <w:rsid w:val="626800CA"/>
    <w:rsid w:val="631C75F3"/>
    <w:rsid w:val="63E37B5F"/>
    <w:rsid w:val="63F44B85"/>
    <w:rsid w:val="64E517F8"/>
    <w:rsid w:val="654445DE"/>
    <w:rsid w:val="671C7A41"/>
    <w:rsid w:val="696B0FBD"/>
    <w:rsid w:val="69916AB7"/>
    <w:rsid w:val="69D3427C"/>
    <w:rsid w:val="6A2660BA"/>
    <w:rsid w:val="6ADD0900"/>
    <w:rsid w:val="6B94515D"/>
    <w:rsid w:val="6BF17B01"/>
    <w:rsid w:val="6C7C4FCE"/>
    <w:rsid w:val="6CB75849"/>
    <w:rsid w:val="6E705FF5"/>
    <w:rsid w:val="7119592D"/>
    <w:rsid w:val="711B79D6"/>
    <w:rsid w:val="71FA613F"/>
    <w:rsid w:val="74082BDB"/>
    <w:rsid w:val="7418070E"/>
    <w:rsid w:val="757B366C"/>
    <w:rsid w:val="765D6D60"/>
    <w:rsid w:val="765E17F1"/>
    <w:rsid w:val="7A535A0B"/>
    <w:rsid w:val="7B794FBB"/>
    <w:rsid w:val="7C390D1F"/>
    <w:rsid w:val="7C54627D"/>
    <w:rsid w:val="7D816E5A"/>
    <w:rsid w:val="7DA61F36"/>
    <w:rsid w:val="7E451348"/>
    <w:rsid w:val="7E914777"/>
    <w:rsid w:val="7F91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6"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8"/>
    <w:link w:val="26"/>
    <w:qFormat/>
    <w:uiPriority w:val="0"/>
    <w:pPr>
      <w:keepNext/>
      <w:keepLines/>
      <w:spacing w:before="340" w:after="330" w:line="578" w:lineRule="auto"/>
      <w:outlineLvl w:val="0"/>
    </w:pPr>
    <w:rPr>
      <w:b/>
      <w:bCs/>
      <w:kern w:val="44"/>
      <w:sz w:val="44"/>
      <w:szCs w:val="44"/>
    </w:rPr>
  </w:style>
  <w:style w:type="paragraph" w:styleId="9">
    <w:name w:val="heading 2"/>
    <w:basedOn w:val="1"/>
    <w:next w:val="1"/>
    <w:qFormat/>
    <w:uiPriority w:val="0"/>
    <w:pPr>
      <w:keepNext/>
      <w:keepLines/>
      <w:numPr>
        <w:ilvl w:val="1"/>
        <w:numId w:val="1"/>
      </w:numPr>
      <w:spacing w:before="160" w:after="160" w:line="160" w:lineRule="atLeast"/>
      <w:ind w:left="851" w:hanging="284"/>
      <w:outlineLvl w:val="1"/>
    </w:pPr>
    <w:rPr>
      <w:rFonts w:hint="eastAsia" w:ascii="黑体" w:hAnsi="宋体" w:eastAsia="黑体" w:cs="Times New Roman"/>
      <w:sz w:val="28"/>
      <w:szCs w:val="20"/>
    </w:rPr>
  </w:style>
  <w:style w:type="paragraph" w:styleId="10">
    <w:name w:val="heading 3"/>
    <w:basedOn w:val="1"/>
    <w:next w:val="8"/>
    <w:unhideWhenUsed/>
    <w:qFormat/>
    <w:uiPriority w:val="0"/>
    <w:pPr>
      <w:keepNext/>
      <w:keepLines/>
      <w:numPr>
        <w:ilvl w:val="2"/>
        <w:numId w:val="1"/>
      </w:numPr>
      <w:tabs>
        <w:tab w:val="left" w:pos="0"/>
      </w:tabs>
      <w:spacing w:before="160" w:after="160" w:line="160" w:lineRule="atLeast"/>
      <w:ind w:left="851" w:hanging="284"/>
      <w:outlineLvl w:val="2"/>
    </w:pPr>
    <w:rPr>
      <w:rFonts w:ascii="黑体" w:hAnsi="黑体" w:eastAsia="黑体"/>
      <w:sz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5"/>
    <w:qFormat/>
    <w:uiPriority w:val="0"/>
    <w:pPr>
      <w:spacing w:after="120"/>
    </w:pPr>
    <w:rPr>
      <w:rFonts w:eastAsia="Times New Roman"/>
      <w:szCs w:val="24"/>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6"/>
    <w:pPr>
      <w:ind w:firstLine="645"/>
    </w:pPr>
    <w:rPr>
      <w:rFonts w:ascii="宋体" w:hAnsi="宋体"/>
      <w:kern w:val="1"/>
      <w:sz w:val="32"/>
      <w:szCs w:val="20"/>
    </w:rPr>
  </w:style>
  <w:style w:type="paragraph" w:customStyle="1" w:styleId="8">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styleId="11">
    <w:name w:val="Normal Indent"/>
    <w:basedOn w:val="1"/>
    <w:qFormat/>
    <w:uiPriority w:val="0"/>
    <w:pPr>
      <w:ind w:firstLine="420"/>
    </w:pPr>
    <w:rPr>
      <w:sz w:val="28"/>
    </w:rPr>
  </w:style>
  <w:style w:type="paragraph" w:styleId="12">
    <w:name w:val="annotation text"/>
    <w:basedOn w:val="1"/>
    <w:next w:val="11"/>
    <w:link w:val="31"/>
    <w:qFormat/>
    <w:uiPriority w:val="0"/>
    <w:pPr>
      <w:jc w:val="left"/>
    </w:pPr>
    <w:rPr>
      <w:rFonts w:eastAsia="Times New Roman"/>
      <w:kern w:val="0"/>
      <w:sz w:val="18"/>
      <w:szCs w:val="18"/>
    </w:rPr>
  </w:style>
  <w:style w:type="paragraph" w:styleId="13">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14">
    <w:name w:val="Plain Text"/>
    <w:basedOn w:val="1"/>
    <w:qFormat/>
    <w:uiPriority w:val="0"/>
    <w:rPr>
      <w:rFonts w:ascii="宋体" w:hAnsi="Courier New" w:cs="Courier New"/>
      <w:szCs w:val="21"/>
    </w:rPr>
  </w:style>
  <w:style w:type="paragraph" w:styleId="15">
    <w:name w:val="Body Text Indent 2"/>
    <w:basedOn w:val="1"/>
    <w:qFormat/>
    <w:uiPriority w:val="0"/>
    <w:pPr>
      <w:ind w:firstLine="570"/>
    </w:pPr>
  </w:style>
  <w:style w:type="paragraph" w:styleId="16">
    <w:name w:val="Balloon Text"/>
    <w:basedOn w:val="1"/>
    <w:link w:val="35"/>
    <w:qFormat/>
    <w:uiPriority w:val="0"/>
    <w:rPr>
      <w:sz w:val="18"/>
      <w:szCs w:val="18"/>
    </w:rPr>
  </w:style>
  <w:style w:type="paragraph" w:styleId="17">
    <w:name w:val="footer"/>
    <w:basedOn w:val="1"/>
    <w:link w:val="28"/>
    <w:qFormat/>
    <w:uiPriority w:val="0"/>
    <w:pPr>
      <w:tabs>
        <w:tab w:val="center" w:pos="4153"/>
        <w:tab w:val="right" w:pos="8306"/>
      </w:tabs>
      <w:snapToGrid w:val="0"/>
      <w:jc w:val="left"/>
    </w:pPr>
    <w:rPr>
      <w:sz w:val="18"/>
      <w:szCs w:val="18"/>
    </w:rPr>
  </w:style>
  <w:style w:type="paragraph" w:styleId="18">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tabs>
        <w:tab w:val="left" w:pos="848"/>
        <w:tab w:val="right" w:leader="dot" w:pos="9174"/>
      </w:tabs>
      <w:spacing w:line="520" w:lineRule="exact"/>
      <w:ind w:left="56" w:leftChars="29"/>
    </w:pPr>
    <w:rPr>
      <w:rFonts w:ascii="楷体_GB2312" w:eastAsia="楷体_GB2312"/>
      <w:b/>
      <w:bCs/>
      <w:szCs w:val="24"/>
    </w:rPr>
  </w:style>
  <w:style w:type="paragraph" w:styleId="20">
    <w:name w:val="Body Text Indent 3"/>
    <w:basedOn w:val="1"/>
    <w:link w:val="27"/>
    <w:qFormat/>
    <w:uiPriority w:val="0"/>
    <w:pPr>
      <w:ind w:left="1260"/>
    </w:pPr>
    <w:rPr>
      <w:rFonts w:ascii="宋体" w:hAnsi="宋体" w:eastAsia="Times New Roman"/>
      <w:sz w:val="28"/>
    </w:rPr>
  </w:style>
  <w:style w:type="character" w:styleId="23">
    <w:name w:val="page number"/>
    <w:basedOn w:val="22"/>
    <w:qFormat/>
    <w:uiPriority w:val="0"/>
  </w:style>
  <w:style w:type="character" w:styleId="24">
    <w:name w:val="Hyperlink"/>
    <w:qFormat/>
    <w:uiPriority w:val="0"/>
    <w:rPr>
      <w:color w:val="0000FF"/>
      <w:u w:val="single"/>
    </w:rPr>
  </w:style>
  <w:style w:type="character" w:customStyle="1" w:styleId="25">
    <w:name w:val="正文文本 字符"/>
    <w:link w:val="2"/>
    <w:qFormat/>
    <w:uiPriority w:val="0"/>
    <w:rPr>
      <w:kern w:val="2"/>
      <w:sz w:val="21"/>
      <w:szCs w:val="24"/>
      <w:lang w:bidi="ar-SA"/>
    </w:rPr>
  </w:style>
  <w:style w:type="character" w:customStyle="1" w:styleId="26">
    <w:name w:val="标题 1 字符"/>
    <w:link w:val="7"/>
    <w:qFormat/>
    <w:uiPriority w:val="0"/>
    <w:rPr>
      <w:rFonts w:eastAsia="宋体"/>
      <w:b/>
      <w:bCs/>
      <w:kern w:val="44"/>
      <w:sz w:val="44"/>
      <w:szCs w:val="44"/>
      <w:lang w:val="en-US" w:eastAsia="zh-CN" w:bidi="ar-SA"/>
    </w:rPr>
  </w:style>
  <w:style w:type="character" w:customStyle="1" w:styleId="27">
    <w:name w:val="正文文本缩进 3 字符"/>
    <w:link w:val="20"/>
    <w:qFormat/>
    <w:uiPriority w:val="0"/>
    <w:rPr>
      <w:rFonts w:ascii="宋体" w:hAnsi="宋体"/>
      <w:kern w:val="2"/>
      <w:sz w:val="28"/>
      <w:lang w:bidi="ar-SA"/>
    </w:rPr>
  </w:style>
  <w:style w:type="character" w:customStyle="1" w:styleId="28">
    <w:name w:val="页脚 字符"/>
    <w:link w:val="17"/>
    <w:qFormat/>
    <w:uiPriority w:val="0"/>
    <w:rPr>
      <w:rFonts w:eastAsia="宋体"/>
      <w:kern w:val="2"/>
      <w:sz w:val="18"/>
      <w:szCs w:val="18"/>
      <w:lang w:val="en-US" w:eastAsia="zh-CN" w:bidi="ar-SA"/>
    </w:rPr>
  </w:style>
  <w:style w:type="character" w:customStyle="1" w:styleId="29">
    <w:name w:val="页眉 字符"/>
    <w:link w:val="18"/>
    <w:qFormat/>
    <w:uiPriority w:val="0"/>
    <w:rPr>
      <w:rFonts w:eastAsia="宋体"/>
      <w:kern w:val="2"/>
      <w:sz w:val="18"/>
      <w:szCs w:val="18"/>
      <w:lang w:val="en-US" w:eastAsia="zh-CN" w:bidi="ar-SA"/>
    </w:rPr>
  </w:style>
  <w:style w:type="character" w:customStyle="1" w:styleId="30">
    <w:name w:val="Char Char1"/>
    <w:qFormat/>
    <w:uiPriority w:val="0"/>
    <w:rPr>
      <w:sz w:val="18"/>
      <w:szCs w:val="18"/>
    </w:rPr>
  </w:style>
  <w:style w:type="character" w:customStyle="1" w:styleId="31">
    <w:name w:val="批注文字 字符"/>
    <w:link w:val="12"/>
    <w:qFormat/>
    <w:uiPriority w:val="0"/>
    <w:rPr>
      <w:sz w:val="18"/>
      <w:szCs w:val="18"/>
    </w:rPr>
  </w:style>
  <w:style w:type="character" w:customStyle="1" w:styleId="32">
    <w:name w:val="页脚 Char Char"/>
    <w:qFormat/>
    <w:uiPriority w:val="0"/>
    <w:rPr>
      <w:kern w:val="2"/>
      <w:sz w:val="18"/>
      <w:szCs w:val="18"/>
    </w:rPr>
  </w:style>
  <w:style w:type="paragraph" w:customStyle="1" w:styleId="3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Arial Unicode MS" w:cs="Arial Unicode MS"/>
      <w:kern w:val="0"/>
      <w:sz w:val="24"/>
      <w:szCs w:val="24"/>
    </w:rPr>
  </w:style>
  <w:style w:type="character" w:customStyle="1" w:styleId="35">
    <w:name w:val="批注框文本 字符"/>
    <w:basedOn w:val="22"/>
    <w:link w:val="16"/>
    <w:qFormat/>
    <w:uiPriority w:val="0"/>
    <w:rPr>
      <w:kern w:val="2"/>
      <w:sz w:val="18"/>
      <w:szCs w:val="18"/>
    </w:rPr>
  </w:style>
  <w:style w:type="paragraph" w:customStyle="1" w:styleId="36">
    <w:name w:val="纯文本1"/>
    <w:basedOn w:val="1"/>
    <w:qFormat/>
    <w:uiPriority w:val="0"/>
    <w:pPr>
      <w:adjustRightInd w:val="0"/>
      <w:jc w:val="left"/>
      <w:textAlignment w:val="baseline"/>
    </w:pPr>
    <w:rPr>
      <w:rFonts w:ascii="宋体" w:hAnsi="Courier New"/>
      <w:sz w:val="24"/>
    </w:rPr>
  </w:style>
  <w:style w:type="paragraph" w:customStyle="1" w:styleId="37">
    <w:name w:val="列出段落1"/>
    <w:basedOn w:val="1"/>
    <w:qFormat/>
    <w:uiPriority w:val="34"/>
    <w:pPr>
      <w:spacing w:line="360" w:lineRule="auto"/>
      <w:ind w:firstLine="420" w:firstLineChars="200"/>
    </w:pPr>
    <w:rPr>
      <w:rFonts w:ascii="Calibri" w:hAnsi="Calibri"/>
      <w:sz w:val="24"/>
    </w:rPr>
  </w:style>
  <w:style w:type="paragraph" w:customStyle="1" w:styleId="38">
    <w:name w:val="正文1"/>
    <w:basedOn w:val="1"/>
    <w:qFormat/>
    <w:uiPriority w:val="0"/>
    <w:pPr>
      <w:ind w:firstLine="200" w:firstLineChars="200"/>
    </w:pPr>
  </w:style>
  <w:style w:type="character" w:customStyle="1" w:styleId="39">
    <w:name w:val="font61"/>
    <w:basedOn w:val="22"/>
    <w:uiPriority w:val="0"/>
    <w:rPr>
      <w:rFonts w:ascii="宋体" w:hAnsi="宋体" w:eastAsia="宋体" w:cs="宋体"/>
      <w:color w:val="000000"/>
      <w:sz w:val="22"/>
      <w:szCs w:val="22"/>
      <w:u w:val="none"/>
    </w:rPr>
  </w:style>
  <w:style w:type="character" w:customStyle="1" w:styleId="40">
    <w:name w:val="font71"/>
    <w:basedOn w:val="22"/>
    <w:uiPriority w:val="0"/>
    <w:rPr>
      <w:rFonts w:hint="eastAsia" w:ascii="宋体" w:hAnsi="宋体" w:eastAsia="宋体" w:cs="宋体"/>
      <w:color w:val="000000"/>
      <w:sz w:val="20"/>
      <w:szCs w:val="20"/>
      <w:u w:val="none"/>
    </w:rPr>
  </w:style>
  <w:style w:type="character" w:customStyle="1" w:styleId="41">
    <w:name w:val="font81"/>
    <w:basedOn w:val="22"/>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3A5806-F153-49C8-8A5D-CAF1674FBD1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1603</Words>
  <Characters>9140</Characters>
  <Lines>76</Lines>
  <Paragraphs>21</Paragraphs>
  <TotalTime>37</TotalTime>
  <ScaleCrop>false</ScaleCrop>
  <LinksUpToDate>false</LinksUpToDate>
  <CharactersWithSpaces>10722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2021-04-06T06:51:00Z</dcterms:created>
  <dc:creator>User</dc:creator>
  <cp:lastModifiedBy>Sancho</cp:lastModifiedBy>
  <cp:lastPrinted>2014-04-02T01:39:00Z</cp:lastPrinted>
  <dcterms:modified xsi:type="dcterms:W3CDTF">2021-10-07T09:18:18Z</dcterms:modified>
  <dc:title>材料批价的办理流程</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AB734C98816E4E9B9F45BBFE2EEE89C1</vt:lpwstr>
  </property>
</Properties>
</file>