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after="0" w:line="685" w:lineRule="exact"/>
        <w:jc w:val="both"/>
      </w:pPr>
    </w:p>
    <w:p>
      <w:pPr>
        <w:spacing w:before="0" w:after="0" w:line="240" w:lineRule="exact"/>
        <w:ind w:left="1238" w:firstLine="1882"/>
        <w:jc w:val="both"/>
      </w:pPr>
    </w:p>
    <w:p>
      <w:pPr>
        <w:pStyle w:val="2"/>
      </w:pPr>
    </w:p>
    <w:p>
      <w:pPr>
        <w:spacing w:line="360" w:lineRule="auto"/>
        <w:jc w:val="center"/>
        <w:rPr>
          <w:rFonts w:hint="eastAsia" w:ascii="宋体" w:hAnsi="宋体" w:cs="宋体"/>
          <w:b/>
          <w:sz w:val="48"/>
          <w:szCs w:val="48"/>
        </w:rPr>
      </w:pPr>
      <w:r>
        <w:rPr>
          <w:rFonts w:hint="eastAsia" w:ascii="宋体" w:hAnsi="宋体" w:cs="宋体"/>
          <w:b/>
          <w:sz w:val="48"/>
          <w:szCs w:val="48"/>
          <w:u w:val="none"/>
          <w:lang w:val="en-US" w:eastAsia="zh-CN"/>
        </w:rPr>
        <w:t>宜阳山水文苑</w:t>
      </w:r>
      <w:r>
        <w:rPr>
          <w:rFonts w:hint="eastAsia" w:ascii="宋体" w:hAnsi="宋体" w:cs="宋体"/>
          <w:b/>
          <w:sz w:val="48"/>
          <w:szCs w:val="48"/>
          <w:lang w:eastAsia="zh-CN"/>
        </w:rPr>
        <w:t>渠道</w:t>
      </w:r>
      <w:r>
        <w:rPr>
          <w:rFonts w:hint="eastAsia" w:ascii="宋体" w:hAnsi="宋体" w:cs="宋体"/>
          <w:b/>
          <w:sz w:val="48"/>
          <w:szCs w:val="48"/>
        </w:rPr>
        <w:t>合作合同</w:t>
      </w:r>
    </w:p>
    <w:p>
      <w:pPr>
        <w:spacing w:line="360" w:lineRule="auto"/>
        <w:jc w:val="center"/>
        <w:rPr>
          <w:rFonts w:hint="eastAsia" w:ascii="宋体" w:hAnsi="宋体" w:cs="宋体"/>
          <w:b/>
          <w:sz w:val="48"/>
          <w:szCs w:val="48"/>
        </w:rPr>
      </w:pPr>
    </w:p>
    <w:p>
      <w:pPr>
        <w:jc w:val="center"/>
        <w:rPr>
          <w:rFonts w:hint="eastAsia"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hint="eastAsia" w:ascii="宋体" w:hAnsi="宋体"/>
          <w:sz w:val="44"/>
          <w:szCs w:val="44"/>
        </w:rPr>
      </w:pPr>
    </w:p>
    <w:p>
      <w:pPr>
        <w:spacing w:line="360" w:lineRule="auto"/>
        <w:rPr>
          <w:rFonts w:ascii="宋体" w:hAnsi="宋体"/>
          <w:b/>
          <w:bCs/>
          <w:sz w:val="24"/>
        </w:rPr>
      </w:pPr>
    </w:p>
    <w:p>
      <w:pPr>
        <w:spacing w:line="360" w:lineRule="auto"/>
        <w:rPr>
          <w:rFonts w:hint="default" w:ascii="宋体" w:hAnsi="宋体" w:eastAsia="宋体" w:cs="宋体"/>
          <w:b/>
          <w:sz w:val="28"/>
          <w:szCs w:val="28"/>
          <w:lang w:val="en-US" w:eastAsia="zh-CN"/>
        </w:rPr>
      </w:pPr>
      <w:bookmarkStart w:id="0" w:name="_Hlk36566518"/>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lang w:val="en-US" w:eastAsia="zh-CN"/>
        </w:rPr>
        <w:t xml:space="preserve"> </w:t>
      </w:r>
      <w:r>
        <w:rPr>
          <w:rFonts w:ascii="宋体" w:hAnsi="宋体" w:cs="宋体"/>
          <w:sz w:val="30"/>
          <w:szCs w:val="30"/>
        </w:rPr>
        <w:t xml:space="preserve"> </w:t>
      </w:r>
    </w:p>
    <w:p>
      <w:pPr>
        <w:spacing w:line="360" w:lineRule="auto"/>
        <w:rPr>
          <w:rFonts w:hint="default" w:ascii="宋体" w:hAnsi="宋体" w:eastAsia="宋体" w:cs="宋体"/>
          <w:b/>
          <w:sz w:val="28"/>
          <w:szCs w:val="28"/>
          <w:lang w:val="en-US" w:eastAsia="zh-CN"/>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lang w:val="en-US" w:eastAsia="zh-CN"/>
        </w:rPr>
        <w:t xml:space="preserve">  </w:t>
      </w:r>
      <w:r>
        <w:rPr>
          <w:rFonts w:hint="eastAsia" w:ascii="宋体" w:hAnsi="宋体" w:cs="宋体"/>
          <w:b/>
          <w:sz w:val="28"/>
          <w:szCs w:val="28"/>
        </w:rPr>
        <w:t>合同编号：</w:t>
      </w:r>
      <w:r>
        <w:rPr>
          <w:rFonts w:hint="eastAsia" w:ascii="宋体" w:hAnsi="宋体" w:cs="宋体"/>
          <w:b/>
          <w:sz w:val="28"/>
          <w:szCs w:val="28"/>
          <w:highlight w:val="none"/>
          <w:lang w:val="en-US" w:eastAsia="zh-CN"/>
        </w:rPr>
        <w:t>SSWY-YX-2021-019</w:t>
      </w:r>
      <w:bookmarkStart w:id="10" w:name="_GoBack"/>
      <w:bookmarkEnd w:id="10"/>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hint="eastAsia" w:ascii="宋体" w:hAnsi="宋体" w:cs="宋体"/>
          <w:b/>
          <w:sz w:val="28"/>
          <w:szCs w:val="28"/>
        </w:rPr>
      </w:pPr>
    </w:p>
    <w:p>
      <w:pPr>
        <w:pStyle w:val="72"/>
        <w:ind w:firstLine="562"/>
        <w:rPr>
          <w:rFonts w:ascii="宋体" w:hAnsi="宋体" w:cs="宋体"/>
          <w:b/>
          <w:sz w:val="28"/>
          <w:szCs w:val="28"/>
        </w:rPr>
      </w:pPr>
    </w:p>
    <w:p>
      <w:pPr>
        <w:pStyle w:val="72"/>
        <w:ind w:left="0" w:leftChars="0" w:firstLine="0" w:firstLineChars="0"/>
        <w:rPr>
          <w:rFonts w:ascii="宋体" w:hAnsi="宋体" w:cs="宋体"/>
          <w:b/>
          <w:sz w:val="28"/>
          <w:szCs w:val="28"/>
        </w:rPr>
      </w:pPr>
    </w:p>
    <w:p>
      <w:pPr>
        <w:pStyle w:val="72"/>
        <w:ind w:firstLine="562"/>
        <w:rPr>
          <w:rFonts w:ascii="宋体" w:hAnsi="宋体" w:cs="宋体"/>
          <w:b/>
          <w:sz w:val="28"/>
          <w:szCs w:val="28"/>
        </w:rPr>
      </w:pPr>
    </w:p>
    <w:bookmarkEnd w:id="0"/>
    <w:p>
      <w:pPr>
        <w:spacing w:line="360" w:lineRule="auto"/>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甲方：</w:t>
      </w:r>
      <w:r>
        <w:rPr>
          <w:rFonts w:hint="eastAsia" w:ascii="宋体" w:hAnsi="宋体" w:eastAsia="宋体" w:cs="宋体"/>
          <w:b/>
          <w:bCs/>
          <w:color w:val="000000"/>
          <w:sz w:val="28"/>
          <w:szCs w:val="36"/>
          <w:highlight w:val="none"/>
          <w:u w:val="single"/>
          <w:lang w:eastAsia="zh-CN"/>
        </w:rPr>
        <w:t>洛阳</w:t>
      </w:r>
      <w:r>
        <w:rPr>
          <w:rFonts w:hint="eastAsia" w:ascii="宋体" w:hAnsi="宋体" w:eastAsia="宋体" w:cs="宋体"/>
          <w:b/>
          <w:bCs/>
          <w:color w:val="000000"/>
          <w:sz w:val="28"/>
          <w:szCs w:val="36"/>
          <w:highlight w:val="none"/>
          <w:u w:val="single"/>
          <w:lang w:val="en-US" w:eastAsia="zh-CN"/>
        </w:rPr>
        <w:t>莘子园置业</w:t>
      </w:r>
      <w:r>
        <w:rPr>
          <w:rFonts w:hint="eastAsia" w:ascii="宋体" w:hAnsi="宋体" w:eastAsia="宋体" w:cs="宋体"/>
          <w:b/>
          <w:bCs/>
          <w:color w:val="000000"/>
          <w:sz w:val="28"/>
          <w:szCs w:val="36"/>
          <w:highlight w:val="none"/>
          <w:u w:val="single"/>
          <w:lang w:eastAsia="zh-CN"/>
        </w:rPr>
        <w:t>有限公司</w:t>
      </w:r>
    </w:p>
    <w:p>
      <w:pPr>
        <w:spacing w:line="360" w:lineRule="auto"/>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乙方：</w:t>
      </w:r>
      <w:r>
        <w:rPr>
          <w:rFonts w:hint="eastAsia" w:ascii="宋体" w:hAnsi="宋体" w:eastAsia="宋体" w:cs="宋体"/>
          <w:b/>
          <w:bCs/>
          <w:color w:val="000000"/>
          <w:sz w:val="28"/>
          <w:szCs w:val="36"/>
          <w:highlight w:val="none"/>
          <w:u w:val="single"/>
          <w:lang w:eastAsia="zh-CN"/>
        </w:rPr>
        <w:t>洛阳闹贝房地产经纪有限公司</w:t>
      </w:r>
      <w:r>
        <w:rPr>
          <w:rFonts w:hint="eastAsia" w:ascii="宋体" w:hAnsi="宋体" w:eastAsia="宋体" w:cs="宋体"/>
          <w:b/>
          <w:bCs/>
          <w:color w:val="000000"/>
          <w:sz w:val="28"/>
          <w:szCs w:val="36"/>
          <w:highlight w:val="none"/>
          <w:u w:val="single"/>
          <w:lang w:val="en-US" w:eastAsia="zh-CN"/>
        </w:rPr>
        <w:t>宜阳分公司</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签订日期： 2021年</w:t>
      </w:r>
      <w:r>
        <w:rPr>
          <w:rFonts w:hint="eastAsia" w:ascii="宋体" w:hAnsi="宋体" w:cs="宋体"/>
          <w:b/>
          <w:sz w:val="28"/>
          <w:szCs w:val="28"/>
          <w:lang w:val="en-US" w:eastAsia="zh-CN"/>
        </w:rPr>
        <w:t>10</w:t>
      </w:r>
      <w:r>
        <w:rPr>
          <w:rFonts w:hint="eastAsia" w:ascii="宋体" w:hAnsi="宋体" w:cs="宋体"/>
          <w:b/>
          <w:sz w:val="28"/>
          <w:szCs w:val="28"/>
        </w:rPr>
        <w:t>月</w:t>
      </w:r>
      <w:r>
        <w:rPr>
          <w:rFonts w:hint="eastAsia" w:ascii="宋体" w:hAnsi="宋体" w:cs="宋体"/>
          <w:b/>
          <w:sz w:val="28"/>
          <w:szCs w:val="28"/>
          <w:highlight w:val="none"/>
          <w:u w:val="none"/>
          <w:lang w:val="en-US" w:eastAsia="zh-CN"/>
        </w:rPr>
        <w:t>18</w:t>
      </w:r>
      <w:r>
        <w:rPr>
          <w:rFonts w:hint="eastAsia" w:ascii="宋体" w:hAnsi="宋体" w:cs="宋体"/>
          <w:b/>
          <w:sz w:val="28"/>
          <w:szCs w:val="28"/>
        </w:rPr>
        <w:t>日</w:t>
      </w: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jc w:val="center"/>
        <w:rPr>
          <w:rFonts w:hint="eastAsia" w:ascii="宋体" w:hAnsi="宋体" w:cs="微软雅黑"/>
          <w:b/>
          <w:sz w:val="32"/>
          <w:szCs w:val="32"/>
        </w:rPr>
      </w:pPr>
      <w:r>
        <w:rPr>
          <w:rFonts w:hint="eastAsia" w:ascii="宋体" w:hAnsi="宋体" w:cs="微软雅黑"/>
          <w:b/>
          <w:sz w:val="32"/>
          <w:szCs w:val="32"/>
          <w:lang w:val="en-US" w:eastAsia="zh-CN"/>
        </w:rPr>
        <w:t>宜阳山水文苑</w:t>
      </w:r>
      <w:r>
        <w:rPr>
          <w:rFonts w:hint="eastAsia" w:ascii="宋体" w:hAnsi="宋体" w:cs="微软雅黑"/>
          <w:b/>
          <w:sz w:val="32"/>
          <w:szCs w:val="32"/>
          <w:lang w:eastAsia="zh-CN"/>
        </w:rPr>
        <w:t>渠道</w:t>
      </w:r>
      <w:r>
        <w:rPr>
          <w:rFonts w:hint="eastAsia" w:ascii="宋体" w:hAnsi="宋体" w:cs="微软雅黑"/>
          <w:b/>
          <w:sz w:val="32"/>
          <w:szCs w:val="32"/>
        </w:rPr>
        <w:t>合作合同</w:t>
      </w:r>
    </w:p>
    <w:p>
      <w:pPr>
        <w:pStyle w:val="2"/>
      </w:pPr>
    </w:p>
    <w:p>
      <w:pPr>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甲方：</w:t>
      </w:r>
      <w:r>
        <w:rPr>
          <w:rFonts w:hint="eastAsia" w:ascii="宋体" w:hAnsi="宋体" w:eastAsia="宋体" w:cs="宋体"/>
          <w:color w:val="000000"/>
          <w:kern w:val="2"/>
          <w:sz w:val="24"/>
          <w:szCs w:val="24"/>
          <w:u w:val="single"/>
          <w:lang w:val="en-US" w:eastAsia="zh-CN" w:bidi="ar-SA"/>
        </w:rPr>
        <w:t>洛阳莘子园置业有限公司</w:t>
      </w:r>
    </w:p>
    <w:p>
      <w:pPr>
        <w:spacing w:line="360" w:lineRule="auto"/>
        <w:rPr>
          <w:rFonts w:hint="eastAsia" w:ascii="宋体" w:hAnsi="宋体" w:eastAsia="宋体" w:cs="宋体"/>
          <w:color w:val="000000"/>
          <w:kern w:val="2"/>
          <w:sz w:val="24"/>
          <w:szCs w:val="24"/>
          <w:u w:val="single"/>
          <w:lang w:val="en-US" w:eastAsia="zh-CN" w:bidi="ar-SA"/>
        </w:rPr>
      </w:pPr>
      <w:r>
        <w:rPr>
          <w:rFonts w:hint="eastAsia" w:ascii="宋体" w:hAnsi="宋体" w:eastAsia="宋体" w:cs="宋体"/>
          <w:color w:val="000000"/>
          <w:kern w:val="2"/>
          <w:sz w:val="24"/>
          <w:szCs w:val="24"/>
          <w:lang w:val="en-US" w:eastAsia="zh-CN" w:bidi="ar-SA"/>
        </w:rPr>
        <w:t>乙方：</w:t>
      </w:r>
      <w:r>
        <w:rPr>
          <w:rFonts w:hint="eastAsia" w:ascii="宋体" w:hAnsi="宋体" w:eastAsia="宋体" w:cs="宋体"/>
          <w:color w:val="000000"/>
          <w:kern w:val="2"/>
          <w:sz w:val="24"/>
          <w:szCs w:val="24"/>
          <w:u w:val="single"/>
          <w:lang w:val="en-US" w:eastAsia="zh-CN" w:bidi="ar-SA"/>
        </w:rPr>
        <w:t>洛阳闹贝房地产经纪有限公司宜阳分公司</w:t>
      </w:r>
    </w:p>
    <w:p>
      <w:pPr>
        <w:pStyle w:val="5"/>
        <w:rPr>
          <w:rFonts w:hint="eastAsia"/>
          <w:lang w:val="en-US" w:eastAsia="zh-CN"/>
        </w:rPr>
      </w:pPr>
    </w:p>
    <w:p>
      <w:pPr>
        <w:pStyle w:val="7"/>
        <w:numPr>
          <w:ilvl w:val="0"/>
          <w:numId w:val="0"/>
        </w:numPr>
        <w:spacing w:before="0" w:after="0" w:line="360" w:lineRule="auto"/>
        <w:ind w:firstLine="480" w:firstLineChars="200"/>
        <w:rPr>
          <w:rFonts w:ascii="宋体" w:hAnsi="宋体" w:eastAsia="宋体" w:cs="宋体"/>
          <w:b/>
          <w:bCs/>
          <w:kern w:val="2"/>
          <w:sz w:val="24"/>
          <w:szCs w:val="24"/>
        </w:rPr>
      </w:pPr>
      <w:r>
        <w:rPr>
          <w:rFonts w:hint="eastAsia" w:ascii="宋体" w:hAnsi="宋体" w:eastAsia="宋体" w:cs="宋体"/>
          <w:kern w:val="2"/>
          <w:sz w:val="24"/>
          <w:szCs w:val="24"/>
        </w:rPr>
        <w:t>为了共同开辟甲方房产在洛阳市市场的销售市场，甲、乙双方本着互惠互利，诚实信用的原则，根据《中华人民共和国民法典》的有关规定，经友好协商，就甲方委托乙方推荐客户购买中浩德·</w:t>
      </w:r>
      <w:r>
        <w:rPr>
          <w:rFonts w:hint="eastAsia" w:ascii="宋体" w:hAnsi="宋体" w:eastAsia="宋体" w:cs="宋体"/>
          <w:kern w:val="2"/>
          <w:sz w:val="24"/>
          <w:szCs w:val="24"/>
          <w:lang w:val="en-US" w:eastAsia="zh-CN"/>
        </w:rPr>
        <w:t>山水文苑</w:t>
      </w:r>
      <w:r>
        <w:rPr>
          <w:rFonts w:hint="eastAsia" w:ascii="宋体" w:hAnsi="宋体" w:eastAsia="宋体" w:cs="宋体"/>
          <w:kern w:val="2"/>
          <w:sz w:val="24"/>
          <w:szCs w:val="24"/>
        </w:rPr>
        <w:t>项目（以下简称该项目），提供渠道服务，经过充分协商，达成以下协议，以资双方共同遵守。</w:t>
      </w:r>
    </w:p>
    <w:p>
      <w:pPr>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 xml:space="preserve">合作内容及范围 </w:t>
      </w:r>
    </w:p>
    <w:p>
      <w:pPr>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甲方委托乙方为位于</w:t>
      </w:r>
      <w:r>
        <w:rPr>
          <w:rFonts w:hint="eastAsia" w:ascii="宋体" w:hAnsi="宋体" w:eastAsia="宋体" w:cs="宋体"/>
          <w:sz w:val="24"/>
          <w:szCs w:val="24"/>
          <w:lang w:val="en-US" w:eastAsia="zh-CN"/>
        </w:rPr>
        <w:t>洛阳市宜阳县锦龙大道与滨河北路交叉口的</w:t>
      </w:r>
      <w:r>
        <w:rPr>
          <w:rFonts w:hint="eastAsia" w:ascii="宋体" w:hAnsi="宋体" w:eastAsia="宋体" w:cs="宋体"/>
          <w:sz w:val="24"/>
          <w:szCs w:val="24"/>
        </w:rPr>
        <w:t>“中浩德·</w:t>
      </w:r>
      <w:r>
        <w:rPr>
          <w:rFonts w:hint="eastAsia" w:ascii="宋体" w:hAnsi="宋体" w:eastAsia="宋体" w:cs="宋体"/>
          <w:sz w:val="24"/>
          <w:szCs w:val="24"/>
          <w:lang w:val="en-US" w:eastAsia="zh-CN"/>
        </w:rPr>
        <w:t>山水文苑</w:t>
      </w:r>
      <w:r>
        <w:rPr>
          <w:rFonts w:hint="eastAsia" w:ascii="宋体" w:hAnsi="宋体" w:eastAsia="宋体" w:cs="宋体"/>
          <w:sz w:val="24"/>
          <w:szCs w:val="24"/>
        </w:rPr>
        <w:t>”项目（以下简称“本项目”）提供渠道服务，并促成甲方与乙方招揽的客户签订相关合同文件（下统称为《商品房买卖合同》），实现甲方售出商品房的目的。乙方为本项目的渠道合作方之一，甲方有权同时委托其他单位或个人提供渠道服务，乙方同时具有</w:t>
      </w:r>
      <w:r>
        <w:rPr>
          <w:rFonts w:hint="eastAsia" w:ascii="宋体" w:hAnsi="宋体" w:cs="宋体"/>
          <w:sz w:val="24"/>
          <w:szCs w:val="24"/>
          <w:lang w:val="en-US" w:eastAsia="zh-CN"/>
        </w:rPr>
        <w:t>为</w:t>
      </w:r>
      <w:r>
        <w:rPr>
          <w:rFonts w:hint="eastAsia" w:ascii="宋体" w:hAnsi="宋体" w:eastAsia="宋体" w:cs="宋体"/>
          <w:sz w:val="24"/>
          <w:szCs w:val="24"/>
        </w:rPr>
        <w:t>其他项目</w:t>
      </w:r>
      <w:r>
        <w:rPr>
          <w:rFonts w:hint="eastAsia" w:ascii="宋体" w:hAnsi="宋体" w:cs="宋体"/>
          <w:sz w:val="24"/>
          <w:szCs w:val="24"/>
          <w:lang w:val="en-US" w:eastAsia="zh-CN"/>
        </w:rPr>
        <w:t>提供渠道服务</w:t>
      </w:r>
      <w:r>
        <w:rPr>
          <w:rFonts w:hint="eastAsia" w:ascii="宋体" w:hAnsi="宋体" w:eastAsia="宋体" w:cs="宋体"/>
          <w:sz w:val="24"/>
          <w:szCs w:val="24"/>
        </w:rPr>
        <w:t>的权利。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bookmarkStart w:id="1" w:name="_Hlk5291081"/>
      <w:r>
        <w:rPr>
          <w:rFonts w:hint="eastAsia" w:ascii="宋体" w:hAnsi="宋体" w:eastAsia="宋体" w:cs="宋体"/>
          <w:sz w:val="24"/>
          <w:szCs w:val="24"/>
        </w:rPr>
        <w:t>房源类型：</w:t>
      </w:r>
      <w:r>
        <w:rPr>
          <w:rFonts w:hint="eastAsia" w:ascii="宋体" w:hAnsi="宋体" w:eastAsia="宋体" w:cs="宋体"/>
          <w:sz w:val="24"/>
          <w:szCs w:val="24"/>
          <w:lang w:val="en-US" w:eastAsia="zh-CN"/>
        </w:rPr>
        <w:t>住宅</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销售范围</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本项目所有可售房源及后续清退或新增房源； </w:t>
      </w:r>
    </w:p>
    <w:bookmarkEnd w:id="1"/>
    <w:p>
      <w:pPr>
        <w:spacing w:line="360" w:lineRule="auto"/>
        <w:outlineLvl w:val="0"/>
        <w:rPr>
          <w:rFonts w:hint="eastAsia" w:ascii="宋体" w:hAnsi="宋体" w:eastAsia="宋体" w:cs="宋体"/>
          <w:sz w:val="24"/>
          <w:szCs w:val="24"/>
        </w:rPr>
      </w:pPr>
      <w:r>
        <w:rPr>
          <w:rFonts w:hint="eastAsia" w:ascii="宋体" w:hAnsi="宋体" w:eastAsia="宋体" w:cs="宋体"/>
          <w:sz w:val="24"/>
          <w:szCs w:val="24"/>
        </w:rPr>
        <w:t>甲方承诺：乙方享有与其他为该项目提供渠道或代理服务的公司平等的权利，包括但不限于客户保护期、客户所能享受购房折扣或优惠等。</w:t>
      </w:r>
    </w:p>
    <w:p>
      <w:pPr>
        <w:spacing w:line="360" w:lineRule="auto"/>
        <w:outlineLvl w:val="0"/>
        <w:rPr>
          <w:rFonts w:hint="eastAsia" w:ascii="宋体" w:hAnsi="宋体" w:eastAsia="宋体" w:cs="宋体"/>
          <w:b/>
          <w:kern w:val="28"/>
          <w:sz w:val="24"/>
          <w:szCs w:val="24"/>
        </w:rPr>
      </w:pPr>
      <w:r>
        <w:rPr>
          <w:rFonts w:hint="eastAsia" w:ascii="宋体" w:hAnsi="宋体" w:eastAsia="宋体" w:cs="宋体"/>
          <w:sz w:val="24"/>
          <w:szCs w:val="24"/>
          <w:lang w:val="en-US" w:eastAsia="zh-CN"/>
        </w:rPr>
        <w:t>二、</w:t>
      </w:r>
      <w:r>
        <w:rPr>
          <w:rFonts w:hint="eastAsia" w:ascii="宋体" w:hAnsi="宋体" w:eastAsia="宋体" w:cs="宋体"/>
          <w:b/>
          <w:sz w:val="24"/>
          <w:szCs w:val="24"/>
        </w:rPr>
        <w:t>合同</w:t>
      </w:r>
      <w:r>
        <w:rPr>
          <w:rFonts w:hint="eastAsia" w:ascii="宋体" w:hAnsi="宋体" w:eastAsia="宋体" w:cs="宋体"/>
          <w:b/>
          <w:kern w:val="28"/>
          <w:sz w:val="24"/>
          <w:szCs w:val="24"/>
        </w:rPr>
        <w:t>期限</w:t>
      </w:r>
    </w:p>
    <w:p>
      <w:pPr>
        <w:tabs>
          <w:tab w:val="left" w:pos="336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本合同有效期自</w:t>
      </w:r>
      <w:r>
        <w:rPr>
          <w:rFonts w:hint="eastAsia" w:ascii="宋体" w:hAnsi="宋体" w:eastAsia="宋体" w:cs="宋体"/>
          <w:kern w:val="28"/>
          <w:sz w:val="24"/>
          <w:szCs w:val="24"/>
          <w:u w:val="single"/>
        </w:rPr>
        <w:t>2021</w:t>
      </w:r>
      <w:r>
        <w:rPr>
          <w:rFonts w:hint="eastAsia" w:ascii="宋体" w:hAnsi="宋体" w:eastAsia="宋体" w:cs="宋体"/>
          <w:kern w:val="28"/>
          <w:sz w:val="24"/>
          <w:szCs w:val="24"/>
        </w:rPr>
        <w:t>年</w:t>
      </w:r>
      <w:r>
        <w:rPr>
          <w:rFonts w:hint="eastAsia" w:ascii="宋体" w:hAnsi="宋体" w:cs="宋体"/>
          <w:kern w:val="28"/>
          <w:sz w:val="24"/>
          <w:szCs w:val="24"/>
          <w:u w:val="single"/>
          <w:lang w:val="en-US" w:eastAsia="zh-CN"/>
        </w:rPr>
        <w:t>10</w:t>
      </w:r>
      <w:r>
        <w:rPr>
          <w:rFonts w:hint="eastAsia" w:ascii="宋体" w:hAnsi="宋体" w:eastAsia="宋体" w:cs="宋体"/>
          <w:kern w:val="28"/>
          <w:sz w:val="24"/>
          <w:szCs w:val="24"/>
        </w:rPr>
        <w:t>月</w:t>
      </w:r>
      <w:r>
        <w:rPr>
          <w:rFonts w:hint="eastAsia" w:ascii="宋体" w:hAnsi="宋体" w:eastAsia="宋体" w:cs="宋体"/>
          <w:kern w:val="28"/>
          <w:sz w:val="24"/>
          <w:szCs w:val="24"/>
          <w:u w:val="single"/>
        </w:rPr>
        <w:t>1</w:t>
      </w:r>
      <w:r>
        <w:rPr>
          <w:rFonts w:hint="eastAsia" w:ascii="宋体" w:hAnsi="宋体" w:cs="宋体"/>
          <w:kern w:val="28"/>
          <w:sz w:val="24"/>
          <w:szCs w:val="24"/>
          <w:u w:val="single"/>
          <w:lang w:val="en-US" w:eastAsia="zh-CN"/>
        </w:rPr>
        <w:t>8</w:t>
      </w:r>
      <w:r>
        <w:rPr>
          <w:rFonts w:hint="eastAsia" w:ascii="宋体" w:hAnsi="宋体" w:eastAsia="宋体" w:cs="宋体"/>
          <w:kern w:val="28"/>
          <w:sz w:val="24"/>
          <w:szCs w:val="24"/>
        </w:rPr>
        <w:t>日至</w:t>
      </w:r>
      <w:r>
        <w:rPr>
          <w:rFonts w:hint="eastAsia" w:ascii="宋体" w:hAnsi="宋体" w:eastAsia="宋体" w:cs="宋体"/>
          <w:kern w:val="28"/>
          <w:sz w:val="24"/>
          <w:szCs w:val="24"/>
          <w:u w:val="single"/>
        </w:rPr>
        <w:t>20</w:t>
      </w:r>
      <w:r>
        <w:rPr>
          <w:rFonts w:hint="eastAsia" w:ascii="宋体" w:hAnsi="宋体" w:eastAsia="宋体" w:cs="宋体"/>
          <w:kern w:val="28"/>
          <w:sz w:val="24"/>
          <w:szCs w:val="24"/>
          <w:u w:val="single"/>
          <w:lang w:val="en-US" w:eastAsia="zh-CN"/>
        </w:rPr>
        <w:t>21</w:t>
      </w:r>
      <w:r>
        <w:rPr>
          <w:rFonts w:hint="eastAsia" w:ascii="宋体" w:hAnsi="宋体" w:eastAsia="宋体" w:cs="宋体"/>
          <w:kern w:val="28"/>
          <w:sz w:val="24"/>
          <w:szCs w:val="24"/>
        </w:rPr>
        <w:t>年</w:t>
      </w:r>
      <w:r>
        <w:rPr>
          <w:rFonts w:hint="eastAsia" w:ascii="宋体" w:hAnsi="宋体" w:eastAsia="宋体" w:cs="宋体"/>
          <w:kern w:val="28"/>
          <w:sz w:val="24"/>
          <w:szCs w:val="24"/>
          <w:u w:val="single"/>
          <w:lang w:val="en-US" w:eastAsia="zh-CN"/>
        </w:rPr>
        <w:t>12</w:t>
      </w:r>
      <w:r>
        <w:rPr>
          <w:rFonts w:hint="eastAsia" w:ascii="宋体" w:hAnsi="宋体" w:eastAsia="宋体" w:cs="宋体"/>
          <w:kern w:val="28"/>
          <w:sz w:val="24"/>
          <w:szCs w:val="24"/>
        </w:rPr>
        <w:t>月</w:t>
      </w:r>
      <w:r>
        <w:rPr>
          <w:rFonts w:hint="eastAsia" w:ascii="宋体" w:hAnsi="宋体" w:eastAsia="宋体" w:cs="宋体"/>
          <w:kern w:val="28"/>
          <w:sz w:val="24"/>
          <w:szCs w:val="24"/>
          <w:u w:val="single"/>
        </w:rPr>
        <w:t>3</w:t>
      </w:r>
      <w:r>
        <w:rPr>
          <w:rFonts w:hint="eastAsia" w:ascii="宋体" w:hAnsi="宋体" w:eastAsia="宋体" w:cs="宋体"/>
          <w:kern w:val="28"/>
          <w:sz w:val="24"/>
          <w:szCs w:val="24"/>
          <w:u w:val="single"/>
          <w:lang w:val="en-US" w:eastAsia="zh-CN"/>
        </w:rPr>
        <w:t>1</w:t>
      </w:r>
      <w:r>
        <w:rPr>
          <w:rFonts w:hint="eastAsia" w:ascii="宋体" w:hAnsi="宋体" w:eastAsia="宋体" w:cs="宋体"/>
          <w:kern w:val="28"/>
          <w:sz w:val="24"/>
          <w:szCs w:val="24"/>
        </w:rPr>
        <w:t>日</w:t>
      </w:r>
      <w:r>
        <w:rPr>
          <w:rFonts w:hint="eastAsia" w:ascii="宋体" w:hAnsi="宋体" w:eastAsia="宋体" w:cs="宋体"/>
          <w:sz w:val="24"/>
          <w:szCs w:val="24"/>
        </w:rPr>
        <w:t>止，期满后双方可根据具体情况决定是否续约，具体事宜由甲、乙双方另行约定后重新签订《</w:t>
      </w:r>
      <w:r>
        <w:rPr>
          <w:rFonts w:hint="eastAsia" w:ascii="宋体" w:hAnsi="宋体" w:eastAsia="宋体" w:cs="宋体"/>
          <w:sz w:val="24"/>
          <w:szCs w:val="24"/>
          <w:lang w:val="en-US" w:eastAsia="zh-CN"/>
        </w:rPr>
        <w:t>山水文苑</w:t>
      </w:r>
      <w:r>
        <w:rPr>
          <w:rFonts w:hint="eastAsia" w:ascii="宋体" w:hAnsi="宋体" w:cs="宋体"/>
          <w:sz w:val="24"/>
          <w:szCs w:val="24"/>
          <w:lang w:eastAsia="zh-CN"/>
        </w:rPr>
        <w:t>渠道</w:t>
      </w:r>
      <w:r>
        <w:rPr>
          <w:rFonts w:hint="eastAsia" w:ascii="宋体" w:hAnsi="宋体" w:eastAsia="宋体" w:cs="宋体"/>
          <w:sz w:val="24"/>
          <w:szCs w:val="24"/>
        </w:rPr>
        <w:t>合作合同》，但乙方推荐客户在本合同</w:t>
      </w:r>
      <w:r>
        <w:rPr>
          <w:rFonts w:hint="eastAsia" w:ascii="宋体" w:hAnsi="宋体" w:cs="宋体"/>
          <w:sz w:val="24"/>
          <w:szCs w:val="24"/>
          <w:lang w:val="en-US" w:eastAsia="zh-CN"/>
        </w:rPr>
        <w:t>约定保护</w:t>
      </w:r>
      <w:r>
        <w:rPr>
          <w:rFonts w:hint="eastAsia" w:ascii="宋体" w:hAnsi="宋体" w:eastAsia="宋体" w:cs="宋体"/>
          <w:sz w:val="24"/>
          <w:szCs w:val="24"/>
        </w:rPr>
        <w:t>期限</w:t>
      </w:r>
      <w:r>
        <w:rPr>
          <w:rFonts w:hint="eastAsia" w:ascii="宋体" w:hAnsi="宋体" w:cs="宋体"/>
          <w:sz w:val="24"/>
          <w:szCs w:val="24"/>
          <w:lang w:val="en-US" w:eastAsia="zh-CN"/>
        </w:rPr>
        <w:t>内</w:t>
      </w:r>
      <w:r>
        <w:rPr>
          <w:rFonts w:hint="eastAsia" w:ascii="宋体" w:hAnsi="宋体" w:eastAsia="宋体" w:cs="宋体"/>
          <w:sz w:val="24"/>
          <w:szCs w:val="24"/>
        </w:rPr>
        <w:t>到访、</w:t>
      </w:r>
      <w:r>
        <w:rPr>
          <w:rFonts w:hint="eastAsia" w:ascii="宋体" w:hAnsi="宋体" w:cs="宋体"/>
          <w:sz w:val="24"/>
          <w:szCs w:val="24"/>
          <w:lang w:val="en-US" w:eastAsia="zh-CN"/>
        </w:rPr>
        <w:t>认购</w:t>
      </w:r>
      <w:r>
        <w:rPr>
          <w:rFonts w:hint="eastAsia" w:ascii="宋体" w:hAnsi="宋体" w:eastAsia="宋体" w:cs="宋体"/>
          <w:sz w:val="24"/>
          <w:szCs w:val="24"/>
        </w:rPr>
        <w:t>的，</w:t>
      </w:r>
      <w:r>
        <w:rPr>
          <w:rFonts w:hint="eastAsia" w:ascii="宋体" w:hAnsi="宋体" w:cs="宋体"/>
          <w:sz w:val="24"/>
          <w:szCs w:val="24"/>
          <w:lang w:val="en-US" w:eastAsia="zh-CN"/>
        </w:rPr>
        <w:t>不因本合同终止而失效，</w:t>
      </w:r>
      <w:r>
        <w:rPr>
          <w:rFonts w:hint="eastAsia" w:ascii="宋体" w:hAnsi="宋体" w:eastAsia="宋体" w:cs="宋体"/>
          <w:sz w:val="24"/>
          <w:szCs w:val="24"/>
        </w:rPr>
        <w:t>仍按照本合同约定的佣金条款结算。</w:t>
      </w:r>
    </w:p>
    <w:p>
      <w:pPr>
        <w:numPr>
          <w:ilvl w:val="0"/>
          <w:numId w:val="0"/>
        </w:numPr>
        <w:spacing w:line="360" w:lineRule="auto"/>
        <w:jc w:val="left"/>
        <w:rPr>
          <w:rFonts w:hint="eastAsia"/>
          <w:b/>
          <w:sz w:val="24"/>
          <w:szCs w:val="24"/>
          <w:lang w:val="en-US" w:eastAsia="zh-CN"/>
        </w:rPr>
      </w:pPr>
      <w:r>
        <w:rPr>
          <w:rFonts w:hint="eastAsia"/>
          <w:b/>
          <w:sz w:val="24"/>
          <w:szCs w:val="24"/>
        </w:rPr>
        <w:t>三、</w:t>
      </w:r>
      <w:r>
        <w:rPr>
          <w:rFonts w:hint="eastAsia" w:ascii="宋体" w:hAnsi="宋体" w:eastAsia="宋体" w:cs="宋体"/>
          <w:b/>
          <w:kern w:val="28"/>
          <w:sz w:val="24"/>
          <w:szCs w:val="24"/>
        </w:rPr>
        <w:t>合同价格及发票开具要求</w:t>
      </w:r>
    </w:p>
    <w:p>
      <w:pPr>
        <w:pStyle w:val="72"/>
        <w:spacing w:line="360" w:lineRule="auto"/>
        <w:ind w:firstLine="480" w:firstLineChars="200"/>
        <w:rPr>
          <w:rFonts w:hint="default" w:ascii="宋体" w:hAnsi="宋体" w:eastAsia="宋体"/>
          <w:sz w:val="24"/>
          <w:lang w:val="en-US" w:eastAsia="zh-CN"/>
        </w:rPr>
      </w:pPr>
      <w:r>
        <w:rPr>
          <w:rFonts w:hint="eastAsia" w:ascii="宋体" w:hAnsi="宋体" w:eastAsia="宋体" w:cs="宋体"/>
          <w:kern w:val="28"/>
          <w:sz w:val="24"/>
          <w:szCs w:val="24"/>
        </w:rPr>
        <w:t>1、</w:t>
      </w:r>
      <w:r>
        <w:rPr>
          <w:rFonts w:hint="eastAsia" w:ascii="宋体" w:hAnsi="宋体"/>
          <w:position w:val="-2"/>
          <w:sz w:val="24"/>
          <w:szCs w:val="24"/>
        </w:rPr>
        <w:t>本工程</w:t>
      </w:r>
      <w:r>
        <w:rPr>
          <w:rFonts w:hint="eastAsia" w:ascii="宋体" w:hAnsi="宋体"/>
          <w:position w:val="-2"/>
          <w:sz w:val="24"/>
          <w:szCs w:val="24"/>
          <w:lang w:val="en-US" w:eastAsia="zh-CN"/>
        </w:rPr>
        <w:t>暂定</w:t>
      </w:r>
      <w:r>
        <w:rPr>
          <w:rFonts w:hint="eastAsia" w:ascii="宋体" w:hAnsi="宋体"/>
          <w:position w:val="-2"/>
          <w:sz w:val="24"/>
          <w:szCs w:val="24"/>
        </w:rPr>
        <w:t>合同</w:t>
      </w:r>
      <w:r>
        <w:rPr>
          <w:rFonts w:hint="eastAsia" w:ascii="宋体" w:hAnsi="宋体"/>
          <w:position w:val="-2"/>
          <w:sz w:val="24"/>
          <w:szCs w:val="24"/>
          <w:lang w:val="en-US" w:eastAsia="zh-CN"/>
        </w:rPr>
        <w:t>总</w:t>
      </w:r>
      <w:r>
        <w:rPr>
          <w:rFonts w:hint="eastAsia" w:ascii="宋体" w:hAnsi="宋体" w:eastAsia="宋体"/>
          <w:position w:val="-2"/>
          <w:sz w:val="24"/>
          <w:szCs w:val="24"/>
          <w:lang w:val="en-US" w:eastAsia="zh-CN"/>
        </w:rPr>
        <w:t>价</w:t>
      </w:r>
      <w:r>
        <w:rPr>
          <w:rFonts w:hint="eastAsia" w:ascii="宋体" w:hAnsi="宋体" w:eastAsia="宋体"/>
          <w:position w:val="-2"/>
          <w:sz w:val="24"/>
          <w:szCs w:val="24"/>
        </w:rPr>
        <w:t>为人民币金额（大写</w:t>
      </w:r>
      <w:r>
        <w:rPr>
          <w:rFonts w:hint="eastAsia" w:ascii="宋体" w:hAnsi="宋体" w:cs="宋体"/>
          <w:kern w:val="2"/>
          <w:sz w:val="24"/>
          <w:szCs w:val="24"/>
        </w:rPr>
        <w:t>）</w:t>
      </w:r>
      <w:r>
        <w:rPr>
          <w:rFonts w:hint="eastAsia" w:ascii="宋体" w:hAnsi="宋体" w:eastAsia="宋体" w:cs="宋体"/>
          <w:b/>
          <w:bCs/>
          <w:i w:val="0"/>
          <w:iCs w:val="0"/>
          <w:kern w:val="2"/>
          <w:sz w:val="24"/>
          <w:szCs w:val="24"/>
          <w:u w:val="single"/>
          <w:lang w:val="en-US" w:eastAsia="zh-CN"/>
        </w:rPr>
        <w:t>壹拾万元</w:t>
      </w:r>
      <w:r>
        <w:rPr>
          <w:rFonts w:hint="eastAsia" w:ascii="宋体" w:hAnsi="宋体"/>
          <w:b/>
          <w:bCs/>
          <w:i w:val="0"/>
          <w:iCs w:val="0"/>
          <w:sz w:val="24"/>
          <w:u w:val="single"/>
        </w:rPr>
        <w:t>整</w:t>
      </w:r>
      <w:r>
        <w:rPr>
          <w:rFonts w:hint="eastAsia" w:ascii="宋体" w:hAnsi="宋体" w:eastAsia="宋体"/>
          <w:position w:val="-2"/>
          <w:sz w:val="24"/>
          <w:szCs w:val="24"/>
        </w:rPr>
        <w:t>（人民币小写</w:t>
      </w:r>
      <w:r>
        <w:rPr>
          <w:rFonts w:hint="eastAsia" w:ascii="宋体" w:hAnsi="宋体"/>
          <w:sz w:val="24"/>
        </w:rPr>
        <w:t>：</w:t>
      </w:r>
      <w:r>
        <w:rPr>
          <w:rFonts w:hint="eastAsia" w:ascii="宋体" w:hAnsi="宋体" w:eastAsia="宋体"/>
          <w:b/>
          <w:sz w:val="24"/>
          <w:u w:val="single"/>
          <w:lang w:val="en-US" w:eastAsia="zh-CN"/>
        </w:rPr>
        <w:t>100000</w:t>
      </w:r>
      <w:r>
        <w:rPr>
          <w:rFonts w:hint="eastAsia" w:ascii="宋体" w:hAnsi="宋体"/>
          <w:sz w:val="24"/>
        </w:rPr>
        <w:t>元），上述金额为含税价格。其中，不含税金额为人民币金额（大写）</w:t>
      </w:r>
      <w:r>
        <w:rPr>
          <w:rFonts w:hint="eastAsia" w:ascii="宋体" w:hAnsi="宋体"/>
          <w:b/>
          <w:sz w:val="24"/>
          <w:u w:val="single"/>
          <w:lang w:val="en-US" w:eastAsia="zh-CN"/>
        </w:rPr>
        <w:t>玖万肆仟叁佰叁拾玖元陆角贰分</w:t>
      </w:r>
      <w:r>
        <w:rPr>
          <w:rFonts w:hint="eastAsia" w:ascii="宋体" w:hAnsi="宋体"/>
          <w:sz w:val="24"/>
        </w:rPr>
        <w:t>（人民币小写：</w:t>
      </w:r>
      <w:r>
        <w:rPr>
          <w:rFonts w:hint="eastAsia" w:ascii="宋体" w:hAnsi="宋体" w:eastAsia="宋体"/>
          <w:b/>
          <w:sz w:val="24"/>
          <w:u w:val="single"/>
          <w:lang w:val="en-US" w:eastAsia="zh-CN"/>
        </w:rPr>
        <w:t>94339.62</w:t>
      </w:r>
      <w:r>
        <w:rPr>
          <w:rFonts w:hint="eastAsia" w:ascii="宋体" w:hAnsi="宋体"/>
          <w:sz w:val="24"/>
        </w:rPr>
        <w:t>元），增值税率为【</w:t>
      </w:r>
      <w:r>
        <w:rPr>
          <w:rFonts w:hint="eastAsia" w:ascii="宋体" w:hAnsi="宋体"/>
          <w:sz w:val="24"/>
          <w:lang w:val="en-US" w:eastAsia="zh-CN"/>
        </w:rPr>
        <w:t>6</w:t>
      </w:r>
      <w:r>
        <w:rPr>
          <w:rFonts w:hint="eastAsia" w:ascii="宋体" w:hAnsi="宋体"/>
          <w:sz w:val="24"/>
        </w:rPr>
        <w:t>】</w:t>
      </w:r>
      <w:r>
        <w:rPr>
          <w:rFonts w:ascii="宋体" w:hAnsi="宋体"/>
          <w:sz w:val="24"/>
        </w:rPr>
        <w:t>%</w:t>
      </w:r>
      <w:r>
        <w:rPr>
          <w:rFonts w:hint="eastAsia" w:ascii="宋体" w:hAnsi="宋体"/>
          <w:sz w:val="24"/>
        </w:rPr>
        <w:t>，税款为人民币金额（大写）</w:t>
      </w:r>
      <w:r>
        <w:rPr>
          <w:rFonts w:hint="eastAsia" w:ascii="宋体" w:hAnsi="宋体"/>
          <w:b/>
          <w:sz w:val="24"/>
          <w:u w:val="single"/>
          <w:lang w:val="en-US" w:eastAsia="zh-CN"/>
        </w:rPr>
        <w:t>伍仟陆佰陆拾元叁角捌分</w:t>
      </w:r>
      <w:r>
        <w:rPr>
          <w:rFonts w:hint="eastAsia" w:ascii="宋体" w:hAnsi="宋体"/>
          <w:sz w:val="24"/>
        </w:rPr>
        <w:t>（人民币小写：</w:t>
      </w:r>
      <w:r>
        <w:rPr>
          <w:rFonts w:hint="eastAsia" w:ascii="宋体" w:hAnsi="宋体" w:eastAsia="宋体"/>
          <w:b/>
          <w:sz w:val="24"/>
          <w:u w:val="single"/>
          <w:lang w:val="en-US" w:eastAsia="zh-CN"/>
        </w:rPr>
        <w:t>5660.38</w:t>
      </w:r>
      <w:r>
        <w:rPr>
          <w:rFonts w:hint="eastAsia" w:ascii="宋体" w:hAnsi="宋体"/>
          <w:sz w:val="24"/>
        </w:rPr>
        <w:t>元）。</w:t>
      </w:r>
      <w:r>
        <w:rPr>
          <w:rFonts w:hint="eastAsia" w:ascii="宋体" w:hAnsi="宋体"/>
          <w:sz w:val="24"/>
          <w:lang w:val="en-US" w:eastAsia="zh-CN"/>
        </w:rPr>
        <w:t>以上暂定合同总价仅供参考，甲、乙双方应据实结算。</w:t>
      </w:r>
    </w:p>
    <w:p>
      <w:pPr>
        <w:spacing w:line="360" w:lineRule="auto"/>
        <w:ind w:firstLine="480" w:firstLineChars="200"/>
        <w:jc w:val="left"/>
        <w:rPr>
          <w:rFonts w:hint="eastAsia" w:ascii="宋体" w:hAnsi="宋体" w:eastAsia="宋体" w:cs="宋体"/>
          <w:kern w:val="28"/>
          <w:sz w:val="24"/>
          <w:szCs w:val="24"/>
        </w:rPr>
      </w:pPr>
      <w:r>
        <w:rPr>
          <w:rFonts w:hint="eastAsia" w:ascii="宋体" w:hAnsi="宋体" w:eastAsia="宋体" w:cs="宋体"/>
          <w:kern w:val="28"/>
          <w:sz w:val="24"/>
          <w:szCs w:val="24"/>
        </w:rPr>
        <w:t>2、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jc w:val="left"/>
        <w:rPr>
          <w:rFonts w:hint="eastAsia" w:ascii="宋体" w:hAnsi="宋体" w:eastAsia="宋体" w:cs="宋体"/>
          <w:kern w:val="28"/>
          <w:sz w:val="24"/>
          <w:szCs w:val="24"/>
        </w:rPr>
      </w:pPr>
      <w:r>
        <w:rPr>
          <w:rFonts w:hint="eastAsia" w:ascii="宋体" w:hAnsi="宋体" w:eastAsia="宋体" w:cs="宋体"/>
          <w:kern w:val="28"/>
          <w:sz w:val="24"/>
          <w:szCs w:val="24"/>
        </w:rPr>
        <w:t>3、乙方提供的发票为增值税专用发票的，因乙方迟延送达、开具错误等原因导致其提供的增值税专用发票没有通过税务部门认证，造成甲方不能抵扣的，甲方有权拒绝接收。</w:t>
      </w:r>
    </w:p>
    <w:p>
      <w:pPr>
        <w:spacing w:line="360" w:lineRule="auto"/>
        <w:ind w:firstLine="480"/>
        <w:jc w:val="left"/>
        <w:rPr>
          <w:rFonts w:hint="eastAsia" w:ascii="宋体" w:hAnsi="宋体" w:eastAsia="宋体" w:cs="宋体"/>
          <w:kern w:val="28"/>
          <w:sz w:val="24"/>
          <w:szCs w:val="24"/>
        </w:rPr>
      </w:pPr>
      <w:r>
        <w:rPr>
          <w:rFonts w:hint="eastAsia" w:ascii="宋体" w:hAnsi="宋体" w:eastAsia="宋体" w:cs="宋体"/>
          <w:kern w:val="28"/>
          <w:sz w:val="24"/>
          <w:szCs w:val="24"/>
        </w:rPr>
        <w:t>4、乙方开具虚假、作废等无效发票或者违反国家法律法规开具、提供发票的，乙方应自行承担相应法律责任，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jc w:val="left"/>
        <w:rPr>
          <w:rFonts w:hint="eastAsia" w:ascii="宋体" w:hAnsi="宋体" w:eastAsia="宋体" w:cs="宋体"/>
          <w:kern w:val="28"/>
          <w:sz w:val="24"/>
          <w:szCs w:val="24"/>
        </w:rPr>
      </w:pPr>
      <w:r>
        <w:rPr>
          <w:rFonts w:hint="eastAsia" w:ascii="宋体" w:hAnsi="宋体" w:eastAsia="宋体" w:cs="宋体"/>
          <w:kern w:val="28"/>
          <w:sz w:val="24"/>
          <w:szCs w:val="24"/>
        </w:rPr>
        <w:t>5、乙方未按合同约定开具增值税专用发票或实际开具的增值税专用发票税率低于合同中约定税率的，乙方除应向甲方支付无法抵扣部分的税款金额外，乙方应予赔偿，甲方有权终止合同。</w:t>
      </w:r>
    </w:p>
    <w:p>
      <w:pPr>
        <w:pStyle w:val="72"/>
        <w:spacing w:line="360" w:lineRule="auto"/>
        <w:ind w:firstLine="480" w:firstLineChars="200"/>
        <w:rPr>
          <w:rFonts w:hint="eastAsia" w:ascii="宋体" w:hAnsi="宋体"/>
          <w:sz w:val="24"/>
        </w:rPr>
      </w:pPr>
      <w:r>
        <w:rPr>
          <w:rFonts w:hint="eastAsia" w:ascii="宋体" w:hAnsi="宋体" w:eastAsia="宋体" w:cs="宋体"/>
          <w:kern w:val="28"/>
          <w:sz w:val="24"/>
          <w:szCs w:val="24"/>
        </w:rPr>
        <w:t>6、如果甲方丢失增值税专用发票联和抵扣联，乙方应向甲方提供专用发票记账联复印件及主管税务机关出具的《丢失增值税专用发票已报税证明单》。</w:t>
      </w:r>
    </w:p>
    <w:p>
      <w:pPr>
        <w:pStyle w:val="72"/>
        <w:spacing w:line="360" w:lineRule="auto"/>
        <w:ind w:firstLine="0" w:firstLineChars="0"/>
        <w:rPr>
          <w:rFonts w:hint="eastAsia" w:eastAsia="宋体"/>
          <w:b/>
          <w:sz w:val="24"/>
          <w:szCs w:val="24"/>
          <w:lang w:val="en-US" w:eastAsia="zh-CN"/>
        </w:rPr>
      </w:pPr>
      <w:r>
        <w:rPr>
          <w:rFonts w:hint="eastAsia" w:eastAsia="宋体"/>
          <w:b/>
          <w:sz w:val="24"/>
          <w:szCs w:val="24"/>
          <w:lang w:val="en-US" w:eastAsia="zh-CN"/>
        </w:rPr>
        <w:t>四</w:t>
      </w:r>
      <w:r>
        <w:rPr>
          <w:rFonts w:hint="eastAsia" w:eastAsia="宋体"/>
          <w:b/>
          <w:sz w:val="24"/>
          <w:szCs w:val="24"/>
        </w:rPr>
        <w:t>、</w:t>
      </w:r>
      <w:r>
        <w:rPr>
          <w:rFonts w:hint="eastAsia" w:ascii="宋体" w:hAnsi="宋体" w:eastAsia="宋体" w:cs="宋体"/>
          <w:b/>
          <w:kern w:val="28"/>
          <w:sz w:val="24"/>
          <w:szCs w:val="24"/>
        </w:rPr>
        <w:t>推介流程及佣金方案</w:t>
      </w:r>
    </w:p>
    <w:p>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甲乙双方确认：推介流程及计佣方式按照以下约定处理：</w:t>
      </w:r>
    </w:p>
    <w:p>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1、客户入口：乙方推荐客户带访到现场提前30分钟通过云客端口进行报备查询判定客户是否有效。报备成功后乙方拥有15天报备保护期。（后期发现客户争议，以合同十七条客户争议处理规则为准）。</w:t>
      </w:r>
    </w:p>
    <w:p>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2、到访：乙方推荐客户到访享有30天保护期（客户保护期内复访的，自复访之日起享有30天保护期），客户到访当日，甲乙双方须签署《</w:t>
      </w:r>
      <w:r>
        <w:rPr>
          <w:rFonts w:hint="eastAsia" w:ascii="宋体" w:hAnsi="宋体" w:eastAsia="宋体" w:cs="宋体"/>
          <w:kern w:val="28"/>
          <w:sz w:val="24"/>
          <w:szCs w:val="24"/>
          <w:lang w:val="en-US" w:eastAsia="zh-CN"/>
        </w:rPr>
        <w:t>山水文苑</w:t>
      </w:r>
      <w:r>
        <w:rPr>
          <w:rFonts w:hint="eastAsia" w:ascii="宋体" w:hAnsi="宋体" w:eastAsia="宋体" w:cs="宋体"/>
          <w:kern w:val="28"/>
          <w:sz w:val="24"/>
          <w:szCs w:val="24"/>
        </w:rPr>
        <w:t>项目“推荐客户”信息确认单》（见附件4，下文统称为《客户信息确认单》），以便双方核对确认。保护期内</w:t>
      </w:r>
      <w:r>
        <w:rPr>
          <w:rFonts w:hint="eastAsia" w:ascii="宋体" w:hAnsi="宋体" w:cs="宋体"/>
          <w:kern w:val="28"/>
          <w:sz w:val="24"/>
          <w:szCs w:val="24"/>
          <w:lang w:val="en-US" w:eastAsia="zh-CN"/>
        </w:rPr>
        <w:t>认购</w:t>
      </w:r>
      <w:r>
        <w:rPr>
          <w:rFonts w:hint="eastAsia" w:ascii="宋体" w:hAnsi="宋体" w:eastAsia="宋体" w:cs="宋体"/>
          <w:kern w:val="28"/>
          <w:sz w:val="24"/>
          <w:szCs w:val="24"/>
        </w:rPr>
        <w:t>该笔业绩归属乙方，超过客户保护期的该客户失效，成为公共资源。所有渠道仍可带访，自带访之日起重新计算保护期</w:t>
      </w:r>
      <w:r>
        <w:rPr>
          <w:rFonts w:hint="eastAsia" w:ascii="宋体" w:hAnsi="宋体" w:cs="宋体"/>
          <w:kern w:val="28"/>
          <w:sz w:val="24"/>
          <w:szCs w:val="24"/>
          <w:lang w:val="en-US" w:eastAsia="zh-CN"/>
        </w:rPr>
        <w:t>30</w:t>
      </w:r>
      <w:r>
        <w:rPr>
          <w:rFonts w:hint="eastAsia" w:ascii="宋体" w:hAnsi="宋体" w:eastAsia="宋体" w:cs="宋体"/>
          <w:kern w:val="28"/>
          <w:sz w:val="24"/>
          <w:szCs w:val="24"/>
        </w:rPr>
        <w:t>日，如已到访客户于客户保护期外再次到访，需重新签署《客户信息确认单》（如遇本协议终止或解除，不影响有关客户保护期的约定）。</w:t>
      </w:r>
    </w:p>
    <w:p>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3、自然到访：本项目所有自然到访客户（含来电客户，以置业顾问录明源为准），享有</w:t>
      </w:r>
      <w:r>
        <w:rPr>
          <w:rFonts w:hint="eastAsia" w:ascii="宋体" w:hAnsi="宋体" w:eastAsia="宋体" w:cs="宋体"/>
          <w:sz w:val="24"/>
          <w:szCs w:val="24"/>
        </w:rPr>
        <w:t>60天保护期（乙方可通过甲方云客端查询到访日期）</w:t>
      </w:r>
      <w:r>
        <w:rPr>
          <w:rFonts w:hint="eastAsia" w:ascii="宋体" w:hAnsi="宋体" w:eastAsia="宋体" w:cs="宋体"/>
          <w:kern w:val="28"/>
          <w:sz w:val="24"/>
          <w:szCs w:val="24"/>
        </w:rPr>
        <w:t>。</w:t>
      </w:r>
    </w:p>
    <w:p>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4、如乙方与甲方或其他第三方就客户确认发生争议的，在报备有效期内应按报备日期先后判断客户归属。</w:t>
      </w:r>
    </w:p>
    <w:p>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5、甲方员工、未经乙方带访成交的业主及其直系亲属（父母、子女、兄弟姐妹、祖父母、夫妻）永久归甲方所有（包含未经乙方带访业主二次置业）。</w:t>
      </w:r>
    </w:p>
    <w:p>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6、渠道过期资源：所有过有效保护期的客户均以带访为准，自带访之日起享有</w:t>
      </w:r>
      <w:r>
        <w:rPr>
          <w:rFonts w:hint="eastAsia" w:ascii="宋体" w:hAnsi="宋体" w:cs="宋体"/>
          <w:kern w:val="28"/>
          <w:sz w:val="24"/>
          <w:szCs w:val="24"/>
          <w:lang w:val="en-US" w:eastAsia="zh-CN"/>
        </w:rPr>
        <w:t>30</w:t>
      </w:r>
      <w:r>
        <w:rPr>
          <w:rFonts w:hint="eastAsia" w:ascii="宋体" w:hAnsi="宋体" w:eastAsia="宋体" w:cs="宋体"/>
          <w:kern w:val="28"/>
          <w:sz w:val="24"/>
          <w:szCs w:val="24"/>
        </w:rPr>
        <w:t>日的保护期。除前述《客户信息确认单》中所载客户外，</w:t>
      </w:r>
      <w:r>
        <w:rPr>
          <w:rFonts w:hint="eastAsia" w:ascii="宋体" w:hAnsi="宋体" w:cs="宋体"/>
          <w:kern w:val="28"/>
          <w:sz w:val="24"/>
          <w:szCs w:val="24"/>
          <w:lang w:eastAsia="zh-CN"/>
        </w:rPr>
        <w:t>渠道</w:t>
      </w:r>
      <w:r>
        <w:rPr>
          <w:rFonts w:hint="eastAsia" w:ascii="宋体" w:hAnsi="宋体" w:eastAsia="宋体" w:cs="宋体"/>
          <w:kern w:val="28"/>
          <w:sz w:val="24"/>
          <w:szCs w:val="24"/>
        </w:rPr>
        <w:t>商不得在销售</w:t>
      </w:r>
      <w:r>
        <w:rPr>
          <w:rFonts w:hint="eastAsia" w:ascii="宋体" w:hAnsi="宋体" w:cs="宋体"/>
          <w:kern w:val="28"/>
          <w:sz w:val="24"/>
          <w:szCs w:val="24"/>
          <w:lang w:val="en-US" w:eastAsia="zh-CN"/>
        </w:rPr>
        <w:t>案场</w:t>
      </w:r>
      <w:r>
        <w:rPr>
          <w:rFonts w:hint="eastAsia" w:ascii="宋体" w:hAnsi="宋体" w:eastAsia="宋体" w:cs="宋体"/>
          <w:kern w:val="28"/>
          <w:sz w:val="24"/>
          <w:szCs w:val="24"/>
        </w:rPr>
        <w:t>周边1.5公里内对其他客户进行销售活动，1.5公里明确路线范围设为</w:t>
      </w:r>
      <w:r>
        <w:rPr>
          <w:rFonts w:hint="eastAsia" w:ascii="宋体" w:hAnsi="宋体" w:eastAsia="宋体" w:cs="宋体"/>
          <w:kern w:val="28"/>
          <w:sz w:val="24"/>
          <w:szCs w:val="24"/>
          <w:lang w:val="en-US" w:eastAsia="zh-CN"/>
        </w:rPr>
        <w:t>李贺大道以南至兴宜大道，未来路以东至经二路。</w:t>
      </w:r>
      <w:r>
        <w:rPr>
          <w:rFonts w:hint="eastAsia" w:ascii="宋体" w:hAnsi="宋体" w:eastAsia="宋体" w:cs="宋体"/>
          <w:kern w:val="28"/>
          <w:sz w:val="24"/>
          <w:szCs w:val="24"/>
        </w:rPr>
        <w:t>以道路中线为界，在此范围内拓客视为截访售房部客户。经举报并查实，则该客户推荐无效，并对</w:t>
      </w:r>
      <w:r>
        <w:rPr>
          <w:rFonts w:hint="eastAsia" w:ascii="宋体" w:hAnsi="宋体" w:cs="宋体"/>
          <w:kern w:val="28"/>
          <w:sz w:val="24"/>
          <w:szCs w:val="24"/>
          <w:lang w:eastAsia="zh-CN"/>
        </w:rPr>
        <w:t>渠道</w:t>
      </w:r>
      <w:r>
        <w:rPr>
          <w:rFonts w:hint="eastAsia" w:ascii="宋体" w:hAnsi="宋体" w:eastAsia="宋体" w:cs="宋体"/>
          <w:kern w:val="28"/>
          <w:sz w:val="24"/>
          <w:szCs w:val="24"/>
        </w:rPr>
        <w:t>单位违规操作每次处以1000元</w:t>
      </w:r>
      <w:r>
        <w:rPr>
          <w:rFonts w:hint="eastAsia" w:ascii="宋体" w:hAnsi="宋体" w:eastAsia="宋体" w:cs="宋体"/>
          <w:sz w:val="24"/>
          <w:szCs w:val="24"/>
        </w:rPr>
        <w:t>/单的</w:t>
      </w:r>
      <w:r>
        <w:rPr>
          <w:rFonts w:hint="eastAsia" w:ascii="宋体" w:hAnsi="宋体" w:eastAsia="宋体" w:cs="宋体"/>
          <w:kern w:val="28"/>
          <w:sz w:val="24"/>
          <w:szCs w:val="24"/>
        </w:rPr>
        <w:t>罚款（此条只针对乙方合作的贝系门店罚款）。前述范围内乙方合作项目及合作门店正常营业的不在此限。</w:t>
      </w:r>
    </w:p>
    <w:p>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7</w:t>
      </w:r>
      <w:r>
        <w:rPr>
          <w:rFonts w:hint="eastAsia" w:ascii="宋体" w:hAnsi="宋体" w:eastAsia="宋体" w:cs="宋体"/>
          <w:kern w:val="28"/>
          <w:sz w:val="24"/>
          <w:szCs w:val="24"/>
          <w:lang w:eastAsia="zh-CN"/>
        </w:rPr>
        <w:t>、</w:t>
      </w:r>
      <w:r>
        <w:rPr>
          <w:rFonts w:hint="eastAsia" w:ascii="宋体" w:hAnsi="宋体" w:eastAsia="宋体" w:cs="宋体"/>
          <w:kern w:val="28"/>
          <w:sz w:val="24"/>
          <w:szCs w:val="24"/>
        </w:rPr>
        <w:t>佣金方案</w:t>
      </w:r>
    </w:p>
    <w:p>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（1）乙方按照上述约定成功促成甲方销售商品房的佣金计算方式为：</w:t>
      </w:r>
    </w:p>
    <w:p>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销售佣金=销售总金额</w:t>
      </w:r>
      <w:r>
        <w:rPr>
          <w:rFonts w:hint="eastAsia" w:ascii="宋体" w:hAnsi="宋体" w:eastAsia="宋体" w:cs="宋体"/>
          <w:kern w:val="28"/>
          <w:sz w:val="24"/>
          <w:szCs w:val="24"/>
          <w:lang w:val="en-US" w:eastAsia="zh-CN"/>
        </w:rPr>
        <w:t>*</w:t>
      </w:r>
      <w:r>
        <w:rPr>
          <w:rFonts w:hint="eastAsia" w:ascii="宋体" w:hAnsi="宋体" w:eastAsia="宋体" w:cs="宋体"/>
          <w:kern w:val="28"/>
          <w:sz w:val="24"/>
          <w:szCs w:val="24"/>
        </w:rPr>
        <w:t>销售佣金费率 （注：取当月</w:t>
      </w:r>
      <w:r>
        <w:rPr>
          <w:rFonts w:hint="eastAsia" w:ascii="宋体" w:hAnsi="宋体" w:eastAsia="宋体" w:cs="宋体"/>
          <w:kern w:val="28"/>
          <w:sz w:val="24"/>
          <w:szCs w:val="24"/>
          <w:lang w:val="en-US" w:eastAsia="zh-CN"/>
        </w:rPr>
        <w:t>认购</w:t>
      </w:r>
      <w:r>
        <w:rPr>
          <w:rFonts w:hint="eastAsia" w:ascii="宋体" w:hAnsi="宋体" w:eastAsia="宋体" w:cs="宋体"/>
          <w:kern w:val="28"/>
          <w:sz w:val="24"/>
          <w:szCs w:val="24"/>
        </w:rPr>
        <w:t>套数总值相应的佣金费率，通提）</w:t>
      </w:r>
    </w:p>
    <w:p>
      <w:pPr>
        <w:spacing w:line="360" w:lineRule="auto"/>
        <w:ind w:firstLine="480" w:firstLineChars="200"/>
        <w:rPr>
          <w:rFonts w:hint="eastAsia" w:ascii="宋体" w:hAnsi="宋体" w:eastAsia="宋体" w:cs="宋体"/>
          <w:kern w:val="28"/>
          <w:sz w:val="24"/>
          <w:szCs w:val="24"/>
          <w:lang w:eastAsia="zh-CN"/>
        </w:rPr>
      </w:pPr>
      <w:r>
        <w:rPr>
          <w:rFonts w:hint="eastAsia" w:ascii="宋体" w:hAnsi="宋体" w:eastAsia="宋体" w:cs="宋体"/>
          <w:kern w:val="28"/>
          <w:sz w:val="24"/>
          <w:szCs w:val="24"/>
        </w:rPr>
        <w:t>（2）佣金费率（销售金额以人民币计算；跳点套数以住宅、洋房</w:t>
      </w:r>
      <w:r>
        <w:rPr>
          <w:rFonts w:hint="eastAsia" w:ascii="宋体" w:hAnsi="宋体" w:eastAsia="宋体" w:cs="宋体"/>
          <w:kern w:val="28"/>
          <w:sz w:val="24"/>
          <w:szCs w:val="24"/>
          <w:lang w:val="en-US" w:eastAsia="zh-CN"/>
        </w:rPr>
        <w:t>总数</w:t>
      </w:r>
      <w:r>
        <w:rPr>
          <w:rFonts w:hint="eastAsia" w:ascii="宋体" w:hAnsi="宋体" w:eastAsia="宋体" w:cs="宋体"/>
          <w:kern w:val="28"/>
          <w:sz w:val="24"/>
          <w:szCs w:val="24"/>
        </w:rPr>
        <w:t>为准）</w:t>
      </w:r>
      <w:r>
        <w:rPr>
          <w:rFonts w:hint="eastAsia" w:ascii="宋体" w:hAnsi="宋体" w:eastAsia="宋体" w:cs="宋体"/>
          <w:kern w:val="28"/>
          <w:sz w:val="24"/>
          <w:szCs w:val="24"/>
          <w:lang w:eastAsia="zh-CN"/>
        </w:rPr>
        <w:t>：</w:t>
      </w:r>
    </w:p>
    <w:p>
      <w:pPr>
        <w:numPr>
          <w:ilvl w:val="0"/>
          <w:numId w:val="0"/>
        </w:numPr>
        <w:spacing w:line="360" w:lineRule="auto"/>
        <w:ind w:left="0" w:leftChars="0"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月度销售总套数≤5套的，佣金基数为销售金额</w:t>
      </w:r>
      <w:r>
        <w:rPr>
          <w:rFonts w:hint="eastAsia" w:ascii="宋体" w:hAnsi="宋体" w:eastAsia="宋体" w:cs="宋体"/>
          <w:kern w:val="28"/>
          <w:sz w:val="24"/>
          <w:szCs w:val="24"/>
          <w:lang w:val="en-US" w:eastAsia="zh-CN"/>
        </w:rPr>
        <w:t>的</w:t>
      </w:r>
      <w:r>
        <w:rPr>
          <w:rFonts w:hint="eastAsia" w:ascii="宋体" w:hAnsi="宋体" w:eastAsia="宋体" w:cs="宋体"/>
          <w:kern w:val="28"/>
          <w:sz w:val="24"/>
          <w:szCs w:val="24"/>
        </w:rPr>
        <w:t>2.5%计提；</w:t>
      </w:r>
    </w:p>
    <w:p>
      <w:pPr>
        <w:numPr>
          <w:ilvl w:val="0"/>
          <w:numId w:val="0"/>
        </w:numPr>
        <w:spacing w:line="360" w:lineRule="auto"/>
        <w:ind w:left="0" w:leftChars="0"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月度销售总套数≥6套且≤10套的，佣金基数为销售金额</w:t>
      </w:r>
      <w:r>
        <w:rPr>
          <w:rFonts w:hint="eastAsia" w:ascii="宋体" w:hAnsi="宋体" w:eastAsia="宋体" w:cs="宋体"/>
          <w:kern w:val="28"/>
          <w:sz w:val="24"/>
          <w:szCs w:val="24"/>
          <w:lang w:val="en-US" w:eastAsia="zh-CN"/>
        </w:rPr>
        <w:t>的</w:t>
      </w:r>
      <w:r>
        <w:rPr>
          <w:rFonts w:hint="eastAsia" w:ascii="宋体" w:hAnsi="宋体" w:eastAsia="宋体" w:cs="宋体"/>
          <w:kern w:val="28"/>
          <w:sz w:val="24"/>
          <w:szCs w:val="24"/>
        </w:rPr>
        <w:t>2.8%计提；</w:t>
      </w:r>
    </w:p>
    <w:p>
      <w:pPr>
        <w:numPr>
          <w:ilvl w:val="0"/>
          <w:numId w:val="0"/>
        </w:numPr>
        <w:spacing w:line="360" w:lineRule="auto"/>
        <w:ind w:left="0" w:leftChars="0"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月度销售总套数≥11套的，佣金基数为销售金额</w:t>
      </w:r>
      <w:r>
        <w:rPr>
          <w:rFonts w:hint="eastAsia" w:ascii="宋体" w:hAnsi="宋体" w:eastAsia="宋体" w:cs="宋体"/>
          <w:kern w:val="28"/>
          <w:sz w:val="24"/>
          <w:szCs w:val="24"/>
          <w:lang w:val="en-US" w:eastAsia="zh-CN"/>
        </w:rPr>
        <w:t>的</w:t>
      </w:r>
      <w:r>
        <w:rPr>
          <w:rFonts w:hint="eastAsia" w:ascii="宋体" w:hAnsi="宋体" w:eastAsia="宋体" w:cs="宋体"/>
          <w:kern w:val="28"/>
          <w:sz w:val="24"/>
          <w:szCs w:val="24"/>
        </w:rPr>
        <w:t>3%计提；</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kern w:val="28"/>
          <w:sz w:val="24"/>
          <w:szCs w:val="24"/>
        </w:rPr>
        <w:t>本条的销售金额是指《商品房买卖合同》</w:t>
      </w:r>
      <w:r>
        <w:rPr>
          <w:rFonts w:hint="eastAsia" w:ascii="宋体" w:hAnsi="宋体" w:eastAsia="宋体" w:cs="宋体"/>
          <w:kern w:val="28"/>
          <w:sz w:val="24"/>
          <w:szCs w:val="24"/>
          <w:lang w:val="en-US" w:eastAsia="zh-CN"/>
        </w:rPr>
        <w:t>中总房款</w:t>
      </w:r>
      <w:r>
        <w:rPr>
          <w:rFonts w:hint="eastAsia" w:ascii="宋体" w:hAnsi="宋体" w:eastAsia="宋体" w:cs="宋体"/>
          <w:kern w:val="28"/>
          <w:sz w:val="24"/>
          <w:szCs w:val="24"/>
        </w:rPr>
        <w:t>，但不包括买受人基于政府规定以及该《商品房买卖合同》约定应缴纳的税费。</w:t>
      </w:r>
    </w:p>
    <w:p>
      <w:pPr>
        <w:spacing w:line="360" w:lineRule="auto"/>
        <w:ind w:firstLine="480" w:firstLineChars="200"/>
        <w:rPr>
          <w:rFonts w:hint="eastAsia" w:eastAsia="宋体"/>
          <w:b/>
          <w:sz w:val="24"/>
          <w:szCs w:val="24"/>
          <w:lang w:val="en-US" w:eastAsia="zh-CN"/>
        </w:rPr>
      </w:pPr>
      <w:r>
        <w:rPr>
          <w:rFonts w:hint="eastAsia" w:ascii="宋体" w:hAnsi="宋体" w:eastAsia="宋体" w:cs="宋体"/>
          <w:sz w:val="24"/>
          <w:szCs w:val="24"/>
        </w:rPr>
        <w:t>（3）乙方已推介的客户及其直系亲属在本合同约定的保护期内购房的（按照认购为准），甲方按照本合同约定佣金费率向乙方支付佣金。乙方已推介的客户及其直系亲属在合同有效期结束（或因故解除）后</w:t>
      </w:r>
      <w:r>
        <w:rPr>
          <w:rFonts w:hint="eastAsia" w:ascii="宋体" w:hAnsi="宋体" w:eastAsia="宋体" w:cs="宋体"/>
          <w:sz w:val="24"/>
          <w:szCs w:val="24"/>
          <w:lang w:val="en-US" w:eastAsia="zh-CN"/>
        </w:rPr>
        <w:t>30</w:t>
      </w:r>
      <w:r>
        <w:rPr>
          <w:rFonts w:hint="eastAsia" w:ascii="宋体" w:hAnsi="宋体" w:eastAsia="宋体" w:cs="宋体"/>
          <w:sz w:val="24"/>
          <w:szCs w:val="24"/>
        </w:rPr>
        <w:t>天内购房的（购房以认购为准），甲方仍须依照本合同的约定佣金费率向乙方支付全额经纪服务费。超过</w:t>
      </w:r>
      <w:r>
        <w:rPr>
          <w:rFonts w:hint="eastAsia" w:ascii="宋体" w:hAnsi="宋体" w:eastAsia="宋体" w:cs="宋体"/>
          <w:sz w:val="24"/>
          <w:szCs w:val="24"/>
          <w:lang w:val="en-US" w:eastAsia="zh-CN"/>
        </w:rPr>
        <w:t>30</w:t>
      </w:r>
      <w:r>
        <w:rPr>
          <w:rFonts w:hint="eastAsia" w:ascii="宋体" w:hAnsi="宋体" w:eastAsia="宋体" w:cs="宋体"/>
          <w:sz w:val="24"/>
          <w:szCs w:val="24"/>
        </w:rPr>
        <w:t>天的，则甲方不需支付服务费。</w:t>
      </w:r>
    </w:p>
    <w:p>
      <w:pPr>
        <w:pStyle w:val="72"/>
        <w:spacing w:line="360" w:lineRule="auto"/>
        <w:ind w:firstLine="0" w:firstLineChars="0"/>
        <w:rPr>
          <w:rFonts w:hint="eastAsia" w:ascii="宋体" w:hAnsi="宋体" w:cs="宋体"/>
          <w:sz w:val="24"/>
          <w:szCs w:val="24"/>
          <w:lang w:val="en-US" w:eastAsia="zh-CN"/>
        </w:rPr>
      </w:pPr>
      <w:r>
        <w:rPr>
          <w:rFonts w:hint="eastAsia" w:eastAsia="宋体"/>
          <w:b/>
          <w:sz w:val="24"/>
          <w:szCs w:val="24"/>
          <w:lang w:val="en-US" w:eastAsia="zh-CN"/>
        </w:rPr>
        <w:t>五</w:t>
      </w:r>
      <w:r>
        <w:rPr>
          <w:rFonts w:hint="eastAsia" w:eastAsia="宋体"/>
          <w:b/>
          <w:sz w:val="24"/>
          <w:szCs w:val="24"/>
        </w:rPr>
        <w:t>、</w:t>
      </w:r>
      <w:r>
        <w:rPr>
          <w:rFonts w:hint="eastAsia" w:ascii="宋体" w:hAnsi="宋体" w:eastAsia="宋体" w:cs="宋体"/>
          <w:b/>
          <w:sz w:val="24"/>
          <w:szCs w:val="24"/>
        </w:rPr>
        <w:t>佣金支付条件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成功销售：乙方推介客户签署《商品房买卖合同》，即视为乙方成功销售该物业，计入乙方销售业绩。甲方对接人须在乙方在成功销售物业后3日内在乙方提供的《成销确认单》上签字，逾期未签署视为对乙方销售业绩的确认。乙方成功销售后有权按照本合同约定的服务费标准获取服务费。乙方推介的客户已成功的，根据付款方式不同，佣金支付条件不同，具体如下：</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28"/>
          <w:sz w:val="24"/>
          <w:szCs w:val="24"/>
        </w:rPr>
        <w:t>（1）</w:t>
      </w:r>
      <w:r>
        <w:rPr>
          <w:rFonts w:hint="eastAsia" w:ascii="宋体" w:hAnsi="宋体" w:eastAsia="宋体" w:cs="宋体"/>
          <w:sz w:val="24"/>
          <w:szCs w:val="24"/>
          <w:highlight w:val="none"/>
        </w:rPr>
        <w:t>按揭付款条件：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乙方推介客户缴清首付款，即结算全部佣金；</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28"/>
          <w:sz w:val="24"/>
          <w:szCs w:val="24"/>
        </w:rPr>
        <w:t>（2）</w:t>
      </w:r>
      <w:r>
        <w:rPr>
          <w:rFonts w:hint="eastAsia" w:ascii="宋体" w:hAnsi="宋体" w:eastAsia="宋体" w:cs="宋体"/>
          <w:sz w:val="24"/>
          <w:szCs w:val="24"/>
          <w:highlight w:val="none"/>
        </w:rPr>
        <w:t>一次性付款条件：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乙方推介客户缴清全部购房款，即结算全部佣金。</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（3）</w:t>
      </w:r>
      <w:r>
        <w:rPr>
          <w:rFonts w:hint="eastAsia" w:ascii="宋体" w:hAnsi="宋体" w:eastAsia="宋体" w:cs="宋体"/>
          <w:sz w:val="24"/>
          <w:szCs w:val="24"/>
          <w:highlight w:val="none"/>
        </w:rPr>
        <w:t>其他付款方付款条件：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乙方推介客户交齐第一</w:t>
      </w:r>
      <w:r>
        <w:rPr>
          <w:rFonts w:hint="eastAsia" w:ascii="宋体" w:hAnsi="宋体" w:eastAsia="宋体" w:cs="宋体"/>
          <w:color w:val="auto"/>
          <w:sz w:val="24"/>
          <w:szCs w:val="24"/>
          <w:highlight w:val="none"/>
        </w:rPr>
        <w:t>笔购房款，即结算全部佣金。</w:t>
      </w:r>
    </w:p>
    <w:p>
      <w:pPr>
        <w:pStyle w:val="76"/>
        <w:widowControl/>
        <w:tabs>
          <w:tab w:val="left" w:pos="420"/>
        </w:tabs>
        <w:adjustRightInd w:val="0"/>
        <w:snapToGrid w:val="0"/>
        <w:spacing w:line="30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auto"/>
          <w:sz w:val="24"/>
          <w:szCs w:val="24"/>
        </w:rPr>
        <w:t>2、如乙方客户</w:t>
      </w:r>
      <w:r>
        <w:rPr>
          <w:rFonts w:hint="eastAsia" w:ascii="宋体" w:hAnsi="宋体" w:eastAsia="宋体" w:cs="宋体"/>
          <w:color w:val="auto"/>
          <w:sz w:val="24"/>
          <w:szCs w:val="24"/>
          <w:lang w:val="en-US" w:eastAsia="zh-CN"/>
        </w:rPr>
        <w:t>网签</w:t>
      </w:r>
      <w:r>
        <w:rPr>
          <w:rFonts w:hint="eastAsia" w:ascii="宋体" w:hAnsi="宋体" w:eastAsia="宋体" w:cs="宋体"/>
          <w:color w:val="auto"/>
          <w:sz w:val="24"/>
          <w:szCs w:val="24"/>
        </w:rPr>
        <w:t>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rPr>
        <w:t>日</w:t>
      </w:r>
      <w:r>
        <w:rPr>
          <w:rFonts w:hint="eastAsia" w:ascii="宋体" w:hAnsi="宋体" w:eastAsia="宋体" w:cs="宋体"/>
          <w:color w:val="000000"/>
          <w:sz w:val="24"/>
          <w:szCs w:val="24"/>
        </w:rPr>
        <w:t>内因乙方原因发生退房事宜，</w:t>
      </w:r>
      <w:bookmarkStart w:id="2" w:name="OLE_LINK138"/>
      <w:r>
        <w:rPr>
          <w:rFonts w:hint="eastAsia" w:ascii="宋体" w:hAnsi="宋体" w:eastAsia="宋体" w:cs="宋体"/>
          <w:color w:val="000000"/>
          <w:sz w:val="24"/>
          <w:szCs w:val="24"/>
        </w:rPr>
        <w:t>在客户退房手续办理完成，</w:t>
      </w:r>
      <w:bookmarkStart w:id="3" w:name="OLE_LINK74"/>
      <w:bookmarkStart w:id="4" w:name="OLE_LINK73"/>
      <w:r>
        <w:rPr>
          <w:rFonts w:hint="eastAsia" w:ascii="宋体" w:hAnsi="宋体" w:eastAsia="宋体" w:cs="宋体"/>
          <w:color w:val="000000"/>
          <w:sz w:val="24"/>
          <w:szCs w:val="24"/>
        </w:rPr>
        <w:t>且双</w:t>
      </w:r>
      <w:bookmarkStart w:id="5" w:name="OLE_LINK1"/>
      <w:bookmarkStart w:id="6" w:name="OLE_LINK2"/>
      <w:r>
        <w:rPr>
          <w:rFonts w:hint="eastAsia" w:ascii="宋体" w:hAnsi="宋体" w:eastAsia="宋体" w:cs="宋体"/>
          <w:color w:val="000000"/>
          <w:sz w:val="24"/>
          <w:szCs w:val="24"/>
        </w:rPr>
        <w:t>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w:t>
      </w:r>
      <w:bookmarkEnd w:id="2"/>
      <w:bookmarkEnd w:id="3"/>
      <w:bookmarkEnd w:id="4"/>
      <w:bookmarkEnd w:id="5"/>
      <w:bookmarkEnd w:id="6"/>
      <w:r>
        <w:rPr>
          <w:rFonts w:hint="eastAsia" w:ascii="宋体" w:hAnsi="宋体" w:eastAsia="宋体" w:cs="宋体"/>
          <w:color w:val="000000"/>
          <w:sz w:val="24"/>
          <w:szCs w:val="24"/>
        </w:rPr>
        <w:t>，否则</w:t>
      </w:r>
      <w:bookmarkStart w:id="7" w:name="OLE_LINK183"/>
      <w:r>
        <w:rPr>
          <w:rFonts w:hint="eastAsia" w:ascii="宋体" w:hAnsi="宋体" w:eastAsia="宋体" w:cs="宋体"/>
          <w:color w:val="000000"/>
          <w:sz w:val="24"/>
          <w:szCs w:val="24"/>
        </w:rPr>
        <w:t>每逾期一日乙方需向甲方支付欠付款项万分之五的违约金。</w:t>
      </w:r>
      <w:bookmarkEnd w:id="7"/>
    </w:p>
    <w:p>
      <w:pPr>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3、甲方指定对接人1、姓名</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联系方式：</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亲笔签名样式：</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；2、姓名</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联系方式：</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亲笔签名样式：</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；3、姓名</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联系方式：</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亲笔签名样式：</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；在《客户带看确认书》《成功销售确认单》《对账单明细表》</w:t>
      </w:r>
      <w:bookmarkStart w:id="8" w:name="OLE_LINK75"/>
      <w:r>
        <w:rPr>
          <w:rFonts w:hint="eastAsia" w:ascii="宋体" w:hAnsi="宋体" w:eastAsia="宋体" w:cs="宋体"/>
          <w:sz w:val="24"/>
          <w:szCs w:val="24"/>
          <w:shd w:val="clear" w:color="auto" w:fill="FFFFFF"/>
        </w:rPr>
        <w:t>（如实际使用的确客、成销、对账结算文书名称与本合同约定名称不符，以实际使用的文书名称为准，下同）上签字确认。上述文件，甲方对接人之一签字即有效，</w:t>
      </w:r>
      <w:bookmarkStart w:id="9" w:name="OLE_LINK70"/>
      <w:r>
        <w:rPr>
          <w:rFonts w:hint="eastAsia" w:ascii="宋体" w:hAnsi="宋体" w:eastAsia="宋体" w:cs="宋体"/>
          <w:sz w:val="24"/>
          <w:szCs w:val="24"/>
          <w:shd w:val="clear" w:color="auto" w:fill="FFFFFF"/>
        </w:rPr>
        <w:t>甲方变更对接人的，需提前3日书面通知乙方，并在盖章的书面通知中明确新的甲方对接人及签字生效日期。</w:t>
      </w:r>
      <w:bookmarkEnd w:id="8"/>
      <w:bookmarkEnd w:id="9"/>
    </w:p>
    <w:p>
      <w:pPr>
        <w:pStyle w:val="72"/>
        <w:spacing w:line="360" w:lineRule="auto"/>
        <w:ind w:firstLine="0" w:firstLineChars="0"/>
        <w:rPr>
          <w:rFonts w:hint="eastAsia" w:ascii="宋体" w:hAnsi="宋体" w:eastAsia="宋体" w:cs="宋体"/>
          <w:b/>
          <w:bCs/>
          <w:color w:val="000000"/>
          <w:sz w:val="24"/>
          <w:szCs w:val="28"/>
          <w:highlight w:val="none"/>
        </w:rPr>
      </w:pPr>
      <w:r>
        <w:rPr>
          <w:rFonts w:hint="eastAsia" w:eastAsia="宋体"/>
          <w:b/>
          <w:sz w:val="24"/>
          <w:szCs w:val="24"/>
          <w:lang w:val="en-US" w:eastAsia="zh-CN"/>
        </w:rPr>
        <w:t>六</w:t>
      </w:r>
      <w:r>
        <w:rPr>
          <w:rFonts w:hint="eastAsia" w:eastAsia="宋体"/>
          <w:b/>
          <w:sz w:val="24"/>
          <w:szCs w:val="24"/>
        </w:rPr>
        <w:t>、</w:t>
      </w:r>
      <w:r>
        <w:rPr>
          <w:rFonts w:hint="eastAsia" w:ascii="宋体" w:hAnsi="宋体" w:eastAsia="宋体" w:cs="宋体"/>
          <w:b/>
          <w:sz w:val="24"/>
          <w:szCs w:val="24"/>
        </w:rPr>
        <w:t>佣金结算方式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结算方式半月结：乙方在每月1号和15号向甲方提供每半个自然月度达到结算条件的《对账单明细表》，甲方在收到《对账单明细表》后2日内审核完毕并签字确认一份返还至乙方。逾期未签字确认的，视为甲方对乙方提交的结算金额的认可，同意按照《对账单明细表》上所述金额向乙方支付服务费。或甲方逾期未与乙方对账结算的，双方按照《成销确认单》所确定的数据为最终结算依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据实结算</w:t>
      </w:r>
      <w:r>
        <w:rPr>
          <w:rFonts w:hint="eastAsia" w:ascii="宋体" w:hAnsi="宋体" w:eastAsia="宋体" w:cs="宋体"/>
          <w:sz w:val="24"/>
          <w:szCs w:val="24"/>
          <w:lang w:eastAsia="zh-CN"/>
        </w:rPr>
        <w:t>。</w:t>
      </w:r>
      <w:r>
        <w:rPr>
          <w:rFonts w:hint="eastAsia" w:ascii="宋体" w:hAnsi="宋体" w:eastAsia="宋体" w:cs="宋体"/>
          <w:sz w:val="24"/>
          <w:szCs w:val="24"/>
        </w:rPr>
        <w:t>甲方应在双方对账完成后3日内通知乙方开具相应金额发票，否则乙方根据《对账单明细表》确认的金额向甲方提供等额发票后6日内甲方将服务费付至乙方指定帐户。甲方对于乙方提交的《对账单明细表》有争议的，不得以审核原因拖欠乙方应结佣金，应先按照双方确认无异议 的部分先行支付佣金，逾期视为违约。甲方迟延或故意不通知乙方开具发票的，视为违约，按照本合同约定承担违约责任。最终的佣金费率按照月度佣金费率标准进行结算，多退少补。甲方指定以下账户作为付款账户，并承诺合同履行期间不得进行更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账户信息：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开户名：洛阳</w:t>
      </w:r>
      <w:r>
        <w:rPr>
          <w:rFonts w:hint="eastAsia" w:ascii="宋体" w:hAnsi="宋体" w:eastAsia="宋体" w:cs="宋体"/>
          <w:sz w:val="24"/>
          <w:szCs w:val="24"/>
          <w:lang w:eastAsia="zh-CN"/>
        </w:rPr>
        <w:t>莘子园</w:t>
      </w:r>
      <w:r>
        <w:rPr>
          <w:rFonts w:hint="eastAsia" w:ascii="宋体" w:hAnsi="宋体" w:eastAsia="宋体" w:cs="宋体"/>
          <w:sz w:val="24"/>
          <w:szCs w:val="24"/>
        </w:rPr>
        <w:t>置地有限公司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开户行：浦发银行龙门支行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账号：1323 0078 8018 0000 0217</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甲方开票信息：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企业名称：洛阳</w:t>
      </w:r>
      <w:r>
        <w:rPr>
          <w:rFonts w:hint="eastAsia" w:ascii="宋体" w:hAnsi="宋体" w:eastAsia="宋体" w:cs="宋体"/>
          <w:sz w:val="24"/>
          <w:szCs w:val="24"/>
          <w:lang w:eastAsia="zh-CN"/>
        </w:rPr>
        <w:t>莘子园</w:t>
      </w:r>
      <w:r>
        <w:rPr>
          <w:rFonts w:hint="eastAsia" w:ascii="宋体" w:hAnsi="宋体" w:eastAsia="宋体" w:cs="宋体"/>
          <w:sz w:val="24"/>
          <w:szCs w:val="24"/>
        </w:rPr>
        <w:t>置地有限公司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发票类型：增值税（专用）发票，税率 6%。</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发票开具对象（即发票抬头）：（甲方公司名称）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纳税人识别编号: </w:t>
      </w:r>
      <w:r>
        <w:rPr>
          <w:rFonts w:hint="eastAsia" w:ascii="宋体" w:hAnsi="宋体" w:eastAsia="宋体" w:cs="宋体"/>
          <w:sz w:val="24"/>
          <w:szCs w:val="24"/>
          <w:lang w:val="en-US" w:eastAsia="zh-CN"/>
        </w:rPr>
        <w:t>91410 327MA 46Q35 79G</w:t>
      </w:r>
      <w:r>
        <w:rPr>
          <w:rFonts w:hint="eastAsia" w:ascii="宋体" w:hAnsi="宋体" w:eastAsia="宋体" w:cs="宋体"/>
          <w:sz w:val="24"/>
          <w:szCs w:val="24"/>
        </w:rPr>
        <w:t xml:space="preserve">            </w:t>
      </w:r>
    </w:p>
    <w:p>
      <w:pPr>
        <w:spacing w:line="360" w:lineRule="auto"/>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地址、电话：</w:t>
      </w:r>
      <w:r>
        <w:rPr>
          <w:rFonts w:hint="eastAsia" w:ascii="宋体" w:hAnsi="宋体" w:eastAsia="宋体" w:cs="宋体"/>
          <w:sz w:val="24"/>
          <w:szCs w:val="24"/>
          <w:u w:val="none"/>
          <w:lang w:val="en-US" w:eastAsia="zh-CN"/>
        </w:rPr>
        <w:t xml:space="preserve">洛阳市宜阳县滨河北路山水文苑营销中心  </w:t>
      </w:r>
      <w:r>
        <w:rPr>
          <w:rFonts w:hint="eastAsia" w:ascii="宋体" w:hAnsi="宋体" w:eastAsia="宋体" w:cs="宋体"/>
          <w:sz w:val="24"/>
          <w:szCs w:val="24"/>
        </w:rPr>
        <w:t>0379-</w:t>
      </w:r>
      <w:r>
        <w:rPr>
          <w:rFonts w:hint="eastAsia" w:ascii="宋体" w:hAnsi="宋体" w:eastAsia="宋体" w:cs="宋体"/>
          <w:sz w:val="24"/>
          <w:szCs w:val="24"/>
          <w:lang w:val="en-US" w:eastAsia="zh-CN"/>
        </w:rPr>
        <w:t>68911111</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开户行:</w:t>
      </w:r>
      <w:r>
        <w:rPr>
          <w:rFonts w:hint="eastAsia" w:ascii="宋体" w:hAnsi="宋体" w:eastAsia="宋体" w:cs="宋体"/>
          <w:sz w:val="24"/>
          <w:szCs w:val="24"/>
          <w:lang w:val="en-US" w:eastAsia="zh-CN"/>
        </w:rPr>
        <w:t>宜阳农商行文化路支行</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账号:</w:t>
      </w:r>
      <w:r>
        <w:rPr>
          <w:rFonts w:hint="eastAsia" w:ascii="宋体" w:hAnsi="宋体" w:eastAsia="宋体" w:cs="宋体"/>
          <w:sz w:val="24"/>
          <w:szCs w:val="24"/>
          <w:lang w:val="en-US" w:eastAsia="zh-CN"/>
        </w:rPr>
        <w:t>66121011800000498</w:t>
      </w:r>
    </w:p>
    <w:p>
      <w:pPr>
        <w:spacing w:line="360" w:lineRule="auto"/>
        <w:ind w:firstLine="480" w:firstLineChars="200"/>
        <w:rPr>
          <w:rFonts w:ascii="宋体" w:hAnsi="宋体" w:cs="微软雅黑"/>
          <w:sz w:val="28"/>
          <w:szCs w:val="28"/>
        </w:rPr>
      </w:pPr>
      <w:r>
        <w:rPr>
          <w:rFonts w:hint="eastAsia" w:ascii="宋体" w:hAnsi="宋体" w:eastAsia="宋体" w:cs="宋体"/>
          <w:sz w:val="24"/>
          <w:szCs w:val="24"/>
        </w:rPr>
        <w:t>发票开具名目：服务费</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rPr>
        <w:t>甲方无权要求乙方更换发票开具对象及名目，且不得因此拒绝或延迟向乙方支付服务费，否则视为甲方违约。甲方迟延与乙方对账确认导致乙方无法开具准确金额发票的，视同甲方违约，同意按照乙方开具的发票面额向乙方支付相应佣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乙方账户信息：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开户名：洛阳闹贝房地产经纪有限公司宜阳分公司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开户行：招商银行股份有限公司洛阳新区支行</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账号：</w:t>
      </w:r>
      <w:r>
        <w:rPr>
          <w:rFonts w:hint="eastAsia" w:ascii="宋体" w:hAnsi="宋体" w:eastAsia="宋体" w:cs="宋体"/>
          <w:sz w:val="24"/>
          <w:szCs w:val="24"/>
          <w:lang w:val="en-US" w:eastAsia="zh-CN"/>
        </w:rPr>
        <w:t xml:space="preserve"> 379900680710902</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甲方逾期支付乙方服务费的，每逾期一日甲方需向乙方支付欠付款项万分之五的违约金，若逾期支付超过30天，乙方可无责单方解除合同，或暂停向甲方提供本项目新房</w:t>
      </w:r>
      <w:r>
        <w:rPr>
          <w:rFonts w:hint="eastAsia" w:ascii="宋体" w:hAnsi="宋体" w:cs="宋体"/>
          <w:sz w:val="24"/>
          <w:szCs w:val="24"/>
          <w:lang w:eastAsia="zh-CN"/>
        </w:rPr>
        <w:t>渠道</w:t>
      </w:r>
      <w:r>
        <w:rPr>
          <w:rFonts w:hint="eastAsia" w:ascii="宋体" w:hAnsi="宋体" w:cs="宋体"/>
          <w:sz w:val="24"/>
          <w:szCs w:val="24"/>
        </w:rPr>
        <w:t>服务，且不承担任何违约责任。</w:t>
      </w:r>
    </w:p>
    <w:p>
      <w:pPr>
        <w:pStyle w:val="72"/>
        <w:spacing w:line="360" w:lineRule="auto"/>
        <w:ind w:firstLine="0" w:firstLineChars="0"/>
        <w:rPr>
          <w:rFonts w:hint="eastAsia" w:eastAsia="宋体"/>
          <w:b/>
          <w:sz w:val="24"/>
          <w:szCs w:val="24"/>
        </w:rPr>
      </w:pPr>
      <w:r>
        <w:rPr>
          <w:rFonts w:hint="eastAsia" w:eastAsia="宋体"/>
          <w:b/>
          <w:sz w:val="24"/>
          <w:szCs w:val="24"/>
          <w:lang w:val="en-US" w:eastAsia="zh-CN"/>
        </w:rPr>
        <w:t>七</w:t>
      </w:r>
      <w:r>
        <w:rPr>
          <w:rFonts w:hint="eastAsia" w:eastAsia="宋体"/>
          <w:b/>
          <w:sz w:val="24"/>
          <w:szCs w:val="24"/>
        </w:rPr>
        <w:t>、</w:t>
      </w:r>
      <w:r>
        <w:rPr>
          <w:rFonts w:hint="eastAsia" w:ascii="宋体" w:hAnsi="宋体" w:eastAsia="宋体" w:cs="宋体"/>
          <w:b/>
          <w:sz w:val="24"/>
          <w:szCs w:val="24"/>
        </w:rPr>
        <w:t>乙方销售服务支持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1、乙方须在其销售中心或门店及时摆设和更新甲方项目的相关展架和产品宣传等相关资料。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2、乙方工作人员每月不少于2次接受甲方项目知识培训及项目现场参观交流。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3、乙方与甲方保持密切的沟通，根据市场变化情况配合甲方对该项目营销策划等工作进行及时调整。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4、协助甲方制定项目的营销推广策略。</w:t>
      </w:r>
    </w:p>
    <w:p>
      <w:pPr>
        <w:pStyle w:val="72"/>
        <w:spacing w:line="360" w:lineRule="auto"/>
        <w:ind w:firstLine="0" w:firstLineChars="0"/>
        <w:rPr>
          <w:rFonts w:hint="eastAsia" w:eastAsia="宋体"/>
          <w:b/>
          <w:sz w:val="24"/>
          <w:szCs w:val="24"/>
        </w:rPr>
      </w:pPr>
      <w:r>
        <w:rPr>
          <w:rFonts w:hint="eastAsia" w:eastAsia="宋体"/>
          <w:b/>
          <w:sz w:val="24"/>
          <w:szCs w:val="24"/>
          <w:lang w:val="en-US" w:eastAsia="zh-CN"/>
        </w:rPr>
        <w:t>八</w:t>
      </w:r>
      <w:r>
        <w:rPr>
          <w:rFonts w:hint="eastAsia" w:eastAsia="宋体"/>
          <w:b/>
          <w:sz w:val="24"/>
          <w:szCs w:val="24"/>
        </w:rPr>
        <w:t>、</w:t>
      </w:r>
      <w:r>
        <w:rPr>
          <w:rFonts w:hint="eastAsia" w:ascii="宋体" w:hAnsi="宋体" w:eastAsia="宋体" w:cs="宋体"/>
          <w:b/>
          <w:sz w:val="24"/>
          <w:szCs w:val="24"/>
        </w:rPr>
        <w:t>销售房源和价格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销售房源由甲方指定提供（指定货量根据销售情况的变化进行调整），并定期以书面形式向乙方提供房源统计。乙方可通过查询由甲方提供的推介系统了解房源信息后向客户推荐意向单位，客户如有意向单位，乙方需先对意向单位与甲方进行确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2、乙方销售价格和甲方现场销售报价相同，以甲方提供的销售价目表、付款方式、折扣为准，该价格表经甲方指定对接人签字</w:t>
      </w:r>
      <w:r>
        <w:rPr>
          <w:rFonts w:hint="eastAsia" w:ascii="宋体" w:hAnsi="宋体" w:cs="宋体"/>
          <w:sz w:val="24"/>
          <w:szCs w:val="24"/>
          <w:lang w:val="en-US" w:eastAsia="zh-CN"/>
        </w:rPr>
        <w:t>或</w:t>
      </w:r>
      <w:r>
        <w:rPr>
          <w:rFonts w:hint="eastAsia" w:ascii="宋体" w:hAnsi="宋体" w:eastAsia="宋体" w:cs="宋体"/>
          <w:sz w:val="24"/>
          <w:szCs w:val="24"/>
        </w:rPr>
        <w:t>盖章方为有效认可。如甲方对价格进行调整，则甲方需以书面形式随时通知乙方</w:t>
      </w:r>
      <w:r>
        <w:rPr>
          <w:rFonts w:hint="eastAsia" w:ascii="宋体" w:hAnsi="宋体" w:cs="宋体"/>
          <w:sz w:val="24"/>
          <w:szCs w:val="24"/>
          <w:lang w:eastAsia="zh-CN"/>
        </w:rPr>
        <w:t>，</w:t>
      </w:r>
      <w:r>
        <w:rPr>
          <w:rFonts w:hint="eastAsia" w:ascii="宋体" w:hAnsi="宋体" w:eastAsia="宋体" w:cs="宋体"/>
          <w:sz w:val="24"/>
          <w:szCs w:val="24"/>
        </w:rPr>
        <w:t>但甲方销售价格不得高于在政府部门的备案价。</w:t>
      </w:r>
    </w:p>
    <w:p>
      <w:pPr>
        <w:pStyle w:val="72"/>
        <w:spacing w:line="360" w:lineRule="auto"/>
        <w:ind w:firstLine="0" w:firstLineChars="0"/>
        <w:rPr>
          <w:rFonts w:hint="eastAsia" w:ascii="宋体" w:hAnsi="宋体" w:eastAsia="宋体" w:cs="宋体"/>
          <w:b/>
          <w:sz w:val="24"/>
          <w:szCs w:val="24"/>
        </w:rPr>
      </w:pPr>
      <w:r>
        <w:rPr>
          <w:rFonts w:hint="eastAsia" w:eastAsia="宋体"/>
          <w:b/>
          <w:sz w:val="24"/>
          <w:szCs w:val="24"/>
          <w:lang w:val="en-US" w:eastAsia="zh-CN"/>
        </w:rPr>
        <w:t>九</w:t>
      </w:r>
      <w:r>
        <w:rPr>
          <w:rFonts w:hint="eastAsia" w:eastAsia="宋体"/>
          <w:b/>
          <w:sz w:val="24"/>
          <w:szCs w:val="24"/>
        </w:rPr>
        <w:t>、</w:t>
      </w:r>
      <w:r>
        <w:rPr>
          <w:rFonts w:hint="eastAsia" w:ascii="宋体" w:hAnsi="宋体" w:eastAsia="宋体" w:cs="宋体"/>
          <w:b/>
          <w:sz w:val="24"/>
          <w:szCs w:val="24"/>
        </w:rPr>
        <w:t>费用划分</w:t>
      </w:r>
    </w:p>
    <w:p>
      <w:pPr>
        <w:pStyle w:val="72"/>
        <w:spacing w:line="360" w:lineRule="auto"/>
        <w:ind w:firstLine="480" w:firstLineChars="200"/>
      </w:pPr>
      <w:r>
        <w:rPr>
          <w:rFonts w:hint="eastAsia" w:ascii="宋体" w:hAnsi="宋体" w:eastAsia="宋体" w:cs="宋体"/>
          <w:color w:val="000000"/>
          <w:sz w:val="24"/>
          <w:szCs w:val="24"/>
          <w:lang w:val="en-US" w:eastAsia="zh-CN" w:bidi="ar-SA"/>
        </w:rPr>
        <w:t>1、</w:t>
      </w:r>
      <w:r>
        <w:rPr>
          <w:rFonts w:hint="eastAsia" w:ascii="宋体" w:hAnsi="宋体" w:eastAsia="宋体" w:cs="宋体"/>
          <w:color w:val="000000"/>
          <w:sz w:val="24"/>
          <w:szCs w:val="24"/>
          <w:lang w:val="zh-CN" w:eastAsia="zh-CN" w:bidi="ar-SA"/>
        </w:rPr>
        <w:t>不管乙方是</w:t>
      </w:r>
      <w:r>
        <w:rPr>
          <w:rFonts w:hint="eastAsia" w:ascii="宋体" w:hAnsi="宋体" w:eastAsia="宋体" w:cs="宋体"/>
          <w:sz w:val="24"/>
          <w:szCs w:val="24"/>
          <w:lang w:val="zh-CN"/>
        </w:rPr>
        <w:t>否促成其招揽的客户与甲方签订《</w:t>
      </w:r>
      <w:r>
        <w:rPr>
          <w:rFonts w:hint="eastAsia" w:ascii="宋体" w:hAnsi="宋体" w:eastAsia="宋体" w:cs="宋体"/>
          <w:sz w:val="24"/>
          <w:szCs w:val="24"/>
        </w:rPr>
        <w:t>商品房</w:t>
      </w:r>
      <w:r>
        <w:rPr>
          <w:rFonts w:hint="eastAsia" w:ascii="宋体" w:hAnsi="宋体" w:eastAsia="宋体" w:cs="宋体"/>
          <w:sz w:val="24"/>
          <w:szCs w:val="24"/>
          <w:lang w:val="zh-CN"/>
        </w:rPr>
        <w:t>买卖合同》达到甲方售出商品房的目的，乙方进行居间活动所支付的所有居间费用（包括但不限于推广费用、宣传物料印刷费用、渠道拓展费用）均由乙方自行承担，甲方仅按本合同约定向乙方支付佣金，除此之外甲方不承担任何费用。</w:t>
      </w:r>
    </w:p>
    <w:p>
      <w:pPr>
        <w:pStyle w:val="72"/>
        <w:spacing w:line="360" w:lineRule="auto"/>
        <w:ind w:firstLine="0" w:firstLineChars="0"/>
        <w:rPr>
          <w:rFonts w:hint="eastAsia" w:eastAsia="宋体"/>
          <w:b/>
          <w:sz w:val="24"/>
          <w:szCs w:val="24"/>
        </w:rPr>
      </w:pPr>
      <w:r>
        <w:rPr>
          <w:rFonts w:hint="eastAsia" w:eastAsia="宋体"/>
          <w:b/>
          <w:sz w:val="24"/>
          <w:szCs w:val="24"/>
          <w:lang w:val="en-US" w:eastAsia="zh-CN"/>
        </w:rPr>
        <w:t>十</w:t>
      </w:r>
      <w:r>
        <w:rPr>
          <w:rFonts w:hint="eastAsia" w:eastAsia="宋体"/>
          <w:b/>
          <w:sz w:val="24"/>
          <w:szCs w:val="24"/>
        </w:rPr>
        <w:t>、</w:t>
      </w:r>
      <w:r>
        <w:rPr>
          <w:rFonts w:hint="eastAsia" w:ascii="宋体" w:hAnsi="宋体" w:eastAsia="宋体" w:cs="宋体"/>
          <w:b/>
          <w:sz w:val="24"/>
          <w:szCs w:val="24"/>
        </w:rPr>
        <w:t>甲方的责任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保证该项目的合法性和真实性，若客户购买房产的实际情况与其提供的材料不符合或产权不清，所发生的纠纷均由甲方负责。如因甲方违反物业销售相关法规或签约后与客户产生纠纷，均由甲方自行承担全部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2、甲方对乙方人员进行该项目必要的专业培训，甲方指派专人负责与乙方日常业务工作的协调和联系。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3、居间合作期内，甲方向乙方提供该项目宣传片及包括宣传单页设计稿及《认购书》、《买卖合同》等项目资料复印件。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4、甲方应按时按本合同的规定向乙方支付佣金。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5、甲方不干涉乙方在本合同约定范围内的居间工作，但甲方有权进行监督，以保证项目及企业的品牌形象。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6、甲方人员不得以任何方式向乙方客户透露甲、乙双方的合作关系及合作内容，应避免一切有可能损害乙方利益的事宜。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7、甲方及时透明地协助乙方做好销售过程的各项工作和客户归属业绩确认等工作。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8、甲方遵守与乙方推荐客户所签署的协议文件、法律文书的全部条款并独立承担相关责任，乙方有义务按甲方要求输出合同条款，若因乙方原因发生纠纷，乙方应承担相应责任。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9、客户成功购房后，甲方向乙方提供乙方推介客户的首付款收据复印件和身份证复印件，并向乙方提供乙方推介客户的首付款收据复印件、身份证复印件、</w:t>
      </w:r>
      <w:r>
        <w:rPr>
          <w:rFonts w:hint="eastAsia" w:ascii="宋体" w:hAnsi="宋体" w:cs="宋体"/>
          <w:sz w:val="24"/>
          <w:szCs w:val="24"/>
          <w:lang w:eastAsia="zh-CN"/>
        </w:rPr>
        <w:t>《</w:t>
      </w:r>
      <w:r>
        <w:rPr>
          <w:rFonts w:hint="eastAsia" w:ascii="宋体" w:hAnsi="宋体" w:cs="宋体"/>
          <w:sz w:val="24"/>
          <w:szCs w:val="24"/>
          <w:lang w:val="en-US" w:eastAsia="zh-CN"/>
        </w:rPr>
        <w:t>认购书</w:t>
      </w:r>
      <w:r>
        <w:rPr>
          <w:rFonts w:hint="eastAsia" w:ascii="宋体" w:hAnsi="宋体" w:cs="宋体"/>
          <w:sz w:val="24"/>
          <w:szCs w:val="24"/>
          <w:lang w:eastAsia="zh-CN"/>
        </w:rPr>
        <w:t>》</w:t>
      </w:r>
      <w:r>
        <w:rPr>
          <w:rFonts w:hint="eastAsia" w:ascii="宋体" w:hAnsi="宋体" w:cs="宋体"/>
          <w:sz w:val="24"/>
          <w:szCs w:val="24"/>
          <w:lang w:val="en-US" w:eastAsia="zh-CN"/>
        </w:rPr>
        <w:t>及</w:t>
      </w:r>
      <w:r>
        <w:rPr>
          <w:rFonts w:hint="eastAsia" w:ascii="宋体" w:hAnsi="宋体" w:eastAsia="宋体" w:cs="宋体"/>
          <w:sz w:val="24"/>
          <w:szCs w:val="24"/>
        </w:rPr>
        <w:t>《商品房买卖合同》关键页加盖公司印章。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10、甲方从乙方处获知乙方推介客户信息后，不得引导或配合乙方推介客户避开乙方服务，否则，只要该客户成功购房的，则视为乙方服务成功，甲方应支付乙方</w:t>
      </w:r>
      <w:r>
        <w:rPr>
          <w:rFonts w:hint="eastAsia" w:ascii="宋体" w:hAnsi="宋体" w:cs="宋体"/>
          <w:sz w:val="24"/>
          <w:szCs w:val="24"/>
          <w:lang w:eastAsia="zh-CN"/>
        </w:rPr>
        <w:t>渠道</w:t>
      </w:r>
      <w:r>
        <w:rPr>
          <w:rFonts w:hint="eastAsia" w:ascii="宋体" w:hAnsi="宋体" w:eastAsia="宋体" w:cs="宋体"/>
          <w:sz w:val="24"/>
          <w:szCs w:val="24"/>
        </w:rPr>
        <w:t>服务费。</w:t>
      </w:r>
    </w:p>
    <w:p>
      <w:pPr>
        <w:spacing w:line="360" w:lineRule="auto"/>
        <w:ind w:firstLine="480" w:firstLineChars="200"/>
        <w:jc w:val="left"/>
        <w:rPr>
          <w:rFonts w:hint="default"/>
          <w:lang w:val="en-US" w:eastAsia="zh-CN"/>
        </w:rPr>
      </w:pPr>
      <w:r>
        <w:rPr>
          <w:rFonts w:hint="eastAsia" w:ascii="宋体" w:hAnsi="宋体" w:eastAsia="宋体" w:cs="宋体"/>
          <w:sz w:val="24"/>
          <w:szCs w:val="24"/>
        </w:rPr>
        <w:t>11、甲方应按照本协议约定及时、足额向乙方支付</w:t>
      </w:r>
      <w:r>
        <w:rPr>
          <w:rFonts w:hint="eastAsia" w:ascii="宋体" w:hAnsi="宋体" w:cs="宋体"/>
          <w:sz w:val="24"/>
          <w:szCs w:val="24"/>
          <w:lang w:eastAsia="zh-CN"/>
        </w:rPr>
        <w:t>渠道</w:t>
      </w:r>
      <w:r>
        <w:rPr>
          <w:rFonts w:hint="eastAsia" w:ascii="宋体" w:hAnsi="宋体" w:eastAsia="宋体" w:cs="宋体"/>
          <w:sz w:val="24"/>
          <w:szCs w:val="24"/>
        </w:rPr>
        <w:t>服务费，不得以回访、财务审计、集团公司审查等任何理由迟延向乙方支付相应佣金，否则视为迟延支付</w:t>
      </w:r>
      <w:r>
        <w:rPr>
          <w:rFonts w:hint="eastAsia" w:ascii="宋体" w:hAnsi="宋体" w:cs="宋体"/>
          <w:sz w:val="24"/>
          <w:szCs w:val="24"/>
          <w:lang w:eastAsia="zh-CN"/>
        </w:rPr>
        <w:t>渠道</w:t>
      </w:r>
      <w:r>
        <w:rPr>
          <w:rFonts w:hint="eastAsia" w:ascii="宋体" w:hAnsi="宋体" w:eastAsia="宋体" w:cs="宋体"/>
          <w:sz w:val="24"/>
          <w:szCs w:val="24"/>
        </w:rPr>
        <w:t>服务费，按照本合同约定承担违约责任</w:t>
      </w:r>
      <w:r>
        <w:rPr>
          <w:rFonts w:hint="eastAsia" w:ascii="宋体" w:hAnsi="宋体" w:cs="宋体"/>
          <w:sz w:val="24"/>
          <w:szCs w:val="24"/>
          <w:lang w:eastAsia="zh-CN"/>
        </w:rPr>
        <w:t>。</w:t>
      </w:r>
    </w:p>
    <w:p>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color w:val="000000"/>
          <w:sz w:val="24"/>
          <w:szCs w:val="24"/>
          <w:lang w:val="en-US" w:eastAsia="zh-CN" w:bidi="ar-SA"/>
        </w:rPr>
        <w:t>十一、乙方的责任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1、保证具有从事本合同约定的居间服务资质条件并具有签订本合同的民事主体资格，若乙方没有资格的，甲方有权解除合同，合作的佣金甲方有权不予支付，由此造成的甲方损失，乙方应承担赔偿责任。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2、成立专业的销售队伍，负责购房推广工作。如因客户投诉或经甲方调查，乙方负责促成销售甲方项目的人员不具备专业素质的，甲方有权要求乙方及时更换,乙方拒不更换的甲方有权终止合同。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应严格按照甲方制定的价格表、付款方式等相关销售资料执行，非经甲方书面同意，不得擅自对客户做出任何有关商品房价格优惠的承诺或擅自输出项目的成交价格。乙方若超越甲方授权向购房客户作出任何承诺，引起相关的法律责任由乙方负责。乙方对于超出本合同约定范围外的对客输出，应取得甲方的书面确认，否则视为乙方未获甲方授权输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4、乙方应根据甲方提供的该项目的特性和状况向客户作如实介绍，尽力促成销售，不得夸大、隐瞒或虚构项目情况。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5、乙方应严格按照甲方确定的宣传单张设计稿印刷宣传单张，如乙方擅自调整宣传单张设计稿样式或增加内容的，甲方有权立即解除合同；如乙方违反本条约定给甲方造成损失的，甲方有权追究乙方责任。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6、乙方居间销售的房产的准确面积和价格，以甲方交付的签章资料为准，合同期间如有变更，乙方按甲方书面通知为准。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7、乙方不得以自己的名义或甲方的名义收取客户（包括定金、佣金在内）任何费用，一经发现即取消居间资格、罚没违规操作单笔佣金并保留追诉的权利。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8、乙方不得采取向客户现金返利及其它任何变相返利的方式招揽客户。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9、不得采取有损甲方商业利益、信誉和形象的行为，不得与其招揽的客户或其他第三人恶意串通损害甲方利益。</w:t>
      </w:r>
    </w:p>
    <w:p>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sz w:val="24"/>
          <w:szCs w:val="24"/>
        </w:rPr>
        <w:t>10、若甲方与客户在签订、履行《商品房认购书》、《买卖合同》等相关合同文件过程中发生争议和纠纷，乙方应协助甲方进行处理。</w:t>
      </w:r>
    </w:p>
    <w:p>
      <w:pPr>
        <w:spacing w:line="360" w:lineRule="auto"/>
        <w:rPr>
          <w:rFonts w:hint="eastAsia" w:ascii="宋体" w:hAnsi="宋体" w:eastAsia="宋体" w:cs="宋体"/>
          <w:kern w:val="28"/>
          <w:sz w:val="24"/>
          <w:szCs w:val="24"/>
        </w:rPr>
      </w:pPr>
      <w:r>
        <w:rPr>
          <w:rFonts w:hint="eastAsia" w:ascii="宋体" w:hAnsi="宋体" w:eastAsia="宋体" w:cs="宋体"/>
          <w:kern w:val="28"/>
          <w:sz w:val="24"/>
          <w:szCs w:val="24"/>
        </w:rPr>
        <w:t xml:space="preserve">    11、乙方须成立甲方项目团队，并将团队架构及人员信息于本合同签订后5日内提供给甲方。</w:t>
      </w:r>
    </w:p>
    <w:p>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12、乙方承诺：在合作期限内，乙方工作人员应廉洁自律，合法合规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13、乙方客户到访后，乙方有责任配合置业顾问促成成交。</w:t>
      </w:r>
    </w:p>
    <w:p>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14、乙方负责带领客户到甲方售楼部现场，并找甲方项目对接人签字确认《客户带看确认书》。</w:t>
      </w:r>
    </w:p>
    <w:p>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15、乙方负责向甲方对接人提交《</w:t>
      </w:r>
      <w:r>
        <w:rPr>
          <w:rFonts w:hint="eastAsia" w:ascii="宋体" w:hAnsi="宋体" w:cs="宋体"/>
          <w:kern w:val="28"/>
          <w:sz w:val="24"/>
          <w:szCs w:val="24"/>
          <w:lang w:val="en-US" w:eastAsia="zh-CN"/>
        </w:rPr>
        <w:t>渠道</w:t>
      </w:r>
      <w:r>
        <w:rPr>
          <w:rFonts w:hint="eastAsia" w:ascii="宋体" w:hAnsi="宋体" w:eastAsia="宋体" w:cs="宋体"/>
          <w:kern w:val="28"/>
          <w:sz w:val="24"/>
          <w:szCs w:val="24"/>
        </w:rPr>
        <w:t>服务费结算单》。</w:t>
      </w:r>
    </w:p>
    <w:p>
      <w:pPr>
        <w:pStyle w:val="2"/>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16、乙方仅按照甲方确认的物业出售条件提供</w:t>
      </w:r>
      <w:r>
        <w:rPr>
          <w:rFonts w:hint="eastAsia" w:ascii="宋体" w:hAnsi="宋体" w:cs="宋体"/>
          <w:kern w:val="28"/>
          <w:sz w:val="24"/>
          <w:szCs w:val="24"/>
          <w:lang w:val="en-US" w:eastAsia="zh-CN"/>
        </w:rPr>
        <w:t>渠道</w:t>
      </w:r>
      <w:r>
        <w:rPr>
          <w:rFonts w:hint="eastAsia" w:ascii="宋体" w:hAnsi="宋体" w:eastAsia="宋体" w:cs="宋体"/>
          <w:kern w:val="28"/>
          <w:sz w:val="24"/>
          <w:szCs w:val="24"/>
        </w:rPr>
        <w:t>服务，乙方成功销售项目房源，视为乙方完成本合同约定的</w:t>
      </w:r>
      <w:r>
        <w:rPr>
          <w:rFonts w:hint="eastAsia" w:ascii="宋体" w:hAnsi="宋体" w:cs="宋体"/>
          <w:kern w:val="28"/>
          <w:sz w:val="24"/>
          <w:szCs w:val="24"/>
          <w:lang w:val="en-US" w:eastAsia="zh-CN"/>
        </w:rPr>
        <w:t>渠道</w:t>
      </w:r>
      <w:r>
        <w:rPr>
          <w:rFonts w:hint="eastAsia" w:ascii="宋体" w:hAnsi="宋体" w:eastAsia="宋体" w:cs="宋体"/>
          <w:kern w:val="28"/>
          <w:sz w:val="24"/>
          <w:szCs w:val="24"/>
        </w:rPr>
        <w:t>服务。如因甲方违反物业销售相关法规或签约后与客户产生纠纷，均由甲方自行承担全部责任。</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十二</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保密事项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十三</w:t>
      </w:r>
      <w:r>
        <w:rPr>
          <w:rFonts w:hint="eastAsia" w:ascii="宋体" w:hAnsi="宋体" w:eastAsia="宋体" w:cs="宋体"/>
          <w:b/>
          <w:sz w:val="24"/>
          <w:szCs w:val="24"/>
          <w:lang w:eastAsia="zh-CN"/>
        </w:rPr>
        <w:t>、</w:t>
      </w:r>
      <w:r>
        <w:rPr>
          <w:rFonts w:hint="eastAsia" w:ascii="宋体" w:hAnsi="宋体" w:eastAsia="宋体" w:cs="宋体"/>
          <w:b/>
          <w:sz w:val="24"/>
          <w:szCs w:val="24"/>
        </w:rPr>
        <w:t>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1、甲方须保证其所提供的有关商品房销售的法律文件和资料的真实、合法、有效，否则， 由此引起的一切责任和损失均由甲方承担。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2、若乙方违反本合同第十一条“乙方的责任”中第3、4、5、8、9款的，甲方有权同时要求乙方承担以下责任：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（1）对于乙方违反约定成功促成销售的商品房不予以计提佣金；已经结算佣金的，则在乙方应发未发的佣金或其他尚未结算的款项中扣除，但需经得</w:t>
      </w:r>
      <w:r>
        <w:rPr>
          <w:rFonts w:hint="eastAsia" w:ascii="宋体" w:hAnsi="宋体" w:eastAsia="宋体" w:cs="宋体"/>
          <w:sz w:val="24"/>
          <w:szCs w:val="24"/>
          <w:lang w:val="en-US" w:eastAsia="zh-CN"/>
        </w:rPr>
        <w:t>乙</w:t>
      </w:r>
      <w:r>
        <w:rPr>
          <w:rFonts w:hint="eastAsia" w:ascii="宋体" w:hAnsi="宋体" w:eastAsia="宋体" w:cs="宋体"/>
          <w:sz w:val="24"/>
          <w:szCs w:val="24"/>
        </w:rPr>
        <w:t>方同意。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（2）甲方有权即时责令乙方停止本项目的居间活动，双方协商后解除合同，并追求其法律责任；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（3）乙方须承担由此给甲方或第三方造成的直接经济损失。</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十四</w:t>
      </w:r>
      <w:r>
        <w:rPr>
          <w:rFonts w:hint="eastAsia" w:ascii="宋体" w:hAnsi="宋体" w:eastAsia="宋体" w:cs="宋体"/>
          <w:b/>
          <w:sz w:val="24"/>
          <w:szCs w:val="24"/>
          <w:lang w:eastAsia="zh-CN"/>
        </w:rPr>
        <w:t>、</w:t>
      </w:r>
      <w:r>
        <w:rPr>
          <w:rFonts w:hint="eastAsia" w:ascii="宋体" w:hAnsi="宋体" w:eastAsia="宋体" w:cs="宋体"/>
          <w:b/>
          <w:sz w:val="24"/>
          <w:szCs w:val="24"/>
        </w:rPr>
        <w:t>合同的解除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1、本合同约定的合作期间，甲、乙双方任何一方违约的，守约方有权终止合作关系，但应提前 10 天书面通知对方，甲乙双方的合作关系于一方收到终止的书面通知之日起终止，提出终止的一方无需因终止合作关系而向对方承担责任。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2、本合同因委托期限届满终止和根据本合同约定提前终止的，自终止之日起乙方不得再居间促成销售甲方项目，因双方委托关系终止前产生的本合同约定的权利义务，双方仍应按合同继续履行。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合同因委托期限届满终止和根据本合同约定提前终止的，甲乙双方须在居间关系终止之日起10日内办结结算确认手续（仅限于达到第五条佣金支付条件的商品房），甲方在双方最终确认及乙方提交等额发票后10日结清本合同约定的所有款项（包括但不限于佣金、违约金），乙方必须在本合同终止之日10日内归还与甲方项目所有文件以及资料。</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4、本合同因委托期限届满终止和根据本合同约定提前终止的</w:t>
      </w:r>
      <w:r>
        <w:rPr>
          <w:rFonts w:hint="eastAsia" w:ascii="宋体" w:hAnsi="宋体" w:eastAsia="宋体" w:cs="宋体"/>
          <w:kern w:val="0"/>
          <w:sz w:val="24"/>
          <w:szCs w:val="24"/>
        </w:rPr>
        <w:t>，对于乙方成功销售但尚未达到</w:t>
      </w:r>
      <w:r>
        <w:rPr>
          <w:rFonts w:hint="eastAsia" w:ascii="宋体" w:hAnsi="宋体" w:eastAsia="宋体" w:cs="宋体"/>
          <w:sz w:val="24"/>
          <w:szCs w:val="24"/>
        </w:rPr>
        <w:t>第五条佣金支付条件</w:t>
      </w:r>
      <w:r>
        <w:rPr>
          <w:rFonts w:hint="eastAsia" w:ascii="宋体" w:hAnsi="宋体" w:eastAsia="宋体" w:cs="宋体"/>
          <w:kern w:val="0"/>
          <w:sz w:val="24"/>
          <w:szCs w:val="24"/>
        </w:rPr>
        <w:t>的商品房，</w:t>
      </w:r>
      <w:r>
        <w:rPr>
          <w:rFonts w:hint="eastAsia" w:ascii="宋体" w:hAnsi="宋体" w:cs="宋体"/>
          <w:kern w:val="0"/>
          <w:sz w:val="24"/>
          <w:szCs w:val="24"/>
          <w:lang w:val="en-US" w:eastAsia="zh-CN"/>
        </w:rPr>
        <w:t>甲、乙双方根据本合同约定</w:t>
      </w:r>
      <w:r>
        <w:rPr>
          <w:rFonts w:hint="eastAsia" w:ascii="宋体" w:hAnsi="宋体" w:eastAsia="宋体" w:cs="宋体"/>
          <w:sz w:val="24"/>
          <w:szCs w:val="24"/>
        </w:rPr>
        <w:t>办结结算确认手续（仅限于达到第五条佣金支付条件的商品房）</w:t>
      </w:r>
      <w:r>
        <w:rPr>
          <w:rFonts w:hint="eastAsia" w:ascii="宋体" w:hAnsi="宋体" w:eastAsia="宋体" w:cs="宋体"/>
          <w:kern w:val="0"/>
          <w:sz w:val="24"/>
          <w:szCs w:val="24"/>
        </w:rPr>
        <w:t>。</w:t>
      </w:r>
    </w:p>
    <w:p>
      <w:pPr>
        <w:spacing w:line="360" w:lineRule="auto"/>
        <w:rPr>
          <w:rFonts w:ascii="宋体" w:hAnsi="宋体" w:cs="宋体"/>
          <w:color w:val="000000"/>
          <w:spacing w:val="0"/>
          <w:position w:val="0"/>
          <w:sz w:val="24"/>
          <w:u w:val="none"/>
        </w:rPr>
      </w:pPr>
      <w:r>
        <w:rPr>
          <w:rFonts w:hint="eastAsia" w:ascii="宋体" w:hAnsi="宋体" w:eastAsia="宋体" w:cs="宋体"/>
          <w:b/>
          <w:sz w:val="24"/>
          <w:szCs w:val="24"/>
        </w:rPr>
        <w:t>十五</w:t>
      </w:r>
      <w:r>
        <w:rPr>
          <w:rFonts w:hint="eastAsia" w:ascii="宋体" w:hAnsi="宋体" w:eastAsia="宋体" w:cs="宋体"/>
          <w:b/>
          <w:sz w:val="24"/>
          <w:szCs w:val="24"/>
          <w:lang w:eastAsia="zh-CN"/>
        </w:rPr>
        <w:t>、</w:t>
      </w:r>
      <w:r>
        <w:rPr>
          <w:rFonts w:hint="eastAsia" w:ascii="宋体" w:hAnsi="宋体" w:eastAsia="宋体" w:cs="宋体"/>
          <w:b/>
          <w:sz w:val="24"/>
          <w:szCs w:val="24"/>
        </w:rPr>
        <w:t>送达条款</w:t>
      </w:r>
    </w:p>
    <w:p>
      <w:pPr>
        <w:spacing w:before="0" w:after="0"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pacing w:val="0"/>
          <w:position w:val="0"/>
          <w:sz w:val="24"/>
          <w:szCs w:val="24"/>
          <w:u w:val="none"/>
        </w:rPr>
        <w:t>甲方</w:t>
      </w:r>
      <w:r>
        <w:rPr>
          <w:rFonts w:hint="eastAsia" w:ascii="宋体" w:hAnsi="宋体" w:eastAsia="宋体" w:cs="宋体"/>
          <w:color w:val="000000"/>
          <w:spacing w:val="0"/>
          <w:position w:val="0"/>
          <w:sz w:val="24"/>
          <w:szCs w:val="24"/>
          <w:u w:val="none"/>
          <w:lang w:val="en-US" w:eastAsia="zh-CN"/>
        </w:rPr>
        <w:t>确认的</w:t>
      </w:r>
      <w:r>
        <w:rPr>
          <w:rFonts w:hint="eastAsia" w:ascii="宋体" w:hAnsi="宋体" w:eastAsia="宋体" w:cs="宋体"/>
          <w:color w:val="000000"/>
          <w:spacing w:val="0"/>
          <w:position w:val="0"/>
          <w:sz w:val="24"/>
          <w:szCs w:val="24"/>
          <w:u w:val="none"/>
        </w:rPr>
        <w:t>送达信息如下：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送达地址：</w:t>
      </w:r>
      <w:r>
        <w:rPr>
          <w:rFonts w:hint="eastAsia" w:ascii="宋体" w:hAnsi="宋体" w:cs="宋体"/>
          <w:sz w:val="24"/>
          <w:szCs w:val="24"/>
          <w:u w:val="single"/>
        </w:rPr>
        <w:t>洛阳市洛龙区开元大道开元壹号营销中心三楼</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联系人及联系方式：</w:t>
      </w:r>
      <w:r>
        <w:rPr>
          <w:rFonts w:hint="eastAsia" w:ascii="宋体" w:hAnsi="宋体" w:cs="宋体"/>
          <w:sz w:val="24"/>
          <w:szCs w:val="24"/>
          <w:u w:val="single"/>
        </w:rPr>
        <w:t>招采合约部 0379-</w:t>
      </w:r>
      <w:r>
        <w:rPr>
          <w:rFonts w:ascii="宋体" w:hAnsi="宋体" w:cs="宋体"/>
          <w:sz w:val="24"/>
          <w:szCs w:val="24"/>
          <w:u w:val="single"/>
        </w:rPr>
        <w:t>60198086</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乙方确认的送达信息</w:t>
      </w:r>
      <w:r>
        <w:rPr>
          <w:rFonts w:hint="eastAsia" w:ascii="宋体" w:hAnsi="宋体" w:eastAsia="宋体" w:cs="宋体"/>
          <w:sz w:val="24"/>
          <w:szCs w:val="24"/>
          <w:lang w:val="en-US" w:eastAsia="zh-CN"/>
        </w:rPr>
        <w:t>如下</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spacing w:line="360" w:lineRule="auto"/>
        <w:ind w:firstLine="480" w:firstLineChars="200"/>
        <w:jc w:val="left"/>
        <w:rPr>
          <w:rFonts w:hint="eastAsia" w:ascii="宋体" w:hAnsi="宋体" w:eastAsia="宋体" w:cs="宋体"/>
          <w:color w:val="000000"/>
          <w:spacing w:val="0"/>
          <w:position w:val="0"/>
          <w:sz w:val="24"/>
          <w:szCs w:val="24"/>
          <w:u w:val="single"/>
          <w:lang w:val="en-US" w:eastAsia="zh-CN"/>
        </w:rPr>
      </w:pPr>
      <w:r>
        <w:rPr>
          <w:rFonts w:hint="eastAsia" w:ascii="宋体" w:hAnsi="宋体" w:eastAsia="宋体" w:cs="宋体"/>
          <w:sz w:val="24"/>
          <w:szCs w:val="24"/>
        </w:rPr>
        <w:t>送达地址：</w:t>
      </w:r>
      <w:r>
        <w:rPr>
          <w:rFonts w:hint="eastAsia" w:ascii="宋体" w:hAnsi="宋体" w:eastAsia="宋体" w:cs="宋体"/>
          <w:color w:val="000000"/>
          <w:spacing w:val="0"/>
          <w:position w:val="0"/>
          <w:sz w:val="24"/>
          <w:szCs w:val="24"/>
          <w:u w:val="single"/>
          <w:lang w:val="en-US" w:eastAsia="zh-CN"/>
        </w:rPr>
        <w:t>洛阳市洛龙区开元大道以南正大国际城市广场西区7 幢17层</w:t>
      </w:r>
    </w:p>
    <w:p>
      <w:pPr>
        <w:spacing w:line="360" w:lineRule="auto"/>
        <w:ind w:firstLine="480" w:firstLineChars="200"/>
        <w:rPr>
          <w:rFonts w:hint="eastAsia" w:ascii="宋体" w:hAnsi="宋体" w:eastAsia="宋体" w:cs="宋体"/>
          <w:sz w:val="24"/>
          <w:szCs w:val="24"/>
          <w:highlight w:val="yellow"/>
          <w:u w:val="single"/>
          <w:lang w:val="en-US"/>
        </w:rPr>
      </w:pPr>
      <w:r>
        <w:rPr>
          <w:rFonts w:hint="eastAsia" w:ascii="宋体" w:hAnsi="宋体" w:eastAsia="宋体" w:cs="宋体"/>
          <w:sz w:val="24"/>
          <w:szCs w:val="24"/>
        </w:rPr>
        <w:t>联系人及联系方式：</w:t>
      </w:r>
      <w:r>
        <w:rPr>
          <w:rFonts w:hint="eastAsia" w:ascii="宋体" w:hAnsi="宋体" w:eastAsia="宋体" w:cs="宋体"/>
          <w:sz w:val="24"/>
          <w:szCs w:val="24"/>
          <w:u w:val="single"/>
          <w:lang w:val="en-US" w:eastAsia="zh-CN"/>
        </w:rPr>
        <w:t xml:space="preserve">张琳 18637988032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十六</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释义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除非另有解释，在本合同中使用的下列用语具有如下含义：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首次来访客户：指来访客户在乙方在甲方系统录入客户信息前，该客户从未自行或由其他组织或个人推介前往甲方项目参观并在销售系统登记个人信息。 但以下几类客户将无法录入销售系统：1、未经乙方推荐成交的</w:t>
      </w:r>
      <w:r>
        <w:rPr>
          <w:rFonts w:hint="eastAsia" w:ascii="宋体" w:hAnsi="宋体" w:eastAsia="宋体" w:cs="宋体"/>
          <w:sz w:val="24"/>
          <w:szCs w:val="24"/>
          <w:lang w:val="en-US" w:eastAsia="zh-CN"/>
        </w:rPr>
        <w:t>山水文苑</w:t>
      </w:r>
      <w:r>
        <w:rPr>
          <w:rFonts w:hint="eastAsia" w:ascii="宋体" w:hAnsi="宋体" w:eastAsia="宋体" w:cs="宋体"/>
          <w:sz w:val="24"/>
          <w:szCs w:val="24"/>
        </w:rPr>
        <w:t>项目老业主；2、已参与</w:t>
      </w:r>
      <w:r>
        <w:rPr>
          <w:rFonts w:hint="eastAsia" w:ascii="宋体" w:hAnsi="宋体" w:eastAsia="宋体" w:cs="宋体"/>
          <w:sz w:val="24"/>
          <w:szCs w:val="24"/>
          <w:lang w:val="en-US" w:eastAsia="zh-CN"/>
        </w:rPr>
        <w:t>山水文苑</w:t>
      </w:r>
      <w:r>
        <w:rPr>
          <w:rFonts w:hint="eastAsia" w:ascii="宋体" w:hAnsi="宋体" w:eastAsia="宋体" w:cs="宋体"/>
          <w:sz w:val="24"/>
          <w:szCs w:val="24"/>
        </w:rPr>
        <w:t>全员营销活动的合伙人（甲方员工、未经乙方推荐成交的业主及社会人，社会人：注册过甲方浩客通软件的客户）。</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十七</w:t>
      </w:r>
      <w:r>
        <w:rPr>
          <w:rFonts w:hint="eastAsia" w:ascii="宋体" w:hAnsi="宋体" w:eastAsia="宋体" w:cs="宋体"/>
          <w:b/>
          <w:sz w:val="24"/>
          <w:szCs w:val="24"/>
          <w:lang w:eastAsia="zh-CN"/>
        </w:rPr>
        <w:t>、</w:t>
      </w:r>
      <w:r>
        <w:rPr>
          <w:rFonts w:hint="eastAsia" w:ascii="宋体" w:hAnsi="宋体" w:eastAsia="宋体" w:cs="宋体"/>
          <w:b/>
          <w:sz w:val="24"/>
          <w:szCs w:val="24"/>
        </w:rPr>
        <w:t>客户争议处理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1、客户多个号码报备出现争议，经第三方渠道（电信公司、支付宝、微信等）确认为同一人，任务及奖励归第一时间</w:t>
      </w:r>
      <w:r>
        <w:rPr>
          <w:rFonts w:hint="eastAsia" w:ascii="宋体" w:hAnsi="宋体" w:cs="宋体"/>
          <w:sz w:val="24"/>
          <w:szCs w:val="24"/>
          <w:lang w:val="en-US" w:eastAsia="zh-CN"/>
        </w:rPr>
        <w:t>有效</w:t>
      </w:r>
      <w:r>
        <w:rPr>
          <w:rFonts w:hint="eastAsia" w:ascii="宋体" w:hAnsi="宋体" w:eastAsia="宋体" w:cs="宋体"/>
          <w:sz w:val="24"/>
          <w:szCs w:val="24"/>
        </w:rPr>
        <w:t>推荐人（合伙人、</w:t>
      </w:r>
      <w:r>
        <w:rPr>
          <w:rFonts w:hint="eastAsia" w:ascii="宋体" w:hAnsi="宋体" w:cs="宋体"/>
          <w:sz w:val="24"/>
          <w:szCs w:val="24"/>
          <w:lang w:eastAsia="zh-CN"/>
        </w:rPr>
        <w:t>渠道</w:t>
      </w:r>
      <w:r>
        <w:rPr>
          <w:rFonts w:hint="eastAsia" w:ascii="宋体" w:hAnsi="宋体" w:eastAsia="宋体" w:cs="宋体"/>
          <w:sz w:val="24"/>
          <w:szCs w:val="24"/>
        </w:rPr>
        <w:t>商、渠道资源部员工）所有。</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2、直系亲属争议（直系亲属：父母、子女、配偶）经第三方（户口本、民证局、相关部门证明等）确认为直系亲属，任务及奖励归第一时间</w:t>
      </w:r>
      <w:r>
        <w:rPr>
          <w:rFonts w:hint="eastAsia" w:ascii="宋体" w:hAnsi="宋体" w:cs="宋体"/>
          <w:sz w:val="24"/>
          <w:szCs w:val="24"/>
          <w:lang w:val="en-US" w:eastAsia="zh-CN"/>
        </w:rPr>
        <w:t>有效</w:t>
      </w:r>
      <w:r>
        <w:rPr>
          <w:rFonts w:hint="eastAsia" w:ascii="宋体" w:hAnsi="宋体" w:eastAsia="宋体" w:cs="宋体"/>
          <w:sz w:val="24"/>
          <w:szCs w:val="24"/>
        </w:rPr>
        <w:t>推荐人（合伙人、</w:t>
      </w:r>
      <w:r>
        <w:rPr>
          <w:rFonts w:hint="eastAsia" w:ascii="宋体" w:hAnsi="宋体" w:cs="宋体"/>
          <w:sz w:val="24"/>
          <w:szCs w:val="24"/>
          <w:lang w:eastAsia="zh-CN"/>
        </w:rPr>
        <w:t>渠道</w:t>
      </w:r>
      <w:r>
        <w:rPr>
          <w:rFonts w:hint="eastAsia" w:ascii="宋体" w:hAnsi="宋体" w:eastAsia="宋体" w:cs="宋体"/>
          <w:sz w:val="24"/>
          <w:szCs w:val="24"/>
        </w:rPr>
        <w:t>商、渠道资源部员工）所有。</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3、浩客通注册的老业主及其直系亲属被其他渠道报备视为报备无效。</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4、客户更名出现争议，已成交客户（含更名客户）在保护期内客户更名转定，经查实</w:t>
      </w:r>
      <w:r>
        <w:rPr>
          <w:rFonts w:hint="eastAsia" w:ascii="宋体" w:hAnsi="宋体" w:cs="宋体"/>
          <w:sz w:val="24"/>
          <w:szCs w:val="24"/>
          <w:lang w:val="en-US" w:eastAsia="zh-CN"/>
        </w:rPr>
        <w:t>更名后</w:t>
      </w:r>
      <w:r>
        <w:rPr>
          <w:rFonts w:hint="eastAsia" w:ascii="宋体" w:hAnsi="宋体" w:eastAsia="宋体" w:cs="宋体"/>
          <w:sz w:val="24"/>
          <w:szCs w:val="24"/>
        </w:rPr>
        <w:t>客户</w:t>
      </w:r>
      <w:r>
        <w:rPr>
          <w:rFonts w:hint="eastAsia" w:ascii="宋体" w:hAnsi="宋体" w:cs="宋体"/>
          <w:sz w:val="24"/>
          <w:szCs w:val="24"/>
          <w:lang w:val="en-US" w:eastAsia="zh-CN"/>
        </w:rPr>
        <w:t>与已被推荐且在保护期内的客户或甲方永久客户</w:t>
      </w:r>
      <w:r>
        <w:rPr>
          <w:rFonts w:hint="eastAsia" w:ascii="宋体" w:hAnsi="宋体" w:eastAsia="宋体" w:cs="宋体"/>
          <w:sz w:val="24"/>
          <w:szCs w:val="24"/>
        </w:rPr>
        <w:t>为同一人（或直系亲属），任务及奖励归第一时间</w:t>
      </w:r>
      <w:r>
        <w:rPr>
          <w:rFonts w:hint="eastAsia" w:ascii="宋体" w:hAnsi="宋体" w:cs="宋体"/>
          <w:sz w:val="24"/>
          <w:szCs w:val="24"/>
          <w:lang w:val="en-US" w:eastAsia="zh-CN"/>
        </w:rPr>
        <w:t>有效</w:t>
      </w:r>
      <w:r>
        <w:rPr>
          <w:rFonts w:hint="eastAsia" w:ascii="宋体" w:hAnsi="宋体" w:eastAsia="宋体" w:cs="宋体"/>
          <w:sz w:val="24"/>
          <w:szCs w:val="24"/>
        </w:rPr>
        <w:t>推荐人（合伙人、</w:t>
      </w:r>
      <w:r>
        <w:rPr>
          <w:rFonts w:hint="eastAsia" w:ascii="宋体" w:hAnsi="宋体" w:cs="宋体"/>
          <w:sz w:val="24"/>
          <w:szCs w:val="24"/>
          <w:lang w:eastAsia="zh-CN"/>
        </w:rPr>
        <w:t>渠道</w:t>
      </w:r>
      <w:r>
        <w:rPr>
          <w:rFonts w:hint="eastAsia" w:ascii="宋体" w:hAnsi="宋体" w:eastAsia="宋体" w:cs="宋体"/>
          <w:sz w:val="24"/>
          <w:szCs w:val="24"/>
        </w:rPr>
        <w:t>商、渠道资源部员工）所有。</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5、客户退房或挞定后有成交争议，客户选择退房或者由案场挞定，（自客户填写退房申请书或案场邮寄挞定通知书）之日起60日内，被其他渠道推荐并重新购买，任务及奖励仍归原推荐人所有。</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乙方推荐成交的业主再次推荐客户，已成交业主介绍客户至置业顾问处置业顾问已经录入甲方系统并成交，任务归属为业主介绍渠道；乙方推荐成交的业主介绍客户至乙方处，由乙方报备并带看，任务及奖励归属乙方所有。</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7、客户已在销售中心，后经（合伙人、</w:t>
      </w:r>
      <w:r>
        <w:rPr>
          <w:rFonts w:hint="eastAsia" w:ascii="宋体" w:hAnsi="宋体" w:cs="宋体"/>
          <w:sz w:val="24"/>
          <w:szCs w:val="24"/>
          <w:lang w:eastAsia="zh-CN"/>
        </w:rPr>
        <w:t>渠道</w:t>
      </w:r>
      <w:r>
        <w:rPr>
          <w:rFonts w:hint="eastAsia" w:ascii="宋体" w:hAnsi="宋体" w:eastAsia="宋体" w:cs="宋体"/>
          <w:sz w:val="24"/>
          <w:szCs w:val="24"/>
        </w:rPr>
        <w:t>商、渠道资源部员工）报备视为无效，以现场录像时间为界定标准。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8、老业主指已签</w:t>
      </w:r>
      <w:r>
        <w:rPr>
          <w:rFonts w:hint="eastAsia" w:ascii="宋体" w:hAnsi="宋体" w:cs="宋体"/>
          <w:sz w:val="24"/>
          <w:szCs w:val="24"/>
          <w:lang w:eastAsia="zh-CN"/>
        </w:rPr>
        <w:t>《</w:t>
      </w:r>
      <w:r>
        <w:rPr>
          <w:rFonts w:hint="eastAsia" w:ascii="宋体" w:hAnsi="宋体" w:cs="宋体"/>
          <w:sz w:val="24"/>
          <w:szCs w:val="24"/>
          <w:lang w:val="en-US" w:eastAsia="zh-CN"/>
        </w:rPr>
        <w:t>商品房买卖</w:t>
      </w:r>
      <w:r>
        <w:rPr>
          <w:rFonts w:hint="eastAsia" w:ascii="宋体" w:hAnsi="宋体" w:eastAsia="宋体" w:cs="宋体"/>
          <w:sz w:val="24"/>
          <w:szCs w:val="24"/>
        </w:rPr>
        <w:t>合同</w:t>
      </w:r>
      <w:r>
        <w:rPr>
          <w:rFonts w:hint="eastAsia" w:ascii="宋体" w:hAnsi="宋体" w:cs="宋体"/>
          <w:sz w:val="24"/>
          <w:szCs w:val="24"/>
          <w:lang w:eastAsia="zh-CN"/>
        </w:rPr>
        <w:t>》</w:t>
      </w:r>
      <w:r>
        <w:rPr>
          <w:rFonts w:hint="default" w:ascii="宋体" w:hAnsi="宋体" w:eastAsia="宋体" w:cs="宋体"/>
          <w:sz w:val="24"/>
          <w:szCs w:val="24"/>
          <w:lang w:val="en-US"/>
        </w:rPr>
        <w:t>或</w:t>
      </w:r>
      <w:r>
        <w:rPr>
          <w:rFonts w:hint="eastAsia" w:ascii="宋体" w:hAnsi="宋体" w:eastAsia="宋体" w:cs="宋体"/>
          <w:sz w:val="24"/>
          <w:szCs w:val="24"/>
        </w:rPr>
        <w:t>已缴纳首付款。</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9、推荐人所推荐的客户在缴纳定金起5日内重复购买，奖励及任务归原推荐人。</w:t>
      </w:r>
    </w:p>
    <w:p>
      <w:pPr>
        <w:pStyle w:val="2"/>
        <w:ind w:firstLine="480" w:firstLineChars="200"/>
        <w:rPr>
          <w:rFonts w:hint="eastAsia" w:ascii="宋体" w:hAnsi="宋体" w:eastAsia="宋体" w:cs="宋体"/>
          <w:sz w:val="24"/>
          <w:szCs w:val="24"/>
        </w:rPr>
      </w:pPr>
      <w:r>
        <w:rPr>
          <w:rFonts w:hint="eastAsia" w:ascii="宋体" w:hAnsi="宋体" w:eastAsia="宋体" w:cs="宋体"/>
          <w:sz w:val="24"/>
          <w:szCs w:val="24"/>
        </w:rPr>
        <w:t>10、客户来访当日晚24时置业顾问未录入系统的，由乙方成功系统推荐，业绩及奖励归属乙方，客户已到访后未超过当日晚24时乙方系统推荐视为无效。</w:t>
      </w:r>
    </w:p>
    <w:p>
      <w:pPr>
        <w:pStyle w:val="3"/>
        <w:spacing w:line="360" w:lineRule="auto"/>
        <w:rPr>
          <w:rFonts w:hint="default" w:eastAsia="宋体"/>
          <w:lang w:val="en-US" w:eastAsia="zh-CN"/>
        </w:rPr>
      </w:pPr>
      <w:r>
        <w:rPr>
          <w:rFonts w:hint="eastAsia" w:hAnsi="宋体" w:cs="宋体"/>
          <w:sz w:val="24"/>
          <w:szCs w:val="24"/>
          <w:lang w:val="en-US" w:eastAsia="zh-CN"/>
        </w:rPr>
        <w:t xml:space="preserve">    11、本项目甲方需以人脸识别等复核系统或客户来访记录、电话回访进行客户复核的，则甲方应在客户与甲方签署交完定金之日起【30】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十八</w:t>
      </w:r>
      <w:r>
        <w:rPr>
          <w:rFonts w:hint="eastAsia" w:ascii="宋体" w:hAnsi="宋体" w:eastAsia="宋体" w:cs="宋体"/>
          <w:b/>
          <w:sz w:val="24"/>
          <w:szCs w:val="24"/>
          <w:lang w:eastAsia="zh-CN"/>
        </w:rPr>
        <w:t>、</w:t>
      </w:r>
      <w:r>
        <w:rPr>
          <w:rFonts w:hint="eastAsia" w:ascii="宋体" w:hAnsi="宋体" w:eastAsia="宋体" w:cs="宋体"/>
          <w:b/>
          <w:sz w:val="24"/>
          <w:szCs w:val="24"/>
        </w:rPr>
        <w:t>仲裁机制</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1、仲裁周期：以自然月中旬、月末（全员营销会）结束后召开仲裁会。在客户缴纳完首付后处理争议24小时内回复。</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2、仲裁流程：争议双方将文字版资料以电子版形式报备至各自板块负责人及全员营销记录员处，统一整理，仲裁判决，双方当事人视情况决定是否出席仲裁会。</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3、仲裁有效期：客户在交完定金的当日起算，30天的仲裁有效期，超过30天视为无争议客户，此客户不可再争议。</w:t>
      </w:r>
    </w:p>
    <w:p>
      <w:pPr>
        <w:pStyle w:val="5"/>
        <w:spacing w:line="360" w:lineRule="auto"/>
        <w:rPr>
          <w:rFonts w:hint="default" w:eastAsia="宋体"/>
          <w:lang w:val="en-US" w:eastAsia="zh-CN"/>
        </w:rPr>
      </w:pPr>
      <w:r>
        <w:rPr>
          <w:rFonts w:hint="eastAsia" w:cs="宋体"/>
          <w:sz w:val="24"/>
          <w:szCs w:val="24"/>
          <w:lang w:val="en-US" w:eastAsia="zh-CN"/>
        </w:rPr>
        <w:t xml:space="preserve">    4、</w:t>
      </w:r>
      <w:r>
        <w:rPr>
          <w:rFonts w:hint="eastAsia" w:ascii="宋体" w:hAnsi="宋体" w:eastAsia="宋体" w:cs="宋体"/>
          <w:sz w:val="24"/>
          <w:szCs w:val="24"/>
        </w:rPr>
        <w:t>仲裁判决</w:t>
      </w:r>
      <w:r>
        <w:rPr>
          <w:rFonts w:hint="eastAsia" w:cs="宋体"/>
          <w:sz w:val="24"/>
          <w:szCs w:val="24"/>
          <w:lang w:val="en-US" w:eastAsia="zh-CN"/>
        </w:rPr>
        <w:t>不影响双方通过本合同第二十条争议解决方式确定仲裁判决有效性。</w:t>
      </w:r>
    </w:p>
    <w:p>
      <w:pPr>
        <w:numPr>
          <w:ilvl w:val="0"/>
          <w:numId w:val="0"/>
        </w:numPr>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十九、</w:t>
      </w:r>
      <w:r>
        <w:rPr>
          <w:rFonts w:hint="eastAsia" w:ascii="宋体" w:hAnsi="宋体" w:eastAsia="宋体" w:cs="宋体"/>
          <w:b/>
          <w:sz w:val="24"/>
          <w:szCs w:val="24"/>
        </w:rPr>
        <w:t>发票开具要求及责任</w:t>
      </w:r>
    </w:p>
    <w:p>
      <w:pPr>
        <w:spacing w:line="360" w:lineRule="auto"/>
        <w:ind w:firstLine="480" w:firstLineChars="200"/>
        <w:rPr>
          <w:rFonts w:ascii="宋体" w:hAnsi="宋体" w:cs="宋体"/>
          <w:sz w:val="24"/>
          <w:szCs w:val="24"/>
        </w:rPr>
      </w:pPr>
      <w:r>
        <w:rPr>
          <w:rFonts w:hint="eastAsia" w:ascii="宋体" w:hAnsi="宋体" w:cs="宋体"/>
          <w:sz w:val="24"/>
          <w:szCs w:val="24"/>
        </w:rPr>
        <w:t>1、对发票不合规的约定：</w:t>
      </w:r>
    </w:p>
    <w:p>
      <w:pPr>
        <w:spacing w:line="360" w:lineRule="auto"/>
        <w:ind w:firstLine="480" w:firstLineChars="200"/>
        <w:rPr>
          <w:rFonts w:hint="eastAsia"/>
          <w:sz w:val="28"/>
          <w:szCs w:val="28"/>
        </w:rPr>
      </w:pPr>
      <w:r>
        <w:rPr>
          <w:rFonts w:hint="eastAsia" w:ascii="宋体" w:hAnsi="宋体" w:cs="宋体"/>
          <w:sz w:val="24"/>
          <w:szCs w:val="24"/>
        </w:rPr>
        <w:t>1.1、乙方提供的发票为增值税专用发票，因乙方迟延送达、开具错误等原因导致其提供的增值税专用发票没有通过税务部门认证，造成甲方不能抵扣的，甲方有权拒绝接收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pPr>
        <w:spacing w:line="360" w:lineRule="auto"/>
        <w:ind w:firstLine="480" w:firstLineChars="200"/>
        <w:rPr>
          <w:rFonts w:ascii="宋体" w:hAnsi="宋体" w:cs="宋体"/>
          <w:sz w:val="24"/>
          <w:szCs w:val="24"/>
        </w:rPr>
      </w:pPr>
      <w:r>
        <w:rPr>
          <w:rFonts w:hint="eastAsia" w:ascii="宋体" w:hAnsi="宋体" w:cs="宋体"/>
          <w:sz w:val="24"/>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 20 %的违约金，违约金不足以弥补甲方损失的，乙方应予赔偿，甲方有权终止合同。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pPr>
        <w:spacing w:line="360" w:lineRule="auto"/>
        <w:ind w:firstLine="480" w:firstLineChars="200"/>
        <w:rPr>
          <w:rFonts w:ascii="宋体" w:hAnsi="宋体" w:cs="宋体"/>
          <w:sz w:val="24"/>
          <w:szCs w:val="24"/>
        </w:rPr>
      </w:pPr>
      <w:r>
        <w:rPr>
          <w:rFonts w:hint="eastAsia" w:ascii="宋体" w:hAnsi="宋体" w:cs="宋体"/>
          <w:sz w:val="24"/>
          <w:szCs w:val="24"/>
        </w:rPr>
        <w:t>1.5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cs="宋体"/>
          <w:sz w:val="24"/>
          <w:szCs w:val="24"/>
        </w:rPr>
      </w:pPr>
      <w:r>
        <w:rPr>
          <w:rFonts w:hint="eastAsia" w:ascii="宋体" w:hAnsi="宋体" w:cs="宋体"/>
          <w:sz w:val="24"/>
          <w:szCs w:val="24"/>
        </w:rPr>
        <w:t>2、其它税务风险的合同约定：</w:t>
      </w:r>
    </w:p>
    <w:p>
      <w:pPr>
        <w:spacing w:line="360" w:lineRule="auto"/>
        <w:ind w:firstLine="480" w:firstLineChars="200"/>
        <w:rPr>
          <w:rFonts w:ascii="宋体" w:hAnsi="宋体" w:cs="宋体"/>
          <w:sz w:val="24"/>
          <w:szCs w:val="24"/>
        </w:rPr>
      </w:pPr>
      <w:r>
        <w:rPr>
          <w:rFonts w:hint="eastAsia" w:ascii="宋体" w:hAnsi="宋体" w:cs="宋体"/>
          <w:sz w:val="24"/>
          <w:szCs w:val="24"/>
        </w:rPr>
        <w:t>2.1、如果甲方丢失增值税专用发票联和抵扣联，乙方应向甲方提供专用发票记账联复印件，并加盖乙方发票专用章。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2.2、如果获得开具的汇总专用发票，则乙方应提供其防伪税控系统开具的《销售货物或者提供应税劳务清单》，并加盖发票专用章。</w:t>
      </w:r>
    </w:p>
    <w:p>
      <w:pPr>
        <w:numPr>
          <w:ilvl w:val="0"/>
          <w:numId w:val="0"/>
        </w:numPr>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二十、其他</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1、本合同自双方</w:t>
      </w:r>
      <w:r>
        <w:rPr>
          <w:rFonts w:hint="eastAsia" w:ascii="宋体" w:hAnsi="宋体" w:eastAsia="宋体" w:cs="宋体"/>
          <w:sz w:val="24"/>
          <w:szCs w:val="24"/>
          <w:lang w:val="en-US" w:eastAsia="zh-CN"/>
        </w:rPr>
        <w:t>签字并盖章</w:t>
      </w:r>
      <w:r>
        <w:rPr>
          <w:rFonts w:hint="eastAsia" w:ascii="宋体" w:hAnsi="宋体" w:eastAsia="宋体" w:cs="宋体"/>
          <w:sz w:val="24"/>
          <w:szCs w:val="24"/>
        </w:rPr>
        <w:t>后生效。本合同未尽事宜，可由双方协商解决并签署书面补充协议，补充协议与本合同享有同等法律效力。</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2、发生争议双方应友好协商解决，协商不成的，双方同意由合同签订地（洛阳市洛龙区开元大道1号开元壹号营销中心）人民法院管辖。</w:t>
      </w:r>
    </w:p>
    <w:p>
      <w:pPr>
        <w:spacing w:line="360" w:lineRule="auto"/>
        <w:ind w:firstLine="482"/>
        <w:rPr>
          <w:rFonts w:hint="eastAsia" w:ascii="宋体" w:hAnsi="宋体"/>
          <w:sz w:val="24"/>
          <w:szCs w:val="24"/>
        </w:rPr>
      </w:pPr>
      <w:r>
        <w:rPr>
          <w:rFonts w:hint="eastAsia" w:ascii="宋体" w:hAnsi="宋体" w:eastAsia="宋体" w:cs="宋体"/>
          <w:sz w:val="24"/>
          <w:szCs w:val="24"/>
        </w:rPr>
        <w:t>3、合同附件为本合同不可分割的组成部分，本合同连同附件一式陆份，甲方伍份，乙方壹份，具有同等法律效力。</w:t>
      </w:r>
    </w:p>
    <w:p>
      <w:pPr>
        <w:pStyle w:val="72"/>
        <w:spacing w:line="360" w:lineRule="auto"/>
        <w:ind w:firstLine="0" w:firstLineChars="0"/>
        <w:rPr>
          <w:rFonts w:ascii="宋体" w:hAnsi="宋体" w:cs="宋体"/>
          <w:b/>
          <w:kern w:val="44"/>
          <w:sz w:val="24"/>
          <w:szCs w:val="24"/>
        </w:rPr>
      </w:pPr>
      <w:r>
        <w:rPr>
          <w:rFonts w:hint="eastAsia" w:ascii="宋体" w:hAnsi="宋体" w:cs="宋体"/>
          <w:b/>
          <w:kern w:val="44"/>
          <w:sz w:val="24"/>
          <w:szCs w:val="24"/>
          <w:lang w:val="en-US" w:eastAsia="zh-CN"/>
        </w:rPr>
        <w:t>二十一、</w:t>
      </w:r>
      <w:r>
        <w:rPr>
          <w:rFonts w:hint="eastAsia" w:ascii="宋体" w:hAnsi="宋体" w:cs="宋体"/>
          <w:b/>
          <w:kern w:val="44"/>
          <w:sz w:val="24"/>
          <w:szCs w:val="24"/>
        </w:rPr>
        <w:t>合同附件</w:t>
      </w:r>
    </w:p>
    <w:p>
      <w:pPr>
        <w:numPr>
          <w:ilvl w:val="0"/>
          <w:numId w:val="0"/>
        </w:numPr>
        <w:spacing w:line="360" w:lineRule="auto"/>
        <w:ind w:firstLine="480" w:firstLineChars="200"/>
        <w:rPr>
          <w:rFonts w:hint="eastAsia" w:ascii="宋体" w:hAnsi="宋体" w:cs="宋体"/>
          <w:bCs/>
          <w:kern w:val="44"/>
          <w:sz w:val="24"/>
          <w:szCs w:val="24"/>
        </w:rPr>
      </w:pPr>
      <w:r>
        <w:rPr>
          <w:rFonts w:hint="eastAsia" w:ascii="宋体" w:hAnsi="宋体" w:cs="宋体"/>
          <w:kern w:val="44"/>
          <w:sz w:val="24"/>
          <w:szCs w:val="24"/>
        </w:rPr>
        <w:t>附件</w:t>
      </w:r>
      <w:r>
        <w:rPr>
          <w:rFonts w:hint="eastAsia" w:ascii="宋体" w:hAnsi="宋体" w:cs="宋体"/>
          <w:kern w:val="44"/>
          <w:sz w:val="24"/>
          <w:szCs w:val="24"/>
          <w:lang w:val="en-US" w:eastAsia="zh-CN"/>
        </w:rPr>
        <w:t>一</w:t>
      </w:r>
      <w:r>
        <w:rPr>
          <w:rFonts w:hint="eastAsia" w:ascii="宋体" w:hAnsi="宋体" w:cs="宋体"/>
          <w:kern w:val="44"/>
          <w:sz w:val="24"/>
          <w:szCs w:val="24"/>
        </w:rPr>
        <w:t>：</w:t>
      </w:r>
      <w:r>
        <w:rPr>
          <w:rFonts w:hint="eastAsia" w:ascii="宋体" w:hAnsi="宋体" w:eastAsia="宋体" w:cs="宋体"/>
          <w:sz w:val="24"/>
          <w:szCs w:val="24"/>
        </w:rPr>
        <w:t>客户带看确认书</w:t>
      </w:r>
    </w:p>
    <w:p>
      <w:pPr>
        <w:numPr>
          <w:ilvl w:val="0"/>
          <w:numId w:val="0"/>
        </w:numPr>
        <w:spacing w:line="360" w:lineRule="auto"/>
        <w:ind w:firstLine="480" w:firstLineChars="200"/>
        <w:rPr>
          <w:rFonts w:hint="eastAsia" w:ascii="宋体" w:hAnsi="宋体" w:cs="宋体"/>
          <w:bCs/>
          <w:kern w:val="44"/>
          <w:sz w:val="24"/>
          <w:szCs w:val="24"/>
        </w:rPr>
      </w:pPr>
      <w:r>
        <w:rPr>
          <w:rFonts w:hint="eastAsia" w:ascii="宋体" w:hAnsi="宋体" w:cs="宋体"/>
          <w:kern w:val="44"/>
          <w:sz w:val="24"/>
          <w:szCs w:val="24"/>
        </w:rPr>
        <w:t>附件</w:t>
      </w:r>
      <w:r>
        <w:rPr>
          <w:rFonts w:hint="eastAsia" w:ascii="宋体" w:hAnsi="宋体" w:cs="宋体"/>
          <w:kern w:val="44"/>
          <w:sz w:val="24"/>
          <w:szCs w:val="24"/>
          <w:lang w:val="en-US" w:eastAsia="zh-CN"/>
        </w:rPr>
        <w:t>二</w:t>
      </w:r>
      <w:r>
        <w:rPr>
          <w:rFonts w:hint="eastAsia" w:ascii="宋体" w:hAnsi="宋体" w:cs="宋体"/>
          <w:kern w:val="44"/>
          <w:sz w:val="24"/>
          <w:szCs w:val="24"/>
        </w:rPr>
        <w:t>：</w:t>
      </w:r>
      <w:r>
        <w:rPr>
          <w:rFonts w:hint="eastAsia" w:ascii="宋体" w:hAnsi="宋体" w:eastAsia="宋体" w:cs="宋体"/>
          <w:sz w:val="24"/>
          <w:szCs w:val="24"/>
        </w:rPr>
        <w:t>成</w:t>
      </w:r>
      <w:r>
        <w:rPr>
          <w:rFonts w:hint="eastAsia" w:ascii="宋体" w:hAnsi="宋体" w:eastAsia="宋体" w:cs="宋体"/>
          <w:sz w:val="24"/>
          <w:szCs w:val="24"/>
          <w:lang w:val="en-US" w:eastAsia="zh-CN"/>
        </w:rPr>
        <w:t>功销售</w:t>
      </w:r>
      <w:r>
        <w:rPr>
          <w:rFonts w:hint="eastAsia" w:ascii="宋体" w:hAnsi="宋体" w:eastAsia="宋体" w:cs="宋体"/>
          <w:sz w:val="24"/>
          <w:szCs w:val="24"/>
        </w:rPr>
        <w:t>确认单</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cs="宋体"/>
          <w:kern w:val="44"/>
          <w:sz w:val="24"/>
          <w:szCs w:val="24"/>
        </w:rPr>
        <w:t>附件</w:t>
      </w:r>
      <w:r>
        <w:rPr>
          <w:rFonts w:hint="eastAsia" w:ascii="宋体" w:hAnsi="宋体" w:cs="宋体"/>
          <w:kern w:val="44"/>
          <w:sz w:val="24"/>
          <w:szCs w:val="24"/>
          <w:lang w:val="en-US" w:eastAsia="zh-CN"/>
        </w:rPr>
        <w:t>三</w:t>
      </w:r>
      <w:r>
        <w:rPr>
          <w:rFonts w:hint="eastAsia" w:ascii="宋体" w:hAnsi="宋体" w:cs="宋体"/>
          <w:kern w:val="44"/>
          <w:sz w:val="24"/>
          <w:szCs w:val="24"/>
        </w:rPr>
        <w:t>：</w:t>
      </w:r>
      <w:r>
        <w:rPr>
          <w:rFonts w:hint="eastAsia" w:ascii="宋体" w:hAnsi="宋体" w:eastAsia="宋体" w:cs="宋体"/>
          <w:sz w:val="24"/>
          <w:szCs w:val="24"/>
        </w:rPr>
        <w:t>对账单明细表</w:t>
      </w:r>
    </w:p>
    <w:p>
      <w:pPr>
        <w:pStyle w:val="75"/>
        <w:numPr>
          <w:ilvl w:val="0"/>
          <w:numId w:val="0"/>
        </w:numPr>
        <w:spacing w:line="360" w:lineRule="auto"/>
        <w:ind w:leftChars="0" w:firstLine="480" w:firstLineChars="200"/>
        <w:rPr>
          <w:rFonts w:hint="eastAsia" w:ascii="宋体" w:hAnsi="宋体" w:eastAsia="宋体" w:cs="宋体"/>
          <w:b w:val="0"/>
          <w:sz w:val="24"/>
          <w:szCs w:val="24"/>
        </w:rPr>
      </w:pPr>
      <w:r>
        <w:rPr>
          <w:rFonts w:hint="eastAsia" w:ascii="宋体" w:hAnsi="宋体" w:cs="宋体"/>
          <w:kern w:val="44"/>
          <w:sz w:val="24"/>
          <w:szCs w:val="24"/>
        </w:rPr>
        <w:t>附件</w:t>
      </w:r>
      <w:r>
        <w:rPr>
          <w:rFonts w:hint="eastAsia" w:ascii="宋体" w:hAnsi="宋体" w:cs="宋体"/>
          <w:kern w:val="44"/>
          <w:sz w:val="24"/>
          <w:szCs w:val="24"/>
          <w:lang w:val="en-US" w:eastAsia="zh-CN"/>
        </w:rPr>
        <w:t>四</w:t>
      </w:r>
      <w:r>
        <w:rPr>
          <w:rFonts w:hint="eastAsia" w:ascii="宋体" w:hAnsi="宋体" w:cs="宋体"/>
          <w:kern w:val="44"/>
          <w:sz w:val="24"/>
          <w:szCs w:val="24"/>
        </w:rPr>
        <w:t>：</w:t>
      </w:r>
      <w:r>
        <w:rPr>
          <w:rFonts w:hint="eastAsia" w:ascii="宋体" w:hAnsi="宋体" w:eastAsia="宋体" w:cs="宋体"/>
          <w:b w:val="0"/>
          <w:sz w:val="24"/>
          <w:szCs w:val="24"/>
        </w:rPr>
        <w:t>阳光作业服务承诺</w:t>
      </w:r>
    </w:p>
    <w:p>
      <w:pPr>
        <w:pStyle w:val="72"/>
        <w:spacing w:line="360" w:lineRule="auto"/>
        <w:rPr>
          <w:rFonts w:hint="eastAsia" w:ascii="宋体" w:hAnsi="宋体" w:cs="宋体"/>
          <w:bCs/>
          <w:kern w:val="44"/>
          <w:sz w:val="24"/>
          <w:szCs w:val="24"/>
        </w:rPr>
      </w:pPr>
      <w:r>
        <w:rPr>
          <w:rFonts w:hint="eastAsia" w:ascii="宋体" w:hAnsi="宋体" w:cs="宋体"/>
          <w:kern w:val="44"/>
          <w:sz w:val="24"/>
          <w:szCs w:val="24"/>
        </w:rPr>
        <w:t>附件</w:t>
      </w:r>
      <w:r>
        <w:rPr>
          <w:rFonts w:hint="eastAsia" w:ascii="宋体" w:hAnsi="宋体" w:cs="宋体"/>
          <w:kern w:val="44"/>
          <w:sz w:val="24"/>
          <w:szCs w:val="24"/>
          <w:lang w:val="en-US" w:eastAsia="zh-CN"/>
        </w:rPr>
        <w:t>五</w:t>
      </w:r>
      <w:r>
        <w:rPr>
          <w:rFonts w:hint="eastAsia" w:ascii="宋体" w:hAnsi="宋体" w:cs="宋体"/>
          <w:kern w:val="44"/>
          <w:sz w:val="24"/>
          <w:szCs w:val="24"/>
        </w:rPr>
        <w:t>：</w:t>
      </w:r>
      <w:r>
        <w:rPr>
          <w:rFonts w:hint="eastAsia" w:ascii="宋体" w:hAnsi="宋体" w:cs="宋体"/>
          <w:bCs/>
          <w:kern w:val="44"/>
          <w:sz w:val="24"/>
          <w:szCs w:val="24"/>
        </w:rPr>
        <w:t>廉政合作协议</w:t>
      </w:r>
    </w:p>
    <w:p>
      <w:pPr>
        <w:pStyle w:val="72"/>
        <w:spacing w:line="360" w:lineRule="auto"/>
        <w:rPr>
          <w:rFonts w:hint="eastAsia" w:ascii="宋体" w:hAnsi="宋体" w:cs="宋体"/>
          <w:bCs/>
          <w:kern w:val="44"/>
          <w:sz w:val="24"/>
          <w:szCs w:val="24"/>
          <w:lang w:val="en-US" w:eastAsia="zh-CN"/>
        </w:rPr>
      </w:pPr>
      <w:r>
        <w:rPr>
          <w:rFonts w:hint="eastAsia" w:ascii="宋体" w:hAnsi="宋体" w:cs="宋体"/>
          <w:bCs/>
          <w:kern w:val="44"/>
          <w:sz w:val="24"/>
          <w:szCs w:val="24"/>
          <w:lang w:val="en-US" w:eastAsia="zh-CN"/>
        </w:rPr>
        <w:t>附件六：关于“三天无理由退房”补充协议</w:t>
      </w:r>
    </w:p>
    <w:p>
      <w:pPr>
        <w:pStyle w:val="72"/>
        <w:spacing w:line="360" w:lineRule="auto"/>
        <w:rPr>
          <w:rFonts w:hint="default" w:ascii="宋体" w:hAnsi="宋体" w:cs="宋体"/>
          <w:bCs/>
          <w:kern w:val="44"/>
          <w:sz w:val="24"/>
          <w:szCs w:val="24"/>
          <w:lang w:val="en-US" w:eastAsia="zh-CN"/>
        </w:rPr>
      </w:pPr>
      <w:r>
        <w:rPr>
          <w:rFonts w:hint="eastAsia" w:ascii="宋体" w:hAnsi="宋体" w:cs="宋体"/>
          <w:bCs/>
          <w:kern w:val="44"/>
          <w:sz w:val="24"/>
          <w:szCs w:val="24"/>
          <w:lang w:val="en-US" w:eastAsia="zh-CN"/>
        </w:rPr>
        <w:t>附件七：电子带看单补充协议</w:t>
      </w:r>
    </w:p>
    <w:p>
      <w:pPr>
        <w:pStyle w:val="72"/>
        <w:spacing w:line="360" w:lineRule="auto"/>
        <w:ind w:firstLine="480"/>
        <w:rPr>
          <w:rFonts w:hint="eastAsia" w:ascii="宋体" w:hAnsi="宋体"/>
          <w:sz w:val="24"/>
          <w:szCs w:val="24"/>
          <w:highlight w:val="none"/>
        </w:rPr>
      </w:pPr>
      <w:r>
        <w:rPr>
          <w:rFonts w:hint="eastAsia" w:ascii="宋体" w:hAnsi="宋体"/>
          <w:sz w:val="24"/>
          <w:szCs w:val="24"/>
          <w:highlight w:val="none"/>
        </w:rPr>
        <w:t>（以下无正文）</w:t>
      </w:r>
    </w:p>
    <w:p>
      <w:pPr>
        <w:pStyle w:val="72"/>
        <w:spacing w:line="360" w:lineRule="auto"/>
        <w:ind w:firstLine="480"/>
        <w:rPr>
          <w:rFonts w:hint="eastAsia" w:ascii="宋体" w:hAnsi="宋体"/>
          <w:sz w:val="24"/>
          <w:szCs w:val="24"/>
          <w:highlight w:val="none"/>
        </w:rPr>
      </w:pPr>
    </w:p>
    <w:p>
      <w:pPr>
        <w:pStyle w:val="72"/>
        <w:spacing w:line="360" w:lineRule="auto"/>
        <w:ind w:firstLine="480"/>
        <w:rPr>
          <w:rFonts w:hint="eastAsia" w:ascii="宋体" w:hAnsi="宋体"/>
          <w:sz w:val="24"/>
          <w:szCs w:val="24"/>
          <w:highlight w:val="none"/>
        </w:rPr>
      </w:pPr>
    </w:p>
    <w:p>
      <w:pPr>
        <w:spacing w:line="480" w:lineRule="auto"/>
        <w:rPr>
          <w:rFonts w:hint="default" w:ascii="宋体" w:hAnsi="宋体" w:eastAsia="宋体"/>
          <w:sz w:val="18"/>
          <w:szCs w:val="18"/>
          <w:highlight w:val="none"/>
          <w:lang w:val="en-US" w:eastAsia="zh-CN"/>
        </w:rPr>
      </w:pPr>
      <w:r>
        <w:rPr>
          <w:rFonts w:hint="eastAsia" w:ascii="宋体" w:hAnsi="宋体"/>
          <w:sz w:val="18"/>
          <w:szCs w:val="18"/>
          <w:highlight w:val="none"/>
        </w:rPr>
        <w:t>甲方（盖章）:</w:t>
      </w:r>
      <w:r>
        <w:rPr>
          <w:rFonts w:hint="eastAsia" w:ascii="宋体" w:hAnsi="宋体" w:eastAsia="宋体"/>
          <w:sz w:val="18"/>
          <w:szCs w:val="18"/>
          <w:highlight w:val="none"/>
          <w:lang w:eastAsia="zh-CN"/>
        </w:rPr>
        <w:t>洛阳</w:t>
      </w:r>
      <w:r>
        <w:rPr>
          <w:rFonts w:hint="eastAsia" w:ascii="宋体" w:hAnsi="宋体" w:eastAsia="宋体"/>
          <w:sz w:val="18"/>
          <w:szCs w:val="18"/>
          <w:highlight w:val="none"/>
          <w:lang w:val="en-US" w:eastAsia="zh-CN"/>
        </w:rPr>
        <w:t>莘子园置业</w:t>
      </w:r>
      <w:r>
        <w:rPr>
          <w:rFonts w:hint="eastAsia" w:ascii="宋体" w:hAnsi="宋体" w:eastAsia="宋体"/>
          <w:sz w:val="18"/>
          <w:szCs w:val="18"/>
          <w:highlight w:val="none"/>
          <w:lang w:eastAsia="zh-CN"/>
        </w:rPr>
        <w:t>有限公司</w:t>
      </w:r>
      <w:r>
        <w:rPr>
          <w:rFonts w:hint="eastAsia" w:ascii="宋体" w:hAnsi="宋体" w:eastAsia="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乙方（盖章）:</w:t>
      </w:r>
      <w:r>
        <w:rPr>
          <w:rFonts w:hint="eastAsia" w:ascii="宋体" w:hAnsi="宋体" w:eastAsia="宋体"/>
          <w:sz w:val="18"/>
          <w:szCs w:val="18"/>
          <w:highlight w:val="none"/>
          <w:lang w:val="en-US" w:eastAsia="zh-CN"/>
        </w:rPr>
        <w:t>洛阳闹贝房地产经纪有限公司宜阳分公司</w:t>
      </w:r>
    </w:p>
    <w:p>
      <w:pPr>
        <w:spacing w:line="480" w:lineRule="auto"/>
        <w:rPr>
          <w:rFonts w:hint="default" w:ascii="宋体" w:hAnsi="宋体" w:eastAsia="宋体"/>
          <w:sz w:val="18"/>
          <w:szCs w:val="18"/>
          <w:highlight w:val="none"/>
          <w:lang w:val="en-US" w:eastAsia="zh-CN"/>
        </w:rPr>
      </w:pPr>
      <w:r>
        <w:rPr>
          <w:rFonts w:hint="eastAsia" w:ascii="宋体" w:hAnsi="宋体"/>
          <w:sz w:val="18"/>
          <w:szCs w:val="18"/>
          <w:highlight w:val="none"/>
        </w:rPr>
        <w:t>法 人 代 表：</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法 人 代 表：</w:t>
      </w:r>
    </w:p>
    <w:p>
      <w:pPr>
        <w:spacing w:line="480" w:lineRule="auto"/>
        <w:rPr>
          <w:rFonts w:ascii="宋体" w:hAnsi="宋体"/>
          <w:sz w:val="18"/>
          <w:szCs w:val="18"/>
          <w:highlight w:val="none"/>
        </w:rPr>
      </w:pPr>
      <w:r>
        <w:rPr>
          <w:rFonts w:hint="eastAsia" w:ascii="宋体" w:hAnsi="宋体"/>
          <w:sz w:val="18"/>
          <w:szCs w:val="18"/>
          <w:highlight w:val="none"/>
        </w:rPr>
        <w:t xml:space="preserve">或授权委托人：                            </w:t>
      </w:r>
      <w:r>
        <w:rPr>
          <w:rFonts w:ascii="宋体" w:hAnsi="宋体"/>
          <w:sz w:val="18"/>
          <w:szCs w:val="18"/>
          <w:highlight w:val="none"/>
        </w:rPr>
        <w:t xml:space="preserve">         </w:t>
      </w:r>
      <w:r>
        <w:rPr>
          <w:rFonts w:hint="eastAsia" w:ascii="宋体" w:hAnsi="宋体"/>
          <w:sz w:val="18"/>
          <w:szCs w:val="18"/>
          <w:highlight w:val="none"/>
        </w:rPr>
        <w:t>或授权委托人：</w:t>
      </w:r>
    </w:p>
    <w:p>
      <w:pPr>
        <w:spacing w:line="480" w:lineRule="auto"/>
        <w:rPr>
          <w:rFonts w:hint="default"/>
          <w:highlight w:val="none"/>
          <w:lang w:val="en-US"/>
        </w:rPr>
      </w:pPr>
      <w:r>
        <w:rPr>
          <w:rFonts w:hint="eastAsia" w:ascii="宋体" w:hAnsi="宋体"/>
          <w:sz w:val="18"/>
          <w:szCs w:val="18"/>
          <w:highlight w:val="none"/>
        </w:rPr>
        <w:t>税号：</w:t>
      </w:r>
      <w:r>
        <w:rPr>
          <w:rFonts w:hint="eastAsia" w:ascii="宋体" w:hAnsi="宋体" w:eastAsia="宋体"/>
          <w:sz w:val="18"/>
          <w:szCs w:val="18"/>
          <w:highlight w:val="none"/>
          <w:lang w:val="en-US" w:eastAsia="zh-CN"/>
        </w:rPr>
        <w:t>91410 327MA 46Q35 79G</w:t>
      </w:r>
      <w:r>
        <w:rPr>
          <w:rFonts w:hint="eastAsia" w:ascii="宋体" w:hAnsi="宋体" w:eastAsia="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税号：</w:t>
      </w:r>
      <w:r>
        <w:rPr>
          <w:rFonts w:hint="eastAsia" w:ascii="宋体" w:hAnsi="宋体" w:eastAsia="宋体"/>
          <w:sz w:val="18"/>
          <w:szCs w:val="18"/>
          <w:highlight w:val="none"/>
          <w:lang w:val="en-US" w:eastAsia="zh-CN"/>
        </w:rPr>
        <w:t>91410 327MA 9GTPK 60U</w:t>
      </w:r>
    </w:p>
    <w:p>
      <w:pPr>
        <w:spacing w:line="480" w:lineRule="auto"/>
        <w:rPr>
          <w:rFonts w:hint="default" w:ascii="宋体" w:hAnsi="宋体" w:eastAsia="宋体"/>
          <w:sz w:val="18"/>
          <w:szCs w:val="18"/>
          <w:highlight w:val="none"/>
          <w:lang w:val="en-US" w:eastAsia="zh-CN"/>
        </w:rPr>
      </w:pPr>
      <w:r>
        <w:rPr>
          <w:rFonts w:hint="eastAsia" w:ascii="宋体" w:hAnsi="宋体"/>
          <w:sz w:val="18"/>
          <w:szCs w:val="18"/>
          <w:highlight w:val="none"/>
        </w:rPr>
        <w:t>账户：</w:t>
      </w:r>
      <w:r>
        <w:rPr>
          <w:rFonts w:hint="eastAsia" w:ascii="宋体" w:hAnsi="宋体" w:eastAsia="宋体"/>
          <w:sz w:val="18"/>
          <w:szCs w:val="18"/>
          <w:highlight w:val="none"/>
          <w:lang w:val="en-US" w:eastAsia="zh-CN"/>
        </w:rPr>
        <w:t xml:space="preserve">66121011800000498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eastAsia="宋体"/>
          <w:sz w:val="18"/>
          <w:szCs w:val="18"/>
          <w:highlight w:val="none"/>
          <w:lang w:val="en-US" w:eastAsia="zh-CN"/>
        </w:rPr>
        <w:t>账户：379900680710902</w:t>
      </w:r>
    </w:p>
    <w:p>
      <w:pPr>
        <w:spacing w:line="480" w:lineRule="auto"/>
        <w:ind w:left="4860" w:hanging="4860" w:hangingChars="2700"/>
        <w:rPr>
          <w:rFonts w:hint="eastAsia" w:ascii="宋体" w:hAnsi="宋体" w:eastAsia="宋体"/>
          <w:sz w:val="18"/>
          <w:szCs w:val="18"/>
          <w:highlight w:val="none"/>
        </w:rPr>
      </w:pPr>
      <w:r>
        <w:rPr>
          <w:rFonts w:hint="eastAsia" w:ascii="宋体" w:hAnsi="宋体"/>
          <w:sz w:val="18"/>
          <w:szCs w:val="18"/>
          <w:highlight w:val="none"/>
        </w:rPr>
        <w:t>开户行：</w:t>
      </w:r>
      <w:r>
        <w:rPr>
          <w:rFonts w:hint="eastAsia" w:ascii="宋体" w:hAnsi="宋体" w:eastAsia="宋体"/>
          <w:sz w:val="18"/>
          <w:szCs w:val="18"/>
          <w:highlight w:val="none"/>
        </w:rPr>
        <w:t>宜阳县农商行文化路支行</w:t>
      </w:r>
      <w:r>
        <w:rPr>
          <w:rFonts w:hint="eastAsia" w:ascii="宋体" w:hAnsi="宋体" w:eastAsia="宋体"/>
          <w:sz w:val="18"/>
          <w:szCs w:val="18"/>
          <w:highlight w:val="none"/>
          <w:lang w:val="en-US" w:eastAsia="zh-CN"/>
        </w:rPr>
        <w:t xml:space="preserve">                      </w:t>
      </w:r>
      <w:r>
        <w:rPr>
          <w:rFonts w:hint="eastAsia" w:ascii="宋体" w:hAnsi="宋体"/>
          <w:sz w:val="18"/>
          <w:szCs w:val="18"/>
          <w:highlight w:val="none"/>
        </w:rPr>
        <w:t>开户行：</w:t>
      </w:r>
      <w:r>
        <w:rPr>
          <w:rFonts w:hint="eastAsia" w:ascii="宋体" w:hAnsi="宋体" w:eastAsia="宋体"/>
          <w:sz w:val="18"/>
          <w:szCs w:val="18"/>
          <w:highlight w:val="none"/>
          <w:lang w:val="en-US" w:eastAsia="zh-CN"/>
        </w:rPr>
        <w:t>招商银行股份有限公司洛阳新区支行</w:t>
      </w:r>
    </w:p>
    <w:tbl>
      <w:tblPr>
        <w:tblStyle w:val="44"/>
        <w:tblW w:w="0" w:type="auto"/>
        <w:tblInd w:w="108" w:type="dxa"/>
        <w:tblLayout w:type="fixed"/>
        <w:tblCellMar>
          <w:top w:w="0" w:type="dxa"/>
          <w:left w:w="108" w:type="dxa"/>
          <w:bottom w:w="0" w:type="dxa"/>
          <w:right w:w="108" w:type="dxa"/>
        </w:tblCellMar>
      </w:tblPr>
      <w:tblGrid>
        <w:gridCol w:w="4426"/>
        <w:gridCol w:w="4450"/>
      </w:tblGrid>
      <w:tr>
        <w:tblPrEx>
          <w:tblCellMar>
            <w:top w:w="0" w:type="dxa"/>
            <w:left w:w="108" w:type="dxa"/>
            <w:bottom w:w="0" w:type="dxa"/>
            <w:right w:w="108" w:type="dxa"/>
          </w:tblCellMar>
        </w:tblPrEx>
        <w:trPr>
          <w:trHeight w:val="74" w:hRule="atLeast"/>
        </w:trPr>
        <w:tc>
          <w:tcPr>
            <w:tcW w:w="4426" w:type="dxa"/>
            <w:noWrap w:val="0"/>
            <w:vAlign w:val="top"/>
          </w:tcPr>
          <w:p>
            <w:pPr>
              <w:keepNext w:val="0"/>
              <w:keepLines w:val="0"/>
              <w:suppressLineNumbers w:val="0"/>
              <w:spacing w:before="0" w:beforeAutospacing="0" w:after="0" w:afterAutospacing="0" w:line="480" w:lineRule="auto"/>
              <w:ind w:left="0" w:right="0"/>
              <w:rPr>
                <w:rFonts w:hint="default" w:ascii="宋体" w:hAnsi="宋体"/>
                <w:bCs/>
                <w:sz w:val="18"/>
                <w:szCs w:val="18"/>
                <w:highlight w:val="none"/>
              </w:rPr>
            </w:pPr>
            <w:r>
              <w:rPr>
                <w:rFonts w:hint="eastAsia" w:ascii="宋体" w:hAnsi="宋体"/>
                <w:bCs/>
                <w:sz w:val="18"/>
                <w:szCs w:val="18"/>
                <w:highlight w:val="none"/>
              </w:rPr>
              <w:t>日期：</w:t>
            </w:r>
            <w:r>
              <w:rPr>
                <w:rFonts w:hint="default" w:ascii="宋体" w:hAnsi="宋体"/>
                <w:bCs/>
                <w:sz w:val="18"/>
                <w:szCs w:val="18"/>
                <w:highlight w:val="none"/>
              </w:rPr>
              <w:t xml:space="preserve"> </w:t>
            </w:r>
            <w:r>
              <w:rPr>
                <w:rFonts w:hint="eastAsia" w:ascii="宋体" w:hAnsi="宋体"/>
                <w:bCs/>
                <w:sz w:val="18"/>
                <w:szCs w:val="18"/>
                <w:highlight w:val="none"/>
              </w:rPr>
              <w:t>2</w:t>
            </w:r>
            <w:r>
              <w:rPr>
                <w:rFonts w:hint="default" w:ascii="宋体" w:hAnsi="宋体"/>
                <w:bCs/>
                <w:sz w:val="18"/>
                <w:szCs w:val="18"/>
                <w:highlight w:val="none"/>
              </w:rPr>
              <w:t>021</w:t>
            </w:r>
            <w:r>
              <w:rPr>
                <w:rFonts w:hint="eastAsia" w:ascii="宋体" w:hAnsi="宋体"/>
                <w:bCs/>
                <w:sz w:val="18"/>
                <w:szCs w:val="18"/>
                <w:highlight w:val="none"/>
              </w:rPr>
              <w:t>年</w:t>
            </w:r>
            <w:r>
              <w:rPr>
                <w:rFonts w:hint="eastAsia" w:ascii="宋体" w:hAnsi="宋体"/>
                <w:bCs/>
                <w:sz w:val="18"/>
                <w:szCs w:val="18"/>
                <w:highlight w:val="none"/>
                <w:lang w:val="en-US" w:eastAsia="zh-CN"/>
              </w:rPr>
              <w:t>10</w:t>
            </w:r>
            <w:r>
              <w:rPr>
                <w:rFonts w:hint="eastAsia" w:ascii="宋体" w:hAnsi="宋体"/>
                <w:bCs/>
                <w:sz w:val="18"/>
                <w:szCs w:val="18"/>
                <w:highlight w:val="none"/>
              </w:rPr>
              <w:t>月</w:t>
            </w:r>
            <w:r>
              <w:rPr>
                <w:rFonts w:hint="eastAsia" w:ascii="宋体" w:hAnsi="宋体"/>
                <w:bCs/>
                <w:sz w:val="18"/>
                <w:szCs w:val="18"/>
                <w:highlight w:val="none"/>
                <w:lang w:val="en-US" w:eastAsia="zh-CN"/>
              </w:rPr>
              <w:t>18</w:t>
            </w:r>
            <w:r>
              <w:rPr>
                <w:rFonts w:hint="eastAsia" w:ascii="宋体" w:hAnsi="宋体"/>
                <w:bCs/>
                <w:sz w:val="18"/>
                <w:szCs w:val="18"/>
                <w:highlight w:val="none"/>
              </w:rPr>
              <w:t>日</w:t>
            </w:r>
          </w:p>
        </w:tc>
        <w:tc>
          <w:tcPr>
            <w:tcW w:w="4450" w:type="dxa"/>
            <w:noWrap w:val="0"/>
            <w:vAlign w:val="top"/>
          </w:tcPr>
          <w:p>
            <w:pPr>
              <w:keepNext w:val="0"/>
              <w:keepLines w:val="0"/>
              <w:suppressLineNumbers w:val="0"/>
              <w:spacing w:before="0" w:beforeAutospacing="0" w:after="0" w:afterAutospacing="0" w:line="480" w:lineRule="auto"/>
              <w:ind w:left="0" w:right="0" w:firstLine="180" w:firstLineChars="100"/>
              <w:rPr>
                <w:rFonts w:hint="default" w:ascii="宋体" w:hAnsi="宋体"/>
                <w:bCs/>
                <w:sz w:val="18"/>
                <w:szCs w:val="18"/>
                <w:highlight w:val="none"/>
                <w:u w:val="single"/>
              </w:rPr>
            </w:pPr>
            <w:r>
              <w:rPr>
                <w:rFonts w:hint="eastAsia" w:ascii="宋体" w:hAnsi="宋体"/>
                <w:bCs/>
                <w:sz w:val="18"/>
                <w:szCs w:val="18"/>
                <w:highlight w:val="none"/>
              </w:rPr>
              <w:t>日期：2</w:t>
            </w:r>
            <w:r>
              <w:rPr>
                <w:rFonts w:hint="default" w:ascii="宋体" w:hAnsi="宋体"/>
                <w:bCs/>
                <w:sz w:val="18"/>
                <w:szCs w:val="18"/>
                <w:highlight w:val="none"/>
              </w:rPr>
              <w:t>021</w:t>
            </w:r>
            <w:r>
              <w:rPr>
                <w:rFonts w:hint="eastAsia" w:ascii="宋体" w:hAnsi="宋体"/>
                <w:bCs/>
                <w:sz w:val="18"/>
                <w:szCs w:val="18"/>
                <w:highlight w:val="none"/>
              </w:rPr>
              <w:t>年</w:t>
            </w:r>
            <w:r>
              <w:rPr>
                <w:rFonts w:hint="eastAsia" w:ascii="宋体" w:hAnsi="宋体"/>
                <w:bCs/>
                <w:sz w:val="18"/>
                <w:szCs w:val="18"/>
                <w:highlight w:val="none"/>
                <w:lang w:val="en-US" w:eastAsia="zh-CN"/>
              </w:rPr>
              <w:t>10</w:t>
            </w:r>
            <w:r>
              <w:rPr>
                <w:rFonts w:hint="eastAsia" w:ascii="宋体" w:hAnsi="宋体"/>
                <w:bCs/>
                <w:sz w:val="18"/>
                <w:szCs w:val="18"/>
                <w:highlight w:val="none"/>
              </w:rPr>
              <w:t>月</w:t>
            </w:r>
            <w:r>
              <w:rPr>
                <w:rFonts w:hint="eastAsia" w:ascii="宋体" w:hAnsi="宋体"/>
                <w:bCs/>
                <w:sz w:val="18"/>
                <w:szCs w:val="18"/>
                <w:highlight w:val="none"/>
                <w:lang w:val="en-US" w:eastAsia="zh-CN"/>
              </w:rPr>
              <w:t>18</w:t>
            </w:r>
            <w:r>
              <w:rPr>
                <w:rFonts w:hint="eastAsia" w:ascii="宋体" w:hAnsi="宋体"/>
                <w:bCs/>
                <w:sz w:val="18"/>
                <w:szCs w:val="18"/>
                <w:highlight w:val="none"/>
              </w:rPr>
              <w:t>日</w:t>
            </w:r>
          </w:p>
        </w:tc>
      </w:tr>
    </w:tbl>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adjustRightInd w:val="0"/>
        <w:snapToGrid w:val="0"/>
        <w:spacing w:line="300" w:lineRule="auto"/>
        <w:rPr>
          <w:rFonts w:hint="eastAsia" w:ascii="Times New Roman" w:hAnsi="Times New Roman" w:eastAsia="宋体" w:cs="Calibri"/>
          <w:b/>
          <w:color w:val="000000"/>
          <w:sz w:val="24"/>
          <w:szCs w:val="24"/>
          <w:lang w:val="en-US" w:eastAsia="zh-CN" w:bidi="ar-SA"/>
        </w:rPr>
      </w:pPr>
      <w:r>
        <w:rPr>
          <w:rFonts w:hint="eastAsia" w:ascii="Times New Roman" w:hAnsi="Times New Roman" w:eastAsia="宋体" w:cs="Calibri"/>
          <w:b/>
          <w:color w:val="000000"/>
          <w:sz w:val="24"/>
          <w:szCs w:val="24"/>
          <w:lang w:val="en-US" w:eastAsia="zh-CN" w:bidi="ar-SA"/>
        </w:rPr>
        <w:t>附件一  《客户带看确认书》</w:t>
      </w:r>
    </w:p>
    <w:p>
      <w:pPr>
        <w:spacing w:line="360" w:lineRule="auto"/>
        <w:jc w:val="both"/>
        <w:rPr>
          <w:rFonts w:hint="eastAsia" w:ascii="宋体" w:hAnsi="宋体" w:eastAsia="宋体" w:cs="宋体"/>
        </w:rPr>
      </w:pPr>
      <w:r>
        <w:rPr>
          <w:rFonts w:hint="eastAsia" w:ascii="宋体" w:hAnsi="宋体" w:eastAsia="宋体" w:cs="宋体"/>
        </w:rPr>
        <w:drawing>
          <wp:inline distT="0" distB="0" distL="114300" distR="114300">
            <wp:extent cx="5410200" cy="2390775"/>
            <wp:effectExtent l="0" t="0" r="0" b="952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stretch>
                      <a:fillRect/>
                    </a:stretch>
                  </pic:blipFill>
                  <pic:spPr>
                    <a:xfrm>
                      <a:off x="0" y="0"/>
                      <a:ext cx="5410200" cy="2390775"/>
                    </a:xfrm>
                    <a:prstGeom prst="rect">
                      <a:avLst/>
                    </a:prstGeom>
                    <a:noFill/>
                    <a:ln>
                      <a:noFill/>
                    </a:ln>
                  </pic:spPr>
                </pic:pic>
              </a:graphicData>
            </a:graphic>
          </wp:inline>
        </w:drawing>
      </w:r>
    </w:p>
    <w:p>
      <w:pPr>
        <w:adjustRightInd w:val="0"/>
        <w:snapToGrid w:val="0"/>
        <w:spacing w:line="300" w:lineRule="auto"/>
        <w:rPr>
          <w:rFonts w:hint="eastAsia" w:ascii="宋体" w:hAnsi="宋体" w:eastAsia="宋体" w:cs="宋体"/>
          <w:b/>
          <w:szCs w:val="21"/>
        </w:rPr>
      </w:pPr>
    </w:p>
    <w:p>
      <w:pPr>
        <w:adjustRightInd w:val="0"/>
        <w:snapToGrid w:val="0"/>
        <w:spacing w:line="300" w:lineRule="auto"/>
        <w:rPr>
          <w:rFonts w:hint="eastAsia" w:ascii="Times New Roman" w:hAnsi="Times New Roman" w:eastAsia="宋体" w:cs="Calibri"/>
          <w:b/>
          <w:color w:val="000000"/>
          <w:sz w:val="24"/>
          <w:szCs w:val="24"/>
          <w:lang w:val="en-US" w:eastAsia="zh-CN" w:bidi="ar-SA"/>
        </w:rPr>
      </w:pPr>
      <w:r>
        <w:rPr>
          <w:rFonts w:hint="eastAsia" w:ascii="Times New Roman" w:hAnsi="Times New Roman" w:eastAsia="宋体" w:cs="Calibri"/>
          <w:b/>
          <w:color w:val="000000"/>
          <w:sz w:val="24"/>
          <w:szCs w:val="24"/>
          <w:lang w:val="en-US" w:eastAsia="zh-CN" w:bidi="ar-SA"/>
        </w:rPr>
        <w:t>附件二  《成功销售确认单》</w:t>
      </w:r>
    </w:p>
    <w:p>
      <w:pPr>
        <w:spacing w:line="360" w:lineRule="auto"/>
        <w:jc w:val="left"/>
        <w:rPr>
          <w:rFonts w:hint="eastAsia" w:ascii="宋体" w:hAnsi="宋体" w:eastAsia="宋体" w:cs="宋体"/>
        </w:rPr>
      </w:pPr>
      <w:r>
        <w:rPr>
          <w:rFonts w:hint="eastAsia" w:ascii="宋体" w:hAnsi="宋体" w:eastAsia="宋体" w:cs="宋体"/>
          <w:b/>
          <w:szCs w:val="21"/>
        </w:rPr>
        <w:drawing>
          <wp:inline distT="0" distB="0" distL="114300" distR="114300">
            <wp:extent cx="5389880" cy="2096135"/>
            <wp:effectExtent l="0" t="0" r="7620" b="12065"/>
            <wp:docPr id="3" name="图片 6" descr="bda6a3dedc266919a449392addccd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bda6a3dedc266919a449392addccd1e"/>
                    <pic:cNvPicPr>
                      <a:picLocks noChangeAspect="1"/>
                    </pic:cNvPicPr>
                  </pic:nvPicPr>
                  <pic:blipFill>
                    <a:blip r:embed="rId9"/>
                    <a:stretch>
                      <a:fillRect/>
                    </a:stretch>
                  </pic:blipFill>
                  <pic:spPr>
                    <a:xfrm>
                      <a:off x="0" y="0"/>
                      <a:ext cx="5389880" cy="2096135"/>
                    </a:xfrm>
                    <a:prstGeom prst="rect">
                      <a:avLst/>
                    </a:prstGeom>
                    <a:noFill/>
                    <a:ln>
                      <a:noFill/>
                    </a:ln>
                  </pic:spPr>
                </pic:pic>
              </a:graphicData>
            </a:graphic>
          </wp:inline>
        </w:drawing>
      </w:r>
    </w:p>
    <w:p>
      <w:pPr>
        <w:adjustRightInd w:val="0"/>
        <w:snapToGrid w:val="0"/>
        <w:spacing w:line="300" w:lineRule="auto"/>
        <w:ind w:left="632" w:hanging="632" w:hangingChars="300"/>
        <w:jc w:val="left"/>
        <w:rPr>
          <w:rFonts w:hint="eastAsia" w:ascii="宋体" w:hAnsi="宋体" w:eastAsia="宋体" w:cs="宋体"/>
          <w:b/>
          <w:szCs w:val="21"/>
        </w:rPr>
      </w:pPr>
    </w:p>
    <w:p>
      <w:pPr>
        <w:adjustRightInd w:val="0"/>
        <w:snapToGrid w:val="0"/>
        <w:spacing w:line="300" w:lineRule="auto"/>
        <w:rPr>
          <w:rFonts w:hint="eastAsia" w:ascii="Times New Roman" w:hAnsi="Times New Roman" w:eastAsia="宋体" w:cs="Calibri"/>
          <w:b/>
          <w:color w:val="000000"/>
          <w:sz w:val="24"/>
          <w:szCs w:val="24"/>
          <w:lang w:val="en-US" w:eastAsia="zh-CN" w:bidi="ar-SA"/>
        </w:rPr>
      </w:pPr>
      <w:r>
        <w:rPr>
          <w:rFonts w:hint="eastAsia" w:ascii="Times New Roman" w:hAnsi="Times New Roman" w:eastAsia="宋体" w:cs="Calibri"/>
          <w:b/>
          <w:color w:val="000000"/>
          <w:sz w:val="24"/>
          <w:szCs w:val="24"/>
          <w:lang w:val="en-US" w:eastAsia="zh-CN" w:bidi="ar-SA"/>
        </w:rPr>
        <w:t>附件三  《对账单明细表》</w:t>
      </w:r>
    </w:p>
    <w:p>
      <w:pPr>
        <w:spacing w:line="360" w:lineRule="auto"/>
        <w:jc w:val="left"/>
        <w:rPr>
          <w:rFonts w:hint="eastAsia" w:ascii="宋体" w:hAnsi="宋体" w:eastAsia="宋体" w:cs="宋体"/>
        </w:rPr>
      </w:pPr>
      <w:r>
        <w:rPr>
          <w:rFonts w:hint="eastAsia" w:ascii="宋体" w:hAnsi="宋体" w:eastAsia="宋体" w:cs="宋体"/>
        </w:rPr>
        <w:drawing>
          <wp:inline distT="0" distB="0" distL="114300" distR="114300">
            <wp:extent cx="5394960" cy="1990725"/>
            <wp:effectExtent l="0" t="0" r="2540" b="317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0"/>
                    <a:srcRect t="1353"/>
                    <a:stretch>
                      <a:fillRect/>
                    </a:stretch>
                  </pic:blipFill>
                  <pic:spPr>
                    <a:xfrm>
                      <a:off x="0" y="0"/>
                      <a:ext cx="5394960" cy="1990725"/>
                    </a:xfrm>
                    <a:prstGeom prst="rect">
                      <a:avLst/>
                    </a:prstGeom>
                    <a:noFill/>
                    <a:ln>
                      <a:noFill/>
                    </a:ln>
                  </pic:spPr>
                </pic:pic>
              </a:graphicData>
            </a:graphic>
          </wp:inline>
        </w:drawing>
      </w: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r>
        <w:rPr>
          <w:rFonts w:hint="eastAsia"/>
          <w:b/>
          <w:sz w:val="24"/>
          <w:szCs w:val="24"/>
        </w:rPr>
        <w:t>附件</w:t>
      </w:r>
      <w:r>
        <w:rPr>
          <w:rFonts w:hint="eastAsia"/>
          <w:b/>
          <w:sz w:val="24"/>
          <w:szCs w:val="24"/>
          <w:lang w:val="en-US" w:eastAsia="zh-CN"/>
        </w:rPr>
        <w:t xml:space="preserve">四  </w:t>
      </w:r>
      <w:r>
        <w:rPr>
          <w:rFonts w:hint="eastAsia"/>
          <w:b/>
          <w:sz w:val="24"/>
          <w:szCs w:val="24"/>
        </w:rPr>
        <w:t>贝壳平台阳光作业服务承诺</w:t>
      </w:r>
    </w:p>
    <w:p>
      <w:pPr>
        <w:spacing w:line="360" w:lineRule="auto"/>
        <w:rPr>
          <w:rFonts w:hint="eastAsia" w:ascii="宋体" w:hAnsi="宋体" w:eastAsia="宋体" w:cs="宋体"/>
          <w:sz w:val="24"/>
          <w:szCs w:val="24"/>
          <w:u w:val="single"/>
          <w:lang w:val="en-US" w:eastAsia="zh-CN"/>
        </w:rPr>
      </w:pPr>
    </w:p>
    <w:p>
      <w:pPr>
        <w:spacing w:line="360" w:lineRule="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甲方：洛阳莘子园置业有限公司</w:t>
      </w:r>
    </w:p>
    <w:p>
      <w:pPr>
        <w:spacing w:line="360" w:lineRule="auto"/>
        <w:rPr>
          <w:rFonts w:hint="eastAsia" w:ascii="宋体" w:hAnsi="宋体" w:cs="宋体"/>
          <w:sz w:val="24"/>
          <w:szCs w:val="24"/>
          <w:u w:val="none"/>
          <w:lang w:val="en-US" w:eastAsia="zh-CN"/>
        </w:rPr>
      </w:pPr>
      <w:r>
        <w:rPr>
          <w:rFonts w:hint="eastAsia" w:ascii="宋体" w:hAnsi="宋体" w:eastAsia="宋体" w:cs="宋体"/>
          <w:sz w:val="24"/>
          <w:szCs w:val="24"/>
          <w:u w:val="none"/>
          <w:lang w:val="en-US" w:eastAsia="zh-CN"/>
        </w:rPr>
        <w:t>乙方：</w:t>
      </w:r>
      <w:r>
        <w:rPr>
          <w:rFonts w:hint="eastAsia" w:ascii="宋体" w:hAnsi="宋体" w:cs="宋体"/>
          <w:sz w:val="24"/>
          <w:szCs w:val="24"/>
          <w:u w:val="none"/>
        </w:rPr>
        <w:t>洛阳闹贝房地产经纪有限公司</w:t>
      </w:r>
      <w:r>
        <w:rPr>
          <w:rFonts w:hint="eastAsia" w:ascii="宋体" w:hAnsi="宋体" w:cs="宋体"/>
          <w:sz w:val="24"/>
          <w:szCs w:val="24"/>
          <w:u w:val="none"/>
          <w:lang w:val="en-US" w:eastAsia="zh-CN"/>
        </w:rPr>
        <w:t>宜阳分公司</w:t>
      </w:r>
    </w:p>
    <w:p>
      <w:pPr>
        <w:pStyle w:val="5"/>
      </w:pPr>
    </w:p>
    <w:p>
      <w:pPr>
        <w:spacing w:line="360" w:lineRule="auto"/>
        <w:ind w:firstLine="480" w:firstLineChars="200"/>
        <w:rPr>
          <w:rFonts w:hint="eastAsia" w:ascii="宋体" w:hAnsi="宋体" w:eastAsia="宋体" w:cs="宋体"/>
          <w:sz w:val="24"/>
          <w:szCs w:val="24"/>
          <w:u w:val="none"/>
          <w:lang w:val="en-US" w:eastAsia="zh-Hans"/>
        </w:rPr>
      </w:pPr>
      <w:r>
        <w:rPr>
          <w:rFonts w:hint="eastAsia" w:ascii="宋体" w:hAnsi="宋体" w:eastAsia="宋体" w:cs="宋体"/>
          <w:sz w:val="24"/>
          <w:szCs w:val="24"/>
          <w:u w:val="none"/>
          <w:lang w:val="en-US" w:eastAsia="zh-Hans"/>
        </w:rPr>
        <w:t>鉴于甲乙双方于【</w:t>
      </w:r>
      <w:r>
        <w:rPr>
          <w:rFonts w:hint="eastAsia" w:ascii="宋体" w:hAnsi="宋体" w:cs="宋体"/>
          <w:sz w:val="24"/>
          <w:szCs w:val="24"/>
          <w:u w:val="none"/>
          <w:lang w:val="en-US" w:eastAsia="zh-CN"/>
        </w:rPr>
        <w:t>2021</w:t>
      </w:r>
      <w:r>
        <w:rPr>
          <w:rFonts w:hint="eastAsia" w:ascii="宋体" w:hAnsi="宋体" w:eastAsia="宋体" w:cs="宋体"/>
          <w:sz w:val="24"/>
          <w:szCs w:val="24"/>
          <w:u w:val="none"/>
          <w:lang w:val="en-US" w:eastAsia="zh-Hans"/>
        </w:rPr>
        <w:t>】年【</w:t>
      </w:r>
      <w:r>
        <w:rPr>
          <w:rFonts w:hint="eastAsia" w:ascii="宋体" w:hAnsi="宋体" w:cs="宋体"/>
          <w:sz w:val="24"/>
          <w:szCs w:val="24"/>
          <w:u w:val="none"/>
          <w:lang w:val="en-US" w:eastAsia="zh-CN"/>
        </w:rPr>
        <w:t>10</w:t>
      </w:r>
      <w:r>
        <w:rPr>
          <w:rFonts w:hint="eastAsia" w:ascii="宋体" w:hAnsi="宋体" w:eastAsia="宋体" w:cs="宋体"/>
          <w:sz w:val="24"/>
          <w:szCs w:val="24"/>
          <w:u w:val="none"/>
          <w:lang w:val="en-US" w:eastAsia="zh-Hans"/>
        </w:rPr>
        <w:t>】月【</w:t>
      </w:r>
      <w:r>
        <w:rPr>
          <w:rFonts w:hint="eastAsia" w:ascii="宋体" w:hAnsi="宋体" w:cs="宋体"/>
          <w:sz w:val="24"/>
          <w:szCs w:val="24"/>
          <w:u w:val="none"/>
          <w:lang w:val="en-US" w:eastAsia="zh-CN"/>
        </w:rPr>
        <w:t>18</w:t>
      </w:r>
      <w:r>
        <w:rPr>
          <w:rFonts w:hint="eastAsia" w:ascii="宋体" w:hAnsi="宋体" w:eastAsia="宋体" w:cs="宋体"/>
          <w:sz w:val="24"/>
          <w:szCs w:val="24"/>
          <w:u w:val="none"/>
          <w:lang w:val="en-US" w:eastAsia="zh-Hans"/>
        </w:rPr>
        <w:t>】日就【</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lang w:val="en-US" w:eastAsia="zh-Hans"/>
        </w:rPr>
        <w:t>】项目（以下简称“本项目”）签署了【</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lang w:val="en-US" w:eastAsia="zh-Hans"/>
        </w:rPr>
        <w:t>】（包括主协议及其补充协议或附件等，以下简称“主协议”）。为进一步规范作业，甲乙双方经友好协商，签订本服务承诺。</w:t>
      </w:r>
    </w:p>
    <w:p>
      <w:pPr>
        <w:spacing w:line="360" w:lineRule="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一、乙方服务承诺</w:t>
      </w:r>
    </w:p>
    <w:p>
      <w:pPr>
        <w:spacing w:line="360" w:lineRule="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乙方承诺，在本项目合作期间，乙方及乙方人员不进行下列行为：</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1、在主协议约定范围内拦截、争抢自然到访客户或获取自然到访客户的联系信息。但甲乙双方约定自然到访客户属于乙方客户的，乙方及乙方人员不受本条约束。</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2、与甲方员工或本项目案场销售人员串通，将本项目自然到访客户通过不正当手段更改为乙方客户。但甲乙双方约定自然到访客户属于乙方客户的，乙方及乙方人员不受本条约束。</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3、为获取本项目相关的不正当利益，向甲方行贿或与甲方员工产生非正常利益往来，包括但不限于给予甲方或甲方员工回扣、礼金、有价证券、贵重物品或好处费、感谢费。</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4、以个人名义或甲方名义收取本项目客户支付的费用及款项。</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违反甲方确认或甲方现场公示的本项目信息、销售价格及优惠方式，故意告知客户本项目虚假信息、误导客户。如甲方确认信息与甲方现场公示信息存在差异的，乙方及乙方人员可按其中任一信息告知客户，不视为违反本款承诺。</w:t>
      </w:r>
    </w:p>
    <w:p>
      <w:pPr>
        <w:spacing w:line="360" w:lineRule="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乙方人员包括乙方员工、本项目乙方合作的渠道商及案场代理商。</w:t>
      </w:r>
    </w:p>
    <w:p>
      <w:pPr>
        <w:spacing w:line="360" w:lineRule="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二、通知及确定</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1、甲方认为乙方或乙方人员违反第一条约定的乙方服务承诺时，甲方应书面通知乙方并同时提供乙方或乙方人员违反服务承诺的证明材料。</w:t>
      </w:r>
    </w:p>
    <w:p>
      <w:pPr>
        <w:spacing w:line="360" w:lineRule="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甲方的书面通知内容应当包括：乙方人员的姓名、有效身份信息、职务，违反服务承诺行为的日期、时间、地点、行为内容，证明材料说明。前述书面通知应能够证明所述的违反服务承诺的行为。</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乙方有权于收到甲方书面通知后采取包括但不限于如下的措施进行申诉：向甲方提出异议，要求甲方补充信息及证明材料，向甲方提供乙方证明材料。甲方应当保证乙方的申诉权，并就乙方申诉事项给予合理答复或进一步提供信息及证明材料。</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3、甲乙双方应基于各自提供的信息及证明材料，遵循合理、公平的原则，共同确定乙方是否存在违反服务承诺的行为。</w:t>
      </w:r>
    </w:p>
    <w:p>
      <w:pPr>
        <w:spacing w:line="360" w:lineRule="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三、 违约责任</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甲乙双方共同确定乙方存在违反服务承诺的行为时，甲方有权要求乙方按照【5】万元/次的标准向甲方支付违约金，向客户退还已收取的款项及费用（违反第一条第4款适用）。乙方及乙方人员的同一个行为违反多个服务承诺时，按1次计算。</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2、甲乙双方应书面共同确认乙方违反服务承诺的行为及违约金金额，由乙方另行向甲方支付或由甲方自应当支付至乙方的款项中扣减。</w:t>
      </w:r>
    </w:p>
    <w:p>
      <w:pPr>
        <w:spacing w:line="360" w:lineRule="auto"/>
        <w:ind w:firstLine="480" w:firstLineChars="200"/>
        <w:rPr>
          <w:rFonts w:hint="eastAsia" w:ascii="宋体" w:hAnsi="宋体" w:eastAsia="宋体" w:cs="宋体"/>
          <w:sz w:val="24"/>
          <w:szCs w:val="24"/>
          <w:u w:val="none"/>
          <w:lang w:val="en-US" w:eastAsia="zh-Hans"/>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lang w:val="en-US" w:eastAsia="zh-Hans"/>
        </w:rPr>
        <w:t>如经事后查明，甲方向乙方所主张的事实或提供的证明材料中，存在故意捏造、篡改、虚构等侵犯乙方及乙方人员合法权益的情形，乙方有权要求甲方退还乙方所支付的全部违约金，并要求甲方承担相当于乙方所支付违约金【</w:t>
      </w:r>
      <w:r>
        <w:rPr>
          <w:rFonts w:hint="eastAsia" w:ascii="宋体" w:hAnsi="宋体" w:eastAsia="宋体" w:cs="宋体"/>
          <w:sz w:val="24"/>
          <w:szCs w:val="24"/>
          <w:u w:val="none"/>
          <w:lang w:val="en-US" w:eastAsia="zh-CN"/>
        </w:rPr>
        <w:t>30</w:t>
      </w:r>
      <w:r>
        <w:rPr>
          <w:rFonts w:hint="eastAsia" w:ascii="宋体" w:hAnsi="宋体" w:eastAsia="宋体" w:cs="宋体"/>
          <w:sz w:val="24"/>
          <w:szCs w:val="24"/>
          <w:u w:val="none"/>
          <w:lang w:val="en-US" w:eastAsia="zh-Hans"/>
        </w:rPr>
        <w:t>】</w:t>
      </w:r>
      <w:r>
        <w:rPr>
          <w:rFonts w:hint="eastAsia" w:ascii="宋体" w:hAnsi="宋体" w:eastAsia="宋体" w:cs="宋体"/>
          <w:sz w:val="24"/>
          <w:szCs w:val="24"/>
          <w:u w:val="none"/>
          <w:lang w:val="en-US" w:eastAsia="zh-CN"/>
        </w:rPr>
        <w:t>%</w:t>
      </w:r>
      <w:r>
        <w:rPr>
          <w:rFonts w:hint="eastAsia" w:ascii="宋体" w:hAnsi="宋体" w:eastAsia="宋体" w:cs="宋体"/>
          <w:sz w:val="24"/>
          <w:szCs w:val="24"/>
          <w:u w:val="none"/>
          <w:lang w:val="en-US" w:eastAsia="zh-Hans"/>
        </w:rPr>
        <w:t>的赔偿金。</w:t>
      </w:r>
    </w:p>
    <w:p>
      <w:pPr>
        <w:spacing w:line="360" w:lineRule="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四、全渠道阳光承诺</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Hans"/>
        </w:rPr>
        <w:t>甲方承诺按本服务承诺约定的乙方服务承诺及乙方违约责任同等要求本项目乙方之外的渠道商及案场代理商。</w:t>
      </w:r>
    </w:p>
    <w:p>
      <w:pPr>
        <w:spacing w:line="360" w:lineRule="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五、其他</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1、本服务承诺作为主协议附件，与主协议具有同等法律效力。</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2、本服务承诺与主协议约定不一致的，按本服务承诺约定执行；本服务承诺未约定的，按主协议约定执行。</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3、本服务承诺一式肆份，双方各执贰份，自双方加盖公章或者合同专用章之日起生效。</w:t>
      </w:r>
    </w:p>
    <w:p>
      <w:pPr>
        <w:spacing w:line="360" w:lineRule="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（以下无正文，为《阳光作业服务承诺》签章处）</w:t>
      </w:r>
    </w:p>
    <w:p>
      <w:pPr>
        <w:pStyle w:val="72"/>
        <w:ind w:firstLine="0" w:firstLineChars="0"/>
        <w:rPr>
          <w:rFonts w:hint="default"/>
          <w:b/>
          <w:sz w:val="24"/>
          <w:szCs w:val="24"/>
          <w:lang w:val="en-US" w:eastAsia="zh-CN"/>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default" w:eastAsia="宋体"/>
          <w:b/>
          <w:lang w:val="en-US" w:eastAsia="zh-CN"/>
        </w:rPr>
      </w:pPr>
      <w:r>
        <w:rPr>
          <w:rFonts w:hint="eastAsia"/>
          <w:b/>
          <w:sz w:val="24"/>
          <w:szCs w:val="24"/>
        </w:rPr>
        <w:t>附件</w:t>
      </w:r>
      <w:r>
        <w:rPr>
          <w:rFonts w:hint="eastAsia"/>
          <w:b/>
          <w:sz w:val="24"/>
          <w:szCs w:val="24"/>
          <w:lang w:val="en-US" w:eastAsia="zh-CN"/>
        </w:rPr>
        <w:t>五</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rPr>
          <w:rFonts w:ascii="宋体" w:hAnsi="宋体" w:cs="宋体"/>
          <w:sz w:val="24"/>
          <w:szCs w:val="24"/>
          <w:u w:val="single"/>
        </w:rPr>
      </w:pPr>
      <w:r>
        <w:rPr>
          <w:rFonts w:hint="eastAsia" w:ascii="宋体" w:hAnsi="宋体" w:cs="宋体"/>
          <w:sz w:val="24"/>
        </w:rPr>
        <w:t>甲方：</w:t>
      </w:r>
      <w:r>
        <w:rPr>
          <w:rFonts w:hint="eastAsia" w:ascii="宋体" w:hAnsi="宋体" w:cs="宋体"/>
          <w:sz w:val="24"/>
          <w:szCs w:val="24"/>
          <w:u w:val="single"/>
        </w:rPr>
        <w:t>洛阳</w:t>
      </w:r>
      <w:r>
        <w:rPr>
          <w:rFonts w:hint="eastAsia" w:ascii="宋体" w:hAnsi="宋体" w:cs="宋体"/>
          <w:sz w:val="24"/>
          <w:szCs w:val="24"/>
          <w:u w:val="single"/>
          <w:lang w:val="en-US" w:eastAsia="zh-CN"/>
        </w:rPr>
        <w:t>莘子园置业</w:t>
      </w:r>
      <w:r>
        <w:rPr>
          <w:rFonts w:hint="eastAsia" w:ascii="宋体" w:hAnsi="宋体" w:cs="宋体"/>
          <w:sz w:val="24"/>
          <w:szCs w:val="24"/>
          <w:u w:val="single"/>
        </w:rPr>
        <w:t>有限公司</w:t>
      </w:r>
    </w:p>
    <w:p>
      <w:pPr>
        <w:spacing w:line="360" w:lineRule="auto"/>
        <w:rPr>
          <w:rFonts w:hint="eastAsia" w:ascii="宋体" w:hAnsi="宋体" w:eastAsia="宋体" w:cs="宋体"/>
          <w:sz w:val="24"/>
          <w:szCs w:val="24"/>
          <w:u w:val="single"/>
        </w:rPr>
      </w:pPr>
      <w:r>
        <w:rPr>
          <w:rFonts w:hint="eastAsia" w:ascii="宋体" w:hAnsi="宋体" w:cs="宋体"/>
          <w:sz w:val="24"/>
          <w:szCs w:val="24"/>
        </w:rPr>
        <w:t>乙方：</w:t>
      </w:r>
      <w:r>
        <w:rPr>
          <w:rFonts w:hint="eastAsia" w:ascii="宋体" w:hAnsi="宋体" w:cs="宋体"/>
          <w:sz w:val="24"/>
          <w:szCs w:val="24"/>
          <w:u w:val="single"/>
        </w:rPr>
        <w:t>洛阳闹贝房地产经纪有限公司</w:t>
      </w:r>
      <w:r>
        <w:rPr>
          <w:rFonts w:hint="eastAsia" w:ascii="宋体" w:hAnsi="宋体" w:cs="宋体"/>
          <w:sz w:val="24"/>
          <w:szCs w:val="24"/>
          <w:u w:val="single"/>
          <w:lang w:val="en-US" w:eastAsia="zh-CN"/>
        </w:rPr>
        <w:t>宜阳分公司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三、为维护甲乙双方的合法利益，营造良好的商务环境，甲方建立多种举报渠道（如下）。甲方风控人员将恪守职业道德，严格履行保密义务！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（1）微信小程序举报（扫面右侧二维码进入程序，举报信息直达董事长）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3766185</wp:posOffset>
            </wp:positionH>
            <wp:positionV relativeFrom="paragraph">
              <wp:posOffset>247650</wp:posOffset>
            </wp:positionV>
            <wp:extent cx="1038225" cy="1038225"/>
            <wp:effectExtent l="0" t="0" r="9525" b="9525"/>
            <wp:wrapNone/>
            <wp:docPr id="6"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32dc313b898daf07a491037a11ba2c8"/>
                    <pic:cNvPicPr>
                      <a:picLocks noChangeAspect="1"/>
                    </pic:cNvPicPr>
                  </pic:nvPicPr>
                  <pic:blipFill>
                    <a:blip r:embed="rId11"/>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4"/>
        </w:rPr>
        <w:t>（3）电话：集团首席风控官：13903793259；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（4）电话：集团审计总监：18137710188；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（5）电话：地产风控总监：18638357973；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（6）电话：地产风控经理：15670305910；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（7）直接和风控人员约定场所当面举报。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eastAsia="宋体" w:cs="宋体"/>
          <w:sz w:val="24"/>
          <w:szCs w:val="24"/>
        </w:rPr>
        <w:t>11.其它违反法律或者招标人公司相关制度的行为</w:t>
      </w:r>
      <w:r>
        <w:rPr>
          <w:rFonts w:hint="eastAsia" w:ascii="宋体" w:hAnsi="宋体" w:cs="宋体"/>
          <w:sz w:val="24"/>
          <w:szCs w:val="28"/>
        </w:rPr>
        <w:t>。</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szCs w:val="24"/>
        </w:rPr>
      </w:pPr>
    </w:p>
    <w:p>
      <w:pPr>
        <w:spacing w:line="360" w:lineRule="auto"/>
        <w:rPr>
          <w:rFonts w:ascii="宋体" w:hAnsi="宋体" w:cs="宋体"/>
          <w:sz w:val="24"/>
          <w:u w:val="none"/>
        </w:rPr>
      </w:pPr>
      <w:r>
        <w:rPr>
          <w:rFonts w:hint="eastAsia" w:ascii="宋体" w:hAnsi="宋体" w:cs="宋体"/>
          <w:sz w:val="24"/>
          <w:szCs w:val="32"/>
        </w:rPr>
        <w:t>甲方：</w:t>
      </w:r>
      <w:r>
        <w:rPr>
          <w:rFonts w:hint="eastAsia" w:ascii="宋体" w:hAnsi="宋体" w:cs="宋体"/>
          <w:sz w:val="24"/>
          <w:szCs w:val="24"/>
        </w:rPr>
        <w:t>洛阳</w:t>
      </w:r>
      <w:r>
        <w:rPr>
          <w:rFonts w:hint="eastAsia" w:ascii="宋体" w:hAnsi="宋体" w:cs="宋体"/>
          <w:sz w:val="24"/>
          <w:szCs w:val="24"/>
          <w:lang w:val="en-US" w:eastAsia="zh-CN"/>
        </w:rPr>
        <w:t>莘子园置业</w:t>
      </w:r>
      <w:r>
        <w:rPr>
          <w:rFonts w:hint="eastAsia" w:ascii="宋体" w:hAnsi="宋体" w:cs="宋体"/>
          <w:sz w:val="24"/>
          <w:szCs w:val="24"/>
        </w:rPr>
        <w:t>有限公司</w:t>
      </w:r>
      <w:r>
        <w:rPr>
          <w:rFonts w:hint="eastAsia" w:ascii="宋体" w:hAnsi="宋体" w:eastAsia="宋体" w:cs="宋体"/>
          <w:sz w:val="24"/>
        </w:rPr>
        <w:t xml:space="preserve"> </w:t>
      </w:r>
      <w:r>
        <w:rPr>
          <w:rFonts w:hint="eastAsia" w:ascii="宋体" w:hAnsi="宋体" w:cs="宋体"/>
          <w:sz w:val="24"/>
          <w:szCs w:val="32"/>
        </w:rPr>
        <w:t xml:space="preserve">    </w:t>
      </w:r>
      <w:r>
        <w:rPr>
          <w:rFonts w:hint="eastAsia" w:ascii="宋体" w:hAnsi="宋体" w:cs="宋体"/>
          <w:sz w:val="24"/>
          <w:szCs w:val="32"/>
          <w:lang w:val="en-US" w:eastAsia="zh-CN"/>
        </w:rPr>
        <w:t xml:space="preserve">   </w:t>
      </w:r>
      <w:r>
        <w:rPr>
          <w:rFonts w:hint="eastAsia" w:ascii="宋体" w:hAnsi="宋体" w:cs="宋体"/>
          <w:sz w:val="24"/>
          <w:szCs w:val="32"/>
        </w:rPr>
        <w:t xml:space="preserve"> 乙方：</w:t>
      </w:r>
      <w:r>
        <w:rPr>
          <w:rFonts w:hint="eastAsia" w:ascii="宋体" w:hAnsi="宋体" w:cs="宋体"/>
          <w:sz w:val="24"/>
          <w:szCs w:val="24"/>
        </w:rPr>
        <w:t>洛阳闹贝房地产经纪有限公司</w:t>
      </w:r>
      <w:r>
        <w:rPr>
          <w:rFonts w:hint="eastAsia" w:ascii="宋体" w:hAnsi="宋体" w:cs="宋体"/>
          <w:sz w:val="24"/>
          <w:szCs w:val="24"/>
          <w:lang w:val="en-US" w:eastAsia="zh-CN"/>
        </w:rPr>
        <w:t>宜阳分公司</w:t>
      </w:r>
      <w:r>
        <w:rPr>
          <w:rFonts w:hint="eastAsia" w:ascii="宋体" w:hAnsi="宋体" w:eastAsia="宋体" w:cs="宋体"/>
          <w:sz w:val="24"/>
          <w:szCs w:val="24"/>
          <w:u w:val="none"/>
        </w:rPr>
        <w:t xml:space="preserve"> </w:t>
      </w:r>
    </w:p>
    <w:p>
      <w:pPr>
        <w:rPr>
          <w:rFonts w:hint="eastAsia" w:ascii="宋体" w:hAnsi="宋体" w:cs="宋体"/>
          <w:sz w:val="24"/>
          <w:szCs w:val="32"/>
          <w:highlight w:val="none"/>
        </w:rPr>
      </w:pPr>
      <w:r>
        <w:rPr>
          <w:rFonts w:hint="eastAsia" w:ascii="宋体" w:hAnsi="宋体" w:cs="宋体"/>
          <w:sz w:val="24"/>
          <w:szCs w:val="32"/>
        </w:rPr>
        <w:t>签署日期：2021年</w:t>
      </w:r>
      <w:r>
        <w:rPr>
          <w:rFonts w:hint="eastAsia" w:ascii="宋体" w:hAnsi="宋体" w:cs="宋体"/>
          <w:sz w:val="24"/>
          <w:szCs w:val="32"/>
          <w:lang w:val="en-US" w:eastAsia="zh-CN"/>
        </w:rPr>
        <w:t>10</w:t>
      </w:r>
      <w:r>
        <w:rPr>
          <w:rFonts w:hint="eastAsia" w:ascii="宋体" w:hAnsi="宋体" w:cs="宋体"/>
          <w:sz w:val="24"/>
          <w:szCs w:val="32"/>
        </w:rPr>
        <w:t>月</w:t>
      </w:r>
      <w:r>
        <w:rPr>
          <w:rFonts w:hint="eastAsia" w:ascii="宋体" w:hAnsi="宋体" w:cs="宋体"/>
          <w:sz w:val="24"/>
          <w:szCs w:val="32"/>
          <w:lang w:val="en-US" w:eastAsia="zh-CN"/>
        </w:rPr>
        <w:t>18</w:t>
      </w:r>
      <w:r>
        <w:rPr>
          <w:rFonts w:hint="eastAsia" w:ascii="宋体" w:hAnsi="宋体" w:cs="宋体"/>
          <w:sz w:val="24"/>
          <w:szCs w:val="32"/>
          <w:highlight w:val="none"/>
        </w:rPr>
        <w:t xml:space="preserve">日 </w:t>
      </w:r>
      <w:r>
        <w:rPr>
          <w:rFonts w:hint="eastAsia" w:ascii="宋体" w:hAnsi="宋体" w:cs="宋体"/>
          <w:sz w:val="24"/>
          <w:szCs w:val="32"/>
        </w:rPr>
        <w:t xml:space="preserve">          签署日期：2021年</w:t>
      </w:r>
      <w:r>
        <w:rPr>
          <w:rFonts w:hint="eastAsia" w:ascii="宋体" w:hAnsi="宋体" w:cs="宋体"/>
          <w:sz w:val="24"/>
          <w:szCs w:val="32"/>
          <w:lang w:val="en-US" w:eastAsia="zh-CN"/>
        </w:rPr>
        <w:t>10</w:t>
      </w:r>
      <w:r>
        <w:rPr>
          <w:rFonts w:hint="eastAsia" w:ascii="宋体" w:hAnsi="宋体" w:cs="宋体"/>
          <w:sz w:val="24"/>
          <w:szCs w:val="32"/>
        </w:rPr>
        <w:t>月</w:t>
      </w:r>
      <w:r>
        <w:rPr>
          <w:rFonts w:hint="eastAsia" w:ascii="宋体" w:hAnsi="宋体" w:cs="宋体"/>
          <w:sz w:val="24"/>
          <w:szCs w:val="32"/>
          <w:lang w:val="en-US" w:eastAsia="zh-CN"/>
        </w:rPr>
        <w:t>18</w:t>
      </w:r>
      <w:r>
        <w:rPr>
          <w:rFonts w:hint="eastAsia" w:ascii="宋体" w:hAnsi="宋体" w:cs="宋体"/>
          <w:sz w:val="24"/>
          <w:szCs w:val="32"/>
          <w:highlight w:val="none"/>
        </w:rPr>
        <w:t>日</w:t>
      </w:r>
    </w:p>
    <w:p>
      <w:pPr>
        <w:pStyle w:val="5"/>
        <w:rPr>
          <w:rFonts w:hint="eastAsia" w:ascii="宋体" w:hAnsi="宋体" w:cs="宋体"/>
          <w:sz w:val="24"/>
          <w:szCs w:val="32"/>
          <w:highlight w:val="none"/>
        </w:rPr>
      </w:pPr>
    </w:p>
    <w:p>
      <w:pPr>
        <w:pStyle w:val="2"/>
        <w:rPr>
          <w:rFonts w:hint="eastAsia" w:ascii="宋体" w:hAnsi="宋体" w:cs="宋体"/>
          <w:sz w:val="24"/>
          <w:szCs w:val="32"/>
          <w:highlight w:val="none"/>
        </w:rPr>
      </w:pPr>
    </w:p>
    <w:p>
      <w:pPr>
        <w:pStyle w:val="4"/>
        <w:jc w:val="both"/>
        <w:rPr>
          <w:rFonts w:hint="eastAsia" w:ascii="宋体" w:hAnsi="宋体" w:cs="宋体"/>
          <w:bCs/>
          <w:kern w:val="44"/>
          <w:sz w:val="24"/>
          <w:szCs w:val="24"/>
          <w:lang w:val="en-US" w:eastAsia="zh-CN"/>
        </w:rPr>
      </w:pPr>
      <w:r>
        <w:rPr>
          <w:rFonts w:hint="eastAsia" w:ascii="宋体" w:hAnsi="宋体" w:cs="宋体"/>
          <w:bCs/>
          <w:kern w:val="44"/>
          <w:sz w:val="24"/>
          <w:szCs w:val="24"/>
          <w:lang w:val="en-US" w:eastAsia="zh-CN"/>
        </w:rPr>
        <w:t>附件六：关于“三天无理由退房”补充协议</w:t>
      </w:r>
    </w:p>
    <w:p>
      <w:pPr>
        <w:jc w:val="center"/>
        <w:rPr>
          <w:rFonts w:hint="eastAsia" w:ascii="仿宋" w:hAnsi="仿宋" w:eastAsia="仿宋" w:cs="仿宋"/>
          <w:b/>
          <w:bCs/>
          <w:sz w:val="30"/>
          <w:szCs w:val="30"/>
        </w:rPr>
      </w:pPr>
      <w:r>
        <w:rPr>
          <w:rFonts w:hint="eastAsia" w:ascii="仿宋" w:hAnsi="仿宋" w:eastAsia="仿宋" w:cs="仿宋"/>
          <w:b/>
          <w:bCs/>
          <w:sz w:val="30"/>
          <w:szCs w:val="30"/>
        </w:rPr>
        <w:t>关于“三天无理由退房”补充协议</w:t>
      </w:r>
    </w:p>
    <w:p>
      <w:pPr>
        <w:tabs>
          <w:tab w:val="center" w:pos="4153"/>
        </w:tabs>
        <w:spacing w:line="360" w:lineRule="auto"/>
        <w:ind w:firstLine="480" w:firstLineChars="200"/>
        <w:jc w:val="left"/>
        <w:rPr>
          <w:rFonts w:hint="eastAsia" w:ascii="仿宋" w:hAnsi="仿宋" w:eastAsia="仿宋" w:cs="仿宋"/>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宋体" w:hAnsi="宋体" w:cs="宋体"/>
          <w:sz w:val="24"/>
          <w:szCs w:val="24"/>
        </w:rPr>
        <w:t>洛阳</w:t>
      </w:r>
      <w:r>
        <w:rPr>
          <w:rFonts w:hint="eastAsia" w:ascii="宋体" w:hAnsi="宋体" w:cs="宋体"/>
          <w:sz w:val="24"/>
          <w:szCs w:val="24"/>
          <w:lang w:val="en-US" w:eastAsia="zh-CN"/>
        </w:rPr>
        <w:t>莘子园置业</w:t>
      </w:r>
      <w:r>
        <w:rPr>
          <w:rFonts w:hint="eastAsia" w:ascii="宋体" w:hAnsi="宋体" w:cs="宋体"/>
          <w:sz w:val="24"/>
          <w:szCs w:val="24"/>
        </w:rPr>
        <w:t>有限公司</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宋体" w:hAnsi="宋体" w:cs="宋体"/>
          <w:sz w:val="24"/>
          <w:szCs w:val="24"/>
        </w:rPr>
        <w:t>洛阳闹贝房地产经纪有限公司</w:t>
      </w:r>
      <w:r>
        <w:rPr>
          <w:rFonts w:hint="eastAsia" w:ascii="宋体" w:hAnsi="宋体" w:cs="宋体"/>
          <w:sz w:val="24"/>
          <w:szCs w:val="24"/>
          <w:lang w:val="en-US" w:eastAsia="zh-CN"/>
        </w:rPr>
        <w:t>宜阳分公</w:t>
      </w:r>
      <w:r>
        <w:rPr>
          <w:rFonts w:hint="eastAsia" w:asciiTheme="minorEastAsia" w:hAnsiTheme="minorEastAsia" w:eastAsiaTheme="minorEastAsia" w:cstheme="minorEastAsia"/>
          <w:sz w:val="24"/>
          <w:szCs w:val="24"/>
          <w:lang w:val="en-US" w:eastAsia="zh-CN"/>
        </w:rPr>
        <w:t>司</w:t>
      </w:r>
    </w:p>
    <w:p>
      <w:pPr>
        <w:spacing w:line="360" w:lineRule="auto"/>
        <w:ind w:firstLine="480"/>
        <w:jc w:val="left"/>
        <w:rPr>
          <w:rFonts w:hint="eastAsia" w:asciiTheme="minorEastAsia" w:hAnsiTheme="minorEastAsia" w:eastAsiaTheme="minorEastAsia" w:cstheme="minorEastAsia"/>
          <w:sz w:val="24"/>
          <w:szCs w:val="24"/>
        </w:rPr>
      </w:pPr>
    </w:p>
    <w:p>
      <w:pPr>
        <w:spacing w:line="360" w:lineRule="auto"/>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甲乙双方经友好协商，就双方于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日就</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sz w:val="24"/>
          <w:szCs w:val="24"/>
        </w:rPr>
        <w:t>项目签订的</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none"/>
        </w:rPr>
        <w:t>（</w:t>
      </w:r>
      <w:r>
        <w:rPr>
          <w:rFonts w:hint="eastAsia" w:asciiTheme="minorEastAsia" w:hAnsiTheme="minorEastAsia" w:eastAsiaTheme="minorEastAsia" w:cstheme="minorEastAsia"/>
          <w:sz w:val="24"/>
          <w:szCs w:val="24"/>
        </w:rPr>
        <w:t>以下简称“原合同”）,达成补充协议如下：</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一、自</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日，乙方带看及认购的客户自与甲方签署的认购协议生效之日起三日内，可享受“三天无理由退房”的政策，“三天无理由退房”政策的具体内容如下：</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1、凡客户在认购协议生效后次日零点起至第三日17:00点前（例如：客户与甲方签署的认购协议于2020年1月1日生效，则客户应在2020年1月2日00:00至1月4日17:00期间向甲方提交退房申请）向甲方提交退房申请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完成退房流程</w:t>
      </w:r>
      <w:r>
        <w:rPr>
          <w:rFonts w:hint="eastAsia" w:asciiTheme="minorEastAsia" w:hAnsiTheme="minorEastAsia" w:eastAsiaTheme="minorEastAsia" w:cstheme="minorEastAsia"/>
          <w:sz w:val="24"/>
          <w:szCs w:val="24"/>
          <w:lang w:eastAsia="zh-CN"/>
        </w:rPr>
        <w:t>后</w:t>
      </w:r>
      <w:r>
        <w:rPr>
          <w:rFonts w:hint="eastAsia" w:asciiTheme="minorEastAsia" w:hAnsiTheme="minorEastAsia" w:eastAsiaTheme="minorEastAsia" w:cstheme="minorEastAsia"/>
          <w:sz w:val="24"/>
          <w:szCs w:val="24"/>
        </w:rPr>
        <w:t>，甲方同意该客户可无理由退房，过期则不可适用该政策。退房流程如下：</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（1）购房客户本人至甲方项目现场提出退房申请，甲乙双方工作人员协助购房客户完成退房申请。</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（2）申请退房时，购房客户需按甲方要求提交退房资料并签订退房申请书，甲方应于收到该申请书并提供书面回执作为收件凭证并于该回执上载明客户退房申请成功。甲方指定以下两人</w:t>
      </w:r>
      <w:r>
        <w:rPr>
          <w:rFonts w:hint="eastAsia" w:asciiTheme="minorEastAsia" w:hAnsiTheme="minorEastAsia" w:eastAsiaTheme="minorEastAsia" w:cstheme="minorEastAsia"/>
          <w:sz w:val="24"/>
          <w:szCs w:val="24"/>
          <w:lang w:val="en-US" w:eastAsia="zh-CN"/>
        </w:rPr>
        <w:t>任一人</w:t>
      </w:r>
      <w:r>
        <w:rPr>
          <w:rFonts w:hint="eastAsia" w:asciiTheme="minorEastAsia" w:hAnsiTheme="minorEastAsia" w:eastAsiaTheme="minorEastAsia" w:cstheme="minorEastAsia"/>
          <w:sz w:val="24"/>
          <w:szCs w:val="24"/>
        </w:rPr>
        <w:t xml:space="preserve">签发即为有效。   </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签名样本：</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姓名：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签名样本：</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2、甲方承诺于客户申请退房之日起30个工作日内，将客户已经支付给甲方的所有与认购和/或购买该商品房相关的款项全额无息退还至认购客户本人银行账户。客户逾期提交退房申请导致退房不成功的除外。</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二、若甲方违反本协议任何约定的，均视为甲方违约，甲方需支付乙方</w:t>
      </w:r>
      <w:r>
        <w:rPr>
          <w:rFonts w:hint="eastAsia" w:asciiTheme="minorEastAsia" w:hAnsiTheme="minorEastAsia" w:eastAsiaTheme="minorEastAsia" w:cstheme="minorEastAsia"/>
          <w:sz w:val="24"/>
          <w:szCs w:val="24"/>
          <w:u w:val="single"/>
        </w:rPr>
        <w:t>贰</w:t>
      </w:r>
      <w:r>
        <w:rPr>
          <w:rFonts w:hint="eastAsia" w:asciiTheme="minorEastAsia" w:hAnsiTheme="minorEastAsia" w:eastAsiaTheme="minorEastAsia" w:cstheme="minorEastAsia"/>
          <w:sz w:val="24"/>
          <w:szCs w:val="24"/>
        </w:rPr>
        <w:t>万元的违约金，违约金不足以赔偿乙方损失的，甲方应负责赔偿差额。</w:t>
      </w:r>
    </w:p>
    <w:p>
      <w:pPr>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三、甲方与客户签署的认购协议生效后，甲方未按照本协议约定的“三天无理由退房”的政策要求为乙方办理退房或逾期全额无息退还所有与认购和/或购买该商品房相关的款项的，乙方有权根据客户提交的退房材料判断甲方是否承担退房、及时退款义务，如乙方判定甲方应承担退房、及时退款义务的，则甲方除应按照本协议第二条的约定承担违约责任外，乙方还有权将甲方应退还给客户的款项先行退款给客户，再向甲方进行追偿，甲方应在乙方退款之日起【7】日内向乙方支付该款项，每逾期一日，甲方应按照未支付金额的千分之一向乙方支付违约金，直至所有款项支付完毕为止。</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、本补充协议自双方盖章之日起生效，一式肆份，甲乙双方各执贰份。本补充协议与原合同约定有冲突的，以本补充协议为准；本补充协议未尽事宜，参照原合同约定执行。</w:t>
      </w:r>
    </w:p>
    <w:p>
      <w:pPr>
        <w:spacing w:line="360" w:lineRule="auto"/>
        <w:ind w:firstLine="480" w:firstLineChars="200"/>
        <w:jc w:val="left"/>
        <w:rPr>
          <w:rFonts w:hint="eastAsia" w:asciiTheme="minorEastAsia" w:hAnsiTheme="minorEastAsia" w:eastAsiaTheme="minorEastAsia" w:cstheme="minorEastAsia"/>
          <w:sz w:val="24"/>
          <w:szCs w:val="24"/>
        </w:rPr>
      </w:pPr>
    </w:p>
    <w:p>
      <w:pPr>
        <w:spacing w:line="360" w:lineRule="auto"/>
        <w:ind w:firstLine="480" w:firstLineChars="200"/>
        <w:jc w:val="left"/>
        <w:rPr>
          <w:rFonts w:hint="eastAsia" w:asciiTheme="minorEastAsia" w:hAnsiTheme="minorEastAsia" w:eastAsiaTheme="minorEastAsia" w:cstheme="minorEastAsia"/>
          <w:sz w:val="24"/>
          <w:szCs w:val="24"/>
        </w:rPr>
      </w:pP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乙方（盖章）：</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签署日期：                            签署日期：</w:t>
      </w:r>
    </w:p>
    <w:p>
      <w:pPr>
        <w:pStyle w:val="5"/>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附件七：</w:t>
      </w:r>
    </w:p>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电子带看单补充协议</w:t>
      </w:r>
    </w:p>
    <w:p>
      <w:pPr>
        <w:wordWrap w:val="0"/>
        <w:spacing w:line="360" w:lineRule="auto"/>
        <w:ind w:right="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360" w:lineRule="auto"/>
        <w:ind w:right="630"/>
        <w:jc w:val="left"/>
        <w:rPr>
          <w:rFonts w:hint="eastAsia" w:asciiTheme="minorEastAsia" w:hAnsiTheme="minorEastAsia" w:eastAsiaTheme="minorEastAsia" w:cstheme="minorEastAsia"/>
          <w:b/>
          <w:bCs/>
          <w:sz w:val="24"/>
          <w:szCs w:val="24"/>
          <w:u w:val="single"/>
          <w:lang w:val="en-US" w:eastAsia="zh-CN"/>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b/>
          <w:bCs/>
          <w:sz w:val="24"/>
          <w:szCs w:val="24"/>
          <w:u w:val="single"/>
          <w:lang w:val="en-US" w:eastAsia="zh-CN"/>
        </w:rPr>
        <w:t>洛</w:t>
      </w:r>
      <w:r>
        <w:rPr>
          <w:rFonts w:hint="eastAsia" w:asciiTheme="minorEastAsia" w:hAnsiTheme="minorEastAsia" w:eastAsiaTheme="minorEastAsia" w:cstheme="minorEastAsia"/>
          <w:b/>
          <w:bCs/>
          <w:sz w:val="24"/>
          <w:szCs w:val="24"/>
          <w:u w:val="single"/>
          <w:lang w:eastAsia="zh-CN"/>
        </w:rPr>
        <w:t>阳</w:t>
      </w:r>
      <w:r>
        <w:rPr>
          <w:rFonts w:hint="eastAsia" w:asciiTheme="minorEastAsia" w:hAnsiTheme="minorEastAsia" w:eastAsiaTheme="minorEastAsia" w:cstheme="minorEastAsia"/>
          <w:b/>
          <w:bCs/>
          <w:sz w:val="24"/>
          <w:szCs w:val="24"/>
          <w:u w:val="single"/>
          <w:lang w:val="en-US" w:eastAsia="zh-CN"/>
        </w:rPr>
        <w:t>莘子园置业</w:t>
      </w:r>
      <w:r>
        <w:rPr>
          <w:rFonts w:hint="eastAsia" w:asciiTheme="minorEastAsia" w:hAnsiTheme="minorEastAsia" w:eastAsiaTheme="minorEastAsia" w:cstheme="minorEastAsia"/>
          <w:b/>
          <w:bCs/>
          <w:sz w:val="24"/>
          <w:szCs w:val="24"/>
          <w:u w:val="single"/>
          <w:lang w:eastAsia="zh-CN"/>
        </w:rPr>
        <w:t>有限公司</w:t>
      </w:r>
    </w:p>
    <w:p>
      <w:pPr>
        <w:spacing w:line="360" w:lineRule="auto"/>
        <w:ind w:right="630"/>
        <w:jc w:val="left"/>
        <w:rPr>
          <w:rFonts w:hint="eastAsia" w:asciiTheme="minorEastAsia" w:hAnsiTheme="minorEastAsia" w:eastAsiaTheme="minorEastAsia" w:cstheme="minorEastAsia"/>
          <w:b/>
          <w:bCs/>
          <w:sz w:val="24"/>
          <w:szCs w:val="24"/>
          <w:u w:val="single"/>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b/>
          <w:bCs/>
          <w:sz w:val="24"/>
          <w:szCs w:val="24"/>
          <w:u w:val="single"/>
          <w:lang w:val="en-US" w:eastAsia="zh-CN"/>
        </w:rPr>
        <w:t>洛阳闹贝房地产经纪有限公司宜阳分公司</w:t>
      </w:r>
    </w:p>
    <w:p>
      <w:pPr>
        <w:spacing w:line="360" w:lineRule="auto"/>
        <w:ind w:right="630"/>
        <w:jc w:val="left"/>
        <w:rPr>
          <w:rFonts w:hint="eastAsia" w:asciiTheme="minorEastAsia" w:hAnsiTheme="minorEastAsia" w:eastAsiaTheme="minorEastAsia" w:cstheme="minorEastAsia"/>
          <w:sz w:val="24"/>
          <w:szCs w:val="24"/>
        </w:rPr>
      </w:pPr>
    </w:p>
    <w:p>
      <w:pPr>
        <w:spacing w:line="360" w:lineRule="auto"/>
        <w:ind w:right="63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甲乙双方于【</w:t>
      </w:r>
      <w:r>
        <w:rPr>
          <w:rFonts w:hint="eastAsia" w:asciiTheme="minorEastAsia" w:hAnsiTheme="minorEastAsia" w:eastAsiaTheme="minorEastAsia" w:cstheme="minorEastAsia"/>
          <w:sz w:val="24"/>
          <w:szCs w:val="24"/>
          <w:highlight w:val="none"/>
          <w:lang w:val="en-US" w:eastAsia="zh-CN"/>
        </w:rPr>
        <w:t>2021</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日】签署了《</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》（以下称为“主协议”），约定【乙方为甲方【</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】项目提供【</w:t>
      </w:r>
      <w:r>
        <w:rPr>
          <w:rFonts w:hint="eastAsia" w:asciiTheme="minorEastAsia" w:hAnsiTheme="minorEastAsia" w:eastAsiaTheme="minorEastAsia" w:cstheme="minorEastAsia"/>
          <w:sz w:val="24"/>
          <w:szCs w:val="24"/>
          <w:highlight w:val="none"/>
          <w:lang w:val="en-US" w:eastAsia="zh-CN"/>
        </w:rPr>
        <w:t>渠道</w:t>
      </w:r>
      <w:r>
        <w:rPr>
          <w:rFonts w:hint="eastAsia" w:asciiTheme="minorEastAsia" w:hAnsiTheme="minorEastAsia" w:eastAsiaTheme="minorEastAsia" w:cstheme="minorEastAsia"/>
          <w:sz w:val="24"/>
          <w:szCs w:val="24"/>
          <w:highlight w:val="none"/>
        </w:rPr>
        <w:t>】服务】。现双方就【</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】项目（以下称为“本项目”）客户确认事宜签署本补充协议，以兹共同遵守。</w:t>
      </w:r>
    </w:p>
    <w:p>
      <w:pPr>
        <w:pStyle w:val="74"/>
        <w:numPr>
          <w:ilvl w:val="0"/>
          <w:numId w:val="2"/>
        </w:numPr>
        <w:spacing w:line="360" w:lineRule="auto"/>
        <w:ind w:right="630" w:firstLineChars="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电子带看单</w:t>
      </w:r>
    </w:p>
    <w:p>
      <w:pPr>
        <w:spacing w:line="360" w:lineRule="auto"/>
        <w:ind w:left="420" w:right="63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甲乙双方确认，通过线上方式签署本项目带看单（以下简称“带看单”），确认乙方客户。</w:t>
      </w:r>
    </w:p>
    <w:p>
      <w:pPr>
        <w:pStyle w:val="74"/>
        <w:numPr>
          <w:ilvl w:val="0"/>
          <w:numId w:val="2"/>
        </w:numPr>
        <w:spacing w:line="360" w:lineRule="auto"/>
        <w:ind w:right="630" w:firstLineChars="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带看单信息及确认</w:t>
      </w:r>
      <w:r>
        <w:rPr>
          <w:rFonts w:hint="eastAsia" w:asciiTheme="minorEastAsia" w:hAnsiTheme="minorEastAsia" w:eastAsiaTheme="minorEastAsia" w:cstheme="minorEastAsia"/>
          <w:b/>
          <w:sz w:val="24"/>
          <w:szCs w:val="24"/>
          <w:lang w:val="en-GB"/>
        </w:rPr>
        <w:t>人员</w:t>
      </w:r>
    </w:p>
    <w:p>
      <w:pPr>
        <w:pStyle w:val="74"/>
        <w:numPr>
          <w:ilvl w:val="0"/>
          <w:numId w:val="3"/>
        </w:numPr>
        <w:spacing w:line="360" w:lineRule="auto"/>
        <w:ind w:right="63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甲乙双方确认，本项目带看单的带看信息为：</w:t>
      </w:r>
      <w:r>
        <w:rPr>
          <w:rFonts w:hint="eastAsia" w:asciiTheme="minorEastAsia" w:hAnsiTheme="minorEastAsia" w:eastAsiaTheme="minorEastAsia" w:cstheme="minorEastAsia"/>
          <w:sz w:val="24"/>
          <w:szCs w:val="24"/>
          <w:highlight w:val="none"/>
          <w:lang w:val="en-US" w:eastAsia="zh-Hans"/>
        </w:rPr>
        <w:t>项目名称</w:t>
      </w:r>
      <w:r>
        <w:rPr>
          <w:rFonts w:hint="eastAsia" w:asciiTheme="minorEastAsia" w:hAnsiTheme="minorEastAsia" w:eastAsiaTheme="minorEastAsia" w:cstheme="minorEastAsia"/>
          <w:sz w:val="24"/>
          <w:szCs w:val="24"/>
          <w:highlight w:val="none"/>
        </w:rPr>
        <w:t>（即：【</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】）、客户姓名、</w:t>
      </w:r>
      <w:r>
        <w:rPr>
          <w:rFonts w:hint="eastAsia" w:asciiTheme="minorEastAsia" w:hAnsiTheme="minorEastAsia" w:eastAsiaTheme="minorEastAsia" w:cstheme="minorEastAsia"/>
          <w:kern w:val="0"/>
          <w:sz w:val="24"/>
          <w:szCs w:val="24"/>
          <w:highlight w:val="none"/>
        </w:rPr>
        <w:t>客户手机号、</w:t>
      </w:r>
      <w:r>
        <w:rPr>
          <w:rFonts w:hint="eastAsia" w:asciiTheme="minorEastAsia" w:hAnsiTheme="minorEastAsia" w:eastAsiaTheme="minorEastAsia" w:cstheme="minorEastAsia"/>
          <w:kern w:val="0"/>
          <w:sz w:val="24"/>
          <w:szCs w:val="24"/>
          <w:highlight w:val="none"/>
          <w:lang w:val="en-US" w:eastAsia="zh-Hans"/>
        </w:rPr>
        <w:t>报备时间</w:t>
      </w:r>
      <w:r>
        <w:rPr>
          <w:rFonts w:hint="eastAsia" w:asciiTheme="minorEastAsia" w:hAnsiTheme="minorEastAsia" w:eastAsiaTheme="minorEastAsia" w:cstheme="minorEastAsia"/>
          <w:kern w:val="0"/>
          <w:sz w:val="24"/>
          <w:szCs w:val="24"/>
          <w:highlight w:val="none"/>
          <w:lang w:eastAsia="zh-Hans"/>
        </w:rPr>
        <w:t>、</w:t>
      </w:r>
      <w:r>
        <w:rPr>
          <w:rFonts w:hint="eastAsia" w:asciiTheme="minorEastAsia" w:hAnsiTheme="minorEastAsia" w:eastAsiaTheme="minorEastAsia" w:cstheme="minorEastAsia"/>
          <w:kern w:val="0"/>
          <w:sz w:val="24"/>
          <w:szCs w:val="24"/>
          <w:highlight w:val="none"/>
          <w:lang w:eastAsia="zh-CN"/>
        </w:rPr>
        <w:t>到访</w:t>
      </w:r>
      <w:r>
        <w:rPr>
          <w:rFonts w:hint="eastAsia" w:asciiTheme="minorEastAsia" w:hAnsiTheme="minorEastAsia" w:eastAsiaTheme="minorEastAsia" w:cstheme="minorEastAsia"/>
          <w:kern w:val="0"/>
          <w:sz w:val="24"/>
          <w:szCs w:val="24"/>
          <w:highlight w:val="none"/>
        </w:rPr>
        <w:t>时间</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lang w:val="en-US" w:eastAsia="zh-Hans"/>
        </w:rPr>
        <w:t>推荐人</w:t>
      </w:r>
      <w:r>
        <w:rPr>
          <w:rFonts w:hint="eastAsia" w:asciiTheme="minorEastAsia" w:hAnsiTheme="minorEastAsia" w:eastAsiaTheme="minorEastAsia" w:cstheme="minorEastAsia"/>
          <w:kern w:val="0"/>
          <w:sz w:val="24"/>
          <w:szCs w:val="24"/>
          <w:highlight w:val="none"/>
          <w:lang w:eastAsia="zh-CN"/>
        </w:rPr>
        <w:t>门店、</w:t>
      </w:r>
      <w:r>
        <w:rPr>
          <w:rFonts w:hint="eastAsia" w:asciiTheme="minorEastAsia" w:hAnsiTheme="minorEastAsia" w:eastAsiaTheme="minorEastAsia" w:cstheme="minorEastAsia"/>
          <w:color w:val="auto"/>
          <w:kern w:val="0"/>
          <w:sz w:val="24"/>
          <w:szCs w:val="24"/>
          <w:highlight w:val="none"/>
          <w:lang w:eastAsia="zh-CN"/>
        </w:rPr>
        <w:t>推荐人姓名、</w:t>
      </w:r>
      <w:r>
        <w:rPr>
          <w:rFonts w:hint="eastAsia" w:asciiTheme="minorEastAsia" w:hAnsiTheme="minorEastAsia" w:eastAsiaTheme="minorEastAsia" w:cstheme="minorEastAsia"/>
          <w:kern w:val="0"/>
          <w:sz w:val="24"/>
          <w:szCs w:val="24"/>
          <w:highlight w:val="none"/>
        </w:rPr>
        <w:t>推荐人手机、置业顾问姓名、置业顾问手机。</w:t>
      </w:r>
    </w:p>
    <w:p>
      <w:pPr>
        <w:pStyle w:val="74"/>
        <w:numPr>
          <w:ilvl w:val="0"/>
          <w:numId w:val="3"/>
        </w:numPr>
        <w:spacing w:line="360" w:lineRule="auto"/>
        <w:ind w:right="63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甲乙双方确认，本项目带看单的确认人员为：</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本项目置业顾问、</w:t>
      </w:r>
      <w:r>
        <w:rPr>
          <w:rFonts w:hint="eastAsia" w:asciiTheme="minorEastAsia" w:hAnsiTheme="minorEastAsia" w:eastAsiaTheme="minorEastAsia" w:cstheme="minorEastAsia"/>
          <w:sz w:val="24"/>
          <w:szCs w:val="24"/>
          <w:highlight w:val="none"/>
          <w:lang w:eastAsia="zh-CN"/>
        </w:rPr>
        <w:t>乙方经纪人、</w:t>
      </w:r>
      <w:r>
        <w:rPr>
          <w:rFonts w:hint="eastAsia" w:asciiTheme="minorEastAsia" w:hAnsiTheme="minorEastAsia" w:eastAsiaTheme="minorEastAsia" w:cstheme="minorEastAsia"/>
          <w:sz w:val="24"/>
          <w:szCs w:val="24"/>
          <w:highlight w:val="none"/>
        </w:rPr>
        <w:t>甲方对接人（定义见后文）。</w:t>
      </w:r>
    </w:p>
    <w:p>
      <w:pPr>
        <w:pStyle w:val="74"/>
        <w:numPr>
          <w:ilvl w:val="0"/>
          <w:numId w:val="3"/>
        </w:numPr>
        <w:spacing w:line="360" w:lineRule="auto"/>
        <w:ind w:right="63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甲方应于本补充协议签署同时向乙方披露本项目置业顾问姓名及手机号。详见附件一。</w:t>
      </w:r>
    </w:p>
    <w:p>
      <w:pPr>
        <w:pStyle w:val="74"/>
        <w:numPr>
          <w:ilvl w:val="0"/>
          <w:numId w:val="2"/>
        </w:numPr>
        <w:spacing w:line="360" w:lineRule="auto"/>
        <w:ind w:right="630" w:firstLineChars="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带看单签署</w:t>
      </w:r>
    </w:p>
    <w:p>
      <w:pPr>
        <w:pStyle w:val="74"/>
        <w:numPr>
          <w:ilvl w:val="0"/>
          <w:numId w:val="4"/>
        </w:numPr>
        <w:spacing w:line="360" w:lineRule="auto"/>
        <w:ind w:right="63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带看单各确认人员的确认方式如下（</w:t>
      </w:r>
      <w:r>
        <w:rPr>
          <w:rFonts w:hint="eastAsia" w:asciiTheme="minorEastAsia" w:hAnsiTheme="minorEastAsia" w:eastAsiaTheme="minorEastAsia" w:cstheme="minorEastAsia"/>
          <w:b/>
          <w:sz w:val="24"/>
          <w:szCs w:val="24"/>
          <w:highlight w:val="none"/>
        </w:rPr>
        <w:t>附件二为带看单信息及确认的示例参考界面，实际以确认时带看单界面及流程为准</w:t>
      </w:r>
      <w:r>
        <w:rPr>
          <w:rFonts w:hint="eastAsia" w:asciiTheme="minorEastAsia" w:hAnsiTheme="minorEastAsia" w:eastAsiaTheme="minorEastAsia" w:cstheme="minorEastAsia"/>
          <w:sz w:val="24"/>
          <w:szCs w:val="24"/>
          <w:highlight w:val="none"/>
        </w:rPr>
        <w:t>）：</w:t>
      </w:r>
    </w:p>
    <w:p>
      <w:pPr>
        <w:pStyle w:val="74"/>
        <w:numPr>
          <w:ilvl w:val="0"/>
          <w:numId w:val="5"/>
        </w:numPr>
        <w:spacing w:line="360" w:lineRule="auto"/>
        <w:ind w:right="630" w:firstLineChars="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生成带看单：在乙方经纪人手机端完成。乙方经纪人通过手机端的乙方系统（LINK/A+/房江湖系统）发起带看单流程，选择或填写</w:t>
      </w:r>
      <w:r>
        <w:rPr>
          <w:rFonts w:hint="eastAsia" w:asciiTheme="minorEastAsia" w:hAnsiTheme="minorEastAsia" w:eastAsiaTheme="minorEastAsia" w:cstheme="minorEastAsia"/>
          <w:kern w:val="0"/>
          <w:sz w:val="24"/>
          <w:szCs w:val="24"/>
          <w:highlight w:val="none"/>
        </w:rPr>
        <w:t>项目名称、客户姓名、客户手机号、项目置业顾问信息并提交确认，即生成带看单。</w:t>
      </w:r>
    </w:p>
    <w:p>
      <w:pPr>
        <w:pStyle w:val="74"/>
        <w:numPr>
          <w:ilvl w:val="0"/>
          <w:numId w:val="5"/>
        </w:numPr>
        <w:spacing w:line="360" w:lineRule="auto"/>
        <w:ind w:right="63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客户确认：在乙方经纪人手机端完成。带看单生成后，点击带看单的客户“去签字”位置，打开客户签名面板；客户在签名面板手写签名并点击使用，带看单即完成客户确认。</w:t>
      </w:r>
    </w:p>
    <w:p>
      <w:pPr>
        <w:pStyle w:val="74"/>
        <w:numPr>
          <w:ilvl w:val="0"/>
          <w:numId w:val="5"/>
        </w:numPr>
        <w:spacing w:line="360" w:lineRule="auto"/>
        <w:ind w:right="63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乙方经纪人确认：在乙方经纪人手机端完成。带看单生成后，点击带看单的经纪人“去签字”位置，打开乙方经纪人签名面板；乙方经纪人在签名面板手写签名并点击使用，带看单即完成乙方经纪人确认。</w:t>
      </w:r>
    </w:p>
    <w:p>
      <w:pPr>
        <w:pStyle w:val="74"/>
        <w:numPr>
          <w:ilvl w:val="0"/>
          <w:numId w:val="5"/>
        </w:numPr>
        <w:spacing w:line="360" w:lineRule="auto"/>
        <w:ind w:right="63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置业顾问确认：在乙方经纪人手机端完成。乙方经纪人点击带看单的置业顾问“去签字”位置，出现验证码填写界面，乙方经纪人通过系统向置业顾问手机发送验证码；置业顾问将验证码告知乙方经纪人、由乙方经纪人回填验证码后，打开置业顾问签名面板；置业顾问在签字面板手写签名并点击使用，带看单即完成置业顾问确认。</w:t>
      </w:r>
    </w:p>
    <w:p>
      <w:pPr>
        <w:pStyle w:val="74"/>
        <w:numPr>
          <w:ilvl w:val="0"/>
          <w:numId w:val="5"/>
        </w:numPr>
        <w:spacing w:line="360" w:lineRule="auto"/>
        <w:ind w:right="63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前述环节完成后，乙方人员将带看单链接或二维码等推送至甲方对接人手机端。</w:t>
      </w:r>
    </w:p>
    <w:p>
      <w:pPr>
        <w:pStyle w:val="74"/>
        <w:numPr>
          <w:ilvl w:val="0"/>
          <w:numId w:val="5"/>
        </w:numPr>
        <w:spacing w:line="360" w:lineRule="auto"/>
        <w:ind w:right="63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甲方对接人确认：</w:t>
      </w:r>
    </w:p>
    <w:p>
      <w:pPr>
        <w:pStyle w:val="74"/>
        <w:numPr>
          <w:ilvl w:val="1"/>
          <w:numId w:val="5"/>
        </w:numPr>
        <w:spacing w:line="360" w:lineRule="auto"/>
        <w:ind w:right="63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在甲方对接人的手机端完成（甲方对接人两名及以上</w:t>
      </w:r>
      <w:r>
        <w:rPr>
          <w:rFonts w:hint="eastAsia" w:asciiTheme="minorEastAsia" w:hAnsiTheme="minorEastAsia" w:eastAsiaTheme="minorEastAsia" w:cstheme="minorEastAsia"/>
          <w:sz w:val="24"/>
          <w:szCs w:val="24"/>
          <w:highlight w:val="none"/>
          <w:lang w:eastAsia="zh-CN"/>
        </w:rPr>
        <w:t>且对接人都需要签字</w:t>
      </w:r>
      <w:r>
        <w:rPr>
          <w:rFonts w:hint="eastAsia" w:asciiTheme="minorEastAsia" w:hAnsiTheme="minorEastAsia" w:eastAsiaTheme="minorEastAsia" w:cstheme="minorEastAsia"/>
          <w:sz w:val="24"/>
          <w:szCs w:val="24"/>
          <w:highlight w:val="none"/>
        </w:rPr>
        <w:t>的，在各自的手机端完成）。</w:t>
      </w:r>
    </w:p>
    <w:p>
      <w:pPr>
        <w:pStyle w:val="74"/>
        <w:numPr>
          <w:ilvl w:val="1"/>
          <w:numId w:val="5"/>
        </w:numPr>
        <w:spacing w:line="360" w:lineRule="auto"/>
        <w:ind w:right="63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甲方指定【</w:t>
      </w:r>
      <w:r>
        <w:rPr>
          <w:rFonts w:hint="eastAsia" w:asciiTheme="minorEastAsia" w:hAnsiTheme="minorEastAsia" w:eastAsiaTheme="minorEastAsia" w:cstheme="minorEastAsia"/>
          <w:kern w:val="0"/>
          <w:sz w:val="24"/>
          <w:szCs w:val="24"/>
          <w:highlight w:val="none"/>
          <w:lang w:eastAsia="zh-CN"/>
        </w:rPr>
        <w:t>姓名：</w:t>
      </w:r>
      <w:r>
        <w:rPr>
          <w:rFonts w:hint="eastAsia" w:asciiTheme="minorEastAsia" w:hAnsiTheme="minorEastAsia" w:eastAsiaTheme="minorEastAsia" w:cstheme="minorEastAsia"/>
          <w:sz w:val="24"/>
          <w:szCs w:val="24"/>
          <w:highlight w:val="none"/>
          <w:u w:val="none"/>
          <w:lang w:val="en-US" w:eastAsia="zh-CN"/>
        </w:rPr>
        <w:t xml:space="preserve">       </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eastAsia="zh-CN"/>
        </w:rPr>
        <w:t>电话：</w:t>
      </w:r>
      <w:r>
        <w:rPr>
          <w:rFonts w:hint="eastAsia" w:asciiTheme="minorEastAsia" w:hAnsiTheme="minorEastAsia" w:eastAsiaTheme="minorEastAsia" w:cstheme="minorEastAsia"/>
          <w:sz w:val="24"/>
          <w:szCs w:val="24"/>
          <w:highlight w:val="none"/>
          <w:u w:val="none"/>
          <w:lang w:val="en-US" w:eastAsia="zh-CN"/>
        </w:rPr>
        <w:t xml:space="preserve">           </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eastAsia="zh-CN"/>
        </w:rPr>
        <w:t>身份证号：</w:t>
      </w:r>
      <w:r>
        <w:rPr>
          <w:rFonts w:hint="eastAsia" w:asciiTheme="minorEastAsia" w:hAnsiTheme="minorEastAsia" w:eastAsiaTheme="minorEastAsia" w:cstheme="minorEastAsia"/>
          <w:b w:val="0"/>
          <w:sz w:val="24"/>
          <w:szCs w:val="24"/>
          <w:highlight w:val="none"/>
          <w:lang w:val="en-US" w:eastAsia="zh-CN"/>
        </w:rPr>
        <w:t xml:space="preserve">                </w:t>
      </w:r>
      <w:r>
        <w:rPr>
          <w:rFonts w:hint="eastAsia" w:asciiTheme="minorEastAsia" w:hAnsiTheme="minorEastAsia" w:eastAsiaTheme="minorEastAsia" w:cstheme="minorEastAsia"/>
          <w:kern w:val="0"/>
          <w:sz w:val="24"/>
          <w:szCs w:val="24"/>
          <w:highlight w:val="none"/>
        </w:rPr>
        <w:t>】作为甲方对接人，代表甲方确认带看单</w:t>
      </w:r>
      <w:r>
        <w:rPr>
          <w:rFonts w:hint="eastAsia" w:asciiTheme="minorEastAsia" w:hAnsiTheme="minorEastAsia" w:eastAsiaTheme="minorEastAsia" w:cstheme="minorEastAsia"/>
          <w:kern w:val="0"/>
          <w:sz w:val="24"/>
          <w:szCs w:val="24"/>
          <w:highlight w:val="none"/>
          <w:lang w:eastAsia="zh-CN"/>
        </w:rPr>
        <w:t>，甲方对接人确认后的效力以主协议约定为准</w:t>
      </w:r>
      <w:r>
        <w:rPr>
          <w:rFonts w:hint="eastAsia" w:asciiTheme="minorEastAsia" w:hAnsiTheme="minorEastAsia" w:eastAsiaTheme="minorEastAsia" w:cstheme="minorEastAsia"/>
          <w:kern w:val="0"/>
          <w:sz w:val="24"/>
          <w:szCs w:val="24"/>
          <w:highlight w:val="none"/>
        </w:rPr>
        <w:t>。</w:t>
      </w:r>
    </w:p>
    <w:p>
      <w:pPr>
        <w:pStyle w:val="74"/>
        <w:numPr>
          <w:ilvl w:val="1"/>
          <w:numId w:val="5"/>
        </w:numPr>
        <w:spacing w:line="360" w:lineRule="auto"/>
        <w:ind w:right="630" w:firstLineChars="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甲方对接人通过带看单链接或二维码，进入H5页面，填写手机号及验证码登录系统。</w:t>
      </w:r>
    </w:p>
    <w:p>
      <w:pPr>
        <w:pStyle w:val="74"/>
        <w:numPr>
          <w:ilvl w:val="2"/>
          <w:numId w:val="5"/>
        </w:numPr>
        <w:spacing w:line="360" w:lineRule="auto"/>
        <w:ind w:right="630" w:firstLineChars="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首次登录的，系统会校验甲方对接人是否经过实名认证。</w:t>
      </w:r>
    </w:p>
    <w:p>
      <w:pPr>
        <w:pStyle w:val="74"/>
        <w:numPr>
          <w:ilvl w:val="2"/>
          <w:numId w:val="5"/>
        </w:numPr>
        <w:spacing w:line="360" w:lineRule="auto"/>
        <w:ind w:right="630" w:firstLineChars="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若未经过实名认证，甲方对接人须按系统提示完成实名认证（具体实名认证方式以实际操作时系统提示为准）。</w:t>
      </w:r>
    </w:p>
    <w:p>
      <w:pPr>
        <w:pStyle w:val="74"/>
        <w:numPr>
          <w:ilvl w:val="2"/>
          <w:numId w:val="5"/>
        </w:numPr>
        <w:spacing w:line="360" w:lineRule="auto"/>
        <w:ind w:right="63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完成实名认证后，甲方对接人可用手机号登录系统。</w:t>
      </w:r>
    </w:p>
    <w:p>
      <w:pPr>
        <w:pStyle w:val="74"/>
        <w:numPr>
          <w:ilvl w:val="1"/>
          <w:numId w:val="5"/>
        </w:numPr>
        <w:spacing w:line="360" w:lineRule="auto"/>
        <w:ind w:right="63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甲方对接人登录系统后，点击带看单“去签字”位置进入电子签章系统、手写签名并通过手机验证码验证后，点击“确认签名”，带看单即完成甲方对接人确认。</w:t>
      </w:r>
    </w:p>
    <w:p>
      <w:pPr>
        <w:pStyle w:val="74"/>
        <w:numPr>
          <w:ilvl w:val="1"/>
          <w:numId w:val="5"/>
        </w:numPr>
        <w:spacing w:line="360" w:lineRule="auto"/>
        <w:ind w:right="63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甲方对接人应于</w:t>
      </w:r>
      <w:r>
        <w:rPr>
          <w:rFonts w:hint="eastAsia" w:asciiTheme="minorEastAsia" w:hAnsiTheme="minorEastAsia" w:eastAsiaTheme="minorEastAsia" w:cstheme="minorEastAsia"/>
          <w:bCs/>
          <w:color w:val="auto"/>
          <w:kern w:val="0"/>
          <w:sz w:val="24"/>
          <w:szCs w:val="24"/>
          <w:highlight w:val="none"/>
        </w:rPr>
        <w:t>收到带看单链接或二维码【1</w:t>
      </w:r>
      <w:r>
        <w:rPr>
          <w:rFonts w:hint="eastAsia" w:asciiTheme="minorEastAsia" w:hAnsiTheme="minorEastAsia" w:eastAsiaTheme="minorEastAsia" w:cstheme="minorEastAsia"/>
          <w:bCs/>
          <w:color w:val="auto"/>
          <w:kern w:val="0"/>
          <w:sz w:val="24"/>
          <w:szCs w:val="24"/>
          <w:highlight w:val="none"/>
          <w:lang w:val="en-US" w:eastAsia="zh-Hans"/>
        </w:rPr>
        <w:t>小时</w:t>
      </w:r>
      <w:r>
        <w:rPr>
          <w:rFonts w:hint="eastAsia" w:asciiTheme="minorEastAsia" w:hAnsiTheme="minorEastAsia" w:eastAsiaTheme="minorEastAsia" w:cstheme="minorEastAsia"/>
          <w:bCs/>
          <w:color w:val="auto"/>
          <w:kern w:val="0"/>
          <w:sz w:val="24"/>
          <w:szCs w:val="24"/>
          <w:highlight w:val="none"/>
        </w:rPr>
        <w:t>】</w:t>
      </w:r>
      <w:r>
        <w:rPr>
          <w:rFonts w:hint="eastAsia" w:asciiTheme="minorEastAsia" w:hAnsiTheme="minorEastAsia" w:eastAsiaTheme="minorEastAsia" w:cstheme="minorEastAsia"/>
          <w:bCs/>
          <w:color w:val="auto"/>
          <w:kern w:val="0"/>
          <w:sz w:val="24"/>
          <w:szCs w:val="24"/>
          <w:highlight w:val="none"/>
          <w:lang w:val="en-US" w:eastAsia="zh-Hans"/>
        </w:rPr>
        <w:t>内</w:t>
      </w:r>
      <w:r>
        <w:rPr>
          <w:rFonts w:hint="eastAsia" w:asciiTheme="minorEastAsia" w:hAnsiTheme="minorEastAsia" w:eastAsiaTheme="minorEastAsia" w:cstheme="minorEastAsia"/>
          <w:bCs/>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完成带看单确认。</w:t>
      </w:r>
      <w:r>
        <w:rPr>
          <w:rFonts w:hint="eastAsia" w:asciiTheme="minorEastAsia" w:hAnsiTheme="minorEastAsia" w:eastAsiaTheme="minorEastAsia" w:cstheme="minorEastAsia"/>
          <w:bCs/>
          <w:color w:val="auto"/>
          <w:kern w:val="0"/>
          <w:sz w:val="24"/>
          <w:szCs w:val="24"/>
          <w:highlight w:val="none"/>
        </w:rPr>
        <w:t>逾期确认的，自【确认时限届满时】视为甲方对接人完成带看单确认</w:t>
      </w:r>
      <w:r>
        <w:rPr>
          <w:rFonts w:hint="eastAsia" w:asciiTheme="minorEastAsia" w:hAnsiTheme="minorEastAsia" w:eastAsiaTheme="minorEastAsia" w:cstheme="minorEastAsia"/>
          <w:color w:val="auto"/>
          <w:kern w:val="0"/>
          <w:sz w:val="24"/>
          <w:szCs w:val="24"/>
          <w:highlight w:val="none"/>
        </w:rPr>
        <w:t>。</w:t>
      </w:r>
    </w:p>
    <w:p>
      <w:pPr>
        <w:pStyle w:val="74"/>
        <w:numPr>
          <w:ilvl w:val="0"/>
          <w:numId w:val="4"/>
        </w:numPr>
        <w:spacing w:line="360" w:lineRule="auto"/>
        <w:ind w:right="63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甲方对接人完成带看单确认（包括视为甲方对接人确认），带看单即完成签署并同时生效，对甲乙双方均具有约束力。</w:t>
      </w:r>
    </w:p>
    <w:p>
      <w:pPr>
        <w:pStyle w:val="74"/>
        <w:numPr>
          <w:ilvl w:val="0"/>
          <w:numId w:val="2"/>
        </w:numPr>
        <w:spacing w:line="360" w:lineRule="auto"/>
        <w:ind w:right="630" w:firstLineChars="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双方权利义务</w:t>
      </w:r>
    </w:p>
    <w:p>
      <w:pPr>
        <w:pStyle w:val="74"/>
        <w:numPr>
          <w:ilvl w:val="0"/>
          <w:numId w:val="6"/>
        </w:numPr>
        <w:spacing w:line="360" w:lineRule="auto"/>
        <w:ind w:right="63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甲方知晓并认可本补充协议约定的带看单签署方案，包括但不限于带看单带看信息、确认人员、确认流程、确认方式、确认手机、以及具体操作要求等，甲方同意按本补充协议约定签署带看单、确认乙方客户。</w:t>
      </w:r>
    </w:p>
    <w:p>
      <w:pPr>
        <w:pStyle w:val="74"/>
        <w:numPr>
          <w:ilvl w:val="0"/>
          <w:numId w:val="6"/>
        </w:numPr>
        <w:spacing w:line="360" w:lineRule="auto"/>
        <w:ind w:right="63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甲方认可带看单的法律效力及客户归属。完成签署的带看单注明的客户（包括客户姓名及客户手机号码）均确认为乙方客户。</w:t>
      </w:r>
    </w:p>
    <w:p>
      <w:pPr>
        <w:pStyle w:val="74"/>
        <w:numPr>
          <w:ilvl w:val="0"/>
          <w:numId w:val="6"/>
        </w:numPr>
        <w:spacing w:line="360" w:lineRule="auto"/>
        <w:ind w:right="63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甲方承诺向乙方披露的项目置业顾问信息来源合法、有效，且向乙方披露的行为已经取得信息主体的明确授权或同意。</w:t>
      </w:r>
    </w:p>
    <w:p>
      <w:pPr>
        <w:pStyle w:val="74"/>
        <w:numPr>
          <w:ilvl w:val="0"/>
          <w:numId w:val="6"/>
        </w:numPr>
        <w:spacing w:line="360" w:lineRule="auto"/>
        <w:ind w:right="63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甲方应通知、督促及确保项目置业顾问及甲方对接人同意按本补充协议约定接收手机短信（项目置业顾问及甲方对接人）、进行实名认证（甲方对接人）并完成确认。</w:t>
      </w:r>
    </w:p>
    <w:p>
      <w:pPr>
        <w:pStyle w:val="74"/>
        <w:spacing w:line="360" w:lineRule="auto"/>
        <w:ind w:left="780" w:right="630" w:firstLine="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如项目置业顾问和/或甲方对接人未按或不同意按本补充协议约定接收信息、实名认证并完成确认的，甲方应于收到乙方通知1日内：调整带看单确认的项目置业顾问和/或甲方对接人，并书面通知乙方调整后的项目置业顾问和/或甲方对接人信息。未通知的，按本补充协议约定的逾期确认执行（项目置业顾问逾期确认自【确认时限届满时</w:t>
      </w:r>
      <w:r>
        <w:rPr>
          <w:rFonts w:hint="eastAsia" w:asciiTheme="minorEastAsia" w:hAnsiTheme="minorEastAsia" w:eastAsiaTheme="minorEastAsia" w:cstheme="minorEastAsia"/>
          <w:kern w:val="0"/>
          <w:sz w:val="24"/>
          <w:szCs w:val="24"/>
          <w:lang w:eastAsia="zh-CN"/>
        </w:rPr>
        <w:t>（同甲方对接人确认时限）</w:t>
      </w:r>
      <w:r>
        <w:rPr>
          <w:rFonts w:hint="eastAsia" w:asciiTheme="minorEastAsia" w:hAnsiTheme="minorEastAsia" w:eastAsiaTheme="minorEastAsia" w:cstheme="minorEastAsia"/>
          <w:kern w:val="0"/>
          <w:sz w:val="24"/>
          <w:szCs w:val="24"/>
        </w:rPr>
        <w:t>】视为甲方</w:t>
      </w:r>
      <w:r>
        <w:rPr>
          <w:rFonts w:hint="eastAsia" w:asciiTheme="minorEastAsia" w:hAnsiTheme="minorEastAsia" w:eastAsiaTheme="minorEastAsia" w:cstheme="minorEastAsia"/>
          <w:kern w:val="0"/>
          <w:sz w:val="24"/>
          <w:szCs w:val="24"/>
          <w:lang w:eastAsia="zh-CN"/>
        </w:rPr>
        <w:t>置业顾问</w:t>
      </w:r>
      <w:r>
        <w:rPr>
          <w:rFonts w:hint="eastAsia" w:asciiTheme="minorEastAsia" w:hAnsiTheme="minorEastAsia" w:eastAsiaTheme="minorEastAsia" w:cstheme="minorEastAsia"/>
          <w:kern w:val="0"/>
          <w:sz w:val="24"/>
          <w:szCs w:val="24"/>
        </w:rPr>
        <w:t>完成带看单确认）。</w:t>
      </w:r>
    </w:p>
    <w:p>
      <w:pPr>
        <w:pStyle w:val="74"/>
        <w:numPr>
          <w:ilvl w:val="0"/>
          <w:numId w:val="6"/>
        </w:numPr>
        <w:spacing w:line="360" w:lineRule="auto"/>
        <w:ind w:right="63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项目置业顾问和/或甲方对接人人员或手机号变动的，甲方应于变动日前</w:t>
      </w:r>
      <w:r>
        <w:rPr>
          <w:rFonts w:hint="eastAsia" w:asciiTheme="minorEastAsia" w:hAnsiTheme="minorEastAsia" w:eastAsiaTheme="minorEastAsia" w:cstheme="minorEastAsia"/>
          <w:kern w:val="0"/>
          <w:sz w:val="24"/>
          <w:szCs w:val="24"/>
          <w:lang w:val="en-US" w:eastAsia="zh-CN"/>
        </w:rPr>
        <w:t>3个工作日</w:t>
      </w:r>
      <w:r>
        <w:rPr>
          <w:rFonts w:hint="eastAsia" w:asciiTheme="minorEastAsia" w:hAnsiTheme="minorEastAsia" w:eastAsiaTheme="minorEastAsia" w:cstheme="minorEastAsia"/>
          <w:kern w:val="0"/>
          <w:sz w:val="24"/>
          <w:szCs w:val="24"/>
        </w:rPr>
        <w:t>书面通知乙方变动后的项目置业顾问和/或甲方对接人信息，否则视为未变更。变更前人员或手机号确认的带看单仍对甲乙双方具有约束力。</w:t>
      </w:r>
    </w:p>
    <w:p>
      <w:pPr>
        <w:pStyle w:val="74"/>
        <w:numPr>
          <w:ilvl w:val="0"/>
          <w:numId w:val="6"/>
        </w:numPr>
        <w:spacing w:line="360" w:lineRule="auto"/>
        <w:ind w:right="630" w:firstLineChars="0"/>
        <w:jc w:val="left"/>
        <w:rPr>
          <w:rFonts w:hint="eastAsia" w:asciiTheme="minorEastAsia" w:hAnsiTheme="minorEastAsia" w:eastAsiaTheme="minorEastAsia" w:cstheme="minorEastAsia"/>
          <w:b/>
          <w:color w:val="FF0000"/>
          <w:kern w:val="0"/>
          <w:sz w:val="24"/>
          <w:szCs w:val="24"/>
        </w:rPr>
      </w:pPr>
      <w:r>
        <w:rPr>
          <w:rFonts w:hint="eastAsia" w:asciiTheme="minorEastAsia" w:hAnsiTheme="minorEastAsia" w:eastAsiaTheme="minorEastAsia" w:cstheme="minorEastAsia"/>
          <w:kern w:val="0"/>
          <w:sz w:val="24"/>
          <w:szCs w:val="24"/>
        </w:rPr>
        <w:t>甲方应监督置业顾问及甲方对接人按甲方管理要求进行线下客户核查。甲方对接人完成带看单确认，即视为置业顾问及甲方对接人已完成线下客户核查。</w:t>
      </w:r>
    </w:p>
    <w:p>
      <w:pPr>
        <w:pStyle w:val="74"/>
        <w:spacing w:line="360" w:lineRule="auto"/>
        <w:ind w:left="780" w:right="630" w:firstLine="0" w:firstLineChars="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对于置业顾问及甲方对接人是否遵守甲方管理要求，应由甲方自行完成全部监督管理义务。乙方对置业顾问及甲方对接人对甲方管理要求的遵守情况，不具有调查、了</w:t>
      </w:r>
      <w:r>
        <w:rPr>
          <w:rFonts w:hint="eastAsia" w:asciiTheme="minorEastAsia" w:hAnsiTheme="minorEastAsia" w:eastAsiaTheme="minorEastAsia" w:cstheme="minorEastAsia"/>
          <w:bCs/>
          <w:kern w:val="0"/>
          <w:sz w:val="24"/>
          <w:szCs w:val="24"/>
        </w:rPr>
        <w:t>解、确认义务。</w:t>
      </w:r>
    </w:p>
    <w:p>
      <w:pPr>
        <w:pStyle w:val="74"/>
        <w:spacing w:line="360" w:lineRule="auto"/>
        <w:ind w:left="780" w:right="630" w:firstLine="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如置业顾问和/或甲方对接人未按甲方管理要求进行线下客户核查即确认带看单的，不利后果由甲方自行承担，带看单效力不受影响。</w:t>
      </w:r>
      <w:r>
        <w:rPr>
          <w:rFonts w:hint="eastAsia" w:asciiTheme="minorEastAsia" w:hAnsiTheme="minorEastAsia" w:eastAsiaTheme="minorEastAsia" w:cstheme="minorEastAsia"/>
          <w:bCs/>
          <w:kern w:val="0"/>
          <w:sz w:val="24"/>
          <w:szCs w:val="24"/>
        </w:rPr>
        <w:t>如因置业顾问和/或甲方对接人过错致使乙方受损的，一切损失应由甲方承担。</w:t>
      </w:r>
    </w:p>
    <w:p>
      <w:pPr>
        <w:pStyle w:val="74"/>
        <w:numPr>
          <w:ilvl w:val="0"/>
          <w:numId w:val="2"/>
        </w:numPr>
        <w:spacing w:line="360" w:lineRule="auto"/>
        <w:ind w:right="630" w:firstLineChars="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w:t>
      </w:r>
    </w:p>
    <w:p>
      <w:pPr>
        <w:pStyle w:val="74"/>
        <w:numPr>
          <w:ilvl w:val="0"/>
          <w:numId w:val="7"/>
        </w:numPr>
        <w:spacing w:line="360" w:lineRule="auto"/>
        <w:ind w:right="63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如甲乙双方线下签署本项目带看单的，线下签署完成的带看单与本补充协议约定的带看单对甲乙双方具有同等效力，线下签署完成的带看单注明的客户（包括客户姓名</w:t>
      </w:r>
      <w:r>
        <w:rPr>
          <w:rFonts w:hint="eastAsia" w:asciiTheme="minorEastAsia" w:hAnsiTheme="minorEastAsia" w:eastAsiaTheme="minorEastAsia" w:cstheme="minorEastAsia"/>
          <w:kern w:val="0"/>
          <w:sz w:val="24"/>
          <w:szCs w:val="24"/>
          <w:lang w:eastAsia="zh-CN"/>
        </w:rPr>
        <w:t>或</w:t>
      </w:r>
      <w:r>
        <w:rPr>
          <w:rFonts w:hint="eastAsia" w:asciiTheme="minorEastAsia" w:hAnsiTheme="minorEastAsia" w:eastAsiaTheme="minorEastAsia" w:cstheme="minorEastAsia"/>
          <w:kern w:val="0"/>
          <w:sz w:val="24"/>
          <w:szCs w:val="24"/>
        </w:rPr>
        <w:t>客户手机号码）均确认为乙方客户，乙方</w:t>
      </w:r>
      <w:r>
        <w:rPr>
          <w:rFonts w:hint="eastAsia" w:asciiTheme="minorEastAsia" w:hAnsiTheme="minorEastAsia" w:eastAsiaTheme="minorEastAsia" w:cstheme="minorEastAsia"/>
          <w:kern w:val="0"/>
          <w:sz w:val="24"/>
          <w:szCs w:val="24"/>
          <w:highlight w:val="none"/>
        </w:rPr>
        <w:t>客户成功销售的，</w:t>
      </w:r>
      <w:r>
        <w:rPr>
          <w:rFonts w:hint="eastAsia" w:asciiTheme="minorEastAsia" w:hAnsiTheme="minorEastAsia" w:eastAsiaTheme="minorEastAsia" w:cstheme="minorEastAsia"/>
          <w:kern w:val="0"/>
          <w:sz w:val="24"/>
          <w:szCs w:val="24"/>
        </w:rPr>
        <w:t>甲方应按主协议约定向乙方支付。</w:t>
      </w:r>
    </w:p>
    <w:p>
      <w:pPr>
        <w:pStyle w:val="74"/>
        <w:numPr>
          <w:ilvl w:val="0"/>
          <w:numId w:val="7"/>
        </w:numPr>
        <w:spacing w:line="360" w:lineRule="auto"/>
        <w:ind w:right="63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本补充协议与主协议约定不一致的，按本补充协议约定履行；本补充协议未约定的，仍按主协议约定履行。</w:t>
      </w:r>
    </w:p>
    <w:p>
      <w:pPr>
        <w:pStyle w:val="74"/>
        <w:numPr>
          <w:ilvl w:val="0"/>
          <w:numId w:val="7"/>
        </w:numPr>
        <w:spacing w:line="360" w:lineRule="auto"/>
        <w:ind w:right="63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本补充协议经双方加盖公司公章或合同专用章生效。如主协议提前终止或解除，本补充协议同时终止或解除。</w:t>
      </w:r>
    </w:p>
    <w:p>
      <w:pPr>
        <w:pStyle w:val="74"/>
        <w:numPr>
          <w:ilvl w:val="0"/>
          <w:numId w:val="7"/>
        </w:numPr>
        <w:spacing w:line="360" w:lineRule="auto"/>
        <w:ind w:right="63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本补充协议一式【</w:t>
      </w:r>
      <w:r>
        <w:rPr>
          <w:rFonts w:hint="eastAsia" w:asciiTheme="minorEastAsia" w:hAnsiTheme="minorEastAsia" w:eastAsiaTheme="minorEastAsia" w:cstheme="minorEastAsia"/>
          <w:kern w:val="0"/>
          <w:sz w:val="24"/>
          <w:szCs w:val="24"/>
          <w:lang w:eastAsia="zh-CN"/>
        </w:rPr>
        <w:t>肆</w:t>
      </w:r>
      <w:r>
        <w:rPr>
          <w:rFonts w:hint="eastAsia" w:asciiTheme="minorEastAsia" w:hAnsiTheme="minorEastAsia" w:eastAsiaTheme="minorEastAsia" w:cstheme="minorEastAsia"/>
          <w:kern w:val="0"/>
          <w:sz w:val="24"/>
          <w:szCs w:val="24"/>
        </w:rPr>
        <w:t>】份，各方各执【</w:t>
      </w:r>
      <w:r>
        <w:rPr>
          <w:rFonts w:hint="eastAsia" w:asciiTheme="minorEastAsia" w:hAnsiTheme="minorEastAsia" w:eastAsiaTheme="minorEastAsia" w:cstheme="minorEastAsia"/>
          <w:kern w:val="0"/>
          <w:sz w:val="24"/>
          <w:szCs w:val="24"/>
          <w:lang w:eastAsia="zh-CN"/>
        </w:rPr>
        <w:t>贰</w:t>
      </w:r>
      <w:r>
        <w:rPr>
          <w:rFonts w:hint="eastAsia" w:asciiTheme="minorEastAsia" w:hAnsiTheme="minorEastAsia" w:eastAsiaTheme="minorEastAsia" w:cstheme="minorEastAsia"/>
          <w:kern w:val="0"/>
          <w:sz w:val="24"/>
          <w:szCs w:val="24"/>
        </w:rPr>
        <w:t>】份，每份具有同等法律效力。</w:t>
      </w:r>
    </w:p>
    <w:p>
      <w:pPr>
        <w:spacing w:line="360" w:lineRule="auto"/>
        <w:ind w:left="420" w:right="630"/>
        <w:jc w:val="left"/>
        <w:rPr>
          <w:rFonts w:hint="eastAsia" w:asciiTheme="minorEastAsia" w:hAnsiTheme="minorEastAsia" w:eastAsiaTheme="minorEastAsia" w:cstheme="minorEastAsia"/>
          <w:kern w:val="0"/>
          <w:sz w:val="24"/>
          <w:szCs w:val="24"/>
        </w:rPr>
      </w:pPr>
    </w:p>
    <w:p>
      <w:pPr>
        <w:widowControl/>
        <w:tabs>
          <w:tab w:val="left" w:pos="0"/>
        </w:tabs>
        <w:overflowPunct w:val="0"/>
        <w:autoSpaceDE w:val="0"/>
        <w:autoSpaceDN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highlight w:val="none"/>
        </w:rPr>
      </w:pPr>
    </w:p>
    <w:p>
      <w:pPr>
        <w:widowControl/>
        <w:tabs>
          <w:tab w:val="left" w:pos="0"/>
        </w:tabs>
        <w:overflowPunct w:val="0"/>
        <w:autoSpaceDE w:val="0"/>
        <w:autoSpaceDN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highlight w:val="none"/>
        </w:rPr>
      </w:pPr>
    </w:p>
    <w:p>
      <w:pPr>
        <w:widowControl/>
        <w:tabs>
          <w:tab w:val="left" w:pos="0"/>
        </w:tabs>
        <w:overflowPunct w:val="0"/>
        <w:autoSpaceDE w:val="0"/>
        <w:autoSpaceDN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highlight w:val="none"/>
        </w:rPr>
      </w:pPr>
    </w:p>
    <w:p>
      <w:pPr>
        <w:widowControl/>
        <w:tabs>
          <w:tab w:val="left" w:pos="0"/>
        </w:tabs>
        <w:overflowPunct w:val="0"/>
        <w:autoSpaceDE w:val="0"/>
        <w:autoSpaceDN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highlight w:val="none"/>
        </w:rPr>
      </w:pPr>
    </w:p>
    <w:p>
      <w:pPr>
        <w:widowControl/>
        <w:tabs>
          <w:tab w:val="left" w:pos="0"/>
        </w:tabs>
        <w:overflowPunct w:val="0"/>
        <w:autoSpaceDE w:val="0"/>
        <w:autoSpaceDN w:val="0"/>
        <w:adjustRightInd w:val="0"/>
        <w:snapToGrid w:val="0"/>
        <w:spacing w:line="360" w:lineRule="auto"/>
        <w:ind w:firstLine="0" w:firstLineChars="0"/>
        <w:textAlignment w:val="baseline"/>
        <w:rPr>
          <w:rFonts w:hint="eastAsia" w:asciiTheme="minorEastAsia" w:hAnsiTheme="minorEastAsia" w:eastAsiaTheme="minorEastAsia" w:cstheme="minorEastAsia"/>
          <w:b/>
          <w:sz w:val="24"/>
          <w:szCs w:val="24"/>
          <w:highlight w:val="none"/>
        </w:rPr>
      </w:pPr>
    </w:p>
    <w:p>
      <w:pPr>
        <w:widowControl/>
        <w:tabs>
          <w:tab w:val="left" w:pos="0"/>
        </w:tabs>
        <w:overflowPunct w:val="0"/>
        <w:autoSpaceDE w:val="0"/>
        <w:autoSpaceDN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highlight w:val="none"/>
        </w:rPr>
      </w:pPr>
    </w:p>
    <w:p>
      <w:pPr>
        <w:widowControl/>
        <w:tabs>
          <w:tab w:val="left" w:pos="0"/>
        </w:tabs>
        <w:overflowPunct w:val="0"/>
        <w:autoSpaceDE w:val="0"/>
        <w:autoSpaceDN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highlight w:val="none"/>
        </w:rPr>
      </w:pPr>
    </w:p>
    <w:p>
      <w:pPr>
        <w:spacing w:line="360" w:lineRule="auto"/>
        <w:ind w:firstLine="4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（以下无正文，为《电子带看单补充协议》签章页）</w:t>
      </w:r>
    </w:p>
    <w:p>
      <w:pPr>
        <w:spacing w:line="360" w:lineRule="auto"/>
        <w:rPr>
          <w:rFonts w:hint="eastAsia" w:asciiTheme="minorEastAsia" w:hAnsiTheme="minorEastAsia" w:eastAsiaTheme="minorEastAsia" w:cstheme="minorEastAsia"/>
          <w:b/>
          <w:sz w:val="24"/>
          <w:szCs w:val="24"/>
        </w:rPr>
      </w:pPr>
    </w:p>
    <w:p>
      <w:pPr>
        <w:spacing w:line="360" w:lineRule="auto"/>
        <w:rPr>
          <w:rFonts w:hint="eastAsia" w:asciiTheme="minorEastAsia" w:hAnsiTheme="minorEastAsia" w:eastAsiaTheme="minorEastAsia" w:cstheme="minorEastAsia"/>
          <w:b/>
          <w:sz w:val="24"/>
          <w:szCs w:val="24"/>
          <w:lang w:val="zh-TW" w:eastAsia="zh-TW"/>
        </w:rPr>
      </w:pPr>
      <w:r>
        <w:rPr>
          <w:rFonts w:hint="eastAsia" w:asciiTheme="minorEastAsia" w:hAnsiTheme="minorEastAsia" w:eastAsiaTheme="minorEastAsia" w:cstheme="minorEastAsia"/>
          <w:b/>
          <w:sz w:val="24"/>
          <w:szCs w:val="24"/>
        </w:rPr>
        <w:t>甲</w:t>
      </w:r>
      <w:r>
        <w:rPr>
          <w:rFonts w:hint="eastAsia" w:asciiTheme="minorEastAsia" w:hAnsiTheme="minorEastAsia" w:eastAsiaTheme="minorEastAsia" w:cstheme="minorEastAsia"/>
          <w:b/>
          <w:sz w:val="24"/>
          <w:szCs w:val="24"/>
          <w:lang w:val="zh-TW"/>
        </w:rPr>
        <w:t>方</w:t>
      </w:r>
      <w:r>
        <w:rPr>
          <w:rFonts w:hint="eastAsia" w:asciiTheme="minorEastAsia" w:hAnsiTheme="minorEastAsia" w:eastAsiaTheme="minorEastAsia" w:cstheme="minorEastAsia"/>
          <w:b/>
          <w:sz w:val="24"/>
          <w:szCs w:val="24"/>
          <w:lang w:val="zh-TW" w:eastAsia="zh-TW"/>
        </w:rPr>
        <w:t>：</w:t>
      </w:r>
    </w:p>
    <w:p>
      <w:pPr>
        <w:spacing w:before="0" w:beforeLines="-2147483648"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（盖章）</w:t>
      </w:r>
    </w:p>
    <w:p>
      <w:pPr>
        <w:spacing w:before="156" w:beforeLines="50" w:after="120"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乙方：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（盖章）</w:t>
      </w:r>
    </w:p>
    <w:p>
      <w:pPr>
        <w:spacing w:before="156" w:beforeLines="50" w:after="156" w:afterLines="50"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lang w:val="zh-TW" w:eastAsia="zh-TW"/>
        </w:rPr>
        <w:t>签署日期：202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zh-TW" w:eastAsia="zh-TW"/>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TW" w:eastAsia="zh-TW"/>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TW" w:eastAsia="zh-TW"/>
        </w:rPr>
        <w:t>日</w:t>
      </w:r>
    </w:p>
    <w:p>
      <w:pPr>
        <w:widowControl/>
        <w:tabs>
          <w:tab w:val="left" w:pos="0"/>
        </w:tabs>
        <w:overflowPunct w:val="0"/>
        <w:autoSpaceDE w:val="0"/>
        <w:autoSpaceDN w:val="0"/>
        <w:adjustRightInd w:val="0"/>
        <w:snapToGrid w:val="0"/>
        <w:spacing w:line="360" w:lineRule="auto"/>
        <w:ind w:firstLine="0" w:firstLineChars="0"/>
        <w:textAlignment w:val="baseline"/>
        <w:rPr>
          <w:rFonts w:hint="eastAsia" w:asciiTheme="minorEastAsia" w:hAnsiTheme="minorEastAsia" w:eastAsiaTheme="minorEastAsia" w:cstheme="minorEastAsia"/>
          <w:b/>
          <w:sz w:val="24"/>
          <w:szCs w:val="24"/>
          <w:highlight w:val="none"/>
        </w:rPr>
      </w:pPr>
    </w:p>
    <w:p>
      <w:pPr>
        <w:pStyle w:val="2"/>
        <w:rPr>
          <w:rFonts w:hint="eastAsia" w:asciiTheme="minorEastAsia" w:hAnsiTheme="minorEastAsia" w:eastAsiaTheme="minorEastAsia" w:cstheme="minorEastAsia"/>
          <w:b/>
          <w:sz w:val="24"/>
          <w:szCs w:val="24"/>
          <w:highlight w:val="none"/>
        </w:rPr>
      </w:pPr>
    </w:p>
    <w:p>
      <w:pPr>
        <w:pStyle w:val="3"/>
        <w:rPr>
          <w:rFonts w:hint="eastAsia" w:asciiTheme="minorEastAsia" w:hAnsiTheme="minorEastAsia" w:eastAsiaTheme="minorEastAsia" w:cstheme="minorEastAsia"/>
          <w:b/>
          <w:sz w:val="24"/>
          <w:szCs w:val="24"/>
          <w:highlight w:val="none"/>
        </w:rPr>
      </w:pPr>
    </w:p>
    <w:p>
      <w:pPr>
        <w:pStyle w:val="4"/>
        <w:rPr>
          <w:rFonts w:hint="eastAsia" w:asciiTheme="minorEastAsia" w:hAnsiTheme="minorEastAsia" w:eastAsiaTheme="minorEastAsia" w:cstheme="minorEastAsia"/>
          <w:b/>
          <w:sz w:val="24"/>
          <w:szCs w:val="24"/>
          <w:highlight w:val="none"/>
        </w:rPr>
      </w:pPr>
    </w:p>
    <w:p>
      <w:pPr>
        <w:pStyle w:val="5"/>
        <w:rPr>
          <w:rFonts w:hint="eastAsia" w:asciiTheme="minorEastAsia" w:hAnsiTheme="minorEastAsia" w:eastAsiaTheme="minorEastAsia" w:cstheme="minorEastAsia"/>
          <w:b/>
          <w:sz w:val="24"/>
          <w:szCs w:val="24"/>
          <w:highlight w:val="none"/>
        </w:rPr>
      </w:pPr>
    </w:p>
    <w:p>
      <w:pPr>
        <w:pStyle w:val="2"/>
        <w:rPr>
          <w:rFonts w:hint="eastAsia" w:asciiTheme="minorEastAsia" w:hAnsiTheme="minorEastAsia" w:eastAsiaTheme="minorEastAsia" w:cstheme="minorEastAsia"/>
          <w:b/>
          <w:sz w:val="24"/>
          <w:szCs w:val="24"/>
          <w:highlight w:val="none"/>
        </w:rPr>
      </w:pPr>
    </w:p>
    <w:p>
      <w:pPr>
        <w:pStyle w:val="3"/>
        <w:rPr>
          <w:rFonts w:hint="eastAsia" w:asciiTheme="minorEastAsia" w:hAnsiTheme="minorEastAsia" w:eastAsiaTheme="minorEastAsia" w:cstheme="minorEastAsia"/>
          <w:b/>
          <w:sz w:val="24"/>
          <w:szCs w:val="24"/>
          <w:highlight w:val="none"/>
        </w:rPr>
      </w:pPr>
    </w:p>
    <w:p>
      <w:pPr>
        <w:pStyle w:val="4"/>
        <w:rPr>
          <w:rFonts w:hint="eastAsia"/>
        </w:rPr>
      </w:pPr>
    </w:p>
    <w:p>
      <w:pPr>
        <w:widowControl/>
        <w:tabs>
          <w:tab w:val="left" w:pos="0"/>
        </w:tabs>
        <w:overflowPunct w:val="0"/>
        <w:autoSpaceDE w:val="0"/>
        <w:autoSpaceDN w:val="0"/>
        <w:adjustRightInd w:val="0"/>
        <w:snapToGrid w:val="0"/>
        <w:spacing w:line="360" w:lineRule="auto"/>
        <w:textAlignment w:val="baseline"/>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附件一：本项目置业顾问清单</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2891"/>
        <w:gridCol w:w="255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4"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序号</w:t>
            </w:r>
          </w:p>
        </w:tc>
        <w:tc>
          <w:tcPr>
            <w:tcW w:w="2891"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姓名</w:t>
            </w:r>
          </w:p>
        </w:tc>
        <w:tc>
          <w:tcPr>
            <w:tcW w:w="2555"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手机号</w:t>
            </w:r>
          </w:p>
        </w:tc>
        <w:tc>
          <w:tcPr>
            <w:tcW w:w="213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4"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p>
        </w:tc>
        <w:tc>
          <w:tcPr>
            <w:tcW w:w="2891"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p>
        </w:tc>
        <w:tc>
          <w:tcPr>
            <w:tcW w:w="2555"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p>
        </w:tc>
        <w:tc>
          <w:tcPr>
            <w:tcW w:w="213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4"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p>
        </w:tc>
        <w:tc>
          <w:tcPr>
            <w:tcW w:w="2891"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p>
        </w:tc>
        <w:tc>
          <w:tcPr>
            <w:tcW w:w="2555"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p>
        </w:tc>
        <w:tc>
          <w:tcPr>
            <w:tcW w:w="213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4"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p>
        </w:tc>
        <w:tc>
          <w:tcPr>
            <w:tcW w:w="2891"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p>
        </w:tc>
        <w:tc>
          <w:tcPr>
            <w:tcW w:w="2555"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p>
        </w:tc>
        <w:tc>
          <w:tcPr>
            <w:tcW w:w="213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4"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p>
        </w:tc>
        <w:tc>
          <w:tcPr>
            <w:tcW w:w="2891"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p>
        </w:tc>
        <w:tc>
          <w:tcPr>
            <w:tcW w:w="2555"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p>
        </w:tc>
        <w:tc>
          <w:tcPr>
            <w:tcW w:w="213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4"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p>
        </w:tc>
        <w:tc>
          <w:tcPr>
            <w:tcW w:w="2891"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p>
        </w:tc>
        <w:tc>
          <w:tcPr>
            <w:tcW w:w="2555"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p>
        </w:tc>
        <w:tc>
          <w:tcPr>
            <w:tcW w:w="213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val="en-US" w:eastAsia="zh-CN"/>
              </w:rPr>
            </w:pPr>
          </w:p>
        </w:tc>
      </w:tr>
    </w:tbl>
    <w:p>
      <w:pPr>
        <w:widowControl/>
        <w:tabs>
          <w:tab w:val="left" w:pos="0"/>
        </w:tabs>
        <w:overflowPunct w:val="0"/>
        <w:autoSpaceDE w:val="0"/>
        <w:autoSpaceDN w:val="0"/>
        <w:adjustRightInd w:val="0"/>
        <w:snapToGrid w:val="0"/>
        <w:spacing w:line="360" w:lineRule="auto"/>
        <w:ind w:firstLine="0" w:firstLineChars="0"/>
        <w:textAlignment w:val="baseline"/>
        <w:rPr>
          <w:rFonts w:hint="eastAsia" w:asciiTheme="minorEastAsia" w:hAnsiTheme="minorEastAsia" w:eastAsiaTheme="minorEastAsia" w:cstheme="minorEastAsia"/>
          <w:b/>
          <w:sz w:val="24"/>
          <w:szCs w:val="24"/>
          <w:highlight w:val="none"/>
        </w:rPr>
      </w:pPr>
    </w:p>
    <w:p>
      <w:pPr>
        <w:widowControl/>
        <w:tabs>
          <w:tab w:val="left" w:pos="0"/>
        </w:tabs>
        <w:overflowPunct w:val="0"/>
        <w:autoSpaceDE w:val="0"/>
        <w:autoSpaceDN w:val="0"/>
        <w:adjustRightInd w:val="0"/>
        <w:snapToGrid w:val="0"/>
        <w:spacing w:line="360" w:lineRule="auto"/>
        <w:ind w:firstLine="0" w:firstLineChars="0"/>
        <w:textAlignment w:val="baseline"/>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附件二：带看单信息及确认的示例参考界面，具体以实际确认时带看单界面及流程为准。</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181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5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项目名称</w:t>
            </w:r>
          </w:p>
        </w:tc>
        <w:tc>
          <w:tcPr>
            <w:tcW w:w="6070" w:type="dxa"/>
            <w:gridSpan w:val="3"/>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5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报备时间</w:t>
            </w:r>
          </w:p>
        </w:tc>
        <w:tc>
          <w:tcPr>
            <w:tcW w:w="181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eastAsia="zh-CN"/>
              </w:rPr>
            </w:pPr>
          </w:p>
        </w:tc>
        <w:tc>
          <w:tcPr>
            <w:tcW w:w="213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到访时间</w:t>
            </w:r>
          </w:p>
        </w:tc>
        <w:tc>
          <w:tcPr>
            <w:tcW w:w="213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5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客户姓名</w:t>
            </w:r>
          </w:p>
        </w:tc>
        <w:tc>
          <w:tcPr>
            <w:tcW w:w="181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eastAsia="zh-CN"/>
              </w:rPr>
            </w:pPr>
          </w:p>
        </w:tc>
        <w:tc>
          <w:tcPr>
            <w:tcW w:w="213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客户手机</w:t>
            </w:r>
          </w:p>
        </w:tc>
        <w:tc>
          <w:tcPr>
            <w:tcW w:w="213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5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推荐人姓名</w:t>
            </w:r>
          </w:p>
        </w:tc>
        <w:tc>
          <w:tcPr>
            <w:tcW w:w="181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rPr>
            </w:pPr>
          </w:p>
        </w:tc>
        <w:tc>
          <w:tcPr>
            <w:tcW w:w="213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推荐人手机</w:t>
            </w:r>
          </w:p>
        </w:tc>
        <w:tc>
          <w:tcPr>
            <w:tcW w:w="213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5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yellow"/>
                <w:lang w:eastAsia="zh-CN"/>
              </w:rPr>
            </w:pPr>
            <w:r>
              <w:rPr>
                <w:rFonts w:hint="eastAsia" w:asciiTheme="minorEastAsia" w:hAnsiTheme="minorEastAsia" w:eastAsiaTheme="minorEastAsia" w:cstheme="minorEastAsia"/>
                <w:b/>
                <w:sz w:val="24"/>
                <w:szCs w:val="24"/>
                <w:highlight w:val="none"/>
                <w:lang w:eastAsia="zh-CN"/>
              </w:rPr>
              <w:t>置业顾问姓名</w:t>
            </w:r>
          </w:p>
        </w:tc>
        <w:tc>
          <w:tcPr>
            <w:tcW w:w="181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yellow"/>
              </w:rPr>
            </w:pPr>
          </w:p>
        </w:tc>
        <w:tc>
          <w:tcPr>
            <w:tcW w:w="213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yellow"/>
              </w:rPr>
            </w:pPr>
            <w:r>
              <w:rPr>
                <w:rFonts w:hint="eastAsia" w:asciiTheme="minorEastAsia" w:hAnsiTheme="minorEastAsia" w:eastAsiaTheme="minorEastAsia" w:cstheme="minorEastAsia"/>
                <w:b/>
                <w:sz w:val="24"/>
                <w:szCs w:val="24"/>
                <w:highlight w:val="none"/>
                <w:lang w:eastAsia="zh-CN"/>
              </w:rPr>
              <w:t>推荐人门店</w:t>
            </w:r>
          </w:p>
        </w:tc>
        <w:tc>
          <w:tcPr>
            <w:tcW w:w="213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5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yellow"/>
                <w:lang w:eastAsia="zh-CN"/>
              </w:rPr>
            </w:pPr>
            <w:r>
              <w:rPr>
                <w:rFonts w:hint="eastAsia" w:asciiTheme="minorEastAsia" w:hAnsiTheme="minorEastAsia" w:eastAsiaTheme="minorEastAsia" w:cstheme="minorEastAsia"/>
                <w:b/>
                <w:sz w:val="24"/>
                <w:szCs w:val="24"/>
                <w:highlight w:val="none"/>
                <w:lang w:eastAsia="zh-CN"/>
              </w:rPr>
              <w:t>置业顾问手机</w:t>
            </w:r>
          </w:p>
        </w:tc>
        <w:tc>
          <w:tcPr>
            <w:tcW w:w="181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yellow"/>
              </w:rPr>
            </w:pPr>
          </w:p>
        </w:tc>
        <w:tc>
          <w:tcPr>
            <w:tcW w:w="213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yellow"/>
              </w:rPr>
            </w:pPr>
          </w:p>
        </w:tc>
        <w:tc>
          <w:tcPr>
            <w:tcW w:w="2130" w:type="dxa"/>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520" w:type="dxa"/>
            <w:gridSpan w:val="4"/>
          </w:tcPr>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备注：</w:t>
            </w:r>
          </w:p>
          <w:p>
            <w:pPr>
              <w:keepNext w:val="0"/>
              <w:keepLines w:val="0"/>
              <w:widowControl/>
              <w:suppressLineNumbers w:val="0"/>
              <w:tabs>
                <w:tab w:val="left" w:pos="0"/>
              </w:tabs>
              <w:overflowPunct w:val="0"/>
              <w:autoSpaceDE w:val="0"/>
              <w:autoSpaceDN w:val="0"/>
              <w:adjustRightInd w:val="0"/>
              <w:snapToGrid w:val="0"/>
              <w:spacing w:before="0" w:beforeAutospacing="0" w:after="0" w:afterAutospacing="0" w:line="360" w:lineRule="auto"/>
              <w:ind w:left="0" w:right="0"/>
              <w:textAlignment w:val="baseline"/>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本登记单为贝壳渠道带看确认单，如客户到访，请确认所填信息的准确性。本确认单为线上签字，具有法律效力。</w:t>
            </w:r>
          </w:p>
        </w:tc>
      </w:tr>
    </w:tbl>
    <w:p>
      <w:pPr>
        <w:widowControl/>
        <w:tabs>
          <w:tab w:val="left" w:pos="0"/>
        </w:tabs>
        <w:overflowPunct w:val="0"/>
        <w:autoSpaceDE w:val="0"/>
        <w:autoSpaceDN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highlight w:val="none"/>
        </w:rPr>
      </w:pPr>
    </w:p>
    <w:p>
      <w:pPr>
        <w:widowControl/>
        <w:tabs>
          <w:tab w:val="left" w:pos="0"/>
        </w:tabs>
        <w:overflowPunct w:val="0"/>
        <w:autoSpaceDE w:val="0"/>
        <w:autoSpaceDN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eastAsia="zh-CN"/>
        </w:rPr>
        <w:t>客户签字：</w:t>
      </w:r>
      <w:r>
        <w:rPr>
          <w:rFonts w:hint="eastAsia" w:asciiTheme="minorEastAsia" w:hAnsiTheme="minorEastAsia" w:eastAsiaTheme="minorEastAsia" w:cstheme="minorEastAsia"/>
          <w:b/>
          <w:sz w:val="24"/>
          <w:szCs w:val="24"/>
          <w:highlight w:val="none"/>
          <w:lang w:val="en-US" w:eastAsia="zh-CN"/>
        </w:rPr>
        <w:t xml:space="preserve">                        经纪人签字：</w:t>
      </w:r>
    </w:p>
    <w:p>
      <w:pPr>
        <w:widowControl/>
        <w:tabs>
          <w:tab w:val="left" w:pos="0"/>
        </w:tabs>
        <w:overflowPunct w:val="0"/>
        <w:autoSpaceDE w:val="0"/>
        <w:autoSpaceDN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highlight w:val="yellow"/>
          <w:lang w:val="en-US" w:eastAsia="zh-CN"/>
        </w:rPr>
      </w:pPr>
    </w:p>
    <w:p>
      <w:pPr>
        <w:widowControl/>
        <w:tabs>
          <w:tab w:val="left" w:pos="0"/>
        </w:tabs>
        <w:overflowPunct w:val="0"/>
        <w:autoSpaceDE w:val="0"/>
        <w:autoSpaceDN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highlight w:val="none"/>
          <w:lang w:eastAsia="zh-CN"/>
        </w:rPr>
        <w:t>置业顾问：</w:t>
      </w:r>
      <w:r>
        <w:rPr>
          <w:rFonts w:hint="eastAsia" w:asciiTheme="minorEastAsia" w:hAnsiTheme="minorEastAsia" w:eastAsiaTheme="minorEastAsia" w:cstheme="minorEastAsia"/>
          <w:b/>
          <w:sz w:val="24"/>
          <w:szCs w:val="24"/>
          <w:highlight w:val="none"/>
          <w:lang w:val="en-US" w:eastAsia="zh-CN"/>
        </w:rPr>
        <w:t xml:space="preserve">                        授权代表签字：</w:t>
      </w:r>
    </w:p>
    <w:sectPr>
      <w:headerReference r:id="rId4" w:type="first"/>
      <w:footerReference r:id="rId6" w:type="first"/>
      <w:headerReference r:id="rId3" w:type="default"/>
      <w:footerReference r:id="rId5" w:type="default"/>
      <w:pgSz w:w="11906" w:h="16838"/>
      <w:pgMar w:top="1440" w:right="1066" w:bottom="1440" w:left="1344" w:header="851" w:footer="68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GulimChe">
    <w:altName w:val="Malgun Gothic"/>
    <w:panose1 w:val="020B0609000101010101"/>
    <w:charset w:val="81"/>
    <w:family w:val="modern"/>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jc w:val="both"/>
      <w:rPr>
        <w:rFonts w:hint="eastAsia" w:ascii="Batang" w:hAnsi="Batang" w:cs="GulimChe"/>
        <w:color w:val="999999"/>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y1MrR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zy9B5qzLr3mBeH927ApZnvAS8T60EGk77Ih2AcxT1fxRVDJDw9qlZVVWKIY2x2EL94fO4D&#10;xA/CGZKMhgacXhaVnT5BHFPnlFTNujuldZ6gtqRH1HX1bp1fXEOIri0WSSzGbpMVh/0wUdu79ozM&#10;elyBhlrceEr0R4sKp22ZjTAb+9k4+qAOXV6n1Ar422PEdnKXqcIIOxXG2WWe056l5fjXz1mP/9b2&#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p8tTK0QEAAKMDAAAOAAAAAAAAAAEAIAAAACIB&#10;AABkcnMvZTJvRG9jLnhtbFBLBQYAAAAABgAGAFkBAABlBQAAAAA=&#10;">
              <v:fill on="f" focussize="0,0"/>
              <v:stroke on="f" weight="1.2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270"/>
      <w:jc w:val="both"/>
      <w:rPr>
        <w:rFonts w:ascii="Batang" w:hAnsi="Batang" w:cs="GulimChe"/>
        <w:color w:val="999999"/>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jc w:val="both"/>
      <w:rPr>
        <w:rFonts w:ascii="Batang" w:hAnsi="Batang" w:cs="GulimChe"/>
        <w:color w:val="999999"/>
        <w:sz w:val="16"/>
        <w:szCs w:val="16"/>
      </w:rPr>
    </w:pPr>
    <w:r>
      <w:drawing>
        <wp:inline distT="0" distB="0" distL="114300" distR="114300">
          <wp:extent cx="1019810" cy="314325"/>
          <wp:effectExtent l="0" t="0" r="8890" b="3175"/>
          <wp:docPr id="7" name="图片 4"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270"/>
      <w:jc w:val="both"/>
      <w:rPr>
        <w:rFonts w:ascii="Batang" w:hAnsi="Batang" w:cs="GulimChe"/>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3F09"/>
    <w:multiLevelType w:val="multilevel"/>
    <w:tmpl w:val="088A3F0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104186"/>
    <w:multiLevelType w:val="multilevel"/>
    <w:tmpl w:val="0A104186"/>
    <w:lvl w:ilvl="0" w:tentative="0">
      <w:start w:val="1"/>
      <w:numFmt w:val="decimal"/>
      <w:lvlText w:val="%1、"/>
      <w:lvlJc w:val="left"/>
      <w:pPr>
        <w:ind w:left="780" w:hanging="360"/>
      </w:pPr>
      <w:rPr>
        <w:rFonts w:hint="default"/>
        <w:b w:val="0"/>
        <w:color w:val="auto"/>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124619"/>
    <w:multiLevelType w:val="multilevel"/>
    <w:tmpl w:val="0C12461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E271CE8"/>
    <w:multiLevelType w:val="multilevel"/>
    <w:tmpl w:val="3E271CE8"/>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7BD5757"/>
    <w:multiLevelType w:val="multilevel"/>
    <w:tmpl w:val="57BD5757"/>
    <w:lvl w:ilvl="0" w:tentative="0">
      <w:start w:val="0"/>
      <w:numFmt w:val="decimal"/>
      <w:pStyle w:val="7"/>
      <w:lvlText w:val=""/>
      <w:lvlJc w:val="left"/>
    </w:lvl>
    <w:lvl w:ilvl="1" w:tentative="0">
      <w:start w:val="0"/>
      <w:numFmt w:val="decimal"/>
      <w:pStyle w:val="9"/>
      <w:lvlText w:val=""/>
      <w:lvlJc w:val="left"/>
    </w:lvl>
    <w:lvl w:ilvl="2" w:tentative="0">
      <w:start w:val="0"/>
      <w:numFmt w:val="decimal"/>
      <w:pStyle w:val="10"/>
      <w:lvlText w:val=""/>
      <w:lvlJc w:val="left"/>
    </w:lvl>
    <w:lvl w:ilvl="3" w:tentative="0">
      <w:start w:val="0"/>
      <w:numFmt w:val="decimal"/>
      <w:pStyle w:val="11"/>
      <w:lvlText w:val=""/>
      <w:lvlJc w:val="left"/>
    </w:lvl>
    <w:lvl w:ilvl="4" w:tentative="0">
      <w:start w:val="0"/>
      <w:numFmt w:val="decimal"/>
      <w:pStyle w:val="12"/>
      <w:lvlText w:val=""/>
      <w:lvlJc w:val="left"/>
    </w:lvl>
    <w:lvl w:ilvl="5" w:tentative="0">
      <w:start w:val="0"/>
      <w:numFmt w:val="decimal"/>
      <w:pStyle w:val="13"/>
      <w:lvlText w:val=""/>
      <w:lvlJc w:val="left"/>
    </w:lvl>
    <w:lvl w:ilvl="6" w:tentative="0">
      <w:start w:val="0"/>
      <w:numFmt w:val="decimal"/>
      <w:pStyle w:val="14"/>
      <w:lvlText w:val=""/>
      <w:lvlJc w:val="left"/>
    </w:lvl>
    <w:lvl w:ilvl="7" w:tentative="0">
      <w:start w:val="0"/>
      <w:numFmt w:val="decimal"/>
      <w:pStyle w:val="15"/>
      <w:lvlText w:val=""/>
      <w:lvlJc w:val="left"/>
    </w:lvl>
    <w:lvl w:ilvl="8" w:tentative="0">
      <w:start w:val="0"/>
      <w:numFmt w:val="decimal"/>
      <w:pStyle w:val="16"/>
      <w:lvlText w:val=""/>
      <w:lvlJc w:val="left"/>
    </w:lvl>
  </w:abstractNum>
  <w:abstractNum w:abstractNumId="5">
    <w:nsid w:val="61DA3B49"/>
    <w:multiLevelType w:val="multilevel"/>
    <w:tmpl w:val="61DA3B49"/>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3B6654"/>
    <w:multiLevelType w:val="multilevel"/>
    <w:tmpl w:val="7E3B66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5"/>
  </w:num>
  <w:num w:numId="3">
    <w:abstractNumId w:val="0"/>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A9"/>
    <w:rsid w:val="00001C81"/>
    <w:rsid w:val="000521D8"/>
    <w:rsid w:val="000734A4"/>
    <w:rsid w:val="000861AF"/>
    <w:rsid w:val="000A3CF8"/>
    <w:rsid w:val="000A5F8B"/>
    <w:rsid w:val="000B202E"/>
    <w:rsid w:val="000E5054"/>
    <w:rsid w:val="001557AE"/>
    <w:rsid w:val="00166C41"/>
    <w:rsid w:val="00170C0D"/>
    <w:rsid w:val="00175556"/>
    <w:rsid w:val="00190D11"/>
    <w:rsid w:val="001A137B"/>
    <w:rsid w:val="001E4AFE"/>
    <w:rsid w:val="00200E72"/>
    <w:rsid w:val="0022025A"/>
    <w:rsid w:val="00236DCE"/>
    <w:rsid w:val="002D5D91"/>
    <w:rsid w:val="00336B1A"/>
    <w:rsid w:val="00385042"/>
    <w:rsid w:val="003E65A6"/>
    <w:rsid w:val="00411702"/>
    <w:rsid w:val="00413B7A"/>
    <w:rsid w:val="004244A4"/>
    <w:rsid w:val="00427D45"/>
    <w:rsid w:val="00482852"/>
    <w:rsid w:val="005208DB"/>
    <w:rsid w:val="005828CC"/>
    <w:rsid w:val="005D5401"/>
    <w:rsid w:val="00632FBA"/>
    <w:rsid w:val="006620B5"/>
    <w:rsid w:val="006747AD"/>
    <w:rsid w:val="006B1B9A"/>
    <w:rsid w:val="006E5D68"/>
    <w:rsid w:val="00736A1D"/>
    <w:rsid w:val="007909A9"/>
    <w:rsid w:val="007B1F3B"/>
    <w:rsid w:val="007C7099"/>
    <w:rsid w:val="00801420"/>
    <w:rsid w:val="00833E9E"/>
    <w:rsid w:val="0084249E"/>
    <w:rsid w:val="00867F42"/>
    <w:rsid w:val="00894BAB"/>
    <w:rsid w:val="008B3FBC"/>
    <w:rsid w:val="008C6ED5"/>
    <w:rsid w:val="008E5508"/>
    <w:rsid w:val="00980C45"/>
    <w:rsid w:val="00994EE8"/>
    <w:rsid w:val="009B2EED"/>
    <w:rsid w:val="009C7BA5"/>
    <w:rsid w:val="009D111C"/>
    <w:rsid w:val="009D122A"/>
    <w:rsid w:val="009E7E23"/>
    <w:rsid w:val="009F6A61"/>
    <w:rsid w:val="00A2241E"/>
    <w:rsid w:val="00A3510A"/>
    <w:rsid w:val="00A54182"/>
    <w:rsid w:val="00A7225B"/>
    <w:rsid w:val="00A725CC"/>
    <w:rsid w:val="00A94483"/>
    <w:rsid w:val="00AA4D10"/>
    <w:rsid w:val="00AB2448"/>
    <w:rsid w:val="00AD4325"/>
    <w:rsid w:val="00AE24E2"/>
    <w:rsid w:val="00AE599F"/>
    <w:rsid w:val="00B37241"/>
    <w:rsid w:val="00B6647C"/>
    <w:rsid w:val="00B7638A"/>
    <w:rsid w:val="00B86D7C"/>
    <w:rsid w:val="00BD6BC2"/>
    <w:rsid w:val="00BD7685"/>
    <w:rsid w:val="00BE0CF0"/>
    <w:rsid w:val="00C02CDC"/>
    <w:rsid w:val="00C248B8"/>
    <w:rsid w:val="00C5313F"/>
    <w:rsid w:val="00C53DBF"/>
    <w:rsid w:val="00C771D5"/>
    <w:rsid w:val="00C91613"/>
    <w:rsid w:val="00CA0F5C"/>
    <w:rsid w:val="00CD773E"/>
    <w:rsid w:val="00D37E08"/>
    <w:rsid w:val="00D50C25"/>
    <w:rsid w:val="00D615DB"/>
    <w:rsid w:val="00D63B34"/>
    <w:rsid w:val="00D74B4F"/>
    <w:rsid w:val="00DB4BE1"/>
    <w:rsid w:val="00DC3004"/>
    <w:rsid w:val="00DE59E0"/>
    <w:rsid w:val="00E4083C"/>
    <w:rsid w:val="00E70CFD"/>
    <w:rsid w:val="00E70E39"/>
    <w:rsid w:val="00E90243"/>
    <w:rsid w:val="00E9401D"/>
    <w:rsid w:val="00EB3BB5"/>
    <w:rsid w:val="00EE66B6"/>
    <w:rsid w:val="00EF0583"/>
    <w:rsid w:val="00F10D93"/>
    <w:rsid w:val="00F2220B"/>
    <w:rsid w:val="00F33E86"/>
    <w:rsid w:val="00F4221D"/>
    <w:rsid w:val="00F4275B"/>
    <w:rsid w:val="00F81DD3"/>
    <w:rsid w:val="00F95893"/>
    <w:rsid w:val="00FD5D75"/>
    <w:rsid w:val="00FD7220"/>
    <w:rsid w:val="00FE686E"/>
    <w:rsid w:val="00FF3913"/>
    <w:rsid w:val="01B64BD6"/>
    <w:rsid w:val="01D1795F"/>
    <w:rsid w:val="021268BB"/>
    <w:rsid w:val="02162D21"/>
    <w:rsid w:val="02937DCB"/>
    <w:rsid w:val="031C1BD8"/>
    <w:rsid w:val="035F7D8D"/>
    <w:rsid w:val="03F85EE7"/>
    <w:rsid w:val="04615DF5"/>
    <w:rsid w:val="046D12C6"/>
    <w:rsid w:val="05440BFD"/>
    <w:rsid w:val="061E4AE5"/>
    <w:rsid w:val="06244130"/>
    <w:rsid w:val="06803404"/>
    <w:rsid w:val="071873AC"/>
    <w:rsid w:val="0751151B"/>
    <w:rsid w:val="07634201"/>
    <w:rsid w:val="07EA700E"/>
    <w:rsid w:val="07FE7172"/>
    <w:rsid w:val="083F604C"/>
    <w:rsid w:val="085155E9"/>
    <w:rsid w:val="08E3114C"/>
    <w:rsid w:val="0917430D"/>
    <w:rsid w:val="09830386"/>
    <w:rsid w:val="09A55A5B"/>
    <w:rsid w:val="09B30A61"/>
    <w:rsid w:val="0A35700C"/>
    <w:rsid w:val="0B1536AB"/>
    <w:rsid w:val="0B6B7113"/>
    <w:rsid w:val="0BA25C2C"/>
    <w:rsid w:val="0BD5553F"/>
    <w:rsid w:val="0BE501C4"/>
    <w:rsid w:val="0C2614F6"/>
    <w:rsid w:val="0D271739"/>
    <w:rsid w:val="0E2572D2"/>
    <w:rsid w:val="0E3F3AC2"/>
    <w:rsid w:val="0E5B1E63"/>
    <w:rsid w:val="0E5F754B"/>
    <w:rsid w:val="0EB7056A"/>
    <w:rsid w:val="0F1030AC"/>
    <w:rsid w:val="0F151AE7"/>
    <w:rsid w:val="0F44685A"/>
    <w:rsid w:val="0F5F291E"/>
    <w:rsid w:val="0FDB58A1"/>
    <w:rsid w:val="10490C72"/>
    <w:rsid w:val="107A5C99"/>
    <w:rsid w:val="10B7307E"/>
    <w:rsid w:val="10D2559E"/>
    <w:rsid w:val="11502911"/>
    <w:rsid w:val="11B0232A"/>
    <w:rsid w:val="120058B8"/>
    <w:rsid w:val="13297EA8"/>
    <w:rsid w:val="133F2921"/>
    <w:rsid w:val="141D68E3"/>
    <w:rsid w:val="1549632D"/>
    <w:rsid w:val="15B070DD"/>
    <w:rsid w:val="16152634"/>
    <w:rsid w:val="16A07D08"/>
    <w:rsid w:val="16A8334A"/>
    <w:rsid w:val="16F2452F"/>
    <w:rsid w:val="17056206"/>
    <w:rsid w:val="176A3884"/>
    <w:rsid w:val="17ED3020"/>
    <w:rsid w:val="182665B8"/>
    <w:rsid w:val="185E606F"/>
    <w:rsid w:val="187222BD"/>
    <w:rsid w:val="187F72BD"/>
    <w:rsid w:val="18AD17D9"/>
    <w:rsid w:val="193913F7"/>
    <w:rsid w:val="19501445"/>
    <w:rsid w:val="198B4101"/>
    <w:rsid w:val="198E620A"/>
    <w:rsid w:val="19AD6137"/>
    <w:rsid w:val="19EE7CC1"/>
    <w:rsid w:val="1A2A290E"/>
    <w:rsid w:val="1A775A26"/>
    <w:rsid w:val="1A981E88"/>
    <w:rsid w:val="1AAE1BBF"/>
    <w:rsid w:val="1AB56623"/>
    <w:rsid w:val="1AF519AB"/>
    <w:rsid w:val="1B3431BE"/>
    <w:rsid w:val="1BED2B55"/>
    <w:rsid w:val="1C07015C"/>
    <w:rsid w:val="1C312C04"/>
    <w:rsid w:val="1C700D46"/>
    <w:rsid w:val="1C7E1AD4"/>
    <w:rsid w:val="1C9A2331"/>
    <w:rsid w:val="1C9E3141"/>
    <w:rsid w:val="1CE3772F"/>
    <w:rsid w:val="1D0243A3"/>
    <w:rsid w:val="1D4D0D00"/>
    <w:rsid w:val="1D8F7874"/>
    <w:rsid w:val="1D922C9A"/>
    <w:rsid w:val="1DE559C2"/>
    <w:rsid w:val="1E093DC7"/>
    <w:rsid w:val="1E5E6911"/>
    <w:rsid w:val="1E697321"/>
    <w:rsid w:val="1E713877"/>
    <w:rsid w:val="1EB46B84"/>
    <w:rsid w:val="1EE4095E"/>
    <w:rsid w:val="1EE834CD"/>
    <w:rsid w:val="1FC37559"/>
    <w:rsid w:val="20A8405D"/>
    <w:rsid w:val="20B7606C"/>
    <w:rsid w:val="20BD554A"/>
    <w:rsid w:val="20F146CD"/>
    <w:rsid w:val="214074C9"/>
    <w:rsid w:val="219B1DD2"/>
    <w:rsid w:val="21AE4CEA"/>
    <w:rsid w:val="21B952D8"/>
    <w:rsid w:val="226A7B36"/>
    <w:rsid w:val="22BD5602"/>
    <w:rsid w:val="23A06CF5"/>
    <w:rsid w:val="23B15168"/>
    <w:rsid w:val="24E06F8D"/>
    <w:rsid w:val="24FE1F2E"/>
    <w:rsid w:val="251054A2"/>
    <w:rsid w:val="251151C0"/>
    <w:rsid w:val="252E5403"/>
    <w:rsid w:val="25824D15"/>
    <w:rsid w:val="25DF6DB7"/>
    <w:rsid w:val="25EE3561"/>
    <w:rsid w:val="25FA2A11"/>
    <w:rsid w:val="26395FE1"/>
    <w:rsid w:val="273348B6"/>
    <w:rsid w:val="275E29A9"/>
    <w:rsid w:val="276F11E1"/>
    <w:rsid w:val="27CC7BE9"/>
    <w:rsid w:val="27FD428E"/>
    <w:rsid w:val="280B6235"/>
    <w:rsid w:val="28453391"/>
    <w:rsid w:val="2875168A"/>
    <w:rsid w:val="287659FD"/>
    <w:rsid w:val="2A9D3E0E"/>
    <w:rsid w:val="2BCC53CF"/>
    <w:rsid w:val="2BD618AE"/>
    <w:rsid w:val="2C4E264E"/>
    <w:rsid w:val="2C6D4C3C"/>
    <w:rsid w:val="2D1E6FB8"/>
    <w:rsid w:val="2D3B511C"/>
    <w:rsid w:val="2DCD4B4A"/>
    <w:rsid w:val="2E1A16E8"/>
    <w:rsid w:val="2E1B6392"/>
    <w:rsid w:val="2E3861DF"/>
    <w:rsid w:val="2E3C0A61"/>
    <w:rsid w:val="2E7E6128"/>
    <w:rsid w:val="2E8F7504"/>
    <w:rsid w:val="2EC81949"/>
    <w:rsid w:val="2F273DBD"/>
    <w:rsid w:val="2F545B0E"/>
    <w:rsid w:val="2FF42F31"/>
    <w:rsid w:val="30710C95"/>
    <w:rsid w:val="30AA6C43"/>
    <w:rsid w:val="311A7967"/>
    <w:rsid w:val="321049C3"/>
    <w:rsid w:val="32112C63"/>
    <w:rsid w:val="3260605B"/>
    <w:rsid w:val="33485724"/>
    <w:rsid w:val="33D53079"/>
    <w:rsid w:val="340F0B2D"/>
    <w:rsid w:val="34393C9B"/>
    <w:rsid w:val="346879D3"/>
    <w:rsid w:val="34B94EE8"/>
    <w:rsid w:val="34C45D14"/>
    <w:rsid w:val="34D73A82"/>
    <w:rsid w:val="34E03FCD"/>
    <w:rsid w:val="351346A0"/>
    <w:rsid w:val="351A594E"/>
    <w:rsid w:val="356A4D30"/>
    <w:rsid w:val="356D2E59"/>
    <w:rsid w:val="35DF432B"/>
    <w:rsid w:val="35FD3FA7"/>
    <w:rsid w:val="364E318D"/>
    <w:rsid w:val="36CE23AF"/>
    <w:rsid w:val="36DF7A0E"/>
    <w:rsid w:val="37971624"/>
    <w:rsid w:val="37CC4AF9"/>
    <w:rsid w:val="37FB2F9E"/>
    <w:rsid w:val="38C40C88"/>
    <w:rsid w:val="38C9766F"/>
    <w:rsid w:val="398C5DEE"/>
    <w:rsid w:val="39AB0E52"/>
    <w:rsid w:val="39C23A02"/>
    <w:rsid w:val="39D71EDF"/>
    <w:rsid w:val="39FC19C4"/>
    <w:rsid w:val="3A396940"/>
    <w:rsid w:val="3A550A0D"/>
    <w:rsid w:val="3A814A65"/>
    <w:rsid w:val="3AB003E6"/>
    <w:rsid w:val="3AD95E3F"/>
    <w:rsid w:val="3B216DFE"/>
    <w:rsid w:val="3B4C008A"/>
    <w:rsid w:val="3BBF362F"/>
    <w:rsid w:val="3CB84C97"/>
    <w:rsid w:val="3CF61109"/>
    <w:rsid w:val="3D251D54"/>
    <w:rsid w:val="3D6E015C"/>
    <w:rsid w:val="3DE4240F"/>
    <w:rsid w:val="3E5F5236"/>
    <w:rsid w:val="3E6A3502"/>
    <w:rsid w:val="3E7E6B52"/>
    <w:rsid w:val="3EE333F4"/>
    <w:rsid w:val="3FD51240"/>
    <w:rsid w:val="3FF92DA2"/>
    <w:rsid w:val="4016382D"/>
    <w:rsid w:val="40BA5ADD"/>
    <w:rsid w:val="40BF05C3"/>
    <w:rsid w:val="40D43C4F"/>
    <w:rsid w:val="40EA5B99"/>
    <w:rsid w:val="420B65CB"/>
    <w:rsid w:val="42184127"/>
    <w:rsid w:val="422E54CB"/>
    <w:rsid w:val="42431D3B"/>
    <w:rsid w:val="4279292F"/>
    <w:rsid w:val="429B415D"/>
    <w:rsid w:val="42F93D45"/>
    <w:rsid w:val="430A079D"/>
    <w:rsid w:val="43377B42"/>
    <w:rsid w:val="43817911"/>
    <w:rsid w:val="438513D5"/>
    <w:rsid w:val="44171F9B"/>
    <w:rsid w:val="443A6B1B"/>
    <w:rsid w:val="4463546D"/>
    <w:rsid w:val="448E15E7"/>
    <w:rsid w:val="44FE066A"/>
    <w:rsid w:val="450A26DE"/>
    <w:rsid w:val="45755A1F"/>
    <w:rsid w:val="45837964"/>
    <w:rsid w:val="45C90B9B"/>
    <w:rsid w:val="45CA5CA6"/>
    <w:rsid w:val="45D7747B"/>
    <w:rsid w:val="468526A3"/>
    <w:rsid w:val="47555B17"/>
    <w:rsid w:val="4770793E"/>
    <w:rsid w:val="477B1DE4"/>
    <w:rsid w:val="47933E05"/>
    <w:rsid w:val="47A332CD"/>
    <w:rsid w:val="47DE4EF0"/>
    <w:rsid w:val="47FF60DF"/>
    <w:rsid w:val="48762456"/>
    <w:rsid w:val="489950F4"/>
    <w:rsid w:val="489C4A04"/>
    <w:rsid w:val="4A2A789D"/>
    <w:rsid w:val="4A5F146B"/>
    <w:rsid w:val="4A890B66"/>
    <w:rsid w:val="4AE17DF2"/>
    <w:rsid w:val="4AF20DF6"/>
    <w:rsid w:val="4CA810B0"/>
    <w:rsid w:val="4D7665D1"/>
    <w:rsid w:val="4E672901"/>
    <w:rsid w:val="4EEE3298"/>
    <w:rsid w:val="4F556C9D"/>
    <w:rsid w:val="4FB74734"/>
    <w:rsid w:val="4FE20EDE"/>
    <w:rsid w:val="4FF77B0F"/>
    <w:rsid w:val="505F478F"/>
    <w:rsid w:val="50CF5982"/>
    <w:rsid w:val="50CF7397"/>
    <w:rsid w:val="5126633C"/>
    <w:rsid w:val="51431BD8"/>
    <w:rsid w:val="51890190"/>
    <w:rsid w:val="519A09FD"/>
    <w:rsid w:val="53A4464E"/>
    <w:rsid w:val="53A902D2"/>
    <w:rsid w:val="53AD6AC1"/>
    <w:rsid w:val="53DE1F33"/>
    <w:rsid w:val="554653B4"/>
    <w:rsid w:val="557E3689"/>
    <w:rsid w:val="559935EE"/>
    <w:rsid w:val="55FD060F"/>
    <w:rsid w:val="562709F1"/>
    <w:rsid w:val="56301D45"/>
    <w:rsid w:val="56E11533"/>
    <w:rsid w:val="57364CFC"/>
    <w:rsid w:val="57AC7F60"/>
    <w:rsid w:val="57F6220F"/>
    <w:rsid w:val="57F75BDE"/>
    <w:rsid w:val="58030106"/>
    <w:rsid w:val="585B1881"/>
    <w:rsid w:val="587063E6"/>
    <w:rsid w:val="58C865B7"/>
    <w:rsid w:val="58D60C00"/>
    <w:rsid w:val="590A5E38"/>
    <w:rsid w:val="59714A49"/>
    <w:rsid w:val="59714B31"/>
    <w:rsid w:val="59855ABD"/>
    <w:rsid w:val="5A51270B"/>
    <w:rsid w:val="5B3265DC"/>
    <w:rsid w:val="5B61241D"/>
    <w:rsid w:val="5B706A64"/>
    <w:rsid w:val="5B827E34"/>
    <w:rsid w:val="5C373762"/>
    <w:rsid w:val="5CCE5C48"/>
    <w:rsid w:val="5DDD7167"/>
    <w:rsid w:val="5E0B5E29"/>
    <w:rsid w:val="5E360E3E"/>
    <w:rsid w:val="5E9D50A1"/>
    <w:rsid w:val="5EA2476F"/>
    <w:rsid w:val="5EB26408"/>
    <w:rsid w:val="5F380FA0"/>
    <w:rsid w:val="5F726046"/>
    <w:rsid w:val="5F886C8D"/>
    <w:rsid w:val="5FDA4777"/>
    <w:rsid w:val="60C4053D"/>
    <w:rsid w:val="612D3E1C"/>
    <w:rsid w:val="61F3674D"/>
    <w:rsid w:val="621C3046"/>
    <w:rsid w:val="6237574E"/>
    <w:rsid w:val="624A3C0C"/>
    <w:rsid w:val="62AF6E37"/>
    <w:rsid w:val="62BB4025"/>
    <w:rsid w:val="62D0093C"/>
    <w:rsid w:val="63C90B3F"/>
    <w:rsid w:val="63D6109E"/>
    <w:rsid w:val="64394316"/>
    <w:rsid w:val="64510F85"/>
    <w:rsid w:val="64647AB6"/>
    <w:rsid w:val="64971231"/>
    <w:rsid w:val="65AB71B7"/>
    <w:rsid w:val="66965B5C"/>
    <w:rsid w:val="669E12D3"/>
    <w:rsid w:val="67041B93"/>
    <w:rsid w:val="67061A98"/>
    <w:rsid w:val="67242D89"/>
    <w:rsid w:val="6743120D"/>
    <w:rsid w:val="683121C3"/>
    <w:rsid w:val="699D689C"/>
    <w:rsid w:val="69B33468"/>
    <w:rsid w:val="69CA138F"/>
    <w:rsid w:val="6A416603"/>
    <w:rsid w:val="6A7F1EC3"/>
    <w:rsid w:val="6A934BA3"/>
    <w:rsid w:val="6AF16A1F"/>
    <w:rsid w:val="6B196194"/>
    <w:rsid w:val="6B2426AC"/>
    <w:rsid w:val="6B2D1BD1"/>
    <w:rsid w:val="6B393856"/>
    <w:rsid w:val="6B4833EA"/>
    <w:rsid w:val="6B4C2348"/>
    <w:rsid w:val="6B986A64"/>
    <w:rsid w:val="6BC333DB"/>
    <w:rsid w:val="6BE359DA"/>
    <w:rsid w:val="6BE845C5"/>
    <w:rsid w:val="6BEB47D1"/>
    <w:rsid w:val="6C1C63B8"/>
    <w:rsid w:val="6C20316F"/>
    <w:rsid w:val="6C5332EF"/>
    <w:rsid w:val="6C90371F"/>
    <w:rsid w:val="6CC308A2"/>
    <w:rsid w:val="6CEC041D"/>
    <w:rsid w:val="6D1121A3"/>
    <w:rsid w:val="6D7F78F3"/>
    <w:rsid w:val="6E26650D"/>
    <w:rsid w:val="6E8E3622"/>
    <w:rsid w:val="6EAA403E"/>
    <w:rsid w:val="6EE25199"/>
    <w:rsid w:val="6F1E5DC9"/>
    <w:rsid w:val="6F216E90"/>
    <w:rsid w:val="6F346B3B"/>
    <w:rsid w:val="6F442093"/>
    <w:rsid w:val="6F485585"/>
    <w:rsid w:val="6F675767"/>
    <w:rsid w:val="6F831949"/>
    <w:rsid w:val="6FBB1B9A"/>
    <w:rsid w:val="6FC536CC"/>
    <w:rsid w:val="6FDB3FCE"/>
    <w:rsid w:val="6FF36599"/>
    <w:rsid w:val="6FF56029"/>
    <w:rsid w:val="702F58C4"/>
    <w:rsid w:val="704D27D1"/>
    <w:rsid w:val="707D66CF"/>
    <w:rsid w:val="70E2083B"/>
    <w:rsid w:val="70E64D15"/>
    <w:rsid w:val="70EA2C5E"/>
    <w:rsid w:val="711B39E1"/>
    <w:rsid w:val="714461A1"/>
    <w:rsid w:val="7146106B"/>
    <w:rsid w:val="715B59BD"/>
    <w:rsid w:val="716846F0"/>
    <w:rsid w:val="716F3231"/>
    <w:rsid w:val="722252F0"/>
    <w:rsid w:val="725B525F"/>
    <w:rsid w:val="73214DA9"/>
    <w:rsid w:val="73D753C7"/>
    <w:rsid w:val="73E52F96"/>
    <w:rsid w:val="74103574"/>
    <w:rsid w:val="74AD1DB9"/>
    <w:rsid w:val="74F01C9A"/>
    <w:rsid w:val="74FE12F5"/>
    <w:rsid w:val="751A2821"/>
    <w:rsid w:val="758727C7"/>
    <w:rsid w:val="75E058B1"/>
    <w:rsid w:val="76751099"/>
    <w:rsid w:val="76A67006"/>
    <w:rsid w:val="76A710FE"/>
    <w:rsid w:val="76AA322E"/>
    <w:rsid w:val="76DD7BFA"/>
    <w:rsid w:val="77DF1F93"/>
    <w:rsid w:val="77E033CF"/>
    <w:rsid w:val="7937608F"/>
    <w:rsid w:val="794C7D5C"/>
    <w:rsid w:val="795B0B38"/>
    <w:rsid w:val="797B21B4"/>
    <w:rsid w:val="79D87DC0"/>
    <w:rsid w:val="79F33656"/>
    <w:rsid w:val="79FB2324"/>
    <w:rsid w:val="7A424D65"/>
    <w:rsid w:val="7A8437C1"/>
    <w:rsid w:val="7B685FFF"/>
    <w:rsid w:val="7BE25C41"/>
    <w:rsid w:val="7C002F18"/>
    <w:rsid w:val="7C027855"/>
    <w:rsid w:val="7C0D5DA1"/>
    <w:rsid w:val="7D734FC6"/>
    <w:rsid w:val="7DB21A46"/>
    <w:rsid w:val="7DBB313B"/>
    <w:rsid w:val="7DC307F0"/>
    <w:rsid w:val="7DE62E32"/>
    <w:rsid w:val="7E0124A7"/>
    <w:rsid w:val="7E450487"/>
    <w:rsid w:val="7E9E6203"/>
    <w:rsid w:val="7EDE67B2"/>
    <w:rsid w:val="7EF2593B"/>
    <w:rsid w:val="7F153831"/>
    <w:rsid w:val="7F430FC7"/>
    <w:rsid w:val="7FC56F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0" w:semiHidden="0" w:name="heading 2"/>
    <w:lsdException w:qFormat="1" w:unhideWhenUsed="0" w:uiPriority="0" w:semiHidden="0" w:name="heading 3"/>
    <w:lsdException w:qFormat="1" w:unhideWhenUsed="0" w:uiPriority="6" w:semiHidden="0" w:name="heading 4"/>
    <w:lsdException w:qFormat="1" w:unhideWhenUsed="0" w:uiPriority="6" w:semiHidden="0" w:name="heading 5"/>
    <w:lsdException w:qFormat="1" w:unhideWhenUsed="0" w:uiPriority="6" w:semiHidden="0" w:name="heading 6"/>
    <w:lsdException w:qFormat="1" w:unhideWhenUsed="0" w:uiPriority="6" w:semiHidden="0" w:name="heading 7"/>
    <w:lsdException w:qFormat="1" w:unhideWhenUsed="0" w:uiPriority="6" w:semiHidden="0" w:name="heading 8"/>
    <w:lsdException w:qFormat="1" w:unhideWhenUsed="0" w:uiPriority="6"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4" w:semiHidden="0" w:name="toc 1"/>
    <w:lsdException w:qFormat="1" w:unhideWhenUsed="0" w:uiPriority="4" w:semiHidden="0" w:name="toc 2"/>
    <w:lsdException w:qFormat="1" w:unhideWhenUsed="0" w:uiPriority="4"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qFormat="1" w:unhideWhenUsed="0" w:uiPriority="6"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7"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6"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7" w:semiHidden="0" w:name="List"/>
    <w:lsdException w:uiPriority="99" w:name="List Bullet"/>
    <w:lsdException w:uiPriority="99" w:name="List Number"/>
    <w:lsdException w:qFormat="1" w:unhideWhenUsed="0" w:uiPriority="7" w:semiHidden="0" w:name="List 2"/>
    <w:lsdException w:qFormat="1" w:unhideWhenUsed="0" w:uiPriority="7" w:semiHidden="0" w:name="List 3"/>
    <w:lsdException w:qFormat="1" w:unhideWhenUsed="0" w:uiPriority="7" w:semiHidden="0" w:name="List 4"/>
    <w:lsdException w:qFormat="1" w:unhideWhenUsed="0" w:uiPriority="7"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6" w:semiHidden="0" w:name="Default Paragraph Font"/>
    <w:lsdException w:qFormat="1" w:unhideWhenUsed="0" w:uiPriority="0" w:semiHidden="0" w:name="Body Text"/>
    <w:lsdException w:qFormat="1" w:unhideWhenUsed="0" w:uiPriority="6" w:semiHidden="0" w:name="Body Text Indent"/>
    <w:lsdException w:uiPriority="99" w:name="List Continue"/>
    <w:lsdException w:qFormat="1" w:unhideWhenUsed="0" w:uiPriority="7" w:semiHidden="0" w:name="List Continue 2"/>
    <w:lsdException w:qFormat="1" w:unhideWhenUsed="0" w:uiPriority="7" w:semiHidden="0" w:name="List Continue 3"/>
    <w:lsdException w:qFormat="1" w:unhideWhenUsed="0" w:uiPriority="7" w:semiHidden="0" w:name="List Continue 4"/>
    <w:lsdException w:qFormat="1" w:unhideWhenUsed="0" w:uiPriority="7" w:semiHidden="0" w:name="List Continue 5"/>
    <w:lsdException w:uiPriority="99" w:name="Message Header"/>
    <w:lsdException w:qFormat="1" w:unhideWhenUsed="0" w:uiPriority="11" w:semiHidden="0" w:name="Subtitle"/>
    <w:lsdException w:uiPriority="99" w:name="Salutation"/>
    <w:lsdException w:qFormat="1" w:unhideWhenUsed="0" w:uiPriority="7" w:semiHidden="0" w:name="Date"/>
    <w:lsdException w:uiPriority="99" w:name="Body Text First Indent"/>
    <w:lsdException w:qFormat="1" w:unhideWhenUsed="0" w:uiPriority="0" w:semiHidden="0" w:name="Body Text First Indent 2"/>
    <w:lsdException w:uiPriority="99" w:name="Note Heading"/>
    <w:lsdException w:qFormat="1" w:unhideWhenUsed="0" w:uiPriority="6" w:semiHidden="0" w:name="Body Text 2"/>
    <w:lsdException w:qFormat="1" w:unhideWhenUsed="0" w:uiPriority="6" w:semiHidden="0" w:name="Body Text 3"/>
    <w:lsdException w:qFormat="1" w:unhideWhenUsed="0" w:uiPriority="6" w:semiHidden="0" w:name="Body Text Indent 2"/>
    <w:lsdException w:qFormat="1" w:unhideWhenUsed="0" w:uiPriority="6" w:semiHidden="0" w:name="Body Text Indent 3"/>
    <w:lsdException w:uiPriority="99" w:name="Block Text"/>
    <w:lsdException w:qFormat="1" w:unhideWhenUsed="0" w:uiPriority="99" w:semiHidden="0" w:name="Hyperlink"/>
    <w:lsdException w:qFormat="1" w:unhideWhenUsed="0" w:uiPriority="6"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6" w:semiHidden="0" w:name="Plain Text"/>
    <w:lsdException w:uiPriority="99" w:name="E-mail Signature"/>
    <w:lsdException w:qFormat="1" w:unhideWhenUsed="0" w:uiPriority="7"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6"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6"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Calibri"/>
      <w:color w:val="000000"/>
      <w:sz w:val="21"/>
      <w:szCs w:val="22"/>
      <w:lang w:val="en-US" w:eastAsia="zh-CN" w:bidi="ar-SA"/>
    </w:rPr>
  </w:style>
  <w:style w:type="paragraph" w:styleId="7">
    <w:name w:val="heading 1"/>
    <w:basedOn w:val="1"/>
    <w:next w:val="8"/>
    <w:qFormat/>
    <w:uiPriority w:val="6"/>
    <w:pPr>
      <w:keepNext/>
      <w:keepLines/>
      <w:numPr>
        <w:ilvl w:val="0"/>
        <w:numId w:val="1"/>
      </w:numPr>
      <w:tabs>
        <w:tab w:val="left" w:pos="360"/>
      </w:tabs>
      <w:spacing w:before="160" w:after="160" w:line="160" w:lineRule="atLeast"/>
      <w:ind w:left="425" w:hanging="425"/>
      <w:outlineLvl w:val="0"/>
    </w:pPr>
    <w:rPr>
      <w:rFonts w:ascii="黑体" w:hAnsi="黑体" w:eastAsia="黑体"/>
      <w:sz w:val="32"/>
      <w:szCs w:val="20"/>
    </w:rPr>
  </w:style>
  <w:style w:type="paragraph" w:styleId="9">
    <w:name w:val="heading 2"/>
    <w:basedOn w:val="1"/>
    <w:next w:val="1"/>
    <w:link w:val="52"/>
    <w:qFormat/>
    <w:uiPriority w:val="0"/>
    <w:pPr>
      <w:keepNext/>
      <w:keepLines/>
      <w:numPr>
        <w:ilvl w:val="1"/>
        <w:numId w:val="1"/>
      </w:numPr>
      <w:spacing w:before="160" w:after="160" w:line="160" w:lineRule="atLeast"/>
      <w:ind w:left="851" w:hanging="284"/>
      <w:outlineLvl w:val="1"/>
    </w:pPr>
    <w:rPr>
      <w:rFonts w:hint="eastAsia" w:ascii="黑体" w:hAnsi="宋体" w:eastAsia="黑体" w:cs="Times New Roman"/>
      <w:sz w:val="28"/>
      <w:szCs w:val="20"/>
    </w:rPr>
  </w:style>
  <w:style w:type="paragraph" w:styleId="10">
    <w:name w:val="heading 3"/>
    <w:basedOn w:val="1"/>
    <w:next w:val="8"/>
    <w:link w:val="53"/>
    <w:qFormat/>
    <w:uiPriority w:val="0"/>
    <w:pPr>
      <w:keepNext/>
      <w:keepLines/>
      <w:numPr>
        <w:ilvl w:val="2"/>
        <w:numId w:val="1"/>
      </w:numPr>
      <w:tabs>
        <w:tab w:val="left" w:pos="0"/>
      </w:tabs>
      <w:spacing w:before="160" w:after="160" w:line="160" w:lineRule="atLeast"/>
      <w:ind w:left="851" w:hanging="284"/>
      <w:outlineLvl w:val="2"/>
    </w:pPr>
    <w:rPr>
      <w:rFonts w:hint="eastAsia" w:ascii="黑体" w:hAnsi="宋体" w:eastAsia="黑体" w:cs="Times New Roman"/>
      <w:sz w:val="28"/>
      <w:szCs w:val="20"/>
    </w:rPr>
  </w:style>
  <w:style w:type="paragraph" w:styleId="11">
    <w:name w:val="heading 4"/>
    <w:basedOn w:val="1"/>
    <w:next w:val="1"/>
    <w:qFormat/>
    <w:uiPriority w:val="6"/>
    <w:pPr>
      <w:keepNext/>
      <w:keepLines/>
      <w:numPr>
        <w:ilvl w:val="3"/>
        <w:numId w:val="1"/>
      </w:numPr>
      <w:spacing w:before="280" w:after="290" w:line="376" w:lineRule="atLeast"/>
      <w:ind w:left="1700" w:hanging="425"/>
      <w:outlineLvl w:val="3"/>
    </w:pPr>
    <w:rPr>
      <w:rFonts w:ascii="Arial" w:hAnsi="Arial" w:eastAsia="黑体" w:cs="Arial"/>
      <w:b/>
      <w:sz w:val="28"/>
      <w:szCs w:val="20"/>
    </w:rPr>
  </w:style>
  <w:style w:type="paragraph" w:styleId="12">
    <w:name w:val="heading 5"/>
    <w:basedOn w:val="1"/>
    <w:next w:val="1"/>
    <w:qFormat/>
    <w:uiPriority w:val="6"/>
    <w:pPr>
      <w:keepNext/>
      <w:keepLines/>
      <w:numPr>
        <w:ilvl w:val="4"/>
        <w:numId w:val="1"/>
      </w:numPr>
      <w:spacing w:before="280" w:after="290" w:line="376" w:lineRule="atLeast"/>
      <w:ind w:left="2125" w:hanging="425"/>
      <w:outlineLvl w:val="4"/>
    </w:pPr>
    <w:rPr>
      <w:rFonts w:ascii="Times New Roman" w:hAnsi="Times New Roman" w:cs="Times New Roman"/>
      <w:b/>
      <w:sz w:val="28"/>
      <w:szCs w:val="20"/>
    </w:rPr>
  </w:style>
  <w:style w:type="paragraph" w:styleId="13">
    <w:name w:val="heading 6"/>
    <w:basedOn w:val="1"/>
    <w:next w:val="1"/>
    <w:qFormat/>
    <w:uiPriority w:val="6"/>
    <w:pPr>
      <w:keepNext/>
      <w:keepLines/>
      <w:numPr>
        <w:ilvl w:val="5"/>
        <w:numId w:val="1"/>
      </w:numPr>
      <w:spacing w:before="240" w:after="64" w:line="320" w:lineRule="atLeast"/>
      <w:ind w:left="2550" w:hanging="425"/>
      <w:outlineLvl w:val="5"/>
    </w:pPr>
    <w:rPr>
      <w:rFonts w:ascii="Arial" w:hAnsi="Arial" w:eastAsia="黑体" w:cs="Arial"/>
      <w:b/>
      <w:sz w:val="24"/>
      <w:szCs w:val="20"/>
    </w:rPr>
  </w:style>
  <w:style w:type="paragraph" w:styleId="14">
    <w:name w:val="heading 7"/>
    <w:basedOn w:val="1"/>
    <w:next w:val="1"/>
    <w:qFormat/>
    <w:uiPriority w:val="6"/>
    <w:pPr>
      <w:keepNext/>
      <w:keepLines/>
      <w:numPr>
        <w:ilvl w:val="6"/>
        <w:numId w:val="1"/>
      </w:numPr>
      <w:spacing w:before="240" w:after="64" w:line="320" w:lineRule="atLeast"/>
      <w:ind w:left="2975" w:hanging="425"/>
      <w:outlineLvl w:val="6"/>
    </w:pPr>
    <w:rPr>
      <w:rFonts w:ascii="Times New Roman" w:hAnsi="Times New Roman" w:cs="Times New Roman"/>
      <w:b/>
      <w:sz w:val="24"/>
      <w:szCs w:val="20"/>
    </w:rPr>
  </w:style>
  <w:style w:type="paragraph" w:styleId="15">
    <w:name w:val="heading 8"/>
    <w:basedOn w:val="1"/>
    <w:next w:val="1"/>
    <w:qFormat/>
    <w:uiPriority w:val="6"/>
    <w:pPr>
      <w:keepNext/>
      <w:keepLines/>
      <w:numPr>
        <w:ilvl w:val="7"/>
        <w:numId w:val="1"/>
      </w:numPr>
      <w:spacing w:before="240" w:after="64" w:line="320" w:lineRule="atLeast"/>
      <w:ind w:left="3400" w:hanging="425"/>
      <w:outlineLvl w:val="7"/>
    </w:pPr>
    <w:rPr>
      <w:rFonts w:ascii="Arial" w:hAnsi="Arial" w:eastAsia="黑体" w:cs="Arial"/>
      <w:sz w:val="24"/>
      <w:szCs w:val="20"/>
    </w:rPr>
  </w:style>
  <w:style w:type="paragraph" w:styleId="16">
    <w:name w:val="heading 9"/>
    <w:basedOn w:val="1"/>
    <w:next w:val="1"/>
    <w:qFormat/>
    <w:uiPriority w:val="6"/>
    <w:pPr>
      <w:keepNext/>
      <w:keepLines/>
      <w:numPr>
        <w:ilvl w:val="8"/>
        <w:numId w:val="1"/>
      </w:numPr>
      <w:spacing w:before="240" w:after="64" w:line="320" w:lineRule="atLeast"/>
      <w:ind w:left="3825" w:hanging="425"/>
      <w:outlineLvl w:val="8"/>
    </w:pPr>
    <w:rPr>
      <w:rFonts w:ascii="Arial" w:hAnsi="Arial" w:eastAsia="黑体" w:cs="Arial"/>
      <w:szCs w:val="20"/>
    </w:rPr>
  </w:style>
  <w:style w:type="character" w:default="1" w:styleId="46">
    <w:name w:val="Default Paragraph Font"/>
    <w:qFormat/>
    <w:uiPriority w:val="6"/>
  </w:style>
  <w:style w:type="table" w:default="1" w:styleId="4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51"/>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6"/>
    <w:pPr>
      <w:ind w:firstLine="645"/>
    </w:pPr>
    <w:rPr>
      <w:rFonts w:ascii="宋体" w:hAnsi="宋体"/>
      <w:kern w:val="1"/>
      <w:sz w:val="32"/>
      <w:szCs w:val="20"/>
    </w:rPr>
  </w:style>
  <w:style w:type="paragraph" w:customStyle="1" w:styleId="8">
    <w:name w:val="文档正文"/>
    <w:basedOn w:val="1"/>
    <w:qFormat/>
    <w:uiPriority w:val="1718"/>
    <w:pPr>
      <w:spacing w:line="480" w:lineRule="atLeast"/>
      <w:ind w:firstLine="567"/>
    </w:pPr>
    <w:rPr>
      <w:rFonts w:ascii="仿宋_GB2312" w:hAnsi="仿宋_GB2312" w:eastAsia="仿宋_GB2312"/>
      <w:sz w:val="28"/>
      <w:szCs w:val="20"/>
    </w:rPr>
  </w:style>
  <w:style w:type="paragraph" w:styleId="17">
    <w:name w:val="List 3"/>
    <w:basedOn w:val="1"/>
    <w:qFormat/>
    <w:uiPriority w:val="7"/>
    <w:pPr>
      <w:ind w:left="600" w:hanging="200"/>
    </w:pPr>
    <w:rPr>
      <w:rFonts w:ascii="Times New Roman" w:hAnsi="Times New Roman" w:cs="Times New Roman"/>
      <w:kern w:val="1"/>
      <w:szCs w:val="20"/>
    </w:rPr>
  </w:style>
  <w:style w:type="paragraph" w:styleId="18">
    <w:name w:val="Normal Indent"/>
    <w:basedOn w:val="1"/>
    <w:qFormat/>
    <w:uiPriority w:val="7"/>
    <w:pPr>
      <w:ind w:firstLine="420"/>
    </w:pPr>
    <w:rPr>
      <w:rFonts w:ascii="Times New Roman" w:hAnsi="Times New Roman" w:cs="Times New Roman"/>
      <w:kern w:val="1"/>
      <w:sz w:val="28"/>
      <w:szCs w:val="20"/>
    </w:rPr>
  </w:style>
  <w:style w:type="paragraph" w:styleId="19">
    <w:name w:val="caption"/>
    <w:basedOn w:val="1"/>
    <w:next w:val="1"/>
    <w:qFormat/>
    <w:uiPriority w:val="7"/>
    <w:pPr>
      <w:spacing w:before="152" w:after="160"/>
    </w:pPr>
    <w:rPr>
      <w:rFonts w:ascii="Arial" w:hAnsi="Arial" w:eastAsia="黑体" w:cs="Arial"/>
      <w:kern w:val="1"/>
      <w:sz w:val="20"/>
      <w:szCs w:val="20"/>
    </w:rPr>
  </w:style>
  <w:style w:type="paragraph" w:styleId="20">
    <w:name w:val="annotation text"/>
    <w:basedOn w:val="1"/>
    <w:link w:val="54"/>
    <w:qFormat/>
    <w:uiPriority w:val="0"/>
    <w:pPr>
      <w:jc w:val="left"/>
    </w:pPr>
    <w:rPr>
      <w:rFonts w:cs="Times New Roman"/>
      <w:kern w:val="1"/>
    </w:rPr>
  </w:style>
  <w:style w:type="paragraph" w:styleId="21">
    <w:name w:val="Body Text 3"/>
    <w:basedOn w:val="1"/>
    <w:qFormat/>
    <w:uiPriority w:val="6"/>
    <w:pPr>
      <w:spacing w:after="120"/>
    </w:pPr>
    <w:rPr>
      <w:rFonts w:ascii="Times New Roman" w:hAnsi="Times New Roman" w:cs="Times New Roman"/>
      <w:kern w:val="1"/>
      <w:sz w:val="16"/>
      <w:szCs w:val="16"/>
    </w:rPr>
  </w:style>
  <w:style w:type="paragraph" w:styleId="22">
    <w:name w:val="List 2"/>
    <w:basedOn w:val="1"/>
    <w:qFormat/>
    <w:uiPriority w:val="7"/>
    <w:pPr>
      <w:ind w:left="400" w:hanging="200"/>
    </w:pPr>
    <w:rPr>
      <w:rFonts w:ascii="Times New Roman" w:hAnsi="Times New Roman" w:cs="Times New Roman"/>
      <w:kern w:val="1"/>
      <w:szCs w:val="20"/>
    </w:rPr>
  </w:style>
  <w:style w:type="paragraph" w:styleId="23">
    <w:name w:val="toc 3"/>
    <w:basedOn w:val="1"/>
    <w:next w:val="1"/>
    <w:qFormat/>
    <w:uiPriority w:val="4"/>
    <w:pPr>
      <w:tabs>
        <w:tab w:val="right" w:leader="dot" w:pos="8776"/>
      </w:tabs>
      <w:spacing w:line="400" w:lineRule="exact"/>
      <w:ind w:left="400" w:firstLine="200"/>
    </w:pPr>
    <w:rPr>
      <w:rFonts w:ascii="宋体" w:hAnsi="宋体"/>
      <w:kern w:val="1"/>
      <w:sz w:val="18"/>
      <w:szCs w:val="18"/>
    </w:rPr>
  </w:style>
  <w:style w:type="paragraph" w:styleId="24">
    <w:name w:val="Plain Text"/>
    <w:basedOn w:val="1"/>
    <w:qFormat/>
    <w:uiPriority w:val="6"/>
    <w:pPr>
      <w:spacing w:line="360" w:lineRule="auto"/>
      <w:ind w:firstLine="200"/>
    </w:pPr>
    <w:rPr>
      <w:rFonts w:ascii="宋体" w:hAnsi="宋体" w:eastAsia="仿宋_GB2312" w:cs="Courier New"/>
      <w:kern w:val="1"/>
      <w:sz w:val="24"/>
      <w:szCs w:val="21"/>
    </w:rPr>
  </w:style>
  <w:style w:type="paragraph" w:styleId="25">
    <w:name w:val="Date"/>
    <w:basedOn w:val="1"/>
    <w:next w:val="1"/>
    <w:qFormat/>
    <w:uiPriority w:val="7"/>
    <w:pPr>
      <w:ind w:left="2500"/>
    </w:pPr>
    <w:rPr>
      <w:kern w:val="1"/>
    </w:rPr>
  </w:style>
  <w:style w:type="paragraph" w:styleId="26">
    <w:name w:val="Body Text Indent 2"/>
    <w:basedOn w:val="1"/>
    <w:qFormat/>
    <w:uiPriority w:val="6"/>
    <w:pPr>
      <w:ind w:firstLine="630"/>
    </w:pPr>
    <w:rPr>
      <w:rFonts w:ascii="宋体" w:hAnsi="宋体"/>
      <w:kern w:val="1"/>
      <w:sz w:val="32"/>
      <w:szCs w:val="20"/>
    </w:rPr>
  </w:style>
  <w:style w:type="paragraph" w:styleId="27">
    <w:name w:val="List Continue 5"/>
    <w:basedOn w:val="1"/>
    <w:qFormat/>
    <w:uiPriority w:val="7"/>
    <w:pPr>
      <w:spacing w:after="120"/>
      <w:ind w:left="1000"/>
    </w:pPr>
    <w:rPr>
      <w:rFonts w:ascii="Times New Roman" w:hAnsi="Times New Roman" w:cs="Times New Roman"/>
      <w:kern w:val="1"/>
      <w:szCs w:val="20"/>
    </w:rPr>
  </w:style>
  <w:style w:type="paragraph" w:styleId="28">
    <w:name w:val="Balloon Text"/>
    <w:basedOn w:val="1"/>
    <w:qFormat/>
    <w:uiPriority w:val="6"/>
    <w:rPr>
      <w:kern w:val="1"/>
      <w:sz w:val="18"/>
      <w:szCs w:val="18"/>
    </w:rPr>
  </w:style>
  <w:style w:type="paragraph" w:styleId="29">
    <w:name w:val="footer"/>
    <w:basedOn w:val="1"/>
    <w:link w:val="55"/>
    <w:qFormat/>
    <w:uiPriority w:val="99"/>
    <w:pPr>
      <w:tabs>
        <w:tab w:val="center" w:pos="4153"/>
        <w:tab w:val="right" w:pos="8306"/>
      </w:tabs>
      <w:jc w:val="left"/>
    </w:pPr>
    <w:rPr>
      <w:rFonts w:cs="Times New Roman"/>
      <w:kern w:val="1"/>
      <w:sz w:val="18"/>
      <w:szCs w:val="18"/>
    </w:rPr>
  </w:style>
  <w:style w:type="paragraph" w:styleId="30">
    <w:name w:val="header"/>
    <w:basedOn w:val="1"/>
    <w:link w:val="56"/>
    <w:qFormat/>
    <w:uiPriority w:val="0"/>
    <w:pPr>
      <w:pBdr>
        <w:bottom w:val="single" w:color="000000" w:sz="6" w:space="1"/>
      </w:pBdr>
      <w:tabs>
        <w:tab w:val="center" w:pos="4153"/>
        <w:tab w:val="right" w:pos="8306"/>
      </w:tabs>
      <w:jc w:val="center"/>
    </w:pPr>
    <w:rPr>
      <w:rFonts w:cs="Times New Roman"/>
      <w:kern w:val="1"/>
      <w:sz w:val="18"/>
      <w:szCs w:val="18"/>
    </w:rPr>
  </w:style>
  <w:style w:type="paragraph" w:styleId="31">
    <w:name w:val="toc 1"/>
    <w:basedOn w:val="1"/>
    <w:next w:val="1"/>
    <w:qFormat/>
    <w:uiPriority w:val="4"/>
    <w:pPr>
      <w:tabs>
        <w:tab w:val="right" w:leader="dot" w:pos="8776"/>
      </w:tabs>
      <w:spacing w:line="360" w:lineRule="exact"/>
      <w:ind w:firstLine="200"/>
    </w:pPr>
    <w:rPr>
      <w:rFonts w:ascii="华文中宋" w:hAnsi="华文中宋"/>
      <w:b/>
      <w:kern w:val="1"/>
      <w:sz w:val="24"/>
      <w:szCs w:val="24"/>
    </w:rPr>
  </w:style>
  <w:style w:type="paragraph" w:styleId="32">
    <w:name w:val="List Continue 4"/>
    <w:basedOn w:val="1"/>
    <w:qFormat/>
    <w:uiPriority w:val="7"/>
    <w:pPr>
      <w:spacing w:after="120"/>
      <w:ind w:left="800"/>
    </w:pPr>
    <w:rPr>
      <w:rFonts w:ascii="Times New Roman" w:hAnsi="Times New Roman" w:cs="Times New Roman"/>
      <w:kern w:val="1"/>
      <w:szCs w:val="20"/>
    </w:rPr>
  </w:style>
  <w:style w:type="paragraph" w:styleId="33">
    <w:name w:val="List"/>
    <w:basedOn w:val="1"/>
    <w:qFormat/>
    <w:uiPriority w:val="7"/>
    <w:pPr>
      <w:ind w:left="200" w:hanging="200"/>
    </w:pPr>
    <w:rPr>
      <w:rFonts w:ascii="Times New Roman" w:hAnsi="Times New Roman" w:cs="Times New Roman"/>
      <w:kern w:val="1"/>
      <w:szCs w:val="20"/>
    </w:rPr>
  </w:style>
  <w:style w:type="paragraph" w:styleId="34">
    <w:name w:val="footnote text"/>
    <w:basedOn w:val="1"/>
    <w:qFormat/>
    <w:uiPriority w:val="6"/>
    <w:pPr>
      <w:spacing w:line="312" w:lineRule="atLeast"/>
      <w:jc w:val="left"/>
    </w:pPr>
    <w:rPr>
      <w:rFonts w:ascii="Times New Roman" w:hAnsi="Times New Roman" w:cs="Times New Roman"/>
      <w:sz w:val="18"/>
      <w:szCs w:val="20"/>
    </w:rPr>
  </w:style>
  <w:style w:type="paragraph" w:styleId="35">
    <w:name w:val="List 5"/>
    <w:basedOn w:val="1"/>
    <w:qFormat/>
    <w:uiPriority w:val="7"/>
    <w:pPr>
      <w:ind w:left="1000" w:hanging="200"/>
    </w:pPr>
    <w:rPr>
      <w:rFonts w:ascii="Times New Roman" w:hAnsi="Times New Roman" w:cs="Times New Roman"/>
      <w:kern w:val="1"/>
      <w:szCs w:val="20"/>
    </w:rPr>
  </w:style>
  <w:style w:type="paragraph" w:styleId="36">
    <w:name w:val="Body Text Indent 3"/>
    <w:basedOn w:val="1"/>
    <w:qFormat/>
    <w:uiPriority w:val="6"/>
    <w:pPr>
      <w:spacing w:line="360" w:lineRule="auto"/>
      <w:ind w:firstLine="468"/>
    </w:pPr>
    <w:rPr>
      <w:rFonts w:ascii="Times New Roman" w:hAnsi="Times New Roman" w:cs="Times New Roman"/>
      <w:kern w:val="1"/>
      <w:sz w:val="24"/>
      <w:szCs w:val="20"/>
    </w:rPr>
  </w:style>
  <w:style w:type="paragraph" w:styleId="37">
    <w:name w:val="toc 2"/>
    <w:basedOn w:val="1"/>
    <w:next w:val="1"/>
    <w:qFormat/>
    <w:uiPriority w:val="4"/>
    <w:pPr>
      <w:tabs>
        <w:tab w:val="right" w:leader="dot" w:pos="8776"/>
      </w:tabs>
      <w:spacing w:line="360" w:lineRule="auto"/>
      <w:ind w:left="200" w:firstLine="200"/>
    </w:pPr>
    <w:rPr>
      <w:rFonts w:ascii="华文中宋" w:hAnsi="华文中宋"/>
      <w:kern w:val="1"/>
      <w:sz w:val="24"/>
      <w:szCs w:val="24"/>
    </w:rPr>
  </w:style>
  <w:style w:type="paragraph" w:styleId="38">
    <w:name w:val="Body Text 2"/>
    <w:basedOn w:val="1"/>
    <w:qFormat/>
    <w:uiPriority w:val="6"/>
    <w:pPr>
      <w:spacing w:after="120" w:line="480" w:lineRule="auto"/>
    </w:pPr>
    <w:rPr>
      <w:rFonts w:ascii="Times New Roman" w:hAnsi="Times New Roman" w:cs="Times New Roman"/>
      <w:kern w:val="1"/>
      <w:szCs w:val="20"/>
    </w:rPr>
  </w:style>
  <w:style w:type="paragraph" w:styleId="39">
    <w:name w:val="List 4"/>
    <w:basedOn w:val="1"/>
    <w:qFormat/>
    <w:uiPriority w:val="7"/>
    <w:pPr>
      <w:ind w:left="800" w:hanging="200"/>
    </w:pPr>
    <w:rPr>
      <w:rFonts w:ascii="Times New Roman" w:hAnsi="Times New Roman" w:cs="Times New Roman"/>
      <w:kern w:val="1"/>
      <w:szCs w:val="20"/>
    </w:rPr>
  </w:style>
  <w:style w:type="paragraph" w:styleId="40">
    <w:name w:val="List Continue 2"/>
    <w:basedOn w:val="1"/>
    <w:qFormat/>
    <w:uiPriority w:val="7"/>
    <w:pPr>
      <w:spacing w:after="120"/>
      <w:ind w:left="400"/>
    </w:pPr>
    <w:rPr>
      <w:rFonts w:ascii="Times New Roman" w:hAnsi="Times New Roman" w:cs="Times New Roman"/>
      <w:kern w:val="1"/>
      <w:szCs w:val="20"/>
    </w:rPr>
  </w:style>
  <w:style w:type="paragraph" w:styleId="41">
    <w:name w:val="Normal (Web)"/>
    <w:basedOn w:val="1"/>
    <w:qFormat/>
    <w:uiPriority w:val="7"/>
    <w:pPr>
      <w:widowControl/>
      <w:spacing w:before="100" w:beforeAutospacing="1" w:after="100" w:afterAutospacing="1"/>
      <w:jc w:val="left"/>
    </w:pPr>
    <w:rPr>
      <w:rFonts w:ascii="宋体" w:hAnsi="宋体"/>
      <w:sz w:val="24"/>
      <w:szCs w:val="24"/>
    </w:rPr>
  </w:style>
  <w:style w:type="paragraph" w:styleId="42">
    <w:name w:val="List Continue 3"/>
    <w:basedOn w:val="1"/>
    <w:qFormat/>
    <w:uiPriority w:val="7"/>
    <w:pPr>
      <w:spacing w:after="120"/>
      <w:ind w:left="600"/>
    </w:pPr>
    <w:rPr>
      <w:rFonts w:ascii="Times New Roman" w:hAnsi="Times New Roman" w:cs="Times New Roman"/>
      <w:kern w:val="1"/>
      <w:szCs w:val="20"/>
    </w:rPr>
  </w:style>
  <w:style w:type="paragraph" w:styleId="43">
    <w:name w:val="annotation subject"/>
    <w:basedOn w:val="20"/>
    <w:next w:val="20"/>
    <w:qFormat/>
    <w:uiPriority w:val="6"/>
    <w:rPr>
      <w:b/>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qFormat/>
    <w:uiPriority w:val="0"/>
  </w:style>
  <w:style w:type="character" w:styleId="48">
    <w:name w:val="FollowedHyperlink"/>
    <w:qFormat/>
    <w:uiPriority w:val="6"/>
    <w:rPr>
      <w:color w:val="7F007F"/>
      <w:u w:val="single"/>
    </w:rPr>
  </w:style>
  <w:style w:type="character" w:styleId="49">
    <w:name w:val="Hyperlink"/>
    <w:qFormat/>
    <w:uiPriority w:val="99"/>
    <w:rPr>
      <w:color w:val="0000FF"/>
      <w:u w:val="single"/>
    </w:rPr>
  </w:style>
  <w:style w:type="character" w:styleId="50">
    <w:name w:val="annotation reference"/>
    <w:qFormat/>
    <w:uiPriority w:val="6"/>
    <w:rPr>
      <w:sz w:val="21"/>
      <w:szCs w:val="21"/>
    </w:rPr>
  </w:style>
  <w:style w:type="character" w:customStyle="1" w:styleId="51">
    <w:name w:val="正文文本 字符"/>
    <w:link w:val="2"/>
    <w:qFormat/>
    <w:uiPriority w:val="0"/>
    <w:rPr>
      <w:color w:val="000000"/>
      <w:kern w:val="1"/>
      <w:sz w:val="24"/>
    </w:rPr>
  </w:style>
  <w:style w:type="character" w:customStyle="1" w:styleId="52">
    <w:name w:val="标题 2 字符"/>
    <w:link w:val="9"/>
    <w:qFormat/>
    <w:uiPriority w:val="0"/>
    <w:rPr>
      <w:rFonts w:hint="eastAsia" w:ascii="黑体" w:hAnsi="宋体" w:eastAsia="黑体" w:cs="Calibri"/>
      <w:color w:val="000000"/>
      <w:sz w:val="28"/>
    </w:rPr>
  </w:style>
  <w:style w:type="character" w:customStyle="1" w:styleId="53">
    <w:name w:val="标题 3 字符"/>
    <w:link w:val="10"/>
    <w:qFormat/>
    <w:uiPriority w:val="0"/>
    <w:rPr>
      <w:rFonts w:hint="eastAsia" w:ascii="黑体" w:hAnsi="宋体" w:eastAsia="黑体" w:cs="Calibri"/>
      <w:color w:val="000000"/>
      <w:sz w:val="28"/>
    </w:rPr>
  </w:style>
  <w:style w:type="character" w:customStyle="1" w:styleId="54">
    <w:name w:val="批注文字 字符"/>
    <w:link w:val="20"/>
    <w:qFormat/>
    <w:uiPriority w:val="0"/>
    <w:rPr>
      <w:rFonts w:hint="default" w:ascii="Calibri" w:hAnsi="Calibri" w:cs="Calibri"/>
      <w:color w:val="000000"/>
      <w:kern w:val="1"/>
      <w:sz w:val="21"/>
      <w:szCs w:val="22"/>
    </w:rPr>
  </w:style>
  <w:style w:type="character" w:customStyle="1" w:styleId="55">
    <w:name w:val="页脚 字符"/>
    <w:link w:val="29"/>
    <w:qFormat/>
    <w:uiPriority w:val="99"/>
    <w:rPr>
      <w:rFonts w:cs="Calibri"/>
      <w:color w:val="000000"/>
      <w:kern w:val="1"/>
      <w:sz w:val="18"/>
      <w:szCs w:val="18"/>
    </w:rPr>
  </w:style>
  <w:style w:type="character" w:customStyle="1" w:styleId="56">
    <w:name w:val="页眉 字符"/>
    <w:link w:val="30"/>
    <w:qFormat/>
    <w:uiPriority w:val="0"/>
    <w:rPr>
      <w:rFonts w:cs="Calibri"/>
      <w:color w:val="000000"/>
      <w:kern w:val="1"/>
      <w:sz w:val="18"/>
      <w:szCs w:val="18"/>
    </w:rPr>
  </w:style>
  <w:style w:type="character" w:customStyle="1" w:styleId="57">
    <w:name w:val=" Char Char1"/>
    <w:qFormat/>
    <w:uiPriority w:val="6"/>
    <w:rPr>
      <w:rFonts w:ascii="Calibri" w:hAnsi="Calibri" w:eastAsia="宋体"/>
      <w:kern w:val="1"/>
      <w:sz w:val="21"/>
      <w:szCs w:val="22"/>
    </w:rPr>
  </w:style>
  <w:style w:type="character" w:customStyle="1" w:styleId="58">
    <w:name w:val=" Char Char"/>
    <w:qFormat/>
    <w:uiPriority w:val="6"/>
    <w:rPr>
      <w:b/>
    </w:rPr>
  </w:style>
  <w:style w:type="character" w:customStyle="1" w:styleId="59">
    <w:name w:val="1051"/>
    <w:qFormat/>
    <w:uiPriority w:val="3"/>
    <w:rPr>
      <w:sz w:val="21"/>
      <w:szCs w:val="21"/>
    </w:rPr>
  </w:style>
  <w:style w:type="paragraph" w:customStyle="1" w:styleId="60">
    <w:name w:val="Blockquote"/>
    <w:basedOn w:val="1"/>
    <w:qFormat/>
    <w:uiPriority w:val="6"/>
    <w:pPr>
      <w:spacing w:before="100" w:after="100"/>
      <w:ind w:left="360" w:right="360"/>
      <w:jc w:val="left"/>
    </w:pPr>
    <w:rPr>
      <w:rFonts w:ascii="Times New Roman" w:hAnsi="Times New Roman" w:cs="Times New Roman"/>
      <w:sz w:val="24"/>
      <w:szCs w:val="20"/>
    </w:rPr>
  </w:style>
  <w:style w:type="paragraph" w:customStyle="1" w:styleId="61">
    <w:name w:val="xl25"/>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jc w:val="left"/>
    </w:pPr>
    <w:rPr>
      <w:rFonts w:ascii="Arial Unicode MS" w:hAnsi="Arial Unicode MS" w:cs="宋体"/>
      <w:sz w:val="24"/>
      <w:szCs w:val="24"/>
    </w:rPr>
  </w:style>
  <w:style w:type="paragraph" w:customStyle="1" w:styleId="62">
    <w:name w:val="_Style 6"/>
    <w:basedOn w:val="1"/>
    <w:qFormat/>
    <w:uiPriority w:val="7"/>
    <w:pPr>
      <w:spacing w:line="360" w:lineRule="atLeast"/>
    </w:pPr>
    <w:rPr>
      <w:rFonts w:ascii="Times New Roman" w:hAnsi="Times New Roman" w:cs="Times New Roman"/>
      <w:kern w:val="1"/>
      <w:szCs w:val="24"/>
    </w:rPr>
  </w:style>
  <w:style w:type="paragraph" w:customStyle="1" w:styleId="63">
    <w:name w:val="font7"/>
    <w:basedOn w:val="1"/>
    <w:qFormat/>
    <w:uiPriority w:val="6"/>
    <w:pPr>
      <w:widowControl/>
      <w:spacing w:before="100" w:beforeAutospacing="1" w:after="100" w:afterAutospacing="1" w:line="360" w:lineRule="auto"/>
      <w:ind w:firstLine="200"/>
      <w:jc w:val="left"/>
    </w:pPr>
    <w:rPr>
      <w:rFonts w:ascii="仿宋_GB2312" w:hAnsi="仿宋_GB2312" w:cs="仿宋_GB2312"/>
      <w:sz w:val="24"/>
      <w:szCs w:val="24"/>
    </w:rPr>
  </w:style>
  <w:style w:type="paragraph" w:customStyle="1" w:styleId="64">
    <w:name w:val="表格"/>
    <w:basedOn w:val="1"/>
    <w:qFormat/>
    <w:uiPriority w:val="0"/>
    <w:pPr>
      <w:spacing w:line="400" w:lineRule="atLeast"/>
    </w:pPr>
    <w:rPr>
      <w:rFonts w:ascii="仿宋_GB2312" w:hAnsi="仿宋_GB2312" w:eastAsia="仿宋_GB2312"/>
      <w:sz w:val="28"/>
      <w:szCs w:val="20"/>
    </w:rPr>
  </w:style>
  <w:style w:type="paragraph" w:customStyle="1" w:styleId="65">
    <w:name w:val="xl24"/>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jc w:val="center"/>
    </w:pPr>
    <w:rPr>
      <w:rFonts w:ascii="Arial Unicode MS" w:hAnsi="Arial Unicode MS" w:cs="宋体"/>
      <w:sz w:val="24"/>
      <w:szCs w:val="24"/>
    </w:rPr>
  </w:style>
  <w:style w:type="paragraph" w:customStyle="1" w:styleId="66">
    <w:name w:val="正文内容"/>
    <w:basedOn w:val="1"/>
    <w:qFormat/>
    <w:uiPriority w:val="1304"/>
    <w:pPr>
      <w:widowControl/>
      <w:jc w:val="left"/>
    </w:pPr>
    <w:rPr>
      <w:rFonts w:ascii="宋体" w:hAnsi="宋体" w:cs="宋体"/>
      <w:sz w:val="28"/>
      <w:szCs w:val="24"/>
    </w:rPr>
  </w:style>
  <w:style w:type="paragraph" w:customStyle="1" w:styleId="67">
    <w:name w:val="p0"/>
    <w:basedOn w:val="1"/>
    <w:qFormat/>
    <w:uiPriority w:val="0"/>
    <w:pPr>
      <w:widowControl/>
    </w:pPr>
    <w:rPr>
      <w:szCs w:val="21"/>
    </w:rPr>
  </w:style>
  <w:style w:type="paragraph" w:customStyle="1" w:styleId="68">
    <w:name w:val="简单回函地址"/>
    <w:basedOn w:val="1"/>
    <w:qFormat/>
    <w:uiPriority w:val="1389"/>
    <w:rPr>
      <w:rFonts w:ascii="Times New Roman" w:hAnsi="Times New Roman" w:cs="Times New Roman"/>
      <w:kern w:val="1"/>
      <w:szCs w:val="20"/>
    </w:rPr>
  </w:style>
  <w:style w:type="paragraph" w:customStyle="1" w:styleId="69">
    <w:name w:val="font5"/>
    <w:basedOn w:val="1"/>
    <w:qFormat/>
    <w:uiPriority w:val="6"/>
    <w:pPr>
      <w:widowControl/>
      <w:spacing w:before="100" w:beforeAutospacing="1" w:after="100" w:afterAutospacing="1" w:line="360" w:lineRule="auto"/>
      <w:ind w:firstLine="200"/>
      <w:jc w:val="left"/>
    </w:pPr>
    <w:rPr>
      <w:rFonts w:ascii="宋体" w:hAnsi="宋体" w:eastAsia="仿宋_GB2312" w:cs="宋体"/>
      <w:sz w:val="24"/>
      <w:szCs w:val="24"/>
    </w:rPr>
  </w:style>
  <w:style w:type="paragraph" w:customStyle="1" w:styleId="70">
    <w:name w:val="font6"/>
    <w:basedOn w:val="1"/>
    <w:qFormat/>
    <w:uiPriority w:val="6"/>
    <w:pPr>
      <w:widowControl/>
      <w:spacing w:before="100" w:beforeAutospacing="1" w:after="100" w:afterAutospacing="1" w:line="360" w:lineRule="auto"/>
      <w:ind w:firstLine="200"/>
      <w:jc w:val="left"/>
    </w:pPr>
    <w:rPr>
      <w:rFonts w:ascii="宋体" w:hAnsi="宋体" w:eastAsia="仿宋_GB2312" w:cs="宋体"/>
      <w:sz w:val="18"/>
      <w:szCs w:val="18"/>
    </w:rPr>
  </w:style>
  <w:style w:type="paragraph" w:customStyle="1" w:styleId="71">
    <w:name w:val="xl26"/>
    <w:basedOn w:val="1"/>
    <w:qFormat/>
    <w:uiPriority w:val="3"/>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360" w:lineRule="auto"/>
      <w:ind w:firstLine="200"/>
      <w:jc w:val="center"/>
    </w:pPr>
    <w:rPr>
      <w:rFonts w:ascii="Arial Unicode MS" w:hAnsi="Arial Unicode MS" w:cs="宋体"/>
      <w:sz w:val="18"/>
      <w:szCs w:val="18"/>
    </w:rPr>
  </w:style>
  <w:style w:type="paragraph" w:customStyle="1" w:styleId="72">
    <w:name w:val="正文1"/>
    <w:basedOn w:val="1"/>
    <w:qFormat/>
    <w:uiPriority w:val="0"/>
    <w:pPr>
      <w:ind w:firstLine="200" w:firstLineChars="200"/>
    </w:pPr>
    <w:rPr>
      <w:rFonts w:ascii="Times New Roman" w:hAnsi="Times New Roman"/>
    </w:rPr>
  </w:style>
  <w:style w:type="paragraph" w:customStyle="1" w:styleId="73">
    <w:name w:val="Default Text"/>
    <w:basedOn w:val="1"/>
    <w:qFormat/>
    <w:uiPriority w:val="6"/>
    <w:pPr>
      <w:widowControl/>
      <w:jc w:val="left"/>
    </w:pPr>
    <w:rPr>
      <w:rFonts w:ascii="Times New Roman" w:hAnsi="Times New Roman" w:cs="Times New Roman"/>
      <w:sz w:val="24"/>
      <w:szCs w:val="24"/>
    </w:rPr>
  </w:style>
  <w:style w:type="paragraph" w:styleId="74">
    <w:name w:val="List Paragraph"/>
    <w:basedOn w:val="1"/>
    <w:qFormat/>
    <w:uiPriority w:val="34"/>
    <w:pPr>
      <w:ind w:firstLine="420" w:firstLineChars="200"/>
    </w:pPr>
  </w:style>
  <w:style w:type="paragraph" w:customStyle="1" w:styleId="75">
    <w:name w:val="正文文本首行缩进 21"/>
    <w:basedOn w:val="6"/>
    <w:unhideWhenUsed/>
    <w:qFormat/>
    <w:uiPriority w:val="99"/>
    <w:pPr>
      <w:tabs>
        <w:tab w:val="left" w:pos="1206"/>
      </w:tabs>
      <w:spacing w:after="0"/>
      <w:ind w:firstLine="420" w:firstLineChars="200"/>
    </w:pPr>
  </w:style>
  <w:style w:type="paragraph" w:customStyle="1" w:styleId="76">
    <w:name w:val="列表段落1"/>
    <w:basedOn w:val="1"/>
    <w:qFormat/>
    <w:uiPriority w:val="99"/>
    <w:pPr>
      <w:ind w:firstLine="420" w:firstLineChars="200"/>
    </w:pPr>
  </w:style>
  <w:style w:type="paragraph" w:styleId="77">
    <w:name w:val="No Spacing"/>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1214</Words>
  <Characters>6922</Characters>
  <Lines>57</Lines>
  <Paragraphs>16</Paragraphs>
  <TotalTime>16</TotalTime>
  <ScaleCrop>false</ScaleCrop>
  <LinksUpToDate>false</LinksUpToDate>
  <CharactersWithSpaces>8120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2021-07-16T03:48:00Z</dcterms:created>
  <dc:creator>王恒</dc:creator>
  <cp:lastModifiedBy>Sancho</cp:lastModifiedBy>
  <cp:lastPrinted>2018-11-28T10:30:00Z</cp:lastPrinted>
  <dcterms:modified xsi:type="dcterms:W3CDTF">2021-10-20T08:56:12Z</dcterms:modified>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0C409B6BF1294F2D9000D73FF43EB648</vt:lpwstr>
  </property>
</Properties>
</file>