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宜阳山水文苑项目</w:t>
      </w:r>
    </w:p>
    <w:p>
      <w:pPr>
        <w:spacing w:line="360" w:lineRule="auto"/>
        <w:jc w:val="center"/>
        <w:rPr>
          <w:rFonts w:ascii="宋体" w:hAnsi="宋体" w:cs="宋体"/>
          <w:b/>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2-2023</w:t>
      </w:r>
      <w:r>
        <w:rPr>
          <w:rFonts w:hint="eastAsia" w:ascii="宋体" w:hAnsi="宋体" w:cs="宋体"/>
          <w:b/>
          <w:bCs/>
          <w:sz w:val="36"/>
          <w:szCs w:val="36"/>
        </w:rPr>
        <w:t>年度</w:t>
      </w:r>
      <w:r>
        <w:rPr>
          <w:rFonts w:hint="eastAsia" w:ascii="宋体" w:hAnsi="宋体" w:cs="宋体"/>
          <w:b/>
          <w:sz w:val="36"/>
          <w:szCs w:val="36"/>
          <w:lang w:val="zh-CN"/>
        </w:rPr>
        <w:t>印刷合作框架</w:t>
      </w:r>
      <w:r>
        <w:rPr>
          <w:rFonts w:hint="eastAsia" w:ascii="宋体" w:hAnsi="宋体" w:cs="宋体"/>
          <w:b/>
          <w:sz w:val="36"/>
          <w:szCs w:val="36"/>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rPr>
        <w:t>SSWY-YX-2021-0</w:t>
      </w:r>
      <w:r>
        <w:rPr>
          <w:rFonts w:hint="eastAsia" w:ascii="宋体" w:hAnsi="宋体"/>
          <w:b/>
          <w:bCs/>
          <w:color w:val="000000"/>
          <w:sz w:val="30"/>
          <w:szCs w:val="30"/>
          <w:lang w:val="en-US" w:eastAsia="zh-CN"/>
        </w:rPr>
        <w:t>21</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甲方：洛阳莘子园置业有限公司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乙方：洛阳雅森包装印刷有限公司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lang w:val="en-US" w:eastAsia="zh-CN"/>
        </w:rPr>
        <w:t xml:space="preserve"> 日</w:t>
      </w:r>
      <w:bookmarkStart w:id="60" w:name="_GoBack"/>
      <w:bookmarkEnd w:id="60"/>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宜阳山水文苑项目202</w:t>
      </w:r>
      <w:r>
        <w:rPr>
          <w:rFonts w:hint="eastAsia" w:ascii="宋体" w:hAnsi="宋体" w:cs="宋体"/>
          <w:b/>
          <w:bCs/>
          <w:sz w:val="24"/>
          <w:lang w:val="en-US" w:eastAsia="zh-CN"/>
        </w:rPr>
        <w:t>2-2023</w:t>
      </w:r>
      <w:r>
        <w:rPr>
          <w:rFonts w:hint="eastAsia" w:ascii="宋体" w:hAnsi="宋体" w:cs="宋体"/>
          <w:b/>
          <w:bCs/>
          <w:sz w:val="24"/>
        </w:rPr>
        <w:t>年度</w:t>
      </w:r>
      <w:r>
        <w:rPr>
          <w:rFonts w:hint="eastAsia" w:ascii="宋体" w:hAnsi="宋体" w:cs="宋体"/>
          <w:b/>
          <w:sz w:val="24"/>
          <w:lang w:val="zh-CN"/>
        </w:rPr>
        <w:t>印刷合作框架合同</w:t>
      </w:r>
    </w:p>
    <w:p>
      <w:pPr>
        <w:spacing w:line="360" w:lineRule="auto"/>
        <w:jc w:val="left"/>
        <w:rPr>
          <w:rFonts w:ascii="宋体" w:hAnsi="宋体" w:cs="宋体"/>
          <w:bCs/>
          <w:sz w:val="24"/>
        </w:rPr>
      </w:pPr>
      <w:r>
        <w:rPr>
          <w:rFonts w:hint="eastAsia" w:ascii="宋体" w:hAnsi="宋体" w:cs="宋体"/>
          <w:bCs/>
          <w:sz w:val="24"/>
        </w:rPr>
        <w:t>甲方：</w:t>
      </w:r>
      <w:r>
        <w:rPr>
          <w:rFonts w:hint="eastAsia" w:ascii="宋体" w:hAnsi="宋体" w:cs="宋体"/>
          <w:bCs/>
          <w:sz w:val="24"/>
          <w:u w:val="single"/>
        </w:rPr>
        <w:t>洛阳莘子园置业有限公司</w:t>
      </w:r>
    </w:p>
    <w:p>
      <w:pPr>
        <w:adjustRightInd w:val="0"/>
        <w:snapToGrid w:val="0"/>
        <w:spacing w:line="360" w:lineRule="auto"/>
        <w:jc w:val="left"/>
        <w:rPr>
          <w:rFonts w:ascii="宋体" w:hAnsi="宋体" w:cs="宋体"/>
          <w:bCs/>
          <w:sz w:val="24"/>
        </w:rPr>
      </w:pPr>
      <w:r>
        <w:rPr>
          <w:rFonts w:hint="eastAsia" w:ascii="宋体" w:hAnsi="宋体" w:cs="宋体"/>
          <w:bCs/>
          <w:sz w:val="24"/>
        </w:rPr>
        <w:t>乙方：</w:t>
      </w:r>
      <w:r>
        <w:rPr>
          <w:rFonts w:hint="eastAsia" w:ascii="宋体" w:hAnsi="宋体" w:cs="宋体"/>
          <w:bCs/>
          <w:sz w:val="24"/>
          <w:u w:val="single"/>
        </w:rPr>
        <w:t>洛阳雅森包装印刷有限公司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923"/>
      <w:bookmarkStart w:id="1" w:name="_Toc194316308"/>
      <w:bookmarkStart w:id="2" w:name="_Toc194314530"/>
      <w:bookmarkStart w:id="3" w:name="_Toc194312526"/>
      <w:bookmarkStart w:id="4" w:name="_Toc194719956"/>
      <w:bookmarkStart w:id="5" w:name="_Toc194316927"/>
      <w:bookmarkStart w:id="6" w:name="_Toc194374018"/>
      <w:bookmarkStart w:id="7" w:name="_Toc180836376"/>
      <w:bookmarkStart w:id="8" w:name="_Toc194313235"/>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2"/>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94313236"/>
      <w:bookmarkStart w:id="10" w:name="_Toc194313924"/>
      <w:bookmarkStart w:id="11" w:name="_Toc180836377"/>
      <w:bookmarkStart w:id="12" w:name="_Toc194719957"/>
      <w:bookmarkStart w:id="13" w:name="_Toc194316928"/>
      <w:bookmarkStart w:id="14" w:name="_Toc276716044"/>
      <w:bookmarkStart w:id="15" w:name="_Toc276715495"/>
      <w:bookmarkStart w:id="16" w:name="_Toc276715842"/>
      <w:bookmarkStart w:id="17" w:name="_Toc194312527"/>
      <w:bookmarkStart w:id="18" w:name="_Toc194314531"/>
      <w:bookmarkStart w:id="19" w:name="_Toc194316309"/>
      <w:bookmarkStart w:id="20" w:name="_Toc19437401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ascii="宋体" w:hAnsi="宋体" w:cs="宋体"/>
          <w:sz w:val="24"/>
        </w:rPr>
      </w:pPr>
      <w:r>
        <w:rPr>
          <w:rFonts w:hint="eastAsia" w:ascii="宋体" w:hAnsi="宋体" w:cs="宋体"/>
          <w:sz w:val="24"/>
        </w:rPr>
        <w:t>1、印刷物料计价原则：单价包干，据实结算。</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eastAsia="宋体" w:cs="Times New Roman"/>
          <w:position w:val="-2"/>
          <w:sz w:val="24"/>
          <w:szCs w:val="24"/>
        </w:rPr>
        <w:t>费用：</w:t>
      </w:r>
      <w:r>
        <w:rPr>
          <w:rFonts w:hint="eastAsia" w:ascii="宋体" w:hAnsi="宋体" w:eastAsia="宋体" w:cs="Times New Roman"/>
          <w:position w:val="-2"/>
          <w:sz w:val="24"/>
          <w:szCs w:val="24"/>
          <w:lang w:val="en-US" w:eastAsia="zh-CN"/>
        </w:rPr>
        <w:t>暂定</w:t>
      </w:r>
      <w:r>
        <w:rPr>
          <w:rFonts w:hint="eastAsia" w:ascii="宋体" w:hAnsi="宋体" w:eastAsia="宋体" w:cs="Times New Roman"/>
          <w:position w:val="-2"/>
          <w:sz w:val="24"/>
          <w:szCs w:val="24"/>
        </w:rPr>
        <w:t>合同</w:t>
      </w:r>
      <w:r>
        <w:rPr>
          <w:rFonts w:hint="eastAsia" w:ascii="宋体" w:hAnsi="宋体" w:eastAsia="宋体" w:cs="Times New Roman"/>
          <w:position w:val="-2"/>
          <w:sz w:val="24"/>
          <w:szCs w:val="24"/>
          <w:lang w:val="en-US" w:eastAsia="zh-CN"/>
        </w:rPr>
        <w:t>总价</w:t>
      </w:r>
      <w:r>
        <w:rPr>
          <w:rFonts w:hint="eastAsia" w:ascii="宋体" w:hAnsi="宋体" w:eastAsia="宋体" w:cs="Times New Roman"/>
          <w:position w:val="-2"/>
          <w:sz w:val="24"/>
          <w:szCs w:val="24"/>
        </w:rPr>
        <w:t>为</w:t>
      </w:r>
      <w:r>
        <w:rPr>
          <w:rFonts w:hint="eastAsia" w:ascii="宋体" w:hAnsi="宋体" w:eastAsia="宋体"/>
          <w:position w:val="-2"/>
          <w:sz w:val="24"/>
          <w:szCs w:val="24"/>
        </w:rPr>
        <w:t>人民币金额（大写</w:t>
      </w:r>
      <w:r>
        <w:rPr>
          <w:rFonts w:hint="eastAsia" w:ascii="宋体" w:hAnsi="宋体" w:cs="宋体"/>
          <w:kern w:val="2"/>
          <w:sz w:val="24"/>
          <w:szCs w:val="24"/>
        </w:rPr>
        <w:t>）</w:t>
      </w:r>
      <w:r>
        <w:rPr>
          <w:rFonts w:hint="eastAsia" w:ascii="宋体" w:hAnsi="宋体" w:cs="宋体"/>
          <w:b/>
          <w:bCs/>
          <w:i w:val="0"/>
          <w:iCs w:val="0"/>
          <w:kern w:val="2"/>
          <w:sz w:val="24"/>
          <w:szCs w:val="24"/>
          <w:u w:val="single"/>
          <w:lang w:val="en-US" w:eastAsia="zh-CN"/>
        </w:rPr>
        <w:t>捌万</w:t>
      </w:r>
      <w:r>
        <w:rPr>
          <w:rFonts w:hint="eastAsia" w:ascii="宋体" w:hAnsi="宋体" w:eastAsia="宋体" w:cs="宋体"/>
          <w:b/>
          <w:bCs/>
          <w:i w:val="0"/>
          <w:iCs w:val="0"/>
          <w:kern w:val="2"/>
          <w:sz w:val="24"/>
          <w:szCs w:val="24"/>
          <w:u w:val="single"/>
          <w:lang w:val="en-US" w:eastAsia="zh-CN"/>
        </w:rPr>
        <w:t>元</w:t>
      </w:r>
      <w:r>
        <w:rPr>
          <w:rFonts w:hint="eastAsia" w:ascii="宋体" w:hAnsi="宋体"/>
          <w:b/>
          <w:bCs/>
          <w:i w:val="0"/>
          <w:iCs w:val="0"/>
          <w:sz w:val="24"/>
          <w:u w:val="single"/>
        </w:rPr>
        <w:t>整</w:t>
      </w:r>
      <w:r>
        <w:rPr>
          <w:rFonts w:hint="eastAsia" w:ascii="宋体" w:hAnsi="宋体" w:eastAsia="宋体"/>
          <w:position w:val="-2"/>
          <w:sz w:val="24"/>
          <w:szCs w:val="24"/>
        </w:rPr>
        <w:t>（人民币小写</w:t>
      </w:r>
      <w:r>
        <w:rPr>
          <w:rFonts w:hint="eastAsia" w:ascii="宋体" w:hAnsi="宋体"/>
          <w:sz w:val="24"/>
        </w:rPr>
        <w:t>：</w:t>
      </w:r>
      <w:r>
        <w:rPr>
          <w:rFonts w:hint="eastAsia" w:ascii="宋体" w:hAnsi="宋体" w:eastAsia="宋体"/>
          <w:b/>
          <w:sz w:val="24"/>
          <w:u w:val="single"/>
          <w:lang w:val="en-US" w:eastAsia="zh-CN"/>
        </w:rPr>
        <w:t>80000</w:t>
      </w:r>
      <w:r>
        <w:rPr>
          <w:rFonts w:hint="eastAsia" w:ascii="宋体" w:hAnsi="宋体"/>
          <w:sz w:val="24"/>
        </w:rPr>
        <w:t>元），上述金额为含税价格。其中，不含税金额为人民币金额（大写）</w:t>
      </w:r>
      <w:r>
        <w:rPr>
          <w:rFonts w:hint="eastAsia" w:ascii="宋体" w:hAnsi="宋体"/>
          <w:b/>
          <w:sz w:val="24"/>
          <w:u w:val="single"/>
          <w:lang w:val="en-US" w:eastAsia="zh-CN"/>
        </w:rPr>
        <w:t>柒万零柒佰玖拾陆元肆角陆分</w:t>
      </w:r>
      <w:r>
        <w:rPr>
          <w:rFonts w:hint="eastAsia" w:ascii="宋体" w:hAnsi="宋体"/>
          <w:sz w:val="24"/>
        </w:rPr>
        <w:t>（人民币小写：</w:t>
      </w:r>
      <w:r>
        <w:rPr>
          <w:rFonts w:hint="eastAsia" w:ascii="宋体" w:hAnsi="宋体" w:eastAsia="宋体"/>
          <w:b/>
          <w:sz w:val="24"/>
          <w:u w:val="single"/>
          <w:lang w:val="en-US" w:eastAsia="zh-CN"/>
        </w:rPr>
        <w:t>70796.46</w:t>
      </w:r>
      <w:r>
        <w:rPr>
          <w:rFonts w:hint="eastAsia" w:ascii="宋体" w:hAnsi="宋体"/>
          <w:sz w:val="24"/>
        </w:rPr>
        <w:t>元），增值税率为【</w:t>
      </w:r>
      <w:r>
        <w:rPr>
          <w:rFonts w:hint="eastAsia" w:ascii="宋体" w:hAnsi="宋体"/>
          <w:sz w:val="24"/>
          <w:lang w:val="en-US" w:eastAsia="zh-CN"/>
        </w:rPr>
        <w:t>13</w:t>
      </w:r>
      <w:r>
        <w:rPr>
          <w:rFonts w:hint="eastAsia" w:ascii="宋体" w:hAnsi="宋体"/>
          <w:sz w:val="24"/>
        </w:rPr>
        <w:t>】</w:t>
      </w:r>
      <w:r>
        <w:rPr>
          <w:rFonts w:ascii="宋体" w:hAnsi="宋体"/>
          <w:sz w:val="24"/>
        </w:rPr>
        <w:t>%</w:t>
      </w:r>
      <w:r>
        <w:rPr>
          <w:rFonts w:hint="eastAsia" w:ascii="宋体" w:hAnsi="宋体"/>
          <w:sz w:val="24"/>
        </w:rPr>
        <w:t>，税款为人民币金额（大写）</w:t>
      </w:r>
      <w:r>
        <w:rPr>
          <w:rFonts w:hint="eastAsia" w:ascii="宋体" w:hAnsi="宋体"/>
          <w:b/>
          <w:sz w:val="24"/>
          <w:u w:val="single"/>
          <w:lang w:val="en-US" w:eastAsia="zh-CN"/>
        </w:rPr>
        <w:t>玖仟贰佰零叁元伍角肆分</w:t>
      </w:r>
      <w:r>
        <w:rPr>
          <w:rFonts w:hint="eastAsia" w:ascii="宋体" w:hAnsi="宋体"/>
          <w:sz w:val="24"/>
        </w:rPr>
        <w:t>（人民币小写：</w:t>
      </w:r>
      <w:r>
        <w:rPr>
          <w:rFonts w:hint="eastAsia" w:ascii="宋体" w:hAnsi="宋体" w:eastAsia="宋体"/>
          <w:b/>
          <w:sz w:val="24"/>
          <w:u w:val="single"/>
          <w:lang w:val="en-US" w:eastAsia="zh-CN"/>
        </w:rPr>
        <w:t>9203.54</w:t>
      </w:r>
      <w:r>
        <w:rPr>
          <w:rFonts w:hint="eastAsia" w:ascii="宋体" w:hAnsi="宋体"/>
          <w:sz w:val="24"/>
        </w:rPr>
        <w:t>元）</w:t>
      </w:r>
      <w:r>
        <w:rPr>
          <w:rFonts w:hint="eastAsia" w:ascii="宋体" w:hAnsi="宋体" w:cs="宋体"/>
          <w:sz w:val="24"/>
        </w:rPr>
        <w:t>包干单价包含人工、材料、机械、税费、运费、装卸费等一切可能发生的直接及间接费用。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ascii="宋体" w:hAnsi="宋体" w:cs="宋体"/>
          <w:sz w:val="24"/>
        </w:rPr>
      </w:pPr>
      <w:r>
        <w:rPr>
          <w:rFonts w:hint="eastAsia" w:ascii="宋体" w:hAnsi="宋体" w:cs="宋体"/>
          <w:sz w:val="24"/>
        </w:rPr>
        <w:t>4、验收办法：甲方有需求时向乙方下达印刷物料通知单，物料印刷完毕后送至甲方指定地点，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供货周期:合同供货周期为</w:t>
      </w:r>
      <w:r>
        <w:rPr>
          <w:rFonts w:ascii="宋体" w:hAnsi="宋体" w:cs="宋体"/>
          <w:sz w:val="24"/>
        </w:rPr>
        <w:t>2</w:t>
      </w:r>
      <w:r>
        <w:rPr>
          <w:rFonts w:hint="eastAsia" w:ascii="宋体" w:hAnsi="宋体" w:cs="宋体"/>
          <w:sz w:val="24"/>
        </w:rPr>
        <w:t>~</w:t>
      </w:r>
      <w:r>
        <w:rPr>
          <w:rFonts w:ascii="宋体" w:hAnsi="宋体" w:cs="宋体"/>
          <w:sz w:val="24"/>
        </w:rPr>
        <w:t>3</w:t>
      </w:r>
      <w:r>
        <w:rPr>
          <w:rFonts w:hint="eastAsia" w:ascii="宋体" w:hAnsi="宋体" w:cs="宋体"/>
          <w:sz w:val="24"/>
        </w:rPr>
        <w:t>天，具体供货周期按照甲方要求交货期为准。</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质量要求及封样:每批次供货时乙方需提供样品封样，验收时以甲方封样样品为准，材料规格必须满足甲方质量要求。</w:t>
      </w:r>
    </w:p>
    <w:p>
      <w:pPr>
        <w:spacing w:line="360" w:lineRule="auto"/>
        <w:jc w:val="left"/>
        <w:outlineLvl w:val="2"/>
        <w:rPr>
          <w:rFonts w:ascii="宋体" w:hAnsi="宋体" w:cs="宋体"/>
          <w:b/>
          <w:sz w:val="24"/>
        </w:rPr>
      </w:pPr>
      <w:bookmarkStart w:id="22" w:name="_Toc194313246"/>
      <w:bookmarkStart w:id="23" w:name="_Toc276715852"/>
      <w:bookmarkStart w:id="24" w:name="_Toc276715505"/>
      <w:bookmarkStart w:id="25" w:name="_Toc194314541"/>
      <w:bookmarkStart w:id="26" w:name="_Toc194312537"/>
      <w:bookmarkStart w:id="27" w:name="_Toc276716054"/>
      <w:bookmarkStart w:id="28" w:name="_Toc194719967"/>
      <w:bookmarkStart w:id="29" w:name="_Toc194374029"/>
      <w:bookmarkStart w:id="30" w:name="_Toc194316938"/>
      <w:bookmarkStart w:id="31" w:name="_Toc180836387"/>
      <w:bookmarkStart w:id="32" w:name="_Toc194316319"/>
      <w:bookmarkStart w:id="33" w:name="_Toc194313934"/>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、乙方自主准备月度结算资料，并对接成本、营销相关人员签字确认。最终结算报告上交甲方营销部给予请款。</w:t>
      </w:r>
    </w:p>
    <w:p>
      <w:pPr>
        <w:tabs>
          <w:tab w:val="left" w:pos="1080"/>
          <w:tab w:val="left" w:pos="1554"/>
        </w:tabs>
        <w:spacing w:line="360" w:lineRule="auto"/>
        <w:ind w:firstLine="480" w:firstLineChars="200"/>
        <w:jc w:val="left"/>
        <w:rPr>
          <w:rFonts w:ascii="宋体" w:hAnsi="宋体"/>
          <w:sz w:val="24"/>
        </w:rPr>
      </w:pPr>
      <w:r>
        <w:rPr>
          <w:rFonts w:hint="eastAsia" w:ascii="宋体" w:hAnsi="宋体" w:cs="宋体"/>
          <w:sz w:val="24"/>
        </w:rPr>
        <w:t>4、每次付款前，乙方应提供足额正规的增值税专用发票，否则甲方有权拒付相应价款。若乙方提供虚假发票，甲方有权解除合同。</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Cs/>
          <w:sz w:val="24"/>
        </w:rPr>
        <w:t>、履行合同约定其它责任及义务。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1、由于乙方原因导致印刷到场延误的，每延误1天，甲方给予警告，若延误2天以上，甲方扣除本次印刷费用的10％作为违约金。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2、若乙方印刷交货延误5天以上的，甲方有权单方解除合同，并由乙方承担相关违约责任，同时乙方须向甲方支付本次印刷费用总额的20%作为违约金。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3、甲方对印刷完成的货物进行验收，同一批次不合格率达到3%的，乙方须按甲方的要求及时整改，并按不合格货物货款总额的20%向甲方支付违约金。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5、每次付款前，乙方应按甲方要求出具合法有效的增值税【专</w:t>
      </w:r>
      <w:r>
        <w:rPr>
          <w:rFonts w:ascii="宋体" w:hAnsi="宋体" w:cs="宋体"/>
          <w:sz w:val="24"/>
        </w:rPr>
        <w:t>用</w:t>
      </w:r>
      <w:r>
        <w:rPr>
          <w:rFonts w:hint="eastAsia" w:ascii="宋体" w:hAnsi="宋体" w:cs="宋体"/>
          <w:sz w:val="24"/>
        </w:rPr>
        <w:t>】发票。乙方应在开票之后【5】个工作日内将发票送达甲方，甲方签收发票的日期为发票的送达日期。</w:t>
      </w:r>
    </w:p>
    <w:p>
      <w:pPr>
        <w:tabs>
          <w:tab w:val="left" w:pos="1554"/>
        </w:tabs>
        <w:spacing w:line="360" w:lineRule="auto"/>
        <w:jc w:val="left"/>
        <w:rPr>
          <w:rFonts w:ascii="宋体" w:hAnsi="宋体" w:cs="宋体"/>
          <w:b/>
          <w:sz w:val="24"/>
        </w:rPr>
      </w:pPr>
      <w:r>
        <w:rPr>
          <w:rFonts w:hint="eastAsia" w:ascii="宋体" w:hAnsi="宋体" w:cs="宋体"/>
          <w:b/>
          <w:sz w:val="24"/>
        </w:rPr>
        <w:t>六</w:t>
      </w:r>
      <w:r>
        <w:rPr>
          <w:rFonts w:ascii="宋体" w:hAnsi="宋体" w:cs="宋体"/>
          <w:b/>
          <w:sz w:val="24"/>
        </w:rPr>
        <w:t>、</w:t>
      </w:r>
      <w:r>
        <w:rPr>
          <w:rFonts w:hint="eastAsia" w:ascii="宋体" w:hAnsi="宋体" w:cs="宋体"/>
          <w:b/>
          <w:sz w:val="24"/>
        </w:rPr>
        <w:t>发票开具要求及责任</w:t>
      </w:r>
    </w:p>
    <w:p>
      <w:pPr>
        <w:spacing w:line="360" w:lineRule="auto"/>
        <w:ind w:firstLine="480" w:firstLineChars="200"/>
        <w:rPr>
          <w:rFonts w:hint="eastAsia"/>
          <w:sz w:val="28"/>
          <w:szCs w:val="28"/>
        </w:rPr>
      </w:pPr>
      <w:bookmarkStart w:id="34" w:name="_Toc194314542"/>
      <w:bookmarkStart w:id="35" w:name="_Toc276715853"/>
      <w:bookmarkStart w:id="36" w:name="_Toc194312538"/>
      <w:bookmarkStart w:id="37" w:name="_Toc180836388"/>
      <w:bookmarkStart w:id="38" w:name="_Toc194313247"/>
      <w:bookmarkStart w:id="39" w:name="_Toc194316939"/>
      <w:bookmarkStart w:id="40" w:name="_Toc194313935"/>
      <w:bookmarkStart w:id="41" w:name="_Toc276716055"/>
      <w:bookmarkStart w:id="42" w:name="_Toc194316320"/>
      <w:bookmarkStart w:id="43" w:name="_Toc194719968"/>
      <w:bookmarkStart w:id="44" w:name="_Toc276715506"/>
      <w:bookmarkStart w:id="45" w:name="_Toc194374030"/>
      <w:r>
        <w:rPr>
          <w:rFonts w:hint="eastAsia" w:ascii="宋体" w:hAnsi="宋体" w:cs="宋体"/>
          <w:sz w:val="24"/>
          <w:szCs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szCs w:val="24"/>
        </w:rPr>
      </w:pPr>
      <w:r>
        <w:rPr>
          <w:rFonts w:hint="eastAsia" w:ascii="宋体" w:hAnsi="宋体" w:cs="宋体"/>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szCs w:val="24"/>
        </w:rPr>
      </w:pPr>
      <w:r>
        <w:rPr>
          <w:rFonts w:hint="eastAsia" w:ascii="宋体" w:hAnsi="宋体" w:cs="宋体"/>
          <w:sz w:val="24"/>
          <w:szCs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其它税务风险的合同约定：</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.1、如果甲方丢失增值税专用发票联和抵扣联，乙方应向甲方提供专用发票记账联复印件，并加盖乙方发票专用章。</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.2、如果获得开具的汇总专用发票，则乙方应提供其防伪税控系统开具的《销售货物或者提供应税劳务清单》，并加盖发票专用章。</w:t>
      </w:r>
    </w:p>
    <w:p>
      <w:pPr>
        <w:tabs>
          <w:tab w:val="left" w:pos="1554"/>
        </w:tabs>
        <w:snapToGrid w:val="0"/>
        <w:spacing w:line="360" w:lineRule="auto"/>
        <w:jc w:val="left"/>
        <w:rPr>
          <w:rFonts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rPr>
          <w:rFonts w:ascii="宋体" w:hAnsi="宋体" w:cs="宋体"/>
          <w:b/>
          <w:bCs/>
          <w:color w:val="000000"/>
          <w:sz w:val="24"/>
        </w:rPr>
      </w:pPr>
      <w:r>
        <w:rPr>
          <w:rFonts w:hint="eastAsia" w:ascii="宋体" w:hAnsi="宋体" w:cs="宋体"/>
          <w:b/>
          <w:bCs/>
          <w:color w:val="000000"/>
          <w:sz w:val="24"/>
        </w:rPr>
        <w:t>八</w:t>
      </w:r>
      <w:r>
        <w:rPr>
          <w:rFonts w:hint="eastAsia" w:ascii="宋体" w:hAnsi="宋体" w:cs="宋体"/>
          <w:b/>
          <w:bCs/>
          <w:color w:val="000000"/>
          <w:sz w:val="24"/>
          <w:lang w:eastAsia="zh-CN"/>
        </w:rPr>
        <w:t>、</w:t>
      </w:r>
      <w:r>
        <w:rPr>
          <w:rFonts w:hint="eastAsia" w:ascii="宋体" w:hAnsi="宋体" w:cs="宋体"/>
          <w:b/>
          <w:bCs/>
          <w:color w:val="000000"/>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日止，履约期间，当甲方有实质性供货需求时按本协议履行。</w:t>
      </w:r>
    </w:p>
    <w:p>
      <w:pPr>
        <w:snapToGrid w:val="0"/>
        <w:spacing w:line="360" w:lineRule="auto"/>
        <w:rPr>
          <w:rFonts w:ascii="宋体" w:hAnsi="宋体"/>
          <w:b/>
          <w:bCs/>
          <w:sz w:val="24"/>
        </w:rPr>
      </w:pPr>
      <w:r>
        <w:rPr>
          <w:rFonts w:hint="eastAsia" w:ascii="宋体" w:hAnsi="宋体"/>
          <w:b/>
          <w:bCs/>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6056"/>
      <w:bookmarkStart w:id="47" w:name="_Toc194374031"/>
      <w:bookmarkStart w:id="48" w:name="_Toc194312539"/>
      <w:bookmarkStart w:id="49" w:name="_Toc276715507"/>
      <w:bookmarkStart w:id="50" w:name="_Toc180836389"/>
      <w:bookmarkStart w:id="51" w:name="_Toc194316940"/>
      <w:bookmarkStart w:id="52" w:name="_Toc194313248"/>
      <w:bookmarkStart w:id="53" w:name="_Toc194314543"/>
      <w:bookmarkStart w:id="54" w:name="_Toc194719969"/>
      <w:bookmarkStart w:id="55" w:name="_Toc194313936"/>
      <w:bookmarkStart w:id="56" w:name="_Toc276715854"/>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1、本合同自双方</w:t>
      </w:r>
      <w:r>
        <w:rPr>
          <w:rFonts w:hint="eastAsia" w:ascii="宋体" w:hAnsi="宋体" w:eastAsia="宋体"/>
          <w:sz w:val="24"/>
          <w:szCs w:val="24"/>
          <w:lang w:val="en-US" w:eastAsia="zh-CN"/>
        </w:rPr>
        <w:t>签字并盖章</w:t>
      </w:r>
      <w:r>
        <w:rPr>
          <w:rFonts w:hint="eastAsia" w:ascii="宋体" w:hAnsi="宋体" w:eastAsia="宋体"/>
          <w:sz w:val="24"/>
          <w:szCs w:val="24"/>
        </w:rPr>
        <w:t>后生效。本合同未尽事宜，可由双方协商解决并签署书面补充协议，补充协议与本合同享有同等法律效力。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2、发生争议双方应友好协商解决，协商不成的，双方同意由合同签订地（洛阳市洛龙区开元大道1号开元壹号营销中心）人民法院管辖。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3、合同</w:t>
      </w:r>
      <w:r>
        <w:rPr>
          <w:rFonts w:hint="eastAsia" w:ascii="宋体" w:hAnsi="宋体" w:eastAsia="宋体"/>
          <w:sz w:val="24"/>
          <w:szCs w:val="24"/>
          <w:lang w:val="en-US" w:eastAsia="zh-CN"/>
        </w:rPr>
        <w:t>及</w:t>
      </w:r>
      <w:r>
        <w:rPr>
          <w:rFonts w:hint="eastAsia" w:ascii="宋体" w:hAnsi="宋体" w:eastAsia="宋体"/>
          <w:sz w:val="24"/>
          <w:szCs w:val="24"/>
        </w:rPr>
        <w:t>合同附件为本合同不可分割的组成部分，本合同连同附件一式陆份，甲方伍份，乙方壹份，具有同等法律效力。</w:t>
      </w:r>
    </w:p>
    <w:p>
      <w:pPr>
        <w:tabs>
          <w:tab w:val="left" w:pos="464"/>
        </w:tabs>
        <w:spacing w:line="360" w:lineRule="auto"/>
        <w:jc w:val="left"/>
        <w:rPr>
          <w:rFonts w:ascii="宋体" w:hAnsi="宋体"/>
          <w:b/>
          <w:bCs/>
          <w:sz w:val="24"/>
        </w:rPr>
      </w:pPr>
      <w:r>
        <w:rPr>
          <w:rFonts w:hint="eastAsia" w:ascii="宋体" w:hAnsi="宋体"/>
          <w:b/>
          <w:bCs/>
          <w:sz w:val="24"/>
        </w:rPr>
        <w:t>十一</w:t>
      </w:r>
      <w:r>
        <w:rPr>
          <w:rFonts w:hint="eastAsia" w:ascii="宋体" w:hAnsi="宋体"/>
          <w:b/>
          <w:bCs/>
          <w:sz w:val="24"/>
          <w:lang w:eastAsia="zh-CN"/>
        </w:rPr>
        <w:t>、</w:t>
      </w:r>
      <w:r>
        <w:rPr>
          <w:rFonts w:hint="eastAsia" w:ascii="宋体" w:hAnsi="宋体"/>
          <w:b/>
          <w:bCs/>
          <w:sz w:val="24"/>
        </w:rPr>
        <w:t>合同附件</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pStyle w:val="2"/>
      </w:pP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ascii="宋体" w:hAnsi="宋体" w:cs="宋体"/>
          <w:sz w:val="24"/>
        </w:rPr>
      </w:pPr>
      <w:r>
        <w:rPr>
          <w:rFonts w:ascii="宋体" w:hAnsi="宋体" w:cs="宋体"/>
          <w:kern w:val="0"/>
          <w:sz w:val="24"/>
        </w:rPr>
        <w:t>甲方：</w:t>
      </w:r>
      <w:r>
        <w:rPr>
          <w:rFonts w:hint="eastAsia" w:ascii="宋体" w:hAnsi="宋体" w:cs="宋体"/>
          <w:sz w:val="24"/>
        </w:rPr>
        <w:t>洛阳莘子园置业有限公司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税号：91410327MA46Q3579G</w:t>
      </w:r>
    </w:p>
    <w:p>
      <w:pPr>
        <w:widowControl/>
        <w:spacing w:line="360" w:lineRule="auto"/>
        <w:jc w:val="left"/>
        <w:rPr>
          <w:rFonts w:ascii="宋体" w:hAnsi="宋体" w:cs="宋体"/>
          <w:kern w:val="0"/>
          <w:sz w:val="24"/>
        </w:rPr>
      </w:pPr>
      <w:r>
        <w:rPr>
          <w:rFonts w:ascii="宋体" w:hAnsi="宋体" w:cs="宋体"/>
          <w:kern w:val="0"/>
          <w:sz w:val="24"/>
        </w:rPr>
        <w:t>账户：66121011800000498</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宜阳农商银行文化路支行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 xml:space="preserve"> 日</w:t>
      </w:r>
    </w:p>
    <w:p>
      <w:pPr>
        <w:widowControl/>
        <w:spacing w:line="360" w:lineRule="auto"/>
        <w:jc w:val="left"/>
        <w:rPr>
          <w:rFonts w:ascii="宋体" w:hAnsi="宋体" w:cs="宋体"/>
          <w:kern w:val="0"/>
          <w:sz w:val="24"/>
        </w:rPr>
      </w:pPr>
      <w:r>
        <w:rPr>
          <w:rFonts w:ascii="宋体" w:hAnsi="宋体" w:cs="宋体"/>
          <w:kern w:val="0"/>
          <w:sz w:val="24"/>
        </w:rPr>
        <w:t>乙方：</w:t>
      </w:r>
      <w:r>
        <w:rPr>
          <w:rFonts w:hint="eastAsia" w:ascii="宋体" w:hAnsi="宋体" w:cs="宋体"/>
          <w:kern w:val="0"/>
          <w:sz w:val="24"/>
        </w:rPr>
        <w:t>洛阳雅森包装印刷有限公司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w:t>
      </w:r>
      <w:r>
        <w:rPr>
          <w:rFonts w:hint="eastAsia" w:ascii="宋体" w:hAnsi="宋体" w:cs="宋体"/>
          <w:kern w:val="0"/>
          <w:sz w:val="24"/>
        </w:rPr>
        <w:t>91410303660907492X</w:t>
      </w:r>
    </w:p>
    <w:p>
      <w:pPr>
        <w:widowControl/>
        <w:spacing w:line="360" w:lineRule="auto"/>
        <w:jc w:val="left"/>
        <w:rPr>
          <w:rFonts w:ascii="宋体" w:hAnsi="宋体" w:cs="宋体"/>
          <w:kern w:val="0"/>
          <w:sz w:val="24"/>
        </w:rPr>
      </w:pPr>
      <w:r>
        <w:rPr>
          <w:rFonts w:ascii="宋体" w:hAnsi="宋体" w:cs="宋体"/>
          <w:kern w:val="0"/>
          <w:sz w:val="24"/>
        </w:rPr>
        <w:t>账户：</w:t>
      </w:r>
      <w:r>
        <w:rPr>
          <w:rFonts w:hint="eastAsia" w:ascii="宋体" w:hAnsi="宋体" w:cs="宋体"/>
          <w:kern w:val="0"/>
          <w:sz w:val="24"/>
        </w:rPr>
        <w:t>4130 6800 0018 1500 20150</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交行西工支行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w:t>
      </w:r>
      <w:r>
        <w:rPr>
          <w:rFonts w:hint="eastAsia" w:ascii="宋体" w:hAnsi="宋体" w:cs="宋体"/>
          <w:kern w:val="0"/>
          <w:sz w:val="24"/>
        </w:rPr>
        <w:t>：</w:t>
      </w:r>
      <w:r>
        <w:rPr>
          <w:rFonts w:ascii="宋体" w:hAnsi="宋体" w:cs="宋体"/>
          <w:kern w:val="0"/>
          <w:sz w:val="24"/>
        </w:rPr>
        <w:t>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甲方：洛阳莘子园置业有限公司       乙方：洛阳雅森包装印刷有限公司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 xml:space="preserve"> 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 xml:space="preserve"> 日</w:t>
      </w:r>
    </w:p>
    <w:p>
      <w:pPr>
        <w:pStyle w:val="2"/>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2"/>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2"/>
                <w:szCs w:val="32"/>
                <w:u w:val="none"/>
                <w:lang w:val="en-US" w:eastAsia="zh-CN" w:bidi="ar"/>
              </w:rPr>
              <w:t>宜阳山水文苑项目2022-2023年度印刷框架报价表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2"/>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3"/>
                <w:lang w:val="en-US" w:eastAsia="zh-CN" w:bidi="ar"/>
              </w:rPr>
              <w:t>（一本30份）</w:t>
            </w:r>
            <w:r>
              <w:rPr>
                <w:rStyle w:val="22"/>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3"/>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3"/>
                <w:lang w:val="en-US" w:eastAsia="zh-CN" w:bidi="ar"/>
              </w:rPr>
              <w:t>（彩页为8页）</w:t>
            </w:r>
            <w:r>
              <w:rPr>
                <w:rStyle w:val="22"/>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3"/>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3"/>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3"/>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3"/>
        <w:rPr>
          <w:rFonts w:hint="eastAsia"/>
        </w:rPr>
      </w:pPr>
    </w:p>
    <w:p>
      <w:pPr>
        <w:pStyle w:val="3"/>
        <w:rPr>
          <w:rFonts w:hint="eastAsia"/>
        </w:rPr>
      </w:pPr>
    </w:p>
    <w:p>
      <w:pPr>
        <w:pStyle w:val="3"/>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887577A"/>
    <w:rsid w:val="0CA560FA"/>
    <w:rsid w:val="0F92036E"/>
    <w:rsid w:val="162714E3"/>
    <w:rsid w:val="17E36AF4"/>
    <w:rsid w:val="19DD25E4"/>
    <w:rsid w:val="1A9F4A43"/>
    <w:rsid w:val="1F005BE2"/>
    <w:rsid w:val="20276D8B"/>
    <w:rsid w:val="2BB67440"/>
    <w:rsid w:val="30171D8F"/>
    <w:rsid w:val="3DEB2B85"/>
    <w:rsid w:val="3E2B12C1"/>
    <w:rsid w:val="41057530"/>
    <w:rsid w:val="48032C9F"/>
    <w:rsid w:val="60110153"/>
    <w:rsid w:val="6E721D27"/>
    <w:rsid w:val="6F5E2F4E"/>
    <w:rsid w:val="6F8F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5"/>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uiPriority w:val="6"/>
    <w:pPr>
      <w:ind w:firstLine="645"/>
    </w:pPr>
    <w:rPr>
      <w:rFonts w:ascii="宋体" w:hAnsi="宋体"/>
      <w:kern w:val="1"/>
      <w:sz w:val="32"/>
      <w:szCs w:val="20"/>
    </w:rPr>
  </w:style>
  <w:style w:type="paragraph" w:styleId="8">
    <w:name w:val="annotation text"/>
    <w:basedOn w:val="1"/>
    <w:semiHidden/>
    <w:unhideWhenUsed/>
    <w:qFormat/>
    <w:uiPriority w:val="99"/>
    <w:pPr>
      <w:jc w:val="left"/>
    </w:pPr>
  </w:style>
  <w:style w:type="paragraph" w:styleId="9">
    <w:name w:val="Balloon Text"/>
    <w:basedOn w:val="1"/>
    <w:link w:val="20"/>
    <w:semiHidden/>
    <w:unhideWhenUsed/>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7"/>
    <w:qFormat/>
    <w:uiPriority w:val="0"/>
    <w:rPr>
      <w:b/>
      <w:bCs/>
      <w:kern w:val="44"/>
      <w:sz w:val="24"/>
      <w:szCs w:val="44"/>
    </w:rPr>
  </w:style>
  <w:style w:type="character" w:customStyle="1" w:styleId="16">
    <w:name w:val="页眉 字符"/>
    <w:basedOn w:val="13"/>
    <w:link w:val="11"/>
    <w:uiPriority w:val="99"/>
    <w:rPr>
      <w:rFonts w:ascii="Calibri" w:hAnsi="Calibri" w:eastAsia="宋体" w:cs="Times New Roman"/>
      <w:sz w:val="18"/>
      <w:szCs w:val="18"/>
    </w:rPr>
  </w:style>
  <w:style w:type="character" w:customStyle="1" w:styleId="17">
    <w:name w:val="页脚 字符"/>
    <w:basedOn w:val="13"/>
    <w:link w:val="10"/>
    <w:uiPriority w:val="99"/>
    <w:rPr>
      <w:rFonts w:ascii="Calibri" w:hAnsi="Calibri" w:eastAsia="宋体" w:cs="Times New Roman"/>
      <w:sz w:val="18"/>
      <w:szCs w:val="18"/>
    </w:rPr>
  </w:style>
  <w:style w:type="character" w:customStyle="1" w:styleId="18">
    <w:name w:val="正文文本 字符"/>
    <w:link w:val="2"/>
    <w:qFormat/>
    <w:uiPriority w:val="0"/>
    <w:rPr>
      <w:szCs w:val="24"/>
    </w:rPr>
  </w:style>
  <w:style w:type="character" w:customStyle="1" w:styleId="19">
    <w:name w:val="正文文本 字符1"/>
    <w:basedOn w:val="13"/>
    <w:semiHidden/>
    <w:qFormat/>
    <w:uiPriority w:val="99"/>
    <w:rPr>
      <w:rFonts w:ascii="Times New Roman" w:hAnsi="Times New Roman" w:eastAsia="宋体" w:cs="Times New Roman"/>
      <w:szCs w:val="24"/>
    </w:rPr>
  </w:style>
  <w:style w:type="character" w:customStyle="1" w:styleId="20">
    <w:name w:val="批注框文本 字符"/>
    <w:basedOn w:val="13"/>
    <w:link w:val="9"/>
    <w:semiHidden/>
    <w:uiPriority w:val="99"/>
    <w:rPr>
      <w:rFonts w:ascii="Times New Roman" w:hAnsi="Times New Roman" w:eastAsia="宋体" w:cs="Times New Roman"/>
      <w:kern w:val="2"/>
      <w:sz w:val="18"/>
      <w:szCs w:val="18"/>
    </w:rPr>
  </w:style>
  <w:style w:type="paragraph" w:customStyle="1" w:styleId="21">
    <w:name w:val="正文1"/>
    <w:basedOn w:val="1"/>
    <w:qFormat/>
    <w:uiPriority w:val="0"/>
    <w:pPr>
      <w:ind w:firstLine="200" w:firstLineChars="200"/>
    </w:pPr>
    <w:rPr>
      <w:rFonts w:ascii="Times New Roman" w:hAnsi="Times New Roman"/>
    </w:rPr>
  </w:style>
  <w:style w:type="character" w:customStyle="1" w:styleId="22">
    <w:name w:val="font11"/>
    <w:basedOn w:val="13"/>
    <w:uiPriority w:val="0"/>
    <w:rPr>
      <w:rFonts w:hint="eastAsia" w:ascii="等线" w:hAnsi="等线" w:eastAsia="等线" w:cs="等线"/>
      <w:color w:val="000000"/>
      <w:sz w:val="20"/>
      <w:szCs w:val="20"/>
      <w:u w:val="none"/>
    </w:rPr>
  </w:style>
  <w:style w:type="character" w:customStyle="1" w:styleId="23">
    <w:name w:val="font31"/>
    <w:basedOn w:val="13"/>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42</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2021-11-17T09:20:21Z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