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lang w:val="en-US" w:eastAsia="zh-CN"/>
        </w:rPr>
        <w:t>洛宁</w:t>
      </w:r>
      <w:r>
        <w:rPr>
          <w:rFonts w:hint="eastAsia" w:ascii="宋体" w:hAnsi="宋体" w:cs="宋体"/>
          <w:b/>
          <w:bCs/>
          <w:sz w:val="44"/>
          <w:szCs w:val="44"/>
        </w:rPr>
        <w:t>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b/>
          <w:bCs/>
          <w:color w:val="000000"/>
          <w:sz w:val="30"/>
          <w:szCs w:val="30"/>
          <w:u w:val="single"/>
          <w:lang w:val="en-US" w:eastAsia="zh-CN"/>
        </w:rPr>
        <w:t>LN</w:t>
      </w:r>
      <w:r>
        <w:rPr>
          <w:rFonts w:ascii="宋体" w:hAnsi="宋体"/>
          <w:b/>
          <w:bCs/>
          <w:color w:val="000000"/>
          <w:sz w:val="30"/>
          <w:szCs w:val="30"/>
          <w:u w:val="single"/>
        </w:rPr>
        <w:t>SSWY-YX-</w:t>
      </w:r>
      <w:r>
        <w:rPr>
          <w:rFonts w:hint="eastAsia" w:ascii="宋体" w:hAnsi="宋体"/>
          <w:b/>
          <w:bCs/>
          <w:color w:val="000000"/>
          <w:sz w:val="30"/>
          <w:szCs w:val="30"/>
          <w:u w:val="single"/>
          <w:lang w:val="en-US" w:eastAsia="zh-CN"/>
        </w:rPr>
        <w:t>003</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cs="宋体"/>
          <w:b/>
          <w:sz w:val="30"/>
          <w:szCs w:val="30"/>
          <w:u w:val="single"/>
          <w:lang w:bidi="ar"/>
        </w:rPr>
        <w:t>洛阳浩德浩康置业有限公司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河南智品印务有限公司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val="en-US" w:eastAsia="zh-CN"/>
        </w:rPr>
        <w:t>洛宁</w:t>
      </w:r>
      <w:r>
        <w:rPr>
          <w:rFonts w:hint="eastAsia" w:ascii="宋体" w:hAnsi="宋体" w:cs="宋体"/>
          <w:b/>
          <w:bCs/>
          <w:sz w:val="30"/>
          <w:szCs w:val="30"/>
        </w:rPr>
        <w:t>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洛阳浩德浩康置业有限公司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河南智品印务有限公司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80836376"/>
      <w:bookmarkStart w:id="1" w:name="_Toc194316927"/>
      <w:bookmarkStart w:id="2" w:name="_Toc194719956"/>
      <w:bookmarkStart w:id="3" w:name="_Toc194374018"/>
      <w:bookmarkStart w:id="4" w:name="_Toc194316308"/>
      <w:bookmarkStart w:id="5" w:name="_Toc194314530"/>
      <w:bookmarkStart w:id="6" w:name="_Toc194312526"/>
      <w:bookmarkStart w:id="7" w:name="_Toc194313235"/>
      <w:bookmarkStart w:id="8" w:name="_Toc194313923"/>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276715495"/>
      <w:bookmarkStart w:id="10" w:name="_Toc194313236"/>
      <w:bookmarkStart w:id="11" w:name="_Toc194719957"/>
      <w:bookmarkStart w:id="12" w:name="_Toc276715842"/>
      <w:bookmarkStart w:id="13" w:name="_Toc180836377"/>
      <w:bookmarkStart w:id="14" w:name="_Toc194374019"/>
      <w:bookmarkStart w:id="15" w:name="_Toc194312527"/>
      <w:bookmarkStart w:id="16" w:name="_Toc194316309"/>
      <w:bookmarkStart w:id="17" w:name="_Toc194316928"/>
      <w:bookmarkStart w:id="18" w:name="_Toc194313924"/>
      <w:bookmarkStart w:id="19" w:name="_Toc276716044"/>
      <w:bookmarkStart w:id="20" w:name="_Toc194314531"/>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150000.00</w:t>
      </w:r>
      <w:r>
        <w:rPr>
          <w:rFonts w:hint="eastAsia" w:ascii="宋体" w:hAnsi="宋体" w:cs="宋体"/>
          <w:bCs/>
          <w:sz w:val="24"/>
        </w:rPr>
        <w:t>元（大写人民币</w:t>
      </w:r>
      <w:r>
        <w:rPr>
          <w:rFonts w:hint="eastAsia" w:ascii="宋体" w:hAnsi="宋体" w:cs="宋体"/>
          <w:bCs/>
          <w:sz w:val="24"/>
          <w:u w:val="single"/>
          <w:lang w:val="en-US" w:eastAsia="zh-CN"/>
        </w:rPr>
        <w:t>壹拾伍</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132743.36</w:t>
      </w:r>
      <w:r>
        <w:rPr>
          <w:rFonts w:hint="eastAsia" w:ascii="宋体" w:hAnsi="宋体" w:cs="宋体"/>
          <w:bCs/>
          <w:sz w:val="24"/>
        </w:rPr>
        <w:t>元（大写人民币</w:t>
      </w:r>
      <w:r>
        <w:rPr>
          <w:rFonts w:hint="eastAsia" w:ascii="宋体" w:hAnsi="宋体" w:cs="宋体"/>
          <w:bCs/>
          <w:sz w:val="24"/>
          <w:u w:val="single"/>
          <w:lang w:val="en-US" w:eastAsia="zh-CN"/>
        </w:rPr>
        <w:t>壹拾叁万贰仟柒佰肆拾叁元叁角陆分</w:t>
      </w:r>
      <w:r>
        <w:rPr>
          <w:rFonts w:hint="eastAsia" w:ascii="宋体" w:hAnsi="宋体" w:cs="宋体"/>
          <w:bCs/>
          <w:sz w:val="24"/>
        </w:rPr>
        <w:t>），增值税税金为¥</w:t>
      </w:r>
      <w:r>
        <w:rPr>
          <w:rFonts w:hint="eastAsia" w:ascii="宋体" w:hAnsi="宋体" w:cs="宋体"/>
          <w:bCs/>
          <w:sz w:val="24"/>
          <w:u w:val="single"/>
          <w:lang w:val="en-US" w:eastAsia="zh-CN"/>
        </w:rPr>
        <w:t>17256.64</w:t>
      </w:r>
      <w:r>
        <w:rPr>
          <w:rFonts w:hint="eastAsia" w:ascii="宋体" w:hAnsi="宋体" w:cs="宋体"/>
          <w:bCs/>
          <w:sz w:val="24"/>
        </w:rPr>
        <w:t>元（大写人民币</w:t>
      </w:r>
      <w:r>
        <w:rPr>
          <w:rFonts w:hint="eastAsia" w:ascii="宋体" w:hAnsi="宋体" w:cs="宋体"/>
          <w:bCs/>
          <w:sz w:val="24"/>
          <w:u w:val="single"/>
          <w:lang w:val="en-US" w:eastAsia="zh-CN"/>
        </w:rPr>
        <w:t>壹万柒仟贰佰伍拾陆元陆角肆分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val="en-US" w:eastAsia="zh-CN"/>
        </w:rPr>
        <w:t>洛宁</w:t>
      </w:r>
      <w:r>
        <w:rPr>
          <w:rFonts w:hint="eastAsia" w:ascii="宋体" w:hAnsi="宋体" w:cs="宋体"/>
          <w:bCs/>
          <w:sz w:val="24"/>
        </w:rPr>
        <w:t>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276715505"/>
      <w:bookmarkStart w:id="23" w:name="_Toc194313934"/>
      <w:bookmarkStart w:id="24" w:name="_Toc194719967"/>
      <w:bookmarkStart w:id="25" w:name="_Toc194314541"/>
      <w:bookmarkStart w:id="26" w:name="_Toc194313246"/>
      <w:bookmarkStart w:id="27" w:name="_Toc276715852"/>
      <w:bookmarkStart w:id="28" w:name="_Toc194312537"/>
      <w:bookmarkStart w:id="29" w:name="_Toc276716054"/>
      <w:bookmarkStart w:id="30" w:name="_Toc194374029"/>
      <w:bookmarkStart w:id="31" w:name="_Toc180836387"/>
      <w:bookmarkStart w:id="32" w:name="_Toc194316319"/>
      <w:bookmarkStart w:id="33" w:name="_Toc194316938"/>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276715853"/>
      <w:bookmarkStart w:id="35" w:name="_Toc194313247"/>
      <w:bookmarkStart w:id="36" w:name="_Toc276715506"/>
      <w:bookmarkStart w:id="37" w:name="_Toc194314542"/>
      <w:bookmarkStart w:id="38" w:name="_Toc194312538"/>
      <w:bookmarkStart w:id="39" w:name="_Toc276716055"/>
      <w:bookmarkStart w:id="40" w:name="_Toc194313935"/>
      <w:bookmarkStart w:id="41" w:name="_Toc180836388"/>
      <w:bookmarkStart w:id="42" w:name="_Toc194316939"/>
      <w:bookmarkStart w:id="43" w:name="_Toc194316320"/>
      <w:bookmarkStart w:id="44" w:name="_Toc194719968"/>
      <w:bookmarkStart w:id="45" w:name="_Toc194374030"/>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郑州市金水区经三路北81号2号楼1203号</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王贯超</w:t>
      </w:r>
      <w:r>
        <w:rPr>
          <w:rFonts w:hint="eastAsia" w:ascii="宋体" w:hAnsi="宋体"/>
          <w:sz w:val="24"/>
          <w:u w:val="single"/>
          <w:lang w:eastAsia="zh-CN"/>
        </w:rPr>
        <w:t>、</w:t>
      </w:r>
      <w:r>
        <w:rPr>
          <w:rFonts w:hint="eastAsia" w:ascii="宋体" w:hAnsi="宋体"/>
          <w:sz w:val="24"/>
          <w:u w:val="single"/>
        </w:rPr>
        <w:t>13613858715</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276715854"/>
      <w:bookmarkStart w:id="47" w:name="_Toc194316321"/>
      <w:bookmarkStart w:id="48" w:name="_Toc276715507"/>
      <w:bookmarkStart w:id="49" w:name="_Toc194314543"/>
      <w:bookmarkStart w:id="50" w:name="_Toc194312539"/>
      <w:bookmarkStart w:id="51" w:name="_Toc194316940"/>
      <w:bookmarkStart w:id="52" w:name="_Toc276716056"/>
      <w:bookmarkStart w:id="53" w:name="_Toc194313936"/>
      <w:bookmarkStart w:id="54" w:name="_Toc180836389"/>
      <w:bookmarkStart w:id="55" w:name="_Toc194374031"/>
      <w:bookmarkStart w:id="56" w:name="_Toc194313248"/>
      <w:bookmarkStart w:id="57" w:name="_Toc194719969"/>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w:t>
      </w:r>
      <w:r>
        <w:rPr>
          <w:rFonts w:hint="eastAsia" w:ascii="宋体" w:hAnsi="宋体"/>
          <w:sz w:val="24"/>
          <w:lang w:val="en-US" w:eastAsia="zh-CN"/>
        </w:rPr>
        <w:t>洛宁</w:t>
      </w:r>
      <w:r>
        <w:rPr>
          <w:rFonts w:hint="eastAsia" w:ascii="宋体" w:hAnsi="宋体"/>
          <w:sz w:val="24"/>
        </w:rPr>
        <w:t>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widowControl/>
        <w:spacing w:line="360" w:lineRule="auto"/>
        <w:jc w:val="left"/>
        <w:rPr>
          <w:rFonts w:hint="eastAsia" w:ascii="宋体" w:hAnsi="宋体"/>
          <w:sz w:val="18"/>
          <w:szCs w:val="18"/>
        </w:rPr>
      </w:pPr>
      <w:r>
        <w:rPr>
          <w:rFonts w:hint="eastAsia" w:ascii="宋体" w:hAnsi="宋体"/>
          <w:sz w:val="18"/>
          <w:szCs w:val="18"/>
        </w:rPr>
        <w:t>甲方：洛阳浩德浩康置业有限公司</w:t>
      </w:r>
    </w:p>
    <w:p>
      <w:pPr>
        <w:widowControl/>
        <w:spacing w:line="360" w:lineRule="auto"/>
        <w:jc w:val="left"/>
        <w:rPr>
          <w:rFonts w:hint="eastAsia" w:ascii="宋体" w:hAnsi="宋体"/>
          <w:sz w:val="18"/>
          <w:szCs w:val="18"/>
        </w:rPr>
      </w:pPr>
      <w:r>
        <w:rPr>
          <w:rFonts w:hint="eastAsia" w:ascii="宋体" w:hAnsi="宋体"/>
          <w:sz w:val="18"/>
          <w:szCs w:val="18"/>
        </w:rPr>
        <w:t>法人代表：</w:t>
      </w:r>
    </w:p>
    <w:p>
      <w:pPr>
        <w:widowControl/>
        <w:spacing w:line="360" w:lineRule="auto"/>
        <w:jc w:val="left"/>
        <w:rPr>
          <w:rFonts w:hint="eastAsia" w:ascii="宋体" w:hAnsi="宋体"/>
          <w:sz w:val="18"/>
          <w:szCs w:val="18"/>
        </w:rPr>
      </w:pPr>
      <w:r>
        <w:rPr>
          <w:rFonts w:hint="eastAsia" w:ascii="宋体" w:hAnsi="宋体"/>
          <w:sz w:val="18"/>
          <w:szCs w:val="18"/>
        </w:rPr>
        <w:t>或授权委托人：</w:t>
      </w:r>
    </w:p>
    <w:p>
      <w:pPr>
        <w:widowControl/>
        <w:spacing w:line="360" w:lineRule="auto"/>
        <w:jc w:val="left"/>
        <w:rPr>
          <w:rFonts w:hint="eastAsia" w:ascii="宋体" w:hAnsi="宋体"/>
          <w:sz w:val="18"/>
          <w:szCs w:val="18"/>
        </w:rPr>
      </w:pPr>
      <w:r>
        <w:rPr>
          <w:rFonts w:hint="eastAsia" w:ascii="宋体" w:hAnsi="宋体"/>
          <w:sz w:val="18"/>
          <w:szCs w:val="18"/>
        </w:rPr>
        <w:t>税号：91410328MA9K9J8A5F</w:t>
      </w:r>
    </w:p>
    <w:p>
      <w:pPr>
        <w:widowControl/>
        <w:spacing w:line="360" w:lineRule="auto"/>
        <w:jc w:val="left"/>
        <w:rPr>
          <w:rFonts w:hint="eastAsia" w:ascii="宋体" w:hAnsi="宋体"/>
          <w:sz w:val="18"/>
          <w:szCs w:val="18"/>
        </w:rPr>
      </w:pPr>
      <w:r>
        <w:rPr>
          <w:rFonts w:hint="eastAsia" w:ascii="宋体" w:hAnsi="宋体"/>
          <w:sz w:val="18"/>
          <w:szCs w:val="18"/>
        </w:rPr>
        <w:t>账户：16123101040009795</w:t>
      </w:r>
    </w:p>
    <w:p>
      <w:pPr>
        <w:widowControl/>
        <w:spacing w:line="360" w:lineRule="auto"/>
        <w:jc w:val="left"/>
        <w:rPr>
          <w:rFonts w:hint="eastAsia" w:ascii="宋体" w:hAnsi="宋体"/>
          <w:sz w:val="18"/>
          <w:szCs w:val="18"/>
        </w:rPr>
      </w:pPr>
      <w:r>
        <w:rPr>
          <w:rFonts w:hint="eastAsia" w:ascii="宋体" w:hAnsi="宋体"/>
          <w:sz w:val="18"/>
          <w:szCs w:val="18"/>
        </w:rPr>
        <w:t>开户行：中国农业银行股份有限公司洛宁县支行</w:t>
      </w:r>
    </w:p>
    <w:p>
      <w:pPr>
        <w:widowControl/>
        <w:spacing w:line="360" w:lineRule="auto"/>
        <w:jc w:val="left"/>
        <w:rPr>
          <w:rFonts w:hint="eastAsia" w:ascii="宋体" w:hAnsi="宋体"/>
          <w:sz w:val="18"/>
          <w:szCs w:val="18"/>
          <w:lang w:val="en-US" w:eastAsia="zh-CN"/>
        </w:rPr>
      </w:pPr>
      <w:r>
        <w:rPr>
          <w:rFonts w:hint="eastAsia" w:ascii="宋体" w:hAnsi="宋体"/>
          <w:sz w:val="18"/>
          <w:szCs w:val="18"/>
        </w:rPr>
        <w:t>日期：2021年</w:t>
      </w:r>
      <w:r>
        <w:rPr>
          <w:rFonts w:hint="eastAsia" w:ascii="宋体" w:hAnsi="宋体"/>
          <w:sz w:val="18"/>
          <w:szCs w:val="18"/>
          <w:lang w:val="en-US" w:eastAsia="zh-CN"/>
        </w:rPr>
        <w:t>11</w:t>
      </w:r>
      <w:r>
        <w:rPr>
          <w:rFonts w:hint="eastAsia" w:ascii="宋体" w:hAnsi="宋体"/>
          <w:sz w:val="18"/>
          <w:szCs w:val="18"/>
        </w:rPr>
        <w:t>月</w:t>
      </w:r>
      <w:r>
        <w:rPr>
          <w:rFonts w:hint="eastAsia" w:ascii="宋体" w:hAnsi="宋体"/>
          <w:sz w:val="18"/>
          <w:szCs w:val="18"/>
          <w:lang w:val="en-US" w:eastAsia="zh-CN"/>
        </w:rPr>
        <w:t xml:space="preserve">  日</w:t>
      </w:r>
    </w:p>
    <w:p>
      <w:pPr>
        <w:widowControl/>
        <w:spacing w:line="360" w:lineRule="auto"/>
        <w:jc w:val="left"/>
        <w:rPr>
          <w:rFonts w:hint="eastAsia" w:ascii="宋体" w:hAnsi="宋体"/>
          <w:sz w:val="18"/>
          <w:szCs w:val="18"/>
        </w:rPr>
      </w:pPr>
      <w:r>
        <w:rPr>
          <w:rFonts w:hint="eastAsia" w:ascii="宋体" w:hAnsi="宋体"/>
          <w:sz w:val="18"/>
          <w:szCs w:val="18"/>
        </w:rPr>
        <w:t>乙方：</w:t>
      </w:r>
      <w:r>
        <w:rPr>
          <w:rFonts w:hint="eastAsia" w:ascii="宋体" w:hAnsi="宋体" w:eastAsia="宋体" w:cs="Calibri"/>
          <w:color w:val="000000"/>
          <w:kern w:val="0"/>
          <w:sz w:val="18"/>
          <w:szCs w:val="18"/>
          <w:highlight w:val="none"/>
          <w:lang w:val="en-US" w:eastAsia="zh-CN"/>
        </w:rPr>
        <w:t>河南智品印务有限公司</w:t>
      </w:r>
    </w:p>
    <w:p>
      <w:pPr>
        <w:widowControl/>
        <w:spacing w:line="360" w:lineRule="auto"/>
        <w:jc w:val="left"/>
        <w:rPr>
          <w:rFonts w:hint="eastAsia" w:ascii="宋体" w:hAnsi="宋体"/>
          <w:sz w:val="18"/>
          <w:szCs w:val="18"/>
        </w:rPr>
      </w:pPr>
      <w:r>
        <w:rPr>
          <w:rFonts w:hint="eastAsia" w:ascii="宋体" w:hAnsi="宋体"/>
          <w:sz w:val="18"/>
          <w:szCs w:val="18"/>
        </w:rPr>
        <w:t>法人代表：</w:t>
      </w:r>
    </w:p>
    <w:p>
      <w:pPr>
        <w:widowControl/>
        <w:spacing w:line="360" w:lineRule="auto"/>
        <w:jc w:val="left"/>
        <w:rPr>
          <w:rFonts w:hint="eastAsia" w:ascii="宋体" w:hAnsi="宋体"/>
          <w:sz w:val="18"/>
          <w:szCs w:val="18"/>
        </w:rPr>
      </w:pPr>
      <w:r>
        <w:rPr>
          <w:rFonts w:hint="eastAsia" w:ascii="宋体" w:hAnsi="宋体"/>
          <w:sz w:val="18"/>
          <w:szCs w:val="18"/>
        </w:rPr>
        <w:t>或授权委托人：</w:t>
      </w:r>
    </w:p>
    <w:p>
      <w:pPr>
        <w:widowControl/>
        <w:spacing w:line="360" w:lineRule="auto"/>
        <w:jc w:val="left"/>
        <w:rPr>
          <w:rFonts w:hint="eastAsia" w:ascii="宋体" w:hAnsi="宋体"/>
          <w:sz w:val="18"/>
          <w:szCs w:val="18"/>
        </w:rPr>
      </w:pPr>
      <w:r>
        <w:rPr>
          <w:rFonts w:hint="eastAsia" w:ascii="宋体" w:hAnsi="宋体"/>
          <w:sz w:val="18"/>
          <w:szCs w:val="18"/>
        </w:rPr>
        <w:t>税号：</w:t>
      </w:r>
      <w:r>
        <w:rPr>
          <w:rFonts w:hint="eastAsia" w:ascii="宋体" w:hAnsi="宋体" w:eastAsia="宋体" w:cs="Calibri"/>
          <w:color w:val="000000"/>
          <w:kern w:val="0"/>
          <w:sz w:val="18"/>
          <w:szCs w:val="18"/>
          <w:highlight w:val="none"/>
          <w:lang w:val="en-US" w:eastAsia="zh-CN"/>
        </w:rPr>
        <w:t>91410105573593974Q</w:t>
      </w:r>
    </w:p>
    <w:p>
      <w:pPr>
        <w:widowControl/>
        <w:spacing w:line="360" w:lineRule="auto"/>
        <w:jc w:val="left"/>
        <w:rPr>
          <w:rFonts w:hint="eastAsia" w:ascii="宋体" w:hAnsi="宋体"/>
          <w:sz w:val="18"/>
          <w:szCs w:val="18"/>
        </w:rPr>
      </w:pPr>
      <w:r>
        <w:rPr>
          <w:rFonts w:hint="eastAsia" w:ascii="宋体" w:hAnsi="宋体"/>
          <w:sz w:val="18"/>
          <w:szCs w:val="18"/>
        </w:rPr>
        <w:t>账户：</w:t>
      </w:r>
      <w:r>
        <w:rPr>
          <w:rFonts w:hint="eastAsia" w:ascii="宋体" w:hAnsi="宋体" w:eastAsia="宋体" w:cs="Calibri"/>
          <w:color w:val="000000"/>
          <w:kern w:val="0"/>
          <w:sz w:val="18"/>
          <w:szCs w:val="18"/>
          <w:highlight w:val="none"/>
          <w:lang w:val="en-US" w:eastAsia="zh-CN"/>
        </w:rPr>
        <w:t>262411426477</w:t>
      </w:r>
    </w:p>
    <w:p>
      <w:pPr>
        <w:widowControl/>
        <w:spacing w:line="360" w:lineRule="auto"/>
        <w:jc w:val="left"/>
        <w:rPr>
          <w:rFonts w:hint="eastAsia" w:ascii="宋体" w:hAnsi="宋体"/>
          <w:sz w:val="18"/>
          <w:szCs w:val="18"/>
        </w:rPr>
      </w:pPr>
      <w:r>
        <w:rPr>
          <w:rFonts w:hint="eastAsia" w:ascii="宋体" w:hAnsi="宋体"/>
          <w:sz w:val="18"/>
          <w:szCs w:val="18"/>
        </w:rPr>
        <w:t>开户行：</w:t>
      </w:r>
      <w:r>
        <w:rPr>
          <w:rFonts w:hint="eastAsia" w:ascii="宋体" w:hAnsi="宋体" w:eastAsia="宋体" w:cs="Calibri"/>
          <w:color w:val="000000"/>
          <w:kern w:val="0"/>
          <w:sz w:val="18"/>
          <w:szCs w:val="18"/>
          <w:highlight w:val="none"/>
          <w:lang w:val="en-US" w:eastAsia="zh-CN"/>
        </w:rPr>
        <w:t>中国银行股份有限公司郑州天韵街支行</w:t>
      </w:r>
    </w:p>
    <w:p>
      <w:pPr>
        <w:widowControl/>
        <w:spacing w:line="360" w:lineRule="auto"/>
        <w:jc w:val="left"/>
        <w:rPr>
          <w:rFonts w:hint="eastAsia" w:ascii="宋体" w:hAnsi="宋体"/>
          <w:sz w:val="18"/>
          <w:szCs w:val="18"/>
          <w:lang w:val="en-US" w:eastAsia="zh-CN"/>
        </w:rPr>
      </w:pPr>
      <w:r>
        <w:rPr>
          <w:rFonts w:hint="eastAsia" w:ascii="宋体" w:hAnsi="宋体"/>
          <w:sz w:val="18"/>
          <w:szCs w:val="18"/>
        </w:rPr>
        <w:t>日期：2021年</w:t>
      </w:r>
      <w:r>
        <w:rPr>
          <w:rFonts w:hint="eastAsia" w:ascii="宋体" w:hAnsi="宋体"/>
          <w:sz w:val="18"/>
          <w:szCs w:val="18"/>
          <w:lang w:val="en-US" w:eastAsia="zh-CN"/>
        </w:rPr>
        <w:t>11</w:t>
      </w:r>
      <w:r>
        <w:rPr>
          <w:rFonts w:hint="eastAsia" w:ascii="宋体" w:hAnsi="宋体"/>
          <w:sz w:val="18"/>
          <w:szCs w:val="18"/>
        </w:rPr>
        <w:t>月</w:t>
      </w:r>
      <w:r>
        <w:rPr>
          <w:rFonts w:hint="eastAsia" w:ascii="宋体" w:hAnsi="宋体"/>
          <w:sz w:val="18"/>
          <w:szCs w:val="18"/>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szCs w:val="24"/>
          <w:u w:val="single"/>
        </w:rPr>
        <w:t>洛阳浩德浩康置业有限公司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河南智品印务有限公司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szCs w:val="24"/>
          <w:u w:val="single"/>
        </w:rPr>
        <w:t>洛阳浩德浩康置业有限公司</w:t>
      </w:r>
      <w:r>
        <w:rPr>
          <w:rFonts w:hint="eastAsia" w:ascii="宋体" w:hAnsi="宋体" w:cs="宋体"/>
          <w:sz w:val="24"/>
        </w:rPr>
        <w:t xml:space="preserve">     乙方：</w:t>
      </w:r>
      <w:r>
        <w:rPr>
          <w:rFonts w:hint="eastAsia" w:ascii="宋体" w:hAnsi="宋体" w:cs="宋体"/>
          <w:sz w:val="24"/>
          <w:u w:val="single"/>
        </w:rPr>
        <w:t>河南智品印务有限公司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w:t>
      </w:r>
      <w:r>
        <w:rPr>
          <w:rFonts w:hint="eastAsia" w:ascii="宋体" w:hAnsi="宋体"/>
          <w:b/>
          <w:bCs/>
          <w:sz w:val="24"/>
          <w:lang w:val="en-US" w:eastAsia="zh-CN"/>
        </w:rPr>
        <w:t>洛宁</w:t>
      </w:r>
      <w:r>
        <w:rPr>
          <w:rFonts w:hint="eastAsia" w:ascii="宋体" w:hAnsi="宋体"/>
          <w:b/>
          <w:bCs/>
          <w:sz w:val="24"/>
        </w:rPr>
        <w:t>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7"/>
        <w:gridCol w:w="524"/>
        <w:gridCol w:w="1814"/>
        <w:gridCol w:w="2500"/>
        <w:gridCol w:w="1677"/>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bookmarkStart w:id="60" w:name="_GoBack"/>
            <w:bookmarkEnd w:id="60"/>
            <w:r>
              <w:rPr>
                <w:rFonts w:hint="eastAsia" w:ascii="等线" w:hAnsi="等线" w:eastAsia="等线" w:cs="等线"/>
                <w:b/>
                <w:bCs/>
                <w:i w:val="0"/>
                <w:iCs w:val="0"/>
                <w:color w:val="000000"/>
                <w:kern w:val="0"/>
                <w:sz w:val="32"/>
                <w:szCs w:val="32"/>
                <w:u w:val="none"/>
                <w:lang w:val="en-US" w:eastAsia="zh-CN" w:bidi="ar"/>
              </w:rPr>
              <w:t>洛宁山水文苑项目2022-2023年度印刷框架报价表</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智品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单次印刷量</w:t>
            </w:r>
            <w:r>
              <w:rPr>
                <w:rFonts w:hint="eastAsia" w:ascii="等线" w:hAnsi="等线" w:eastAsia="等线" w:cs="等线"/>
                <w:b/>
                <w:bCs/>
                <w:i w:val="0"/>
                <w:iCs w:val="0"/>
                <w:color w:val="000000"/>
                <w:kern w:val="0"/>
                <w:sz w:val="20"/>
                <w:szCs w:val="20"/>
                <w:u w:val="none"/>
                <w:lang w:val="en-US" w:eastAsia="zh-CN" w:bidi="ar"/>
              </w:rPr>
              <w:br w:type="textWrapping"/>
            </w:r>
            <w:r>
              <w:rPr>
                <w:rFonts w:hint="eastAsia" w:ascii="等线" w:hAnsi="等线" w:eastAsia="等线" w:cs="等线"/>
                <w:b/>
                <w:bCs/>
                <w:i w:val="0"/>
                <w:iCs w:val="0"/>
                <w:color w:val="000000"/>
                <w:kern w:val="0"/>
                <w:sz w:val="20"/>
                <w:szCs w:val="20"/>
                <w:u w:val="none"/>
                <w:lang w:val="en-US" w:eastAsia="zh-CN" w:bidi="ar"/>
              </w:rPr>
              <w:t>区间</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1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215*350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Style w:val="25"/>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福袋200铜板，尺寸：340X400mm，红包85X180mm。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封面：11*15.5cm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Style w:val="25"/>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Style w:val="25"/>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5"/>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加固无纺布袋+广告印刷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35*40*8cm 竖版 </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等线" w:hAnsi="等线" w:eastAsia="等线" w:cs="等线"/>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56449B9"/>
    <w:rsid w:val="0887577A"/>
    <w:rsid w:val="08DF64FD"/>
    <w:rsid w:val="0CA560FA"/>
    <w:rsid w:val="0F92036E"/>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ADB5E6E"/>
    <w:rsid w:val="2B0B655A"/>
    <w:rsid w:val="2B497197"/>
    <w:rsid w:val="2BB67440"/>
    <w:rsid w:val="2CD76BFF"/>
    <w:rsid w:val="30171D8F"/>
    <w:rsid w:val="330B7F3C"/>
    <w:rsid w:val="37B02C8E"/>
    <w:rsid w:val="3BB52F69"/>
    <w:rsid w:val="3DDF4CFF"/>
    <w:rsid w:val="3DEB2B85"/>
    <w:rsid w:val="3E2B12C1"/>
    <w:rsid w:val="41057530"/>
    <w:rsid w:val="414A1CE5"/>
    <w:rsid w:val="42520CBD"/>
    <w:rsid w:val="456F6C3A"/>
    <w:rsid w:val="48032C9F"/>
    <w:rsid w:val="493704AF"/>
    <w:rsid w:val="49EF783F"/>
    <w:rsid w:val="4A61791F"/>
    <w:rsid w:val="4F2C3F62"/>
    <w:rsid w:val="51A030B0"/>
    <w:rsid w:val="541A219E"/>
    <w:rsid w:val="544708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 w:type="character" w:customStyle="1" w:styleId="25">
    <w:name w:val="font4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0</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2021-11-24T07:14:51Z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