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洛宁</w:t>
      </w:r>
      <w:r>
        <w:rPr>
          <w:rFonts w:hint="eastAsia" w:ascii="宋体" w:hAnsi="宋体" w:cs="宋体"/>
          <w:b/>
          <w:bCs/>
          <w:sz w:val="44"/>
          <w:szCs w:val="44"/>
        </w:rPr>
        <w:t>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LN</w:t>
      </w:r>
      <w:r>
        <w:rPr>
          <w:rFonts w:ascii="宋体" w:hAnsi="宋体"/>
          <w:b/>
          <w:bCs/>
          <w:color w:val="000000"/>
          <w:sz w:val="30"/>
          <w:szCs w:val="30"/>
          <w:u w:val="single"/>
        </w:rPr>
        <w:t>SSWY-YX-</w:t>
      </w:r>
      <w:r>
        <w:rPr>
          <w:rFonts w:hint="eastAsia" w:ascii="宋体" w:hAnsi="宋体"/>
          <w:b/>
          <w:bCs/>
          <w:color w:val="000000"/>
          <w:sz w:val="30"/>
          <w:szCs w:val="30"/>
          <w:u w:val="single"/>
          <w:lang w:val="en-US" w:eastAsia="zh-CN"/>
        </w:rPr>
        <w:t>004</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cs="宋体"/>
          <w:b/>
          <w:sz w:val="30"/>
          <w:szCs w:val="30"/>
          <w:u w:val="single"/>
          <w:lang w:bidi="ar"/>
        </w:rPr>
        <w:t>洛阳浩德浩康置业有限公司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河南普天印务有限公司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洛宁</w:t>
      </w:r>
      <w:r>
        <w:rPr>
          <w:rFonts w:hint="eastAsia" w:ascii="宋体" w:hAnsi="宋体" w:cs="宋体"/>
          <w:b/>
          <w:bCs/>
          <w:sz w:val="30"/>
          <w:szCs w:val="30"/>
        </w:rPr>
        <w:t>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洛阳浩德浩康置业有限公司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河南普天印务有限公司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3235"/>
      <w:bookmarkStart w:id="1" w:name="_Toc194314530"/>
      <w:bookmarkStart w:id="2" w:name="_Toc194316308"/>
      <w:bookmarkStart w:id="3" w:name="_Toc180836376"/>
      <w:bookmarkStart w:id="4" w:name="_Toc194313923"/>
      <w:bookmarkStart w:id="5" w:name="_Toc194312526"/>
      <w:bookmarkStart w:id="6" w:name="_Toc194719956"/>
      <w:bookmarkStart w:id="7" w:name="_Toc194374018"/>
      <w:bookmarkStart w:id="8" w:name="_Toc194316927"/>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719957"/>
      <w:bookmarkStart w:id="10" w:name="_Toc276715842"/>
      <w:bookmarkStart w:id="11" w:name="_Toc194316928"/>
      <w:bookmarkStart w:id="12" w:name="_Toc180836377"/>
      <w:bookmarkStart w:id="13" w:name="_Toc194313236"/>
      <w:bookmarkStart w:id="14" w:name="_Toc194312527"/>
      <w:bookmarkStart w:id="15" w:name="_Toc194314531"/>
      <w:bookmarkStart w:id="16" w:name="_Toc276716044"/>
      <w:bookmarkStart w:id="17" w:name="_Toc194374019"/>
      <w:bookmarkStart w:id="18" w:name="_Toc194316309"/>
      <w:bookmarkStart w:id="19" w:name="_Toc194313924"/>
      <w:bookmarkStart w:id="20" w:name="_Toc276715495"/>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洛宁</w:t>
      </w:r>
      <w:r>
        <w:rPr>
          <w:rFonts w:hint="eastAsia" w:ascii="宋体" w:hAnsi="宋体" w:cs="宋体"/>
          <w:bCs/>
          <w:sz w:val="24"/>
        </w:rPr>
        <w:t>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276715852"/>
      <w:bookmarkStart w:id="23" w:name="_Toc194374029"/>
      <w:bookmarkStart w:id="24" w:name="_Toc194316319"/>
      <w:bookmarkStart w:id="25" w:name="_Toc194313934"/>
      <w:bookmarkStart w:id="26" w:name="_Toc276716054"/>
      <w:bookmarkStart w:id="27" w:name="_Toc194313246"/>
      <w:bookmarkStart w:id="28" w:name="_Toc194316938"/>
      <w:bookmarkStart w:id="29" w:name="_Toc276715505"/>
      <w:bookmarkStart w:id="30" w:name="_Toc194314541"/>
      <w:bookmarkStart w:id="31" w:name="_Toc180836387"/>
      <w:bookmarkStart w:id="32" w:name="_Toc194312537"/>
      <w:bookmarkStart w:id="33" w:name="_Toc194719967"/>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3247"/>
      <w:bookmarkStart w:id="35" w:name="_Toc194312538"/>
      <w:bookmarkStart w:id="36" w:name="_Toc194314542"/>
      <w:bookmarkStart w:id="37" w:name="_Toc194374030"/>
      <w:bookmarkStart w:id="38" w:name="_Toc276715853"/>
      <w:bookmarkStart w:id="39" w:name="_Toc276716055"/>
      <w:bookmarkStart w:id="40" w:name="_Toc194316320"/>
      <w:bookmarkStart w:id="41" w:name="_Toc194316939"/>
      <w:bookmarkStart w:id="42" w:name="_Toc194313935"/>
      <w:bookmarkStart w:id="43" w:name="_Toc276715506"/>
      <w:bookmarkStart w:id="44" w:name="_Toc194719968"/>
      <w:bookmarkStart w:id="45" w:name="_Toc18083638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郑州市金水区丰庆路北段与魏河北路交叉口东南角</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何世伟</w:t>
      </w:r>
      <w:r>
        <w:rPr>
          <w:rFonts w:hint="eastAsia" w:ascii="宋体" w:hAnsi="宋体"/>
          <w:sz w:val="24"/>
          <w:u w:val="single"/>
          <w:lang w:eastAsia="zh-CN"/>
        </w:rPr>
        <w:t>、</w:t>
      </w:r>
      <w:r>
        <w:rPr>
          <w:rFonts w:hint="eastAsia" w:ascii="宋体" w:hAnsi="宋体"/>
          <w:sz w:val="24"/>
          <w:u w:val="single"/>
        </w:rPr>
        <w:t>13203820008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5507"/>
      <w:bookmarkStart w:id="47" w:name="_Toc180836389"/>
      <w:bookmarkStart w:id="48" w:name="_Toc194312539"/>
      <w:bookmarkStart w:id="49" w:name="_Toc194313248"/>
      <w:bookmarkStart w:id="50" w:name="_Toc194316940"/>
      <w:bookmarkStart w:id="51" w:name="_Toc194374031"/>
      <w:bookmarkStart w:id="52" w:name="_Toc194314543"/>
      <w:bookmarkStart w:id="53" w:name="_Toc194313936"/>
      <w:bookmarkStart w:id="54" w:name="_Toc276716056"/>
      <w:bookmarkStart w:id="55" w:name="_Toc276715854"/>
      <w:bookmarkStart w:id="56" w:name="_Toc194316321"/>
      <w:bookmarkStart w:id="57" w:name="_Toc19471996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洛宁</w:t>
      </w:r>
      <w:r>
        <w:rPr>
          <w:rFonts w:hint="eastAsia" w:ascii="宋体" w:hAnsi="宋体"/>
          <w:sz w:val="24"/>
        </w:rPr>
        <w:t>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widowControl/>
        <w:spacing w:line="360" w:lineRule="auto"/>
        <w:jc w:val="left"/>
        <w:rPr>
          <w:rFonts w:hint="eastAsia" w:ascii="宋体" w:hAnsi="宋体"/>
          <w:sz w:val="18"/>
          <w:szCs w:val="18"/>
        </w:rPr>
      </w:pPr>
      <w:r>
        <w:rPr>
          <w:rFonts w:hint="eastAsia" w:ascii="宋体" w:hAnsi="宋体"/>
          <w:sz w:val="18"/>
          <w:szCs w:val="18"/>
        </w:rPr>
        <w:t>甲方：洛阳浩德浩康置业有限公司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税号：91410328MA9K9J8A5F</w:t>
      </w:r>
    </w:p>
    <w:p>
      <w:pPr>
        <w:widowControl/>
        <w:spacing w:line="360" w:lineRule="auto"/>
        <w:jc w:val="left"/>
        <w:rPr>
          <w:rFonts w:hint="eastAsia" w:ascii="宋体" w:hAnsi="宋体"/>
          <w:sz w:val="18"/>
          <w:szCs w:val="18"/>
        </w:rPr>
      </w:pPr>
      <w:r>
        <w:rPr>
          <w:rFonts w:hint="eastAsia" w:ascii="宋体" w:hAnsi="宋体"/>
          <w:sz w:val="18"/>
          <w:szCs w:val="18"/>
        </w:rPr>
        <w:t>账户：16123101040009795</w:t>
      </w:r>
    </w:p>
    <w:p>
      <w:pPr>
        <w:widowControl/>
        <w:spacing w:line="360" w:lineRule="auto"/>
        <w:jc w:val="left"/>
        <w:rPr>
          <w:rFonts w:hint="eastAsia" w:ascii="宋体" w:hAnsi="宋体"/>
          <w:sz w:val="18"/>
          <w:szCs w:val="18"/>
        </w:rPr>
      </w:pPr>
      <w:r>
        <w:rPr>
          <w:rFonts w:hint="eastAsia" w:ascii="宋体" w:hAnsi="宋体"/>
          <w:sz w:val="18"/>
          <w:szCs w:val="18"/>
        </w:rPr>
        <w:t>开户行：中国农业银行股份有限公司洛宁县支行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widowControl/>
        <w:spacing w:line="360" w:lineRule="auto"/>
        <w:jc w:val="left"/>
        <w:rPr>
          <w:rFonts w:hint="eastAsia" w:ascii="宋体" w:hAnsi="宋体"/>
          <w:sz w:val="18"/>
          <w:szCs w:val="18"/>
        </w:rPr>
      </w:pPr>
      <w:r>
        <w:rPr>
          <w:rFonts w:hint="eastAsia" w:ascii="宋体" w:hAnsi="宋体"/>
          <w:sz w:val="18"/>
          <w:szCs w:val="18"/>
        </w:rPr>
        <w:t>乙方：</w:t>
      </w:r>
      <w:r>
        <w:rPr>
          <w:rFonts w:hint="eastAsia" w:ascii="宋体" w:hAnsi="宋体" w:eastAsia="宋体" w:cs="Calibri"/>
          <w:color w:val="000000"/>
          <w:kern w:val="0"/>
          <w:sz w:val="18"/>
          <w:szCs w:val="18"/>
          <w:highlight w:val="none"/>
          <w:lang w:val="en-US" w:eastAsia="zh-CN"/>
        </w:rPr>
        <w:t>河南普天印务有限公司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w:t>
      </w:r>
      <w:r>
        <w:rPr>
          <w:rFonts w:hint="eastAsia" w:ascii="宋体" w:hAnsi="宋体" w:eastAsia="宋体" w:cs="Calibri"/>
          <w:color w:val="000000"/>
          <w:kern w:val="0"/>
          <w:sz w:val="18"/>
          <w:szCs w:val="18"/>
          <w:highlight w:val="none"/>
          <w:lang w:val="en-US" w:eastAsia="zh-CN"/>
        </w:rPr>
        <w:t>91410105MA3XA9W213</w:t>
      </w:r>
    </w:p>
    <w:p>
      <w:pPr>
        <w:widowControl/>
        <w:spacing w:line="360" w:lineRule="auto"/>
        <w:jc w:val="left"/>
        <w:rPr>
          <w:rFonts w:hint="eastAsia" w:ascii="宋体" w:hAnsi="宋体"/>
          <w:sz w:val="18"/>
          <w:szCs w:val="18"/>
        </w:rPr>
      </w:pPr>
      <w:r>
        <w:rPr>
          <w:rFonts w:hint="eastAsia" w:ascii="宋体" w:hAnsi="宋体"/>
          <w:sz w:val="18"/>
          <w:szCs w:val="18"/>
        </w:rPr>
        <w:t>账户：</w:t>
      </w:r>
      <w:r>
        <w:rPr>
          <w:rFonts w:hint="eastAsia" w:ascii="宋体" w:hAnsi="宋体" w:eastAsia="宋体" w:cs="Calibri"/>
          <w:color w:val="000000"/>
          <w:kern w:val="0"/>
          <w:sz w:val="18"/>
          <w:szCs w:val="18"/>
          <w:highlight w:val="none"/>
          <w:lang w:val="en-US" w:eastAsia="zh-CN"/>
        </w:rPr>
        <w:t>76210154800004542</w:t>
      </w:r>
    </w:p>
    <w:p>
      <w:pPr>
        <w:widowControl/>
        <w:spacing w:line="360" w:lineRule="auto"/>
        <w:jc w:val="left"/>
        <w:rPr>
          <w:rFonts w:hint="eastAsia" w:ascii="宋体" w:hAnsi="宋体"/>
          <w:sz w:val="18"/>
          <w:szCs w:val="18"/>
        </w:rPr>
      </w:pPr>
      <w:r>
        <w:rPr>
          <w:rFonts w:hint="eastAsia" w:ascii="宋体" w:hAnsi="宋体"/>
          <w:sz w:val="18"/>
          <w:szCs w:val="18"/>
        </w:rPr>
        <w:t>开户行：</w:t>
      </w:r>
      <w:r>
        <w:rPr>
          <w:rFonts w:hint="eastAsia" w:ascii="宋体" w:hAnsi="宋体" w:eastAsia="宋体" w:cs="Calibri"/>
          <w:color w:val="000000"/>
          <w:kern w:val="0"/>
          <w:sz w:val="18"/>
          <w:szCs w:val="18"/>
          <w:highlight w:val="none"/>
          <w:lang w:val="en-US" w:eastAsia="zh-CN"/>
        </w:rPr>
        <w:t>上海浦东发展银行郑州国基路支行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河南普天印务有限公司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r>
        <w:rPr>
          <w:rFonts w:hint="eastAsia" w:ascii="宋体" w:hAnsi="宋体" w:cs="宋体"/>
          <w:sz w:val="24"/>
        </w:rPr>
        <w:t xml:space="preserve">     乙方：</w:t>
      </w:r>
      <w:r>
        <w:rPr>
          <w:rFonts w:hint="eastAsia" w:ascii="宋体" w:hAnsi="宋体" w:cs="宋体"/>
          <w:sz w:val="24"/>
          <w:u w:val="single"/>
        </w:rPr>
        <w:t>河南普天印务有限公司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洛宁</w:t>
      </w:r>
      <w:r>
        <w:rPr>
          <w:rFonts w:hint="eastAsia" w:ascii="宋体" w:hAnsi="宋体"/>
          <w:b/>
          <w:bCs/>
          <w:sz w:val="24"/>
        </w:rPr>
        <w:t>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8"/>
        <w:gridCol w:w="525"/>
        <w:gridCol w:w="1815"/>
        <w:gridCol w:w="2502"/>
        <w:gridCol w:w="167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bookmarkStart w:id="60" w:name="_GoBack"/>
            <w:bookmarkEnd w:id="60"/>
            <w:r>
              <w:rPr>
                <w:rFonts w:hint="eastAsia" w:ascii="等线" w:hAnsi="等线" w:eastAsia="等线" w:cs="等线"/>
                <w:b/>
                <w:bCs/>
                <w:i w:val="0"/>
                <w:iCs w:val="0"/>
                <w:color w:val="000000"/>
                <w:kern w:val="0"/>
                <w:sz w:val="32"/>
                <w:szCs w:val="32"/>
                <w:u w:val="none"/>
                <w:lang w:val="en-US" w:eastAsia="zh-CN" w:bidi="ar"/>
              </w:rPr>
              <w:t>洛宁山水文苑项目2022-2023年度印刷框架报价表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普天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6449B9"/>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ADB5E6E"/>
    <w:rsid w:val="2B0B655A"/>
    <w:rsid w:val="2B497197"/>
    <w:rsid w:val="2BB67440"/>
    <w:rsid w:val="2CD76BFF"/>
    <w:rsid w:val="30171D8F"/>
    <w:rsid w:val="330B7F3C"/>
    <w:rsid w:val="37B02C8E"/>
    <w:rsid w:val="3BB52F69"/>
    <w:rsid w:val="3DEB2B85"/>
    <w:rsid w:val="3E2B12C1"/>
    <w:rsid w:val="41057530"/>
    <w:rsid w:val="414A1CE5"/>
    <w:rsid w:val="42520CBD"/>
    <w:rsid w:val="456F6C3A"/>
    <w:rsid w:val="48032C9F"/>
    <w:rsid w:val="487467D6"/>
    <w:rsid w:val="493704AF"/>
    <w:rsid w:val="49EF783F"/>
    <w:rsid w:val="4A61791F"/>
    <w:rsid w:val="4F2C3F62"/>
    <w:rsid w:val="51A030B0"/>
    <w:rsid w:val="541A219E"/>
    <w:rsid w:val="544708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2021-11-24T07:18:18Z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