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800" w:lineRule="exact"/>
        <w:ind w:left="420" w:leftChars="200"/>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明源云房地产ERP-销售管理系统</w:t>
      </w:r>
    </w:p>
    <w:p>
      <w:pPr>
        <w:spacing w:line="800" w:lineRule="exact"/>
        <w:ind w:left="420" w:leftChars="200"/>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软件实施及服务合同</w:t>
      </w: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pStyle w:val="2"/>
        <w:numPr>
          <w:ilvl w:val="1"/>
          <w:numId w:val="0"/>
        </w:numPr>
        <w:ind w:left="567" w:leftChars="0"/>
      </w:pPr>
    </w:p>
    <w:p>
      <w:pPr>
        <w:rPr>
          <w:rFonts w:ascii="宋体" w:hAnsi="宋体"/>
          <w:color w:val="000000"/>
          <w:sz w:val="24"/>
        </w:rPr>
      </w:pPr>
    </w:p>
    <w:p>
      <w:pPr>
        <w:pStyle w:val="2"/>
        <w:numPr>
          <w:ilvl w:val="1"/>
          <w:numId w:val="0"/>
        </w:numPr>
        <w:ind w:left="567" w:leftChars="0"/>
      </w:pPr>
    </w:p>
    <w:p>
      <w:pPr>
        <w:spacing w:line="360" w:lineRule="auto"/>
        <w:jc w:val="left"/>
        <w:outlineLvl w:val="0"/>
        <w:rPr>
          <w:rFonts w:ascii="宋体" w:hAnsi="宋体"/>
          <w:color w:val="000000"/>
          <w:sz w:val="24"/>
        </w:rPr>
      </w:pPr>
    </w:p>
    <w:p>
      <w:pPr>
        <w:spacing w:line="360" w:lineRule="auto"/>
        <w:ind w:firstLine="2108" w:firstLineChars="700"/>
        <w:jc w:val="left"/>
        <w:outlineLvl w:val="0"/>
        <w:rPr>
          <w:rFonts w:hint="eastAsia"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hint="eastAsia" w:ascii="宋体" w:hAnsi="宋体" w:cs="Times New Roman"/>
          <w:b/>
          <w:bCs/>
          <w:color w:val="000000"/>
          <w:sz w:val="30"/>
          <w:szCs w:val="30"/>
          <w:u w:val="none"/>
        </w:rPr>
        <w:t>：</w:t>
      </w:r>
      <w:r>
        <w:rPr>
          <w:rFonts w:hint="eastAsia" w:ascii="宋体" w:hAnsi="宋体" w:cs="Times New Roman"/>
          <w:b/>
          <w:bCs/>
          <w:color w:val="000000"/>
          <w:sz w:val="30"/>
          <w:szCs w:val="30"/>
          <w:u w:val="single"/>
        </w:rPr>
        <w:t>KYYH-YX-2022-00</w:t>
      </w:r>
      <w:r>
        <w:rPr>
          <w:rFonts w:hint="eastAsia" w:ascii="宋体" w:hAnsi="宋体" w:cs="Times New Roman"/>
          <w:b/>
          <w:bCs/>
          <w:color w:val="000000"/>
          <w:sz w:val="30"/>
          <w:szCs w:val="30"/>
          <w:u w:val="single"/>
          <w:lang w:val="en-US" w:eastAsia="zh-CN"/>
        </w:rPr>
        <w:t>3</w:t>
      </w:r>
    </w:p>
    <w:p>
      <w:pPr>
        <w:spacing w:line="360" w:lineRule="auto"/>
        <w:ind w:firstLine="2108" w:firstLineChars="700"/>
        <w:jc w:val="left"/>
        <w:outlineLvl w:val="0"/>
        <w:rPr>
          <w:rFonts w:hint="eastAsia" w:ascii="宋体" w:hAnsi="宋体" w:eastAsia="宋体"/>
          <w:b/>
          <w:bCs/>
          <w:color w:val="000000"/>
          <w:sz w:val="30"/>
          <w:szCs w:val="30"/>
          <w:u w:val="single"/>
          <w:lang w:val="en-US" w:eastAsia="zh-CN"/>
        </w:rPr>
      </w:pPr>
      <w:r>
        <w:rPr>
          <w:rFonts w:hint="eastAsia" w:ascii="宋体" w:hAnsi="宋体"/>
          <w:b/>
          <w:bCs/>
          <w:color w:val="000000"/>
          <w:sz w:val="30"/>
          <w:szCs w:val="30"/>
        </w:rPr>
        <w:t>甲</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eastAsia="宋体" w:cs="宋体"/>
          <w:b/>
          <w:bCs/>
          <w:kern w:val="2"/>
          <w:sz w:val="30"/>
          <w:szCs w:val="30"/>
          <w:u w:val="single"/>
        </w:rPr>
        <w:t>洛阳浩德鑫置地有限公司</w:t>
      </w:r>
    </w:p>
    <w:p>
      <w:pPr>
        <w:spacing w:line="360" w:lineRule="auto"/>
        <w:ind w:firstLine="2108" w:firstLineChars="700"/>
        <w:jc w:val="left"/>
        <w:outlineLvl w:val="0"/>
        <w:rPr>
          <w:rFonts w:ascii="宋体" w:hAnsi="宋体"/>
          <w:b/>
          <w:bCs/>
          <w:color w:val="000000"/>
          <w:sz w:val="30"/>
          <w:szCs w:val="30"/>
          <w:u w:val="single"/>
        </w:rPr>
      </w:pPr>
      <w:r>
        <w:rPr>
          <w:rFonts w:hint="eastAsia" w:ascii="宋体" w:hAnsi="宋体"/>
          <w:b/>
          <w:bCs/>
          <w:color w:val="000000"/>
          <w:sz w:val="30"/>
          <w:szCs w:val="30"/>
        </w:rPr>
        <w:t>乙</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eastAsia="宋体" w:cs="宋体"/>
          <w:b/>
          <w:bCs/>
          <w:kern w:val="2"/>
          <w:sz w:val="30"/>
          <w:szCs w:val="30"/>
          <w:u w:val="single"/>
        </w:rPr>
        <w:t>郑州市云拓明源软件科技有限公司</w:t>
      </w:r>
    </w:p>
    <w:p>
      <w:pPr>
        <w:spacing w:line="360" w:lineRule="auto"/>
        <w:ind w:firstLine="2108" w:firstLineChars="700"/>
        <w:jc w:val="left"/>
        <w:outlineLvl w:val="0"/>
        <w:rPr>
          <w:rFonts w:hint="eastAsia" w:ascii="宋体" w:hAnsi="宋体" w:eastAsia="宋体"/>
          <w:b/>
          <w:bCs/>
          <w:color w:val="000000"/>
          <w:sz w:val="30"/>
          <w:szCs w:val="30"/>
          <w:lang w:val="en-US" w:eastAsia="zh-CN"/>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lang w:val="en-US" w:eastAsia="zh-CN"/>
        </w:rPr>
        <w:t>2</w:t>
      </w:r>
      <w:r>
        <w:rPr>
          <w:rFonts w:hint="eastAsia" w:ascii="宋体" w:hAnsi="宋体"/>
          <w:b/>
          <w:bCs/>
          <w:color w:val="000000"/>
          <w:sz w:val="30"/>
          <w:szCs w:val="30"/>
        </w:rPr>
        <w:t>年</w:t>
      </w:r>
      <w:r>
        <w:rPr>
          <w:rFonts w:hint="eastAsia" w:ascii="宋体" w:hAnsi="宋体"/>
          <w:b/>
          <w:bCs/>
          <w:color w:val="000000"/>
          <w:sz w:val="30"/>
          <w:szCs w:val="30"/>
          <w:lang w:val="en-US" w:eastAsia="zh-CN"/>
        </w:rPr>
        <w:t>1</w:t>
      </w:r>
      <w:r>
        <w:rPr>
          <w:rFonts w:hint="eastAsia" w:ascii="宋体" w:hAnsi="宋体"/>
          <w:b/>
          <w:bCs/>
          <w:color w:val="000000"/>
          <w:sz w:val="30"/>
          <w:szCs w:val="30"/>
        </w:rPr>
        <w:t>月</w:t>
      </w:r>
      <w:r>
        <w:rPr>
          <w:rFonts w:hint="eastAsia" w:ascii="宋体" w:hAnsi="宋体"/>
          <w:b/>
          <w:bCs/>
          <w:color w:val="000000"/>
          <w:sz w:val="30"/>
          <w:szCs w:val="30"/>
          <w:lang w:val="en-US" w:eastAsia="zh-CN"/>
        </w:rPr>
        <w:t>25日</w:t>
      </w:r>
    </w:p>
    <w:p>
      <w:pPr>
        <w:spacing w:line="800" w:lineRule="exact"/>
        <w:jc w:val="center"/>
        <w:rPr>
          <w:rFonts w:hint="eastAsia" w:ascii="宋体" w:hAnsi="宋体" w:cs="宋体"/>
          <w:b/>
          <w:sz w:val="30"/>
          <w:szCs w:val="30"/>
          <w:lang w:val="en-US" w:eastAsia="zh-CN"/>
        </w:rPr>
      </w:pPr>
      <w:r>
        <w:rPr>
          <w:rFonts w:ascii="宋体" w:hAnsi="宋体" w:cs="宋体"/>
          <w:b/>
          <w:bCs/>
          <w:sz w:val="24"/>
        </w:rPr>
        <w:br w:type="page"/>
      </w:r>
      <w:r>
        <w:rPr>
          <w:rFonts w:hint="eastAsia" w:ascii="宋体" w:hAnsi="宋体" w:cs="宋体"/>
          <w:b/>
          <w:sz w:val="30"/>
          <w:szCs w:val="30"/>
          <w:lang w:val="en-US" w:eastAsia="zh-CN"/>
        </w:rPr>
        <w:t>明源云房地产ERP-销售管理系统软件实施及服务合同</w:t>
      </w:r>
    </w:p>
    <w:p>
      <w:pPr>
        <w:pStyle w:val="3"/>
        <w:numPr>
          <w:ilvl w:val="0"/>
          <w:numId w:val="0"/>
        </w:numPr>
        <w:tabs>
          <w:tab w:val="left" w:pos="360"/>
        </w:tabs>
        <w:spacing w:before="0" w:after="0" w:line="360" w:lineRule="auto"/>
        <w:rPr>
          <w:rFonts w:hint="default" w:ascii="宋体" w:hAnsi="宋体" w:eastAsia="宋体" w:cs="宋体"/>
          <w:b w:val="0"/>
          <w:bCs w:val="0"/>
          <w:kern w:val="2"/>
          <w:sz w:val="24"/>
          <w:szCs w:val="24"/>
          <w:u w:val="single"/>
          <w:lang w:val="en-US" w:eastAsia="zh-CN" w:bidi="ar-SA"/>
        </w:rPr>
      </w:pPr>
      <w:r>
        <w:rPr>
          <w:rFonts w:hint="eastAsia"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u w:val="single"/>
          <w:lang w:val="en-US" w:eastAsia="zh-CN" w:bidi="ar-SA"/>
        </w:rPr>
        <w:t>洛阳浩德鑫置地有限公司</w:t>
      </w:r>
    </w:p>
    <w:p>
      <w:pPr>
        <w:pStyle w:val="3"/>
        <w:numPr>
          <w:ilvl w:val="0"/>
          <w:numId w:val="0"/>
        </w:numPr>
        <w:tabs>
          <w:tab w:val="left" w:pos="360"/>
        </w:tabs>
        <w:spacing w:before="0" w:after="0"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郑州市云拓明源软件科技有限公司</w:t>
      </w:r>
    </w:p>
    <w:p>
      <w:pPr>
        <w:pStyle w:val="3"/>
        <w:numPr>
          <w:ilvl w:val="0"/>
          <w:numId w:val="0"/>
        </w:numPr>
        <w:tabs>
          <w:tab w:val="left" w:pos="360"/>
        </w:tabs>
        <w:spacing w:before="0" w:after="0" w:line="360" w:lineRule="auto"/>
        <w:ind w:firstLine="480" w:firstLineChars="200"/>
        <w:rPr>
          <w:rFonts w:hint="eastAsia" w:ascii="宋体" w:hAnsi="宋体" w:eastAsia="宋体" w:cs="宋体"/>
          <w:b w:val="0"/>
          <w:bCs w:val="0"/>
          <w:kern w:val="2"/>
          <w:sz w:val="24"/>
          <w:szCs w:val="24"/>
          <w:lang w:val="en-US" w:eastAsia="zh-CN" w:bidi="ar-SA"/>
        </w:rPr>
      </w:pPr>
      <w:bookmarkStart w:id="0" w:name="_Toc194314530"/>
      <w:bookmarkStart w:id="1" w:name="_Toc194312526"/>
      <w:bookmarkStart w:id="2" w:name="_Toc194719956"/>
      <w:bookmarkStart w:id="3" w:name="_Toc194316308"/>
      <w:bookmarkStart w:id="4" w:name="_Toc194374018"/>
      <w:bookmarkStart w:id="5" w:name="_Toc194313923"/>
      <w:bookmarkStart w:id="6" w:name="_Toc194313235"/>
      <w:bookmarkStart w:id="7" w:name="_Toc194316927"/>
      <w:bookmarkStart w:id="8" w:name="_Toc180836376"/>
      <w:r>
        <w:rPr>
          <w:rFonts w:hint="eastAsia" w:ascii="宋体" w:hAnsi="宋体" w:eastAsia="宋体" w:cs="宋体"/>
          <w:b w:val="0"/>
          <w:bCs w:val="0"/>
          <w:kern w:val="2"/>
          <w:sz w:val="24"/>
          <w:szCs w:val="24"/>
          <w:lang w:val="en-US" w:eastAsia="zh-CN" w:bidi="ar-SA"/>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pPr>
        <w:numPr>
          <w:ilvl w:val="0"/>
          <w:numId w:val="2"/>
        </w:numPr>
        <w:spacing w:line="360" w:lineRule="auto"/>
        <w:ind w:left="0" w:leftChars="0" w:firstLine="0" w:firstLineChars="0"/>
        <w:jc w:val="left"/>
        <w:outlineLvl w:val="2"/>
        <w:rPr>
          <w:rFonts w:hint="eastAsia" w:ascii="宋体" w:hAnsi="宋体"/>
          <w:b/>
          <w:bCs/>
          <w:sz w:val="24"/>
        </w:rPr>
      </w:pPr>
      <w:bookmarkStart w:id="9" w:name="_Toc276715495"/>
      <w:bookmarkStart w:id="10" w:name="_Toc194313236"/>
      <w:bookmarkStart w:id="11" w:name="_Toc276716044"/>
      <w:bookmarkStart w:id="12" w:name="_Toc194314531"/>
      <w:bookmarkStart w:id="13" w:name="_Toc194719957"/>
      <w:bookmarkStart w:id="14" w:name="_Toc194316928"/>
      <w:bookmarkStart w:id="15" w:name="_Toc194374019"/>
      <w:bookmarkStart w:id="16" w:name="_Toc194312527"/>
      <w:bookmarkStart w:id="17" w:name="_Toc194313924"/>
      <w:bookmarkStart w:id="18" w:name="_Toc194316309"/>
      <w:bookmarkStart w:id="19" w:name="_Toc276715842"/>
      <w:bookmarkStart w:id="20" w:name="_Toc180836377"/>
      <w:r>
        <w:rPr>
          <w:rFonts w:hint="eastAsia" w:ascii="宋体" w:hAnsi="宋体"/>
          <w:b/>
          <w:bCs/>
          <w:sz w:val="24"/>
          <w:lang w:val="en-US" w:eastAsia="zh-CN"/>
        </w:rPr>
        <w:t>名</w:t>
      </w:r>
      <w:r>
        <w:rPr>
          <w:rFonts w:hint="eastAsia" w:ascii="宋体" w:hAnsi="宋体"/>
          <w:b/>
          <w:bCs/>
          <w:sz w:val="24"/>
        </w:rPr>
        <w:t>词术语定义</w:t>
      </w:r>
    </w:p>
    <w:p>
      <w:pPr>
        <w:spacing w:line="360" w:lineRule="auto"/>
        <w:ind w:firstLine="480" w:firstLineChars="200"/>
        <w:jc w:val="left"/>
        <w:rPr>
          <w:rFonts w:hint="eastAsia" w:ascii="宋体" w:hAnsi="宋体"/>
          <w:sz w:val="24"/>
          <w:lang w:val="en-US" w:eastAsia="zh-CN"/>
        </w:rPr>
      </w:pPr>
      <w:r>
        <w:rPr>
          <w:rFonts w:hint="eastAsia" w:ascii="宋体" w:hAnsi="宋体"/>
          <w:sz w:val="24"/>
          <w:lang w:val="en-US" w:eastAsia="zh-CN"/>
        </w:rPr>
        <w:t>1、软件：</w:t>
      </w:r>
      <w:r>
        <w:rPr>
          <w:rFonts w:hint="eastAsia" w:ascii="宋体" w:hAnsi="宋体"/>
          <w:sz w:val="24"/>
          <w:lang w:val="zh-CN" w:eastAsia="zh-CN"/>
        </w:rPr>
        <w:t>仅包括许可程序目标代码及用户手册等电子文档，不包括许可程序源代码及程序开发过程中形成的技术文档。本合同项下的软件不包括使用该软件所须的第三方软件/程序，如计算机操作系统、数据库等。</w:t>
      </w:r>
    </w:p>
    <w:p>
      <w:pPr>
        <w:spacing w:line="360" w:lineRule="auto"/>
        <w:ind w:firstLine="480" w:firstLineChars="200"/>
        <w:jc w:val="left"/>
        <w:rPr>
          <w:rFonts w:hint="eastAsia" w:ascii="宋体" w:hAnsi="宋体"/>
          <w:sz w:val="24"/>
          <w:lang w:val="en-US" w:eastAsia="zh-CN"/>
        </w:rPr>
      </w:pPr>
      <w:r>
        <w:rPr>
          <w:rFonts w:hint="eastAsia" w:ascii="宋体" w:hAnsi="宋体"/>
          <w:sz w:val="24"/>
          <w:lang w:val="en-US" w:eastAsia="zh-CN"/>
        </w:rPr>
        <w:t>2、实施服务：</w:t>
      </w:r>
      <w:r>
        <w:rPr>
          <w:rFonts w:hint="eastAsia" w:ascii="宋体" w:hAnsi="宋体"/>
          <w:sz w:val="24"/>
          <w:lang w:val="zh-CN" w:eastAsia="zh-CN"/>
        </w:rPr>
        <w:t>为保证系统良好的应用，乙方为甲方提供的业务流程梳理、人员培训、辅助应用、系统运维保障等相关服务</w:t>
      </w:r>
      <w:r>
        <w:rPr>
          <w:rFonts w:hint="eastAsia" w:ascii="宋体" w:hAnsi="宋体"/>
          <w:sz w:val="24"/>
          <w:lang w:val="en-US" w:eastAsia="zh-CN"/>
        </w:rPr>
        <w:t>。</w:t>
      </w:r>
    </w:p>
    <w:bookmarkEnd w:id="9"/>
    <w:bookmarkEnd w:id="10"/>
    <w:bookmarkEnd w:id="11"/>
    <w:bookmarkEnd w:id="12"/>
    <w:bookmarkEnd w:id="13"/>
    <w:bookmarkEnd w:id="14"/>
    <w:bookmarkEnd w:id="15"/>
    <w:bookmarkEnd w:id="16"/>
    <w:bookmarkEnd w:id="17"/>
    <w:bookmarkEnd w:id="18"/>
    <w:bookmarkEnd w:id="19"/>
    <w:bookmarkEnd w:id="20"/>
    <w:p>
      <w:pPr>
        <w:numPr>
          <w:ilvl w:val="0"/>
          <w:numId w:val="0"/>
        </w:numPr>
        <w:spacing w:line="360" w:lineRule="auto"/>
        <w:ind w:leftChars="0"/>
        <w:jc w:val="left"/>
        <w:outlineLvl w:val="2"/>
        <w:rPr>
          <w:rFonts w:hint="eastAsia"/>
        </w:rPr>
      </w:pPr>
      <w:r>
        <w:rPr>
          <w:rFonts w:hint="eastAsia" w:ascii="宋体" w:hAnsi="宋体"/>
          <w:b/>
          <w:bCs/>
          <w:sz w:val="24"/>
          <w:lang w:val="en-US" w:eastAsia="zh-CN"/>
        </w:rPr>
        <w:t>二、</w:t>
      </w:r>
      <w:r>
        <w:rPr>
          <w:rFonts w:hint="eastAsia" w:ascii="宋体" w:hAnsi="宋体"/>
          <w:b/>
          <w:bCs/>
          <w:sz w:val="24"/>
        </w:rPr>
        <w:t>软件产品价格</w:t>
      </w:r>
    </w:p>
    <w:p>
      <w:pPr>
        <w:spacing w:line="360" w:lineRule="auto"/>
        <w:ind w:firstLine="480" w:firstLineChars="200"/>
        <w:rPr>
          <w:rFonts w:hint="eastAsia"/>
          <w:lang w:eastAsia="zh-CN"/>
        </w:rPr>
      </w:pPr>
      <w:r>
        <w:rPr>
          <w:rFonts w:ascii="宋体" w:hAnsi="宋体"/>
          <w:sz w:val="24"/>
        </w:rPr>
        <w:t>1</w:t>
      </w:r>
      <w:r>
        <w:rPr>
          <w:rFonts w:hint="eastAsia" w:ascii="宋体" w:hAnsi="宋体"/>
          <w:sz w:val="24"/>
        </w:rPr>
        <w:t>、</w:t>
      </w:r>
      <w:r>
        <w:rPr>
          <w:rFonts w:hint="eastAsia" w:ascii="宋体" w:hAnsi="宋体" w:cs="宋体"/>
          <w:bCs/>
          <w:sz w:val="24"/>
          <w:lang w:eastAsia="zh-CN"/>
        </w:rPr>
        <w:t>合同含税总</w:t>
      </w:r>
      <w:r>
        <w:rPr>
          <w:rFonts w:hint="eastAsia" w:ascii="宋体" w:hAnsi="宋体" w:cs="宋体"/>
          <w:bCs/>
          <w:sz w:val="24"/>
        </w:rPr>
        <w:t>金额</w:t>
      </w:r>
      <w:r>
        <w:rPr>
          <w:rFonts w:hint="eastAsia" w:ascii="宋体" w:hAnsi="宋体" w:cs="宋体"/>
          <w:bCs/>
          <w:sz w:val="24"/>
          <w:lang w:eastAsia="zh-CN"/>
        </w:rPr>
        <w:t>为</w:t>
      </w:r>
      <w:r>
        <w:rPr>
          <w:rFonts w:hint="eastAsia" w:ascii="宋体" w:hAnsi="宋体" w:cs="宋体"/>
          <w:bCs/>
          <w:sz w:val="24"/>
        </w:rPr>
        <w:t>¥</w:t>
      </w:r>
      <w:r>
        <w:rPr>
          <w:rFonts w:hint="eastAsia" w:ascii="宋体" w:hAnsi="宋体" w:cs="宋体"/>
          <w:bCs/>
          <w:sz w:val="24"/>
          <w:u w:val="single"/>
          <w:lang w:val="en-US" w:eastAsia="zh-CN"/>
        </w:rPr>
        <w:t>295000.00</w:t>
      </w:r>
      <w:r>
        <w:rPr>
          <w:rFonts w:hint="eastAsia" w:ascii="宋体" w:hAnsi="宋体" w:cs="宋体"/>
          <w:bCs/>
          <w:sz w:val="24"/>
        </w:rPr>
        <w:t>元（大写人民币</w:t>
      </w:r>
      <w:r>
        <w:rPr>
          <w:rFonts w:hint="eastAsia" w:ascii="宋体" w:hAnsi="宋体" w:cs="宋体"/>
          <w:bCs/>
          <w:sz w:val="24"/>
          <w:u w:val="single"/>
          <w:lang w:val="en-US" w:eastAsia="zh-CN"/>
        </w:rPr>
        <w:t>贰拾玖万伍仟</w:t>
      </w:r>
      <w:r>
        <w:rPr>
          <w:rFonts w:hint="eastAsia" w:ascii="宋体" w:hAnsi="宋体" w:cs="宋体"/>
          <w:bCs/>
          <w:sz w:val="24"/>
          <w:u w:val="single"/>
          <w:lang w:eastAsia="zh-CN"/>
        </w:rPr>
        <w:t>元整</w:t>
      </w:r>
      <w:r>
        <w:rPr>
          <w:rFonts w:hint="eastAsia" w:ascii="宋体" w:hAnsi="宋体" w:cs="宋体"/>
          <w:bCs/>
          <w:sz w:val="24"/>
        </w:rPr>
        <w:t>）。其中不含税金额为¥</w:t>
      </w:r>
      <w:r>
        <w:rPr>
          <w:rFonts w:hint="eastAsia" w:ascii="宋体" w:hAnsi="宋体" w:cs="宋体"/>
          <w:bCs/>
          <w:sz w:val="24"/>
          <w:u w:val="single"/>
          <w:lang w:val="en-US" w:eastAsia="zh-CN"/>
        </w:rPr>
        <w:t>278301.89</w:t>
      </w:r>
      <w:r>
        <w:rPr>
          <w:rFonts w:hint="eastAsia" w:ascii="宋体" w:hAnsi="宋体" w:cs="宋体"/>
          <w:bCs/>
          <w:sz w:val="24"/>
        </w:rPr>
        <w:t>元（大写人民币</w:t>
      </w:r>
      <w:r>
        <w:rPr>
          <w:rFonts w:hint="eastAsia" w:ascii="宋体" w:hAnsi="宋体" w:cs="宋体"/>
          <w:bCs/>
          <w:sz w:val="24"/>
          <w:u w:val="single"/>
          <w:lang w:val="en-US" w:eastAsia="zh-CN"/>
        </w:rPr>
        <w:t>贰拾柒万捌仟叁佰零壹元捌角玖分</w:t>
      </w:r>
      <w:r>
        <w:rPr>
          <w:rFonts w:hint="eastAsia" w:ascii="宋体" w:hAnsi="宋体" w:cs="宋体"/>
          <w:bCs/>
          <w:sz w:val="24"/>
        </w:rPr>
        <w:t>），增值税税金为¥</w:t>
      </w:r>
      <w:r>
        <w:rPr>
          <w:rFonts w:hint="eastAsia" w:ascii="宋体" w:hAnsi="宋体" w:cs="宋体"/>
          <w:bCs/>
          <w:sz w:val="24"/>
          <w:u w:val="single"/>
          <w:lang w:val="en-US" w:eastAsia="zh-CN"/>
        </w:rPr>
        <w:t>16698.11</w:t>
      </w:r>
      <w:r>
        <w:rPr>
          <w:rFonts w:hint="eastAsia" w:ascii="宋体" w:hAnsi="宋体" w:cs="宋体"/>
          <w:bCs/>
          <w:sz w:val="24"/>
        </w:rPr>
        <w:t>元（大写人民币</w:t>
      </w:r>
      <w:r>
        <w:rPr>
          <w:rFonts w:hint="eastAsia" w:ascii="宋体" w:hAnsi="宋体" w:cs="宋体"/>
          <w:bCs/>
          <w:sz w:val="24"/>
          <w:u w:val="single"/>
          <w:lang w:val="en-US" w:eastAsia="zh-CN"/>
        </w:rPr>
        <w:t>壹万陆仟陆佰玖拾捌元壹角壹分</w:t>
      </w:r>
      <w:r>
        <w:rPr>
          <w:rFonts w:hint="eastAsia" w:ascii="宋体" w:hAnsi="宋体" w:cs="宋体"/>
          <w:bCs/>
          <w:sz w:val="24"/>
        </w:rPr>
        <w:t>），税率</w:t>
      </w:r>
      <w:r>
        <w:rPr>
          <w:rFonts w:hint="eastAsia" w:ascii="宋体" w:hAnsi="宋体" w:cs="宋体"/>
          <w:bCs/>
          <w:sz w:val="24"/>
          <w:u w:val="single"/>
          <w:lang w:val="en-US" w:eastAsia="zh-CN"/>
        </w:rPr>
        <w:t>6</w:t>
      </w:r>
      <w:r>
        <w:rPr>
          <w:rFonts w:hint="eastAsia" w:ascii="宋体" w:hAnsi="宋体" w:cs="宋体"/>
          <w:bCs/>
          <w:sz w:val="24"/>
        </w:rPr>
        <w:t>%。</w:t>
      </w:r>
    </w:p>
    <w:tbl>
      <w:tblPr>
        <w:tblStyle w:val="13"/>
        <w:tblW w:w="10050" w:type="dxa"/>
        <w:tblInd w:w="113" w:type="dxa"/>
        <w:tblLayout w:type="autofit"/>
        <w:tblCellMar>
          <w:top w:w="0" w:type="dxa"/>
          <w:left w:w="108" w:type="dxa"/>
          <w:bottom w:w="0" w:type="dxa"/>
          <w:right w:w="108" w:type="dxa"/>
        </w:tblCellMar>
      </w:tblPr>
      <w:tblGrid>
        <w:gridCol w:w="1050"/>
        <w:gridCol w:w="2794"/>
        <w:gridCol w:w="4594"/>
        <w:gridCol w:w="1612"/>
      </w:tblGrid>
      <w:tr>
        <w:tblPrEx>
          <w:tblCellMar>
            <w:top w:w="0" w:type="dxa"/>
            <w:left w:w="108" w:type="dxa"/>
            <w:bottom w:w="0" w:type="dxa"/>
            <w:right w:w="108" w:type="dxa"/>
          </w:tblCellMar>
        </w:tblPrEx>
        <w:trPr>
          <w:trHeight w:val="278" w:hRule="atLeast"/>
        </w:trPr>
        <w:tc>
          <w:tcPr>
            <w:tcW w:w="8438" w:type="dxa"/>
            <w:gridSpan w:val="3"/>
            <w:tcBorders>
              <w:top w:val="single" w:color="auto" w:sz="4" w:space="0"/>
              <w:left w:val="single" w:color="auto" w:sz="4" w:space="0"/>
              <w:bottom w:val="single" w:color="auto" w:sz="4" w:space="0"/>
              <w:right w:val="single" w:color="auto" w:sz="4" w:space="0"/>
            </w:tcBorders>
            <w:shd w:val="clear" w:color="000000" w:fill="DBDBDB"/>
            <w:noWrap w:val="0"/>
            <w:vAlign w:val="center"/>
          </w:tcPr>
          <w:p>
            <w:pPr>
              <w:widowControl/>
              <w:jc w:val="center"/>
              <w:rPr>
                <w:rFonts w:ascii="黑体" w:hAnsi="黑体" w:eastAsia="黑体" w:cs="宋体"/>
                <w:b/>
                <w:bCs/>
                <w:color w:val="000000"/>
                <w:kern w:val="0"/>
                <w:sz w:val="22"/>
                <w:szCs w:val="22"/>
              </w:rPr>
            </w:pPr>
            <w:r>
              <w:rPr>
                <w:rFonts w:hint="eastAsia" w:ascii="黑体" w:hAnsi="黑体" w:eastAsia="黑体" w:cs="宋体"/>
                <w:b/>
                <w:bCs/>
                <w:color w:val="000000"/>
                <w:kern w:val="0"/>
                <w:sz w:val="22"/>
                <w:szCs w:val="22"/>
              </w:rPr>
              <w:t>PART1:增值技术服务类</w:t>
            </w:r>
          </w:p>
        </w:tc>
        <w:tc>
          <w:tcPr>
            <w:tcW w:w="1612" w:type="dxa"/>
            <w:tcBorders>
              <w:top w:val="single" w:color="auto" w:sz="4" w:space="0"/>
              <w:left w:val="single" w:color="auto" w:sz="4" w:space="0"/>
              <w:bottom w:val="single" w:color="auto" w:sz="4" w:space="0"/>
              <w:right w:val="single" w:color="auto" w:sz="4" w:space="0"/>
            </w:tcBorders>
            <w:shd w:val="clear" w:color="000000" w:fill="DBDBDB"/>
            <w:noWrap w:val="0"/>
            <w:vAlign w:val="center"/>
          </w:tcPr>
          <w:p>
            <w:pPr>
              <w:widowControl/>
              <w:jc w:val="center"/>
              <w:rPr>
                <w:rFonts w:hint="eastAsia" w:ascii="黑体" w:hAnsi="黑体" w:eastAsia="黑体" w:cs="宋体"/>
                <w:b/>
                <w:bCs/>
                <w:color w:val="000000"/>
                <w:kern w:val="0"/>
                <w:sz w:val="22"/>
                <w:szCs w:val="22"/>
              </w:rPr>
            </w:pPr>
          </w:p>
        </w:tc>
      </w:tr>
      <w:tr>
        <w:tblPrEx>
          <w:tblCellMar>
            <w:top w:w="0" w:type="dxa"/>
            <w:left w:w="108" w:type="dxa"/>
            <w:bottom w:w="0" w:type="dxa"/>
            <w:right w:w="108" w:type="dxa"/>
          </w:tblCellMar>
        </w:tblPrEx>
        <w:trPr>
          <w:trHeight w:val="278" w:hRule="atLeast"/>
        </w:trPr>
        <w:tc>
          <w:tcPr>
            <w:tcW w:w="1050" w:type="dxa"/>
            <w:tcBorders>
              <w:top w:val="nil"/>
              <w:left w:val="single" w:color="auto" w:sz="4" w:space="0"/>
              <w:bottom w:val="single" w:color="auto" w:sz="4" w:space="0"/>
              <w:right w:val="single" w:color="auto" w:sz="4" w:space="0"/>
            </w:tcBorders>
            <w:shd w:val="clear" w:color="000000" w:fill="D9D9D9"/>
            <w:noWrap w:val="0"/>
            <w:vAlign w:val="center"/>
          </w:tcPr>
          <w:p>
            <w:pPr>
              <w:widowControl/>
              <w:jc w:val="center"/>
              <w:rPr>
                <w:rFonts w:hint="eastAsia" w:ascii="黑体" w:hAnsi="黑体" w:eastAsia="黑体" w:cs="宋体"/>
                <w:b/>
                <w:bCs/>
                <w:kern w:val="0"/>
                <w:sz w:val="18"/>
                <w:szCs w:val="18"/>
              </w:rPr>
            </w:pPr>
            <w:r>
              <w:rPr>
                <w:rFonts w:hint="eastAsia" w:ascii="黑体" w:hAnsi="黑体" w:eastAsia="黑体" w:cs="宋体"/>
                <w:b/>
                <w:bCs/>
                <w:kern w:val="0"/>
                <w:sz w:val="18"/>
                <w:szCs w:val="18"/>
              </w:rPr>
              <w:t>费用类别</w:t>
            </w:r>
          </w:p>
        </w:tc>
        <w:tc>
          <w:tcPr>
            <w:tcW w:w="2794" w:type="dxa"/>
            <w:tcBorders>
              <w:top w:val="nil"/>
              <w:left w:val="nil"/>
              <w:bottom w:val="single" w:color="auto" w:sz="4" w:space="0"/>
              <w:right w:val="single" w:color="auto" w:sz="4" w:space="0"/>
            </w:tcBorders>
            <w:shd w:val="clear" w:color="000000" w:fill="D9D9D9"/>
            <w:noWrap w:val="0"/>
            <w:vAlign w:val="center"/>
          </w:tcPr>
          <w:p>
            <w:pPr>
              <w:widowControl/>
              <w:jc w:val="center"/>
              <w:rPr>
                <w:rFonts w:hint="eastAsia" w:ascii="黑体" w:hAnsi="黑体" w:eastAsia="黑体" w:cs="宋体"/>
                <w:b/>
                <w:bCs/>
                <w:kern w:val="0"/>
                <w:sz w:val="18"/>
                <w:szCs w:val="18"/>
              </w:rPr>
            </w:pPr>
            <w:r>
              <w:rPr>
                <w:rFonts w:hint="eastAsia" w:ascii="黑体" w:hAnsi="黑体" w:eastAsia="黑体" w:cs="宋体"/>
                <w:b/>
                <w:bCs/>
                <w:kern w:val="0"/>
                <w:sz w:val="18"/>
                <w:szCs w:val="18"/>
              </w:rPr>
              <w:t>费用项目</w:t>
            </w:r>
          </w:p>
        </w:tc>
        <w:tc>
          <w:tcPr>
            <w:tcW w:w="4594" w:type="dxa"/>
            <w:tcBorders>
              <w:top w:val="single" w:color="auto" w:sz="4" w:space="0"/>
              <w:left w:val="nil"/>
              <w:bottom w:val="single" w:color="auto" w:sz="4" w:space="0"/>
              <w:right w:val="single" w:color="auto" w:sz="4" w:space="0"/>
            </w:tcBorders>
            <w:shd w:val="clear" w:color="000000" w:fill="D9D9D9"/>
            <w:noWrap w:val="0"/>
            <w:vAlign w:val="center"/>
          </w:tcPr>
          <w:p>
            <w:pPr>
              <w:widowControl/>
              <w:jc w:val="center"/>
              <w:rPr>
                <w:rFonts w:hint="eastAsia" w:ascii="黑体" w:hAnsi="黑体" w:eastAsia="黑体" w:cs="宋体"/>
                <w:b/>
                <w:bCs/>
                <w:kern w:val="0"/>
                <w:sz w:val="18"/>
                <w:szCs w:val="18"/>
              </w:rPr>
            </w:pPr>
            <w:r>
              <w:rPr>
                <w:rFonts w:hint="eastAsia" w:ascii="黑体" w:hAnsi="黑体" w:eastAsia="黑体" w:cs="宋体"/>
                <w:b/>
                <w:bCs/>
                <w:kern w:val="0"/>
                <w:sz w:val="18"/>
                <w:szCs w:val="18"/>
              </w:rPr>
              <w:t>功能说明</w:t>
            </w:r>
          </w:p>
        </w:tc>
        <w:tc>
          <w:tcPr>
            <w:tcW w:w="1612" w:type="dxa"/>
            <w:tcBorders>
              <w:top w:val="single" w:color="auto" w:sz="4" w:space="0"/>
              <w:left w:val="nil"/>
              <w:bottom w:val="single" w:color="auto" w:sz="4" w:space="0"/>
              <w:right w:val="single" w:color="auto" w:sz="4" w:space="0"/>
            </w:tcBorders>
            <w:shd w:val="clear" w:color="000000" w:fill="D9D9D9"/>
            <w:noWrap w:val="0"/>
            <w:vAlign w:val="center"/>
          </w:tcPr>
          <w:p>
            <w:pPr>
              <w:widowControl/>
              <w:jc w:val="center"/>
              <w:rPr>
                <w:rFonts w:hint="eastAsia" w:ascii="黑体" w:hAnsi="黑体" w:eastAsia="黑体" w:cs="宋体"/>
                <w:b/>
                <w:bCs/>
                <w:kern w:val="0"/>
                <w:sz w:val="18"/>
                <w:szCs w:val="18"/>
                <w:lang w:val="en-US" w:eastAsia="zh-CN"/>
              </w:rPr>
            </w:pPr>
            <w:r>
              <w:rPr>
                <w:rFonts w:hint="eastAsia" w:ascii="黑体" w:hAnsi="黑体" w:eastAsia="黑体" w:cs="宋体"/>
                <w:b/>
                <w:bCs/>
                <w:kern w:val="0"/>
                <w:sz w:val="18"/>
                <w:szCs w:val="18"/>
                <w:lang w:val="en-US" w:eastAsia="zh-CN"/>
              </w:rPr>
              <w:t>价格（元）</w:t>
            </w:r>
          </w:p>
        </w:tc>
      </w:tr>
      <w:tr>
        <w:tblPrEx>
          <w:tblCellMar>
            <w:top w:w="0" w:type="dxa"/>
            <w:left w:w="108" w:type="dxa"/>
            <w:bottom w:w="0" w:type="dxa"/>
            <w:right w:w="108" w:type="dxa"/>
          </w:tblCellMar>
        </w:tblPrEx>
        <w:trPr>
          <w:trHeight w:val="278" w:hRule="atLeast"/>
        </w:trPr>
        <w:tc>
          <w:tcPr>
            <w:tcW w:w="105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黑体" w:hAnsi="黑体" w:eastAsia="黑体" w:cs="宋体"/>
                <w:b/>
                <w:bCs/>
                <w:color w:val="000000"/>
                <w:kern w:val="0"/>
                <w:sz w:val="18"/>
                <w:szCs w:val="18"/>
              </w:rPr>
            </w:pPr>
            <w:r>
              <w:rPr>
                <w:rFonts w:hint="eastAsia" w:ascii="黑体" w:hAnsi="黑体" w:eastAsia="黑体" w:cs="宋体"/>
                <w:b/>
                <w:bCs/>
                <w:color w:val="000000"/>
                <w:kern w:val="0"/>
                <w:sz w:val="18"/>
                <w:szCs w:val="18"/>
              </w:rPr>
              <w:t>工作流</w:t>
            </w:r>
          </w:p>
        </w:tc>
        <w:tc>
          <w:tcPr>
            <w:tcW w:w="2794"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销售系统工作流</w:t>
            </w:r>
          </w:p>
        </w:tc>
        <w:tc>
          <w:tcPr>
            <w:tcW w:w="4594"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电子审批工作流电脑终端、移动审批、移动报表。</w:t>
            </w:r>
          </w:p>
        </w:tc>
        <w:tc>
          <w:tcPr>
            <w:tcW w:w="161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lang w:val="en-US" w:eastAsia="zh-CN"/>
              </w:rPr>
              <w:t>90000</w:t>
            </w:r>
          </w:p>
        </w:tc>
      </w:tr>
      <w:tr>
        <w:tblPrEx>
          <w:tblCellMar>
            <w:top w:w="0" w:type="dxa"/>
            <w:left w:w="108" w:type="dxa"/>
            <w:bottom w:w="0" w:type="dxa"/>
            <w:right w:w="108" w:type="dxa"/>
          </w:tblCellMar>
        </w:tblPrEx>
        <w:trPr>
          <w:trHeight w:val="795" w:hRule="atLeast"/>
        </w:trPr>
        <w:tc>
          <w:tcPr>
            <w:tcW w:w="1050"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hint="eastAsia" w:ascii="黑体" w:hAnsi="黑体" w:eastAsia="黑体" w:cs="宋体"/>
                <w:b/>
                <w:bCs/>
                <w:color w:val="000000"/>
                <w:kern w:val="0"/>
                <w:sz w:val="18"/>
                <w:szCs w:val="18"/>
              </w:rPr>
            </w:pPr>
            <w:r>
              <w:rPr>
                <w:rFonts w:hint="eastAsia" w:ascii="黑体" w:hAnsi="黑体" w:eastAsia="黑体" w:cs="宋体"/>
                <w:b/>
                <w:bCs/>
                <w:color w:val="000000"/>
                <w:kern w:val="0"/>
                <w:sz w:val="18"/>
                <w:szCs w:val="18"/>
              </w:rPr>
              <w:t>接口</w:t>
            </w:r>
          </w:p>
        </w:tc>
        <w:tc>
          <w:tcPr>
            <w:tcW w:w="2794"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销售系统—财务接口</w:t>
            </w:r>
          </w:p>
        </w:tc>
        <w:tc>
          <w:tcPr>
            <w:tcW w:w="4594" w:type="dxa"/>
            <w:tcBorders>
              <w:top w:val="single" w:color="auto" w:sz="4" w:space="0"/>
              <w:left w:val="nil"/>
              <w:bottom w:val="single" w:color="auto" w:sz="4" w:space="0"/>
              <w:right w:val="single" w:color="auto" w:sz="4" w:space="0"/>
            </w:tcBorders>
            <w:shd w:val="clear" w:color="auto" w:fill="auto"/>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财务凭证接口，用于将实际收款数据，按照财务凭证制作的要求，生成财务凭证，导入到财务总帐系统中。</w:t>
            </w:r>
          </w:p>
        </w:tc>
        <w:tc>
          <w:tcPr>
            <w:tcW w:w="161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80000</w:t>
            </w:r>
          </w:p>
        </w:tc>
      </w:tr>
      <w:tr>
        <w:tblPrEx>
          <w:tblCellMar>
            <w:top w:w="0" w:type="dxa"/>
            <w:left w:w="108" w:type="dxa"/>
            <w:bottom w:w="0" w:type="dxa"/>
            <w:right w:w="108" w:type="dxa"/>
          </w:tblCellMar>
        </w:tblPrEx>
        <w:trPr>
          <w:trHeight w:val="728" w:hRule="atLeast"/>
        </w:trPr>
        <w:tc>
          <w:tcPr>
            <w:tcW w:w="105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黑体" w:hAnsi="黑体" w:eastAsia="黑体" w:cs="宋体"/>
                <w:b/>
                <w:bCs/>
                <w:color w:val="000000"/>
                <w:kern w:val="0"/>
                <w:sz w:val="18"/>
                <w:szCs w:val="18"/>
              </w:rPr>
            </w:pPr>
          </w:p>
        </w:tc>
        <w:tc>
          <w:tcPr>
            <w:tcW w:w="2794"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OA接口</w:t>
            </w:r>
          </w:p>
        </w:tc>
        <w:tc>
          <w:tcPr>
            <w:tcW w:w="4594" w:type="dxa"/>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跟OA系统对接，实现PC端、移动端消息集成、单点登录功能</w:t>
            </w:r>
          </w:p>
        </w:tc>
        <w:tc>
          <w:tcPr>
            <w:tcW w:w="1612" w:type="dxa"/>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hint="eastAsia"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lang w:val="en-US" w:eastAsia="zh-CN"/>
              </w:rPr>
              <w:t>赠送</w:t>
            </w:r>
          </w:p>
        </w:tc>
      </w:tr>
      <w:tr>
        <w:tblPrEx>
          <w:tblCellMar>
            <w:top w:w="0" w:type="dxa"/>
            <w:left w:w="108" w:type="dxa"/>
            <w:bottom w:w="0" w:type="dxa"/>
            <w:right w:w="108" w:type="dxa"/>
          </w:tblCellMar>
        </w:tblPrEx>
        <w:trPr>
          <w:trHeight w:val="278" w:hRule="atLeast"/>
        </w:trPr>
        <w:tc>
          <w:tcPr>
            <w:tcW w:w="8438" w:type="dxa"/>
            <w:gridSpan w:val="3"/>
            <w:tcBorders>
              <w:top w:val="single" w:color="auto" w:sz="4" w:space="0"/>
              <w:left w:val="single" w:color="auto" w:sz="4" w:space="0"/>
              <w:bottom w:val="single" w:color="auto" w:sz="4" w:space="0"/>
              <w:right w:val="single" w:color="auto" w:sz="4" w:space="0"/>
            </w:tcBorders>
            <w:shd w:val="clear" w:color="000000" w:fill="DBDBDB"/>
            <w:noWrap w:val="0"/>
            <w:vAlign w:val="center"/>
          </w:tcPr>
          <w:p>
            <w:pPr>
              <w:widowControl/>
              <w:jc w:val="center"/>
              <w:rPr>
                <w:rFonts w:hint="eastAsia" w:ascii="黑体" w:hAnsi="黑体" w:eastAsia="黑体" w:cs="宋体"/>
                <w:b/>
                <w:bCs/>
                <w:color w:val="000000"/>
                <w:kern w:val="0"/>
                <w:sz w:val="22"/>
                <w:szCs w:val="22"/>
              </w:rPr>
            </w:pPr>
            <w:r>
              <w:rPr>
                <w:rFonts w:hint="eastAsia" w:ascii="黑体" w:hAnsi="黑体" w:eastAsia="黑体" w:cs="宋体"/>
                <w:b/>
                <w:bCs/>
                <w:color w:val="000000"/>
                <w:kern w:val="0"/>
                <w:sz w:val="22"/>
                <w:szCs w:val="22"/>
              </w:rPr>
              <w:t>PART2:实施费用</w:t>
            </w:r>
          </w:p>
        </w:tc>
        <w:tc>
          <w:tcPr>
            <w:tcW w:w="1612" w:type="dxa"/>
            <w:tcBorders>
              <w:top w:val="single" w:color="auto" w:sz="4" w:space="0"/>
              <w:left w:val="single" w:color="auto" w:sz="4" w:space="0"/>
              <w:bottom w:val="single" w:color="auto" w:sz="4" w:space="0"/>
              <w:right w:val="single" w:color="auto" w:sz="4" w:space="0"/>
            </w:tcBorders>
            <w:shd w:val="clear" w:color="000000" w:fill="DBDBDB"/>
            <w:noWrap w:val="0"/>
            <w:vAlign w:val="center"/>
          </w:tcPr>
          <w:p>
            <w:pPr>
              <w:widowControl/>
              <w:jc w:val="center"/>
              <w:rPr>
                <w:rFonts w:hint="eastAsia" w:ascii="黑体" w:hAnsi="黑体" w:eastAsia="黑体" w:cs="宋体"/>
                <w:b/>
                <w:bCs/>
                <w:color w:val="000000"/>
                <w:kern w:val="0"/>
                <w:sz w:val="22"/>
                <w:szCs w:val="22"/>
              </w:rPr>
            </w:pPr>
          </w:p>
        </w:tc>
      </w:tr>
      <w:tr>
        <w:tblPrEx>
          <w:tblCellMar>
            <w:top w:w="0" w:type="dxa"/>
            <w:left w:w="108" w:type="dxa"/>
            <w:bottom w:w="0" w:type="dxa"/>
            <w:right w:w="108" w:type="dxa"/>
          </w:tblCellMar>
        </w:tblPrEx>
        <w:trPr>
          <w:trHeight w:val="278" w:hRule="atLeast"/>
        </w:trPr>
        <w:tc>
          <w:tcPr>
            <w:tcW w:w="1050" w:type="dxa"/>
            <w:tcBorders>
              <w:top w:val="nil"/>
              <w:left w:val="single" w:color="auto" w:sz="4" w:space="0"/>
              <w:bottom w:val="single" w:color="auto" w:sz="4" w:space="0"/>
              <w:right w:val="single" w:color="auto" w:sz="4" w:space="0"/>
            </w:tcBorders>
            <w:shd w:val="clear" w:color="000000" w:fill="D9D9D9"/>
            <w:noWrap w:val="0"/>
            <w:vAlign w:val="center"/>
          </w:tcPr>
          <w:p>
            <w:pPr>
              <w:widowControl/>
              <w:jc w:val="center"/>
              <w:rPr>
                <w:rFonts w:hint="eastAsia" w:ascii="黑体" w:hAnsi="黑体" w:eastAsia="黑体" w:cs="宋体"/>
                <w:b/>
                <w:bCs/>
                <w:kern w:val="0"/>
                <w:sz w:val="18"/>
                <w:szCs w:val="18"/>
              </w:rPr>
            </w:pPr>
            <w:r>
              <w:rPr>
                <w:rFonts w:hint="eastAsia" w:ascii="黑体" w:hAnsi="黑体" w:eastAsia="黑体" w:cs="宋体"/>
                <w:b/>
                <w:bCs/>
                <w:kern w:val="0"/>
                <w:sz w:val="18"/>
                <w:szCs w:val="18"/>
              </w:rPr>
              <w:t>费用类别</w:t>
            </w:r>
          </w:p>
        </w:tc>
        <w:tc>
          <w:tcPr>
            <w:tcW w:w="2794" w:type="dxa"/>
            <w:tcBorders>
              <w:top w:val="nil"/>
              <w:left w:val="nil"/>
              <w:bottom w:val="single" w:color="auto" w:sz="4" w:space="0"/>
              <w:right w:val="single" w:color="auto" w:sz="4" w:space="0"/>
            </w:tcBorders>
            <w:shd w:val="clear" w:color="000000" w:fill="D9D9D9"/>
            <w:noWrap w:val="0"/>
            <w:vAlign w:val="center"/>
          </w:tcPr>
          <w:p>
            <w:pPr>
              <w:widowControl/>
              <w:jc w:val="center"/>
              <w:rPr>
                <w:rFonts w:hint="eastAsia" w:ascii="黑体" w:hAnsi="黑体" w:eastAsia="黑体" w:cs="宋体"/>
                <w:b/>
                <w:bCs/>
                <w:kern w:val="0"/>
                <w:sz w:val="18"/>
                <w:szCs w:val="18"/>
              </w:rPr>
            </w:pPr>
            <w:r>
              <w:rPr>
                <w:rFonts w:hint="eastAsia" w:ascii="黑体" w:hAnsi="黑体" w:eastAsia="黑体" w:cs="宋体"/>
                <w:b/>
                <w:bCs/>
                <w:kern w:val="0"/>
                <w:sz w:val="18"/>
                <w:szCs w:val="18"/>
              </w:rPr>
              <w:t>费用项目</w:t>
            </w:r>
          </w:p>
        </w:tc>
        <w:tc>
          <w:tcPr>
            <w:tcW w:w="4594" w:type="dxa"/>
            <w:tcBorders>
              <w:top w:val="single" w:color="auto" w:sz="4" w:space="0"/>
              <w:left w:val="nil"/>
              <w:bottom w:val="single" w:color="auto" w:sz="4" w:space="0"/>
              <w:right w:val="single" w:color="auto" w:sz="4" w:space="0"/>
            </w:tcBorders>
            <w:shd w:val="clear" w:color="000000" w:fill="D9D9D9"/>
            <w:noWrap w:val="0"/>
            <w:vAlign w:val="center"/>
          </w:tcPr>
          <w:p>
            <w:pPr>
              <w:widowControl/>
              <w:jc w:val="center"/>
              <w:rPr>
                <w:rFonts w:hint="eastAsia" w:ascii="黑体" w:hAnsi="黑体" w:eastAsia="黑体" w:cs="宋体"/>
                <w:b/>
                <w:bCs/>
                <w:kern w:val="0"/>
                <w:sz w:val="18"/>
                <w:szCs w:val="18"/>
              </w:rPr>
            </w:pPr>
            <w:r>
              <w:rPr>
                <w:rFonts w:hint="eastAsia" w:ascii="黑体" w:hAnsi="黑体" w:eastAsia="黑体" w:cs="宋体"/>
                <w:b/>
                <w:bCs/>
                <w:kern w:val="0"/>
                <w:sz w:val="18"/>
                <w:szCs w:val="18"/>
              </w:rPr>
              <w:t>实施范围</w:t>
            </w:r>
          </w:p>
        </w:tc>
        <w:tc>
          <w:tcPr>
            <w:tcW w:w="1612" w:type="dxa"/>
            <w:tcBorders>
              <w:top w:val="single" w:color="auto" w:sz="4" w:space="0"/>
              <w:left w:val="nil"/>
              <w:bottom w:val="single" w:color="auto" w:sz="4" w:space="0"/>
              <w:right w:val="single" w:color="auto" w:sz="4" w:space="0"/>
            </w:tcBorders>
            <w:shd w:val="clear" w:color="000000" w:fill="D9D9D9"/>
            <w:noWrap w:val="0"/>
            <w:vAlign w:val="center"/>
          </w:tcPr>
          <w:p>
            <w:pPr>
              <w:widowControl/>
              <w:jc w:val="center"/>
              <w:rPr>
                <w:rFonts w:hint="eastAsia" w:ascii="黑体" w:hAnsi="黑体" w:eastAsia="黑体" w:cs="宋体"/>
                <w:b/>
                <w:bCs/>
                <w:kern w:val="0"/>
                <w:sz w:val="18"/>
                <w:szCs w:val="18"/>
              </w:rPr>
            </w:pPr>
            <w:r>
              <w:rPr>
                <w:rFonts w:hint="eastAsia" w:ascii="黑体" w:hAnsi="黑体" w:eastAsia="黑体" w:cs="宋体"/>
                <w:b/>
                <w:bCs/>
                <w:kern w:val="0"/>
                <w:sz w:val="18"/>
                <w:szCs w:val="18"/>
                <w:lang w:val="en-US" w:eastAsia="zh-CN"/>
              </w:rPr>
              <w:t>价格（元）</w:t>
            </w:r>
          </w:p>
        </w:tc>
      </w:tr>
      <w:tr>
        <w:tblPrEx>
          <w:tblCellMar>
            <w:top w:w="0" w:type="dxa"/>
            <w:left w:w="108" w:type="dxa"/>
            <w:bottom w:w="0" w:type="dxa"/>
            <w:right w:w="108" w:type="dxa"/>
          </w:tblCellMar>
        </w:tblPrEx>
        <w:trPr>
          <w:trHeight w:val="1844" w:hRule="atLeast"/>
        </w:trPr>
        <w:tc>
          <w:tcPr>
            <w:tcW w:w="105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黑体" w:hAnsi="黑体" w:eastAsia="黑体" w:cs="宋体"/>
                <w:b/>
                <w:bCs/>
                <w:color w:val="000000"/>
                <w:kern w:val="0"/>
                <w:sz w:val="18"/>
                <w:szCs w:val="18"/>
              </w:rPr>
            </w:pPr>
            <w:r>
              <w:rPr>
                <w:rFonts w:hint="eastAsia" w:ascii="黑体" w:hAnsi="黑体" w:eastAsia="黑体" w:cs="宋体"/>
                <w:b/>
                <w:bCs/>
                <w:color w:val="000000"/>
                <w:kern w:val="0"/>
                <w:sz w:val="18"/>
                <w:szCs w:val="18"/>
              </w:rPr>
              <w:t>实施费</w:t>
            </w:r>
          </w:p>
        </w:tc>
        <w:tc>
          <w:tcPr>
            <w:tcW w:w="2794"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明源房地产ERP—销售管理系统</w:t>
            </w:r>
          </w:p>
        </w:tc>
        <w:tc>
          <w:tcPr>
            <w:tcW w:w="4594"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实现销售管理系统产品功能实施。辅助梳理销售管理相关的组织、制度、流程、表单在销售管理系统中的固化落地。历史数据整理、核对、数据治理、导入新系统。本次项目实施包含目前四个已有项目，赠送一个新项目推广。</w:t>
            </w:r>
          </w:p>
        </w:tc>
        <w:tc>
          <w:tcPr>
            <w:tcW w:w="161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lang w:val="en-US" w:eastAsia="zh-CN"/>
              </w:rPr>
              <w:t>125000</w:t>
            </w:r>
          </w:p>
        </w:tc>
      </w:tr>
    </w:tbl>
    <w:p>
      <w:pPr>
        <w:spacing w:line="360" w:lineRule="auto"/>
        <w:rPr>
          <w:rFonts w:hint="eastAsia"/>
          <w:lang w:eastAsia="zh-CN"/>
        </w:rPr>
      </w:pP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2</w:t>
      </w:r>
      <w:r>
        <w:rPr>
          <w:rFonts w:hint="eastAsia" w:ascii="宋体" w:hAnsi="宋体" w:cs="宋体"/>
          <w:bCs/>
          <w:sz w:val="24"/>
          <w:lang w:eastAsia="zh-CN"/>
        </w:rPr>
        <w:t>、增值税税率说明：</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2</w:t>
      </w:r>
      <w:r>
        <w:rPr>
          <w:rFonts w:hint="eastAsia" w:ascii="宋体" w:hAnsi="宋体" w:cs="宋体"/>
          <w:bCs/>
          <w:sz w:val="24"/>
          <w:lang w:eastAsia="zh-CN"/>
        </w:rPr>
        <w:t>.1、合同价增值税税率按</w:t>
      </w:r>
      <w:r>
        <w:rPr>
          <w:rFonts w:hint="eastAsia" w:ascii="宋体" w:hAnsi="宋体" w:cs="宋体"/>
          <w:bCs/>
          <w:sz w:val="24"/>
          <w:u w:val="single"/>
          <w:lang w:val="en-US" w:eastAsia="zh-CN"/>
        </w:rPr>
        <w:t>6</w:t>
      </w:r>
      <w:r>
        <w:rPr>
          <w:rFonts w:hint="eastAsia" w:ascii="宋体" w:hAnsi="宋体" w:cs="宋体"/>
          <w:bCs/>
          <w:sz w:val="24"/>
          <w:lang w:eastAsia="zh-CN"/>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jc w:val="left"/>
        <w:rPr>
          <w:rFonts w:hint="eastAsia" w:ascii="宋体" w:hAnsi="宋体"/>
          <w:sz w:val="24"/>
          <w:lang w:val="en-US" w:eastAsia="zh-CN"/>
        </w:rPr>
      </w:pPr>
      <w:r>
        <w:rPr>
          <w:rFonts w:hint="eastAsia" w:ascii="宋体" w:hAnsi="宋体"/>
          <w:sz w:val="24"/>
          <w:lang w:val="en-US" w:eastAsia="zh-CN"/>
        </w:rPr>
        <w:t>2.2、如因乙方纳税资格变更引起增值税税率变化，风险由乙方自行承担（税率增加的，发包人仍按原税率支付税金；税率减小的，发包人按减小后的税率支付税金）。</w:t>
      </w:r>
    </w:p>
    <w:p>
      <w:pPr>
        <w:numPr>
          <w:ilvl w:val="0"/>
          <w:numId w:val="0"/>
        </w:numPr>
        <w:spacing w:line="360" w:lineRule="auto"/>
        <w:ind w:leftChars="0"/>
        <w:jc w:val="left"/>
        <w:outlineLvl w:val="2"/>
        <w:rPr>
          <w:rFonts w:hint="eastAsia" w:ascii="宋体" w:hAnsi="宋体"/>
          <w:b/>
          <w:bCs/>
          <w:sz w:val="24"/>
          <w:lang w:val="en-US" w:eastAsia="zh-CN"/>
        </w:rPr>
      </w:pPr>
      <w:r>
        <w:rPr>
          <w:rFonts w:hint="eastAsia" w:ascii="宋体" w:hAnsi="宋体"/>
          <w:b/>
          <w:bCs/>
          <w:sz w:val="24"/>
          <w:lang w:val="en-US" w:eastAsia="zh-CN"/>
        </w:rPr>
        <w:t>三、软件实施及服务约定</w:t>
      </w:r>
    </w:p>
    <w:p>
      <w:pPr>
        <w:numPr>
          <w:ilvl w:val="0"/>
          <w:numId w:val="0"/>
        </w:numPr>
        <w:spacing w:line="360" w:lineRule="auto"/>
        <w:ind w:leftChars="0" w:firstLine="480" w:firstLineChars="200"/>
        <w:jc w:val="left"/>
        <w:rPr>
          <w:rFonts w:hint="eastAsia" w:ascii="宋体" w:hAnsi="宋体"/>
          <w:sz w:val="24"/>
          <w:lang w:val="en-GB" w:eastAsia="zh-CN"/>
        </w:rPr>
      </w:pPr>
      <w:r>
        <w:rPr>
          <w:rFonts w:hint="eastAsia" w:ascii="宋体" w:hAnsi="宋体"/>
          <w:sz w:val="24"/>
          <w:lang w:val="en-US" w:eastAsia="zh-CN"/>
        </w:rPr>
        <w:t>1、</w:t>
      </w:r>
      <w:r>
        <w:rPr>
          <w:rFonts w:hint="eastAsia" w:ascii="宋体" w:hAnsi="宋体"/>
          <w:sz w:val="24"/>
          <w:lang w:val="en-GB" w:eastAsia="zh-CN"/>
        </w:rPr>
        <w:t>实施费用根据项目范围估算工作量得出，正常情况下不再变更，但如果下述情况，将引发实施工作量的额外增加，需按照人天单价增加实施费用：</w:t>
      </w:r>
    </w:p>
    <w:p>
      <w:pPr>
        <w:numPr>
          <w:ilvl w:val="0"/>
          <w:numId w:val="0"/>
        </w:numPr>
        <w:spacing w:line="360" w:lineRule="auto"/>
        <w:ind w:leftChars="0" w:firstLine="480" w:firstLineChars="200"/>
        <w:jc w:val="left"/>
        <w:rPr>
          <w:rFonts w:hint="eastAsia" w:ascii="宋体" w:hAnsi="宋体"/>
          <w:sz w:val="24"/>
          <w:lang w:val="en-GB" w:eastAsia="zh-CN"/>
        </w:rPr>
      </w:pPr>
      <w:r>
        <w:rPr>
          <w:rFonts w:hint="eastAsia" w:ascii="宋体" w:hAnsi="宋体"/>
          <w:sz w:val="24"/>
          <w:lang w:val="en-US" w:eastAsia="zh-CN"/>
        </w:rPr>
        <w:t>1.1、</w:t>
      </w:r>
      <w:r>
        <w:rPr>
          <w:rFonts w:hint="eastAsia" w:ascii="宋体" w:hAnsi="宋体"/>
          <w:sz w:val="24"/>
          <w:lang w:val="en-GB" w:eastAsia="zh-CN"/>
        </w:rPr>
        <w:t>出现超出合同范围约定的需求而导致乙方工作人天增加；</w:t>
      </w:r>
    </w:p>
    <w:p>
      <w:pPr>
        <w:numPr>
          <w:ilvl w:val="0"/>
          <w:numId w:val="0"/>
        </w:num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1.2、</w:t>
      </w:r>
      <w:r>
        <w:rPr>
          <w:rFonts w:hint="eastAsia" w:ascii="宋体" w:hAnsi="宋体"/>
          <w:sz w:val="24"/>
          <w:lang w:val="en-GB" w:eastAsia="zh-CN"/>
        </w:rPr>
        <w:t>在方案/需求确认后甲方单方面变更而造成的乙方工作人天增加；</w:t>
      </w:r>
    </w:p>
    <w:p>
      <w:pPr>
        <w:numPr>
          <w:ilvl w:val="0"/>
          <w:numId w:val="0"/>
        </w:numPr>
        <w:spacing w:line="360" w:lineRule="auto"/>
        <w:ind w:leftChars="0" w:firstLine="480" w:firstLineChars="200"/>
        <w:jc w:val="left"/>
        <w:rPr>
          <w:rFonts w:hint="eastAsia" w:ascii="宋体" w:hAnsi="宋体"/>
          <w:sz w:val="24"/>
          <w:lang w:val="en-GB" w:eastAsia="zh-CN"/>
        </w:rPr>
      </w:pPr>
      <w:r>
        <w:rPr>
          <w:rFonts w:hint="eastAsia" w:ascii="宋体" w:hAnsi="宋体"/>
          <w:sz w:val="24"/>
          <w:lang w:val="en-US" w:eastAsia="zh-CN"/>
        </w:rPr>
        <w:t>1.3、</w:t>
      </w:r>
      <w:r>
        <w:rPr>
          <w:rFonts w:hint="eastAsia" w:ascii="宋体" w:hAnsi="宋体"/>
          <w:sz w:val="24"/>
          <w:lang w:val="en-GB" w:eastAsia="zh-CN"/>
        </w:rPr>
        <w:t xml:space="preserve">乙方为支持甲方二次开发导致的实施工作人天的增加； </w:t>
      </w:r>
    </w:p>
    <w:p>
      <w:pPr>
        <w:numPr>
          <w:ilvl w:val="0"/>
          <w:numId w:val="0"/>
        </w:numPr>
        <w:spacing w:line="360" w:lineRule="auto"/>
        <w:ind w:leftChars="0" w:firstLine="480" w:firstLineChars="200"/>
        <w:jc w:val="left"/>
        <w:rPr>
          <w:rFonts w:hint="eastAsia" w:ascii="宋体" w:hAnsi="宋体"/>
          <w:sz w:val="24"/>
          <w:lang w:val="en-GB" w:eastAsia="zh-CN"/>
        </w:rPr>
      </w:pPr>
      <w:r>
        <w:rPr>
          <w:rFonts w:hint="eastAsia" w:ascii="宋体" w:hAnsi="宋体"/>
          <w:sz w:val="24"/>
          <w:lang w:val="en-US" w:eastAsia="zh-CN"/>
        </w:rPr>
        <w:t>2、</w:t>
      </w:r>
      <w:r>
        <w:rPr>
          <w:rFonts w:hint="eastAsia" w:ascii="宋体" w:hAnsi="宋体"/>
          <w:sz w:val="24"/>
          <w:lang w:val="en-GB" w:eastAsia="zh-CN"/>
        </w:rPr>
        <w:t>本次实施中，所有涉及到对系统标准功能的调整（例如需求开发，界面调整、数据库结构改变等）均视为二次开发，针对所有的二次开发需求，乙方实施团队均给出需求方案和二次开发工作日。</w:t>
      </w:r>
    </w:p>
    <w:p>
      <w:pPr>
        <w:numPr>
          <w:ilvl w:val="0"/>
          <w:numId w:val="0"/>
        </w:numPr>
        <w:spacing w:line="360" w:lineRule="auto"/>
        <w:ind w:leftChars="0" w:firstLine="480" w:firstLineChars="200"/>
        <w:jc w:val="left"/>
        <w:rPr>
          <w:rFonts w:hint="eastAsia" w:ascii="宋体" w:hAnsi="宋体"/>
          <w:sz w:val="24"/>
          <w:lang w:val="en-GB" w:eastAsia="zh-CN"/>
        </w:rPr>
      </w:pPr>
      <w:r>
        <w:rPr>
          <w:rFonts w:hint="eastAsia" w:ascii="宋体" w:hAnsi="宋体"/>
          <w:sz w:val="24"/>
          <w:lang w:val="en-US" w:eastAsia="zh-CN"/>
        </w:rPr>
        <w:t>3、</w:t>
      </w:r>
      <w:r>
        <w:rPr>
          <w:rFonts w:hint="eastAsia" w:ascii="宋体" w:hAnsi="宋体"/>
          <w:sz w:val="24"/>
          <w:lang w:val="en-GB" w:eastAsia="zh-CN"/>
        </w:rPr>
        <w:t>新增的实施费用和二次开发费用均采用人天计价，统一按3500元/人天的标准收取，并于开发方案明确后5个工作日内结清该项目费用；</w:t>
      </w:r>
    </w:p>
    <w:p>
      <w:pPr>
        <w:numPr>
          <w:ilvl w:val="0"/>
          <w:numId w:val="0"/>
        </w:numPr>
        <w:spacing w:line="360" w:lineRule="auto"/>
        <w:ind w:leftChars="0" w:firstLine="480" w:firstLineChars="200"/>
        <w:jc w:val="left"/>
        <w:rPr>
          <w:rFonts w:hint="default" w:ascii="宋体" w:hAnsi="宋体"/>
          <w:sz w:val="24"/>
          <w:lang w:val="en-US" w:eastAsia="zh-CN"/>
        </w:rPr>
      </w:pPr>
      <w:r>
        <w:rPr>
          <w:rFonts w:hint="eastAsia" w:ascii="宋体" w:hAnsi="宋体"/>
          <w:sz w:val="24"/>
          <w:lang w:val="en-US" w:eastAsia="zh-CN"/>
        </w:rPr>
        <w:t>4、</w:t>
      </w:r>
      <w:r>
        <w:rPr>
          <w:rFonts w:hint="eastAsia" w:ascii="宋体" w:hAnsi="宋体"/>
          <w:sz w:val="24"/>
          <w:lang w:val="en-GB" w:eastAsia="zh-CN"/>
        </w:rPr>
        <w:t>软件交付的时间、地点：乙方同意在收到合同首期款之日起十个工作日内，将本合同项下的软件交付给甲方。交付地点为：</w:t>
      </w:r>
      <w:r>
        <w:rPr>
          <w:rFonts w:hint="eastAsia" w:ascii="宋体" w:hAnsi="宋体"/>
          <w:sz w:val="24"/>
          <w:lang w:val="en-US" w:eastAsia="zh-CN"/>
        </w:rPr>
        <w:t>开元壹号营销中心</w:t>
      </w:r>
    </w:p>
    <w:p>
      <w:pPr>
        <w:numPr>
          <w:ilvl w:val="0"/>
          <w:numId w:val="0"/>
        </w:numPr>
        <w:spacing w:line="360" w:lineRule="auto"/>
        <w:ind w:leftChars="0"/>
        <w:jc w:val="left"/>
        <w:rPr>
          <w:rFonts w:hint="eastAsia" w:ascii="宋体" w:hAnsi="宋体"/>
          <w:b/>
          <w:bCs/>
          <w:sz w:val="24"/>
          <w:lang w:val="en-US" w:eastAsia="zh-CN"/>
        </w:rPr>
      </w:pPr>
      <w:r>
        <w:rPr>
          <w:rFonts w:hint="eastAsia" w:ascii="宋体" w:hAnsi="宋体"/>
          <w:b/>
          <w:bCs/>
          <w:sz w:val="24"/>
          <w:lang w:val="en-US" w:eastAsia="zh-CN"/>
        </w:rPr>
        <w:t>四、服务期限及服务范围</w:t>
      </w:r>
    </w:p>
    <w:p>
      <w:pPr>
        <w:numPr>
          <w:ilvl w:val="0"/>
          <w:numId w:val="0"/>
        </w:numPr>
        <w:spacing w:line="360" w:lineRule="auto"/>
        <w:ind w:leftChars="0" w:firstLine="480" w:firstLineChars="200"/>
        <w:jc w:val="left"/>
        <w:rPr>
          <w:rFonts w:hint="eastAsia" w:ascii="宋体" w:hAnsi="宋体"/>
          <w:sz w:val="24"/>
          <w:lang w:val="en-GB" w:eastAsia="zh-CN"/>
        </w:rPr>
      </w:pPr>
      <w:r>
        <w:rPr>
          <w:rFonts w:hint="eastAsia" w:ascii="宋体" w:hAnsi="宋体"/>
          <w:sz w:val="24"/>
          <w:lang w:val="en-US" w:eastAsia="zh-CN"/>
        </w:rPr>
        <w:t>1、</w:t>
      </w:r>
      <w:r>
        <w:rPr>
          <w:rFonts w:hint="eastAsia" w:ascii="宋体" w:hAnsi="宋体"/>
          <w:sz w:val="24"/>
          <w:lang w:val="en-GB" w:eastAsia="zh-CN"/>
        </w:rPr>
        <w:t>服务期限</w:t>
      </w:r>
    </w:p>
    <w:p>
      <w:pPr>
        <w:numPr>
          <w:ilvl w:val="0"/>
          <w:numId w:val="0"/>
        </w:numPr>
        <w:spacing w:line="360" w:lineRule="auto"/>
        <w:ind w:leftChars="0" w:firstLine="480" w:firstLineChars="200"/>
        <w:jc w:val="left"/>
        <w:rPr>
          <w:rFonts w:hint="eastAsia" w:ascii="宋体" w:hAnsi="宋体"/>
          <w:sz w:val="24"/>
          <w:lang w:val="en-GB" w:eastAsia="zh-CN"/>
        </w:rPr>
      </w:pPr>
      <w:r>
        <w:rPr>
          <w:rFonts w:hint="eastAsia" w:ascii="宋体" w:hAnsi="宋体"/>
          <w:sz w:val="24"/>
          <w:lang w:val="en-GB" w:eastAsia="zh-CN"/>
        </w:rPr>
        <w:t>免维期自软件安装调试完毕起为期12个月，免费运维支持服务期结束后，甲方可根据自身的运维需求，在乙方提供的运维服务方案中进行定制选择，另行签订《年度基础运行服务协议》，</w:t>
      </w:r>
      <w:r>
        <w:rPr>
          <w:rFonts w:hint="eastAsia" w:ascii="宋体" w:hAnsi="宋体"/>
          <w:sz w:val="24"/>
          <w:lang w:val="en-US" w:eastAsia="zh-CN"/>
        </w:rPr>
        <w:t>报价详见附件二《服务报价》</w:t>
      </w:r>
      <w:r>
        <w:rPr>
          <w:rFonts w:hint="eastAsia" w:ascii="宋体" w:hAnsi="宋体"/>
          <w:sz w:val="24"/>
          <w:lang w:val="en-GB" w:eastAsia="zh-CN"/>
        </w:rPr>
        <w:t>。</w:t>
      </w:r>
    </w:p>
    <w:p>
      <w:pPr>
        <w:numPr>
          <w:ilvl w:val="0"/>
          <w:numId w:val="0"/>
        </w:numPr>
        <w:spacing w:line="360" w:lineRule="auto"/>
        <w:ind w:leftChars="0" w:firstLine="480" w:firstLineChars="200"/>
        <w:jc w:val="left"/>
        <w:rPr>
          <w:rFonts w:hint="eastAsia" w:ascii="宋体" w:hAnsi="宋体"/>
          <w:sz w:val="24"/>
          <w:lang w:val="en-GB" w:eastAsia="zh-CN"/>
        </w:rPr>
      </w:pPr>
      <w:r>
        <w:rPr>
          <w:rFonts w:hint="eastAsia" w:ascii="宋体" w:hAnsi="宋体"/>
          <w:sz w:val="24"/>
          <w:lang w:val="en-US" w:eastAsia="zh-CN"/>
        </w:rPr>
        <w:t>2、</w:t>
      </w:r>
      <w:r>
        <w:rPr>
          <w:rFonts w:hint="eastAsia" w:ascii="宋体" w:hAnsi="宋体"/>
          <w:sz w:val="24"/>
          <w:lang w:val="en-GB" w:eastAsia="zh-CN"/>
        </w:rPr>
        <w:t>以下内容不在乙方服务范围内：</w:t>
      </w:r>
    </w:p>
    <w:p>
      <w:pPr>
        <w:numPr>
          <w:ilvl w:val="0"/>
          <w:numId w:val="0"/>
        </w:numPr>
        <w:spacing w:line="360" w:lineRule="auto"/>
        <w:ind w:leftChars="0" w:firstLine="480" w:firstLineChars="200"/>
        <w:jc w:val="left"/>
        <w:rPr>
          <w:rFonts w:hint="eastAsia" w:ascii="宋体" w:hAnsi="宋体"/>
          <w:sz w:val="24"/>
          <w:lang w:val="en-GB" w:eastAsia="zh-CN"/>
        </w:rPr>
      </w:pPr>
      <w:r>
        <w:rPr>
          <w:rFonts w:hint="eastAsia" w:ascii="宋体" w:hAnsi="宋体"/>
          <w:sz w:val="24"/>
          <w:lang w:val="en-US" w:eastAsia="zh-CN"/>
        </w:rPr>
        <w:t>2.1、</w:t>
      </w:r>
      <w:r>
        <w:rPr>
          <w:rFonts w:hint="eastAsia" w:ascii="宋体" w:hAnsi="宋体"/>
          <w:sz w:val="24"/>
          <w:lang w:val="en-GB" w:eastAsia="zh-CN"/>
        </w:rPr>
        <w:t>非乙方提供的第三方软件的安装调试。</w:t>
      </w:r>
    </w:p>
    <w:p>
      <w:pPr>
        <w:numPr>
          <w:ilvl w:val="0"/>
          <w:numId w:val="0"/>
        </w:numPr>
        <w:spacing w:line="360" w:lineRule="auto"/>
        <w:ind w:leftChars="0" w:firstLine="480" w:firstLineChars="200"/>
        <w:jc w:val="left"/>
        <w:rPr>
          <w:rFonts w:hint="eastAsia" w:ascii="宋体" w:hAnsi="宋体"/>
          <w:sz w:val="24"/>
          <w:lang w:val="en-GB" w:eastAsia="zh-CN"/>
        </w:rPr>
      </w:pPr>
      <w:r>
        <w:rPr>
          <w:rFonts w:hint="eastAsia" w:ascii="宋体" w:hAnsi="宋体"/>
          <w:sz w:val="24"/>
          <w:lang w:val="en-US" w:eastAsia="zh-CN"/>
        </w:rPr>
        <w:t>2.2、</w:t>
      </w:r>
      <w:r>
        <w:rPr>
          <w:rFonts w:hint="eastAsia" w:ascii="宋体" w:hAnsi="宋体"/>
          <w:sz w:val="24"/>
          <w:lang w:val="en-GB" w:eastAsia="zh-CN"/>
        </w:rPr>
        <w:t>硬件和网络的安装调试。</w:t>
      </w:r>
    </w:p>
    <w:p>
      <w:pPr>
        <w:numPr>
          <w:ilvl w:val="0"/>
          <w:numId w:val="0"/>
        </w:numPr>
        <w:spacing w:line="360" w:lineRule="auto"/>
        <w:ind w:leftChars="0"/>
        <w:jc w:val="left"/>
        <w:rPr>
          <w:rFonts w:hint="eastAsia"/>
          <w:lang w:val="en-US" w:eastAsia="zh-CN"/>
        </w:rPr>
      </w:pPr>
    </w:p>
    <w:p>
      <w:pPr>
        <w:spacing w:line="360" w:lineRule="auto"/>
        <w:jc w:val="left"/>
        <w:rPr>
          <w:rFonts w:hint="default" w:ascii="宋体" w:hAnsi="宋体"/>
          <w:b/>
          <w:bCs/>
          <w:sz w:val="24"/>
          <w:lang w:val="en-US" w:eastAsia="zh-CN"/>
        </w:rPr>
      </w:pPr>
      <w:r>
        <w:rPr>
          <w:rFonts w:hint="eastAsia" w:ascii="宋体" w:hAnsi="宋体"/>
          <w:b/>
          <w:bCs/>
          <w:sz w:val="24"/>
          <w:lang w:val="en-US" w:eastAsia="zh-CN"/>
        </w:rPr>
        <w:t>五、付款方式</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1、</w:t>
      </w:r>
      <w:r>
        <w:rPr>
          <w:rFonts w:hint="eastAsia" w:ascii="宋体" w:hAnsi="宋体"/>
          <w:sz w:val="24"/>
          <w:lang w:val="en-GB" w:eastAsia="zh-CN"/>
        </w:rPr>
        <w:t>甲方于本合同签署之日起五个工作日内，向乙方支付</w:t>
      </w:r>
      <w:r>
        <w:rPr>
          <w:rFonts w:hint="eastAsia" w:ascii="宋体" w:hAnsi="宋体"/>
          <w:sz w:val="24"/>
          <w:lang w:val="en-US" w:eastAsia="zh-CN"/>
        </w:rPr>
        <w:t>合同总价的</w:t>
      </w:r>
      <w:r>
        <w:rPr>
          <w:rFonts w:hint="eastAsia" w:ascii="宋体" w:hAnsi="宋体"/>
          <w:sz w:val="24"/>
          <w:lang w:val="en-GB" w:eastAsia="zh-CN"/>
        </w:rPr>
        <w:t>50%，即人民币147500元（大写：壹拾肆万柒仟伍佰元整）。</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2、</w:t>
      </w:r>
      <w:r>
        <w:rPr>
          <w:rFonts w:hint="eastAsia" w:ascii="宋体" w:hAnsi="宋体"/>
          <w:sz w:val="24"/>
          <w:lang w:val="en-GB" w:eastAsia="zh-CN"/>
        </w:rPr>
        <w:t>甲方自签署《业务解决方案》之日起五个工作日内，甲方需向乙方支付</w:t>
      </w:r>
      <w:r>
        <w:rPr>
          <w:rFonts w:hint="eastAsia" w:ascii="宋体" w:hAnsi="宋体"/>
          <w:sz w:val="24"/>
          <w:lang w:val="en-US" w:eastAsia="zh-CN"/>
        </w:rPr>
        <w:t>合同</w:t>
      </w:r>
      <w:r>
        <w:rPr>
          <w:rFonts w:hint="eastAsia" w:ascii="宋体" w:hAnsi="宋体"/>
          <w:sz w:val="24"/>
          <w:lang w:val="en-GB" w:eastAsia="zh-CN"/>
        </w:rPr>
        <w:t>总</w:t>
      </w:r>
      <w:r>
        <w:rPr>
          <w:rFonts w:hint="eastAsia" w:ascii="宋体" w:hAnsi="宋体"/>
          <w:sz w:val="24"/>
          <w:lang w:val="en-US" w:eastAsia="zh-CN"/>
        </w:rPr>
        <w:t>价的</w:t>
      </w:r>
      <w:r>
        <w:rPr>
          <w:rFonts w:hint="eastAsia" w:ascii="宋体" w:hAnsi="宋体"/>
          <w:sz w:val="24"/>
          <w:lang w:val="en-GB" w:eastAsia="zh-CN"/>
        </w:rPr>
        <w:t>40%，即人民币118000元（大写：壹拾壹万捌仟元整）。</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3、</w:t>
      </w:r>
      <w:r>
        <w:rPr>
          <w:rFonts w:hint="eastAsia" w:ascii="宋体" w:hAnsi="宋体"/>
          <w:sz w:val="24"/>
          <w:lang w:val="en-GB" w:eastAsia="zh-CN"/>
        </w:rPr>
        <w:t>甲乙双方自项目验收之日（即签署项目验收报告）起五个工作日内，甲方需向乙方支付</w:t>
      </w:r>
      <w:r>
        <w:rPr>
          <w:rFonts w:hint="eastAsia" w:ascii="宋体" w:hAnsi="宋体"/>
          <w:sz w:val="24"/>
          <w:lang w:val="en-US" w:eastAsia="zh-CN"/>
        </w:rPr>
        <w:t>剩余合同</w:t>
      </w:r>
      <w:r>
        <w:rPr>
          <w:rFonts w:hint="eastAsia" w:ascii="宋体" w:hAnsi="宋体"/>
          <w:sz w:val="24"/>
          <w:lang w:val="en-GB" w:eastAsia="zh-CN"/>
        </w:rPr>
        <w:t>总</w:t>
      </w:r>
      <w:r>
        <w:rPr>
          <w:rFonts w:hint="eastAsia" w:ascii="宋体" w:hAnsi="宋体"/>
          <w:sz w:val="24"/>
          <w:lang w:val="en-US" w:eastAsia="zh-CN"/>
        </w:rPr>
        <w:t>价的</w:t>
      </w:r>
      <w:r>
        <w:rPr>
          <w:rFonts w:hint="eastAsia" w:ascii="宋体" w:hAnsi="宋体"/>
          <w:sz w:val="24"/>
          <w:lang w:val="en-GB" w:eastAsia="zh-CN"/>
        </w:rPr>
        <w:t>10%，即人民币29500元（大写：贰万玖仟伍佰元整）。</w:t>
      </w:r>
    </w:p>
    <w:p>
      <w:pPr>
        <w:spacing w:line="360" w:lineRule="auto"/>
        <w:ind w:firstLine="480" w:firstLineChars="200"/>
        <w:jc w:val="left"/>
        <w:rPr>
          <w:rFonts w:hint="default" w:ascii="宋体" w:hAnsi="宋体"/>
          <w:sz w:val="24"/>
          <w:lang w:val="en-US" w:eastAsia="zh-CN"/>
        </w:rPr>
      </w:pPr>
      <w:r>
        <w:rPr>
          <w:rFonts w:hint="eastAsia" w:ascii="宋体" w:hAnsi="宋体"/>
          <w:sz w:val="24"/>
          <w:lang w:val="en-US" w:eastAsia="zh-CN"/>
        </w:rPr>
        <w:t>4、</w:t>
      </w:r>
      <w:r>
        <w:rPr>
          <w:rFonts w:hint="eastAsia" w:ascii="宋体" w:hAnsi="宋体"/>
          <w:sz w:val="24"/>
          <w:lang w:val="en-GB" w:eastAsia="zh-CN"/>
        </w:rPr>
        <w:t>以上款项请甲方以转账的方式支付，乙方不接受支票或现金等付款形式。支付以上款项的同时，乙方将提前提供有效的与付款等额，税点为6%的增值税专用发票。</w:t>
      </w:r>
    </w:p>
    <w:p>
      <w:pPr>
        <w:spacing w:line="360" w:lineRule="auto"/>
        <w:jc w:val="left"/>
        <w:rPr>
          <w:rFonts w:hint="eastAsia"/>
          <w:lang w:val="en-GB" w:eastAsia="zh-CN"/>
        </w:rPr>
      </w:pPr>
      <w:r>
        <w:rPr>
          <w:rFonts w:hint="eastAsia" w:ascii="宋体" w:hAnsi="宋体"/>
          <w:b/>
          <w:bCs/>
          <w:sz w:val="24"/>
          <w:lang w:val="en-US" w:eastAsia="zh-CN"/>
        </w:rPr>
        <w:t>六、实施工作阶段与关键工作成果</w:t>
      </w:r>
    </w:p>
    <w:tbl>
      <w:tblPr>
        <w:tblStyle w:val="13"/>
        <w:tblpPr w:leftFromText="180" w:rightFromText="180" w:vertAnchor="text" w:horzAnchor="page" w:tblpX="944" w:tblpY="43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3194"/>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309" w:type="dxa"/>
            <w:shd w:val="clear" w:color="auto" w:fill="D9D9D9"/>
            <w:noWrap w:val="0"/>
            <w:vAlign w:val="center"/>
          </w:tcPr>
          <w:p>
            <w:pPr>
              <w:snapToGrid w:val="0"/>
              <w:spacing w:before="31" w:beforeLines="10" w:after="31" w:afterLines="10" w:line="300" w:lineRule="exact"/>
              <w:jc w:val="center"/>
              <w:rPr>
                <w:rFonts w:ascii="微软雅黑" w:hAnsi="微软雅黑" w:eastAsia="微软雅黑" w:cs="Arial"/>
                <w:b/>
                <w:sz w:val="18"/>
                <w:szCs w:val="18"/>
              </w:rPr>
            </w:pPr>
            <w:r>
              <w:rPr>
                <w:rFonts w:hint="eastAsia" w:ascii="微软雅黑" w:hAnsi="微软雅黑" w:eastAsia="微软雅黑"/>
                <w:b/>
                <w:bCs/>
                <w:sz w:val="18"/>
                <w:szCs w:val="18"/>
              </w:rPr>
              <w:t>实施阶段</w:t>
            </w:r>
          </w:p>
        </w:tc>
        <w:tc>
          <w:tcPr>
            <w:tcW w:w="3194" w:type="dxa"/>
            <w:shd w:val="clear" w:color="auto" w:fill="D9D9D9"/>
            <w:noWrap w:val="0"/>
            <w:vAlign w:val="center"/>
          </w:tcPr>
          <w:p>
            <w:pPr>
              <w:snapToGrid w:val="0"/>
              <w:spacing w:before="31" w:beforeLines="10" w:after="31" w:afterLines="10" w:line="300" w:lineRule="exact"/>
              <w:jc w:val="center"/>
              <w:rPr>
                <w:rFonts w:ascii="微软雅黑" w:hAnsi="微软雅黑" w:eastAsia="微软雅黑"/>
                <w:b/>
                <w:bCs/>
                <w:sz w:val="18"/>
                <w:szCs w:val="18"/>
              </w:rPr>
            </w:pPr>
            <w:r>
              <w:rPr>
                <w:rFonts w:hint="eastAsia" w:ascii="微软雅黑" w:hAnsi="微软雅黑" w:eastAsia="微软雅黑"/>
                <w:b/>
                <w:bCs/>
                <w:sz w:val="18"/>
                <w:szCs w:val="18"/>
              </w:rPr>
              <w:t>工作内容说明</w:t>
            </w:r>
          </w:p>
        </w:tc>
        <w:tc>
          <w:tcPr>
            <w:tcW w:w="5103" w:type="dxa"/>
            <w:shd w:val="clear" w:color="auto" w:fill="D9D9D9"/>
            <w:noWrap w:val="0"/>
            <w:vAlign w:val="center"/>
          </w:tcPr>
          <w:p>
            <w:pPr>
              <w:snapToGrid w:val="0"/>
              <w:spacing w:before="31" w:beforeLines="10" w:after="31" w:afterLines="10" w:line="300" w:lineRule="exact"/>
              <w:jc w:val="center"/>
              <w:rPr>
                <w:rFonts w:ascii="微软雅黑" w:hAnsi="微软雅黑" w:eastAsia="微软雅黑" w:cs="Arial"/>
                <w:b/>
                <w:sz w:val="18"/>
                <w:szCs w:val="18"/>
              </w:rPr>
            </w:pPr>
            <w:r>
              <w:rPr>
                <w:rFonts w:hint="eastAsia" w:ascii="微软雅黑" w:hAnsi="微软雅黑" w:eastAsia="微软雅黑"/>
                <w:b/>
                <w:bCs/>
                <w:sz w:val="18"/>
                <w:szCs w:val="18"/>
              </w:rPr>
              <w:t>关键里程碑的工作成果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309" w:type="dxa"/>
            <w:shd w:val="clear" w:color="auto" w:fill="auto"/>
            <w:noWrap w:val="0"/>
            <w:vAlign w:val="center"/>
          </w:tcPr>
          <w:p>
            <w:pPr>
              <w:snapToGrid w:val="0"/>
              <w:spacing w:before="31" w:beforeLines="10" w:after="31" w:afterLines="10" w:line="300" w:lineRule="exact"/>
              <w:rPr>
                <w:rFonts w:ascii="微软雅黑" w:hAnsi="微软雅黑" w:eastAsia="微软雅黑" w:cs="Arial"/>
                <w:sz w:val="18"/>
                <w:szCs w:val="18"/>
              </w:rPr>
            </w:pPr>
            <w:r>
              <w:rPr>
                <w:rFonts w:hint="eastAsia" w:ascii="微软雅黑" w:hAnsi="微软雅黑" w:eastAsia="微软雅黑"/>
                <w:bCs/>
                <w:sz w:val="18"/>
                <w:szCs w:val="18"/>
              </w:rPr>
              <w:t>项目启动</w:t>
            </w:r>
          </w:p>
        </w:tc>
        <w:tc>
          <w:tcPr>
            <w:tcW w:w="3194" w:type="dxa"/>
            <w:shd w:val="clear" w:color="auto" w:fill="auto"/>
            <w:noWrap w:val="0"/>
            <w:vAlign w:val="center"/>
          </w:tcPr>
          <w:p>
            <w:pPr>
              <w:numPr>
                <w:ilvl w:val="0"/>
                <w:numId w:val="3"/>
              </w:numPr>
              <w:snapToGrid w:val="0"/>
              <w:spacing w:before="31" w:beforeLines="10" w:after="31" w:afterLines="10" w:line="300" w:lineRule="exact"/>
              <w:rPr>
                <w:rFonts w:ascii="微软雅黑" w:hAnsi="微软雅黑" w:eastAsia="微软雅黑"/>
                <w:bCs/>
                <w:sz w:val="18"/>
                <w:szCs w:val="18"/>
              </w:rPr>
            </w:pPr>
            <w:r>
              <w:rPr>
                <w:rFonts w:hint="eastAsia" w:ascii="微软雅黑" w:hAnsi="微软雅黑" w:eastAsia="微软雅黑"/>
                <w:bCs/>
                <w:sz w:val="18"/>
                <w:szCs w:val="18"/>
              </w:rPr>
              <w:t>项目团队见面会</w:t>
            </w:r>
          </w:p>
          <w:p>
            <w:pPr>
              <w:numPr>
                <w:ilvl w:val="0"/>
                <w:numId w:val="3"/>
              </w:numPr>
              <w:snapToGrid w:val="0"/>
              <w:spacing w:before="31" w:beforeLines="10" w:after="31" w:afterLines="10" w:line="300" w:lineRule="exact"/>
              <w:rPr>
                <w:rFonts w:hint="eastAsia" w:ascii="微软雅黑" w:hAnsi="微软雅黑" w:eastAsia="微软雅黑"/>
                <w:bCs/>
                <w:sz w:val="18"/>
                <w:szCs w:val="18"/>
              </w:rPr>
            </w:pPr>
            <w:r>
              <w:rPr>
                <w:rFonts w:hint="eastAsia" w:ascii="微软雅黑" w:hAnsi="微软雅黑" w:eastAsia="微软雅黑"/>
                <w:bCs/>
                <w:sz w:val="18"/>
                <w:szCs w:val="18"/>
              </w:rPr>
              <w:t>项目启动会</w:t>
            </w:r>
          </w:p>
        </w:tc>
        <w:tc>
          <w:tcPr>
            <w:tcW w:w="5103" w:type="dxa"/>
            <w:shd w:val="clear" w:color="auto" w:fill="auto"/>
            <w:noWrap w:val="0"/>
            <w:vAlign w:val="center"/>
          </w:tcPr>
          <w:p>
            <w:pPr>
              <w:snapToGrid w:val="0"/>
              <w:spacing w:before="31" w:beforeLines="10" w:after="31" w:afterLines="10" w:line="300" w:lineRule="exact"/>
              <w:rPr>
                <w:rFonts w:ascii="微软雅黑" w:hAnsi="微软雅黑" w:eastAsia="微软雅黑"/>
                <w:bCs/>
                <w:sz w:val="18"/>
                <w:szCs w:val="18"/>
              </w:rPr>
            </w:pPr>
            <w:r>
              <w:rPr>
                <w:rFonts w:hint="eastAsia" w:ascii="微软雅黑" w:hAnsi="微软雅黑" w:eastAsia="微软雅黑"/>
                <w:bCs/>
                <w:sz w:val="18"/>
                <w:szCs w:val="18"/>
              </w:rPr>
              <w:t>《项目实施章程》</w:t>
            </w:r>
          </w:p>
          <w:p>
            <w:pPr>
              <w:snapToGrid w:val="0"/>
              <w:spacing w:before="31" w:beforeLines="10" w:after="31" w:afterLines="10" w:line="300" w:lineRule="exact"/>
              <w:rPr>
                <w:rFonts w:hint="eastAsia" w:ascii="微软雅黑" w:hAnsi="微软雅黑" w:eastAsia="微软雅黑"/>
                <w:bCs/>
                <w:sz w:val="18"/>
                <w:szCs w:val="18"/>
              </w:rPr>
            </w:pPr>
            <w:r>
              <w:rPr>
                <w:rFonts w:hint="eastAsia" w:ascii="微软雅黑" w:hAnsi="微软雅黑" w:eastAsia="微软雅黑"/>
                <w:bCs/>
                <w:sz w:val="18"/>
                <w:szCs w:val="18"/>
              </w:rPr>
              <w:t>（</w:t>
            </w:r>
            <w:r>
              <w:rPr>
                <w:rFonts w:ascii="微软雅黑" w:hAnsi="微软雅黑" w:eastAsia="微软雅黑"/>
                <w:bCs/>
                <w:sz w:val="18"/>
                <w:szCs w:val="18"/>
              </w:rPr>
              <w:t>项目范围</w:t>
            </w:r>
            <w:r>
              <w:rPr>
                <w:rFonts w:hint="eastAsia" w:ascii="微软雅黑" w:hAnsi="微软雅黑" w:eastAsia="微软雅黑"/>
                <w:bCs/>
                <w:sz w:val="18"/>
                <w:szCs w:val="18"/>
              </w:rPr>
              <w:t>、项目目标、实施计划、项目团队、沟通及项目成果确认机制）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1309" w:type="dxa"/>
            <w:shd w:val="clear" w:color="auto" w:fill="auto"/>
            <w:noWrap w:val="0"/>
            <w:vAlign w:val="center"/>
          </w:tcPr>
          <w:p>
            <w:pPr>
              <w:snapToGrid w:val="0"/>
              <w:spacing w:before="31" w:beforeLines="10" w:after="31" w:afterLines="10" w:line="300" w:lineRule="exact"/>
              <w:rPr>
                <w:rFonts w:ascii="微软雅黑" w:hAnsi="微软雅黑" w:eastAsia="微软雅黑" w:cs="Arial"/>
                <w:sz w:val="18"/>
                <w:szCs w:val="18"/>
              </w:rPr>
            </w:pPr>
            <w:r>
              <w:rPr>
                <w:rFonts w:hint="eastAsia" w:ascii="微软雅黑" w:hAnsi="微软雅黑" w:eastAsia="微软雅黑"/>
                <w:bCs/>
                <w:sz w:val="18"/>
                <w:szCs w:val="18"/>
              </w:rPr>
              <w:t>蓝图规划</w:t>
            </w:r>
          </w:p>
        </w:tc>
        <w:tc>
          <w:tcPr>
            <w:tcW w:w="3194" w:type="dxa"/>
            <w:shd w:val="clear" w:color="auto" w:fill="auto"/>
            <w:noWrap w:val="0"/>
            <w:vAlign w:val="center"/>
          </w:tcPr>
          <w:p>
            <w:pPr>
              <w:numPr>
                <w:ilvl w:val="0"/>
                <w:numId w:val="4"/>
              </w:numPr>
              <w:snapToGrid w:val="0"/>
              <w:spacing w:before="31" w:beforeLines="10" w:after="31" w:afterLines="10" w:line="300" w:lineRule="exact"/>
              <w:rPr>
                <w:rFonts w:hint="eastAsia" w:ascii="微软雅黑" w:hAnsi="微软雅黑" w:eastAsia="微软雅黑"/>
                <w:bCs/>
                <w:sz w:val="18"/>
                <w:szCs w:val="18"/>
              </w:rPr>
            </w:pPr>
            <w:r>
              <w:rPr>
                <w:rFonts w:hint="eastAsia" w:ascii="微软雅黑" w:hAnsi="微软雅黑" w:eastAsia="微软雅黑"/>
                <w:bCs/>
                <w:sz w:val="18"/>
                <w:szCs w:val="18"/>
              </w:rPr>
              <w:t>高层调研访谈</w:t>
            </w:r>
          </w:p>
          <w:p>
            <w:pPr>
              <w:numPr>
                <w:ilvl w:val="0"/>
                <w:numId w:val="4"/>
              </w:numPr>
              <w:snapToGrid w:val="0"/>
              <w:spacing w:before="31" w:beforeLines="10" w:after="31" w:afterLines="10" w:line="300" w:lineRule="exact"/>
              <w:rPr>
                <w:rFonts w:ascii="微软雅黑" w:hAnsi="微软雅黑" w:eastAsia="微软雅黑"/>
                <w:bCs/>
                <w:sz w:val="18"/>
                <w:szCs w:val="18"/>
              </w:rPr>
            </w:pPr>
            <w:r>
              <w:rPr>
                <w:rFonts w:hint="eastAsia" w:ascii="微软雅黑" w:hAnsi="微软雅黑" w:eastAsia="微软雅黑"/>
                <w:bCs/>
                <w:sz w:val="18"/>
                <w:szCs w:val="18"/>
              </w:rPr>
              <w:t>业务部门调研</w:t>
            </w:r>
          </w:p>
          <w:p>
            <w:pPr>
              <w:numPr>
                <w:ilvl w:val="0"/>
                <w:numId w:val="4"/>
              </w:numPr>
              <w:snapToGrid w:val="0"/>
              <w:spacing w:before="31" w:beforeLines="10" w:after="31" w:afterLines="10" w:line="300" w:lineRule="exact"/>
              <w:rPr>
                <w:rFonts w:ascii="微软雅黑" w:hAnsi="微软雅黑" w:eastAsia="微软雅黑"/>
                <w:bCs/>
                <w:sz w:val="18"/>
                <w:szCs w:val="18"/>
              </w:rPr>
            </w:pPr>
            <w:r>
              <w:rPr>
                <w:rFonts w:ascii="微软雅黑" w:hAnsi="微软雅黑" w:eastAsia="微软雅黑"/>
                <w:bCs/>
                <w:sz w:val="18"/>
                <w:szCs w:val="18"/>
              </w:rPr>
              <w:t>历史数据</w:t>
            </w:r>
            <w:r>
              <w:rPr>
                <w:rFonts w:hint="eastAsia" w:ascii="微软雅黑" w:hAnsi="微软雅黑" w:eastAsia="微软雅黑"/>
                <w:bCs/>
                <w:sz w:val="18"/>
                <w:szCs w:val="18"/>
              </w:rPr>
              <w:t>（模板、搜集、检查）</w:t>
            </w:r>
          </w:p>
          <w:p>
            <w:pPr>
              <w:numPr>
                <w:ilvl w:val="0"/>
                <w:numId w:val="4"/>
              </w:numPr>
              <w:snapToGrid w:val="0"/>
              <w:spacing w:before="31" w:beforeLines="10" w:after="31" w:afterLines="10" w:line="300" w:lineRule="exact"/>
              <w:rPr>
                <w:rFonts w:ascii="微软雅黑" w:hAnsi="微软雅黑" w:eastAsia="微软雅黑"/>
                <w:bCs/>
                <w:sz w:val="18"/>
                <w:szCs w:val="18"/>
              </w:rPr>
            </w:pPr>
            <w:r>
              <w:rPr>
                <w:rFonts w:hint="eastAsia" w:ascii="微软雅黑" w:hAnsi="微软雅黑" w:eastAsia="微软雅黑"/>
                <w:bCs/>
                <w:sz w:val="18"/>
                <w:szCs w:val="18"/>
              </w:rPr>
              <w:t>业务解决方案确认及高层汇报</w:t>
            </w:r>
          </w:p>
        </w:tc>
        <w:tc>
          <w:tcPr>
            <w:tcW w:w="5103" w:type="dxa"/>
            <w:shd w:val="clear" w:color="auto" w:fill="auto"/>
            <w:noWrap w:val="0"/>
            <w:vAlign w:val="center"/>
          </w:tcPr>
          <w:p>
            <w:pPr>
              <w:snapToGrid w:val="0"/>
              <w:spacing w:before="31" w:beforeLines="10" w:after="31" w:afterLines="10" w:line="300" w:lineRule="exact"/>
              <w:rPr>
                <w:rFonts w:ascii="微软雅黑" w:hAnsi="微软雅黑" w:eastAsia="微软雅黑"/>
                <w:bCs/>
                <w:sz w:val="18"/>
                <w:szCs w:val="18"/>
              </w:rPr>
            </w:pPr>
            <w:r>
              <w:rPr>
                <w:rFonts w:hint="eastAsia" w:ascii="微软雅黑" w:hAnsi="微软雅黑" w:eastAsia="微软雅黑"/>
                <w:bCs/>
                <w:sz w:val="18"/>
                <w:szCs w:val="18"/>
              </w:rPr>
              <w:t>《历史数据搜集模板》</w:t>
            </w:r>
          </w:p>
          <w:p>
            <w:pPr>
              <w:snapToGrid w:val="0"/>
              <w:spacing w:before="31" w:beforeLines="10" w:after="31" w:afterLines="10" w:line="300" w:lineRule="exact"/>
              <w:rPr>
                <w:rFonts w:ascii="微软雅黑" w:hAnsi="微软雅黑" w:eastAsia="微软雅黑"/>
                <w:bCs/>
                <w:sz w:val="18"/>
                <w:szCs w:val="18"/>
              </w:rPr>
            </w:pPr>
            <w:r>
              <w:rPr>
                <w:rFonts w:hint="eastAsia" w:ascii="微软雅黑" w:hAnsi="微软雅黑" w:eastAsia="微软雅黑"/>
                <w:bCs/>
                <w:sz w:val="18"/>
                <w:szCs w:val="18"/>
              </w:rPr>
              <w:t>《系统业务解决方案书》</w:t>
            </w:r>
          </w:p>
          <w:p>
            <w:pPr>
              <w:snapToGrid w:val="0"/>
              <w:spacing w:before="31" w:beforeLines="10" w:after="31" w:afterLines="10" w:line="300" w:lineRule="exact"/>
              <w:rPr>
                <w:rFonts w:hint="eastAsia" w:ascii="微软雅黑" w:hAnsi="微软雅黑" w:eastAsia="微软雅黑"/>
                <w:bCs/>
                <w:sz w:val="18"/>
                <w:szCs w:val="18"/>
              </w:rPr>
            </w:pPr>
            <w:r>
              <w:rPr>
                <w:rFonts w:hint="eastAsia" w:ascii="微软雅黑" w:hAnsi="微软雅黑" w:eastAsia="微软雅黑"/>
                <w:bCs/>
                <w:sz w:val="18"/>
                <w:szCs w:val="18"/>
              </w:rPr>
              <w:t>（数据看板、</w:t>
            </w:r>
            <w:r>
              <w:rPr>
                <w:rFonts w:ascii="微软雅黑" w:hAnsi="微软雅黑" w:eastAsia="微软雅黑"/>
                <w:bCs/>
                <w:sz w:val="18"/>
                <w:szCs w:val="18"/>
              </w:rPr>
              <w:t>业务流程</w:t>
            </w:r>
            <w:r>
              <w:rPr>
                <w:rFonts w:hint="eastAsia" w:ascii="微软雅黑" w:hAnsi="微软雅黑" w:eastAsia="微软雅黑"/>
                <w:bCs/>
                <w:sz w:val="18"/>
                <w:szCs w:val="18"/>
              </w:rPr>
              <w:t>、</w:t>
            </w:r>
            <w:r>
              <w:rPr>
                <w:rFonts w:ascii="微软雅黑" w:hAnsi="微软雅黑" w:eastAsia="微软雅黑"/>
                <w:bCs/>
                <w:sz w:val="18"/>
                <w:szCs w:val="18"/>
              </w:rPr>
              <w:t>场景规划</w:t>
            </w:r>
            <w:r>
              <w:rPr>
                <w:rFonts w:hint="eastAsia" w:ascii="微软雅黑" w:hAnsi="微软雅黑" w:eastAsia="微软雅黑"/>
                <w:bCs/>
                <w:sz w:val="18"/>
                <w:szCs w:val="18"/>
              </w:rPr>
              <w:t>、</w:t>
            </w:r>
            <w:r>
              <w:rPr>
                <w:rFonts w:ascii="微软雅黑" w:hAnsi="微软雅黑" w:eastAsia="微软雅黑"/>
                <w:bCs/>
                <w:sz w:val="18"/>
                <w:szCs w:val="18"/>
              </w:rPr>
              <w:t>审批流程</w:t>
            </w:r>
            <w:r>
              <w:rPr>
                <w:rFonts w:hint="eastAsia" w:ascii="微软雅黑" w:hAnsi="微软雅黑" w:eastAsia="微软雅黑"/>
                <w:bCs/>
                <w:sz w:val="18"/>
                <w:szCs w:val="18"/>
              </w:rPr>
              <w:t>、</w:t>
            </w:r>
            <w:r>
              <w:rPr>
                <w:rFonts w:ascii="微软雅黑" w:hAnsi="微软雅黑" w:eastAsia="微软雅黑"/>
                <w:bCs/>
                <w:sz w:val="18"/>
                <w:szCs w:val="18"/>
              </w:rPr>
              <w:t>业务规则</w:t>
            </w:r>
            <w:r>
              <w:rPr>
                <w:rFonts w:hint="eastAsia" w:ascii="微软雅黑" w:hAnsi="微软雅黑" w:eastAsia="微软雅黑"/>
                <w:bCs/>
                <w:sz w:val="18"/>
                <w:szCs w:val="18"/>
              </w:rPr>
              <w:t>、</w:t>
            </w:r>
            <w:r>
              <w:rPr>
                <w:rFonts w:ascii="微软雅黑" w:hAnsi="微软雅黑" w:eastAsia="微软雅黑"/>
                <w:bCs/>
                <w:sz w:val="18"/>
                <w:szCs w:val="18"/>
              </w:rPr>
              <w:t>打印模板</w:t>
            </w:r>
            <w:r>
              <w:rPr>
                <w:rFonts w:hint="eastAsia" w:ascii="微软雅黑" w:hAnsi="微软雅黑" w:eastAsia="微软雅黑"/>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309" w:type="dxa"/>
            <w:shd w:val="clear" w:color="auto" w:fill="auto"/>
            <w:noWrap w:val="0"/>
            <w:vAlign w:val="center"/>
          </w:tcPr>
          <w:p>
            <w:pPr>
              <w:snapToGrid w:val="0"/>
              <w:spacing w:before="31" w:beforeLines="10" w:after="31" w:afterLines="10" w:line="300" w:lineRule="exact"/>
              <w:rPr>
                <w:rFonts w:ascii="微软雅黑" w:hAnsi="微软雅黑" w:eastAsia="微软雅黑" w:cs="Arial"/>
                <w:sz w:val="18"/>
                <w:szCs w:val="18"/>
              </w:rPr>
            </w:pPr>
            <w:r>
              <w:rPr>
                <w:rFonts w:hint="eastAsia" w:ascii="微软雅黑" w:hAnsi="微软雅黑" w:eastAsia="微软雅黑"/>
                <w:bCs/>
                <w:sz w:val="18"/>
                <w:szCs w:val="18"/>
              </w:rPr>
              <w:t>上线准备</w:t>
            </w:r>
          </w:p>
        </w:tc>
        <w:tc>
          <w:tcPr>
            <w:tcW w:w="3194" w:type="dxa"/>
            <w:shd w:val="clear" w:color="auto" w:fill="auto"/>
            <w:noWrap w:val="0"/>
            <w:vAlign w:val="center"/>
          </w:tcPr>
          <w:p>
            <w:pPr>
              <w:numPr>
                <w:ilvl w:val="0"/>
                <w:numId w:val="4"/>
              </w:numPr>
              <w:snapToGrid w:val="0"/>
              <w:spacing w:before="31" w:beforeLines="10" w:after="31" w:afterLines="10" w:line="300" w:lineRule="exact"/>
              <w:rPr>
                <w:rFonts w:ascii="微软雅黑" w:hAnsi="微软雅黑" w:eastAsia="微软雅黑"/>
                <w:bCs/>
                <w:sz w:val="18"/>
                <w:szCs w:val="18"/>
              </w:rPr>
            </w:pPr>
            <w:r>
              <w:rPr>
                <w:rFonts w:hint="eastAsia" w:ascii="微软雅黑" w:hAnsi="微软雅黑" w:eastAsia="微软雅黑"/>
                <w:bCs/>
                <w:sz w:val="18"/>
                <w:szCs w:val="18"/>
              </w:rPr>
              <w:t>安装软件产品</w:t>
            </w:r>
          </w:p>
          <w:p>
            <w:pPr>
              <w:numPr>
                <w:ilvl w:val="0"/>
                <w:numId w:val="4"/>
              </w:numPr>
              <w:snapToGrid w:val="0"/>
              <w:spacing w:before="31" w:beforeLines="10" w:after="31" w:afterLines="10" w:line="300" w:lineRule="exact"/>
              <w:rPr>
                <w:rFonts w:ascii="微软雅黑" w:hAnsi="微软雅黑" w:eastAsia="微软雅黑"/>
                <w:bCs/>
                <w:sz w:val="18"/>
                <w:szCs w:val="18"/>
              </w:rPr>
            </w:pPr>
            <w:r>
              <w:rPr>
                <w:rFonts w:hint="eastAsia" w:ascii="微软雅黑" w:hAnsi="微软雅黑" w:eastAsia="微软雅黑"/>
                <w:bCs/>
                <w:sz w:val="18"/>
                <w:szCs w:val="18"/>
              </w:rPr>
              <w:t>系统初始化与配置</w:t>
            </w:r>
          </w:p>
          <w:p>
            <w:pPr>
              <w:numPr>
                <w:ilvl w:val="0"/>
                <w:numId w:val="4"/>
              </w:numPr>
              <w:snapToGrid w:val="0"/>
              <w:spacing w:before="31" w:beforeLines="10" w:after="31" w:afterLines="10" w:line="300" w:lineRule="exact"/>
              <w:rPr>
                <w:rFonts w:hint="eastAsia" w:ascii="微软雅黑" w:hAnsi="微软雅黑" w:eastAsia="微软雅黑"/>
                <w:bCs/>
                <w:sz w:val="18"/>
                <w:szCs w:val="18"/>
              </w:rPr>
            </w:pPr>
            <w:r>
              <w:rPr>
                <w:rFonts w:hint="eastAsia" w:ascii="微软雅黑" w:hAnsi="微软雅黑" w:eastAsia="微软雅黑"/>
                <w:bCs/>
                <w:sz w:val="18"/>
                <w:szCs w:val="18"/>
              </w:rPr>
              <w:t>系统培训与考核</w:t>
            </w:r>
          </w:p>
        </w:tc>
        <w:tc>
          <w:tcPr>
            <w:tcW w:w="5103" w:type="dxa"/>
            <w:shd w:val="clear" w:color="auto" w:fill="auto"/>
            <w:noWrap w:val="0"/>
            <w:vAlign w:val="center"/>
          </w:tcPr>
          <w:p>
            <w:pPr>
              <w:snapToGrid w:val="0"/>
              <w:spacing w:before="31" w:beforeLines="10" w:after="31" w:afterLines="10" w:line="300" w:lineRule="exact"/>
              <w:rPr>
                <w:rFonts w:ascii="微软雅黑" w:hAnsi="微软雅黑" w:eastAsia="微软雅黑"/>
                <w:bCs/>
                <w:sz w:val="18"/>
                <w:szCs w:val="18"/>
              </w:rPr>
            </w:pPr>
            <w:r>
              <w:rPr>
                <w:rFonts w:hint="eastAsia" w:ascii="微软雅黑" w:hAnsi="微软雅黑" w:eastAsia="微软雅黑"/>
                <w:bCs/>
                <w:sz w:val="18"/>
                <w:szCs w:val="18"/>
              </w:rPr>
              <w:t>《软件产品安装确认书》</w:t>
            </w:r>
          </w:p>
          <w:p>
            <w:pPr>
              <w:snapToGrid w:val="0"/>
              <w:spacing w:before="31" w:beforeLines="10" w:after="31" w:afterLines="10" w:line="300" w:lineRule="exact"/>
              <w:rPr>
                <w:rFonts w:ascii="微软雅黑" w:hAnsi="微软雅黑" w:eastAsia="微软雅黑"/>
                <w:bCs/>
                <w:sz w:val="18"/>
                <w:szCs w:val="18"/>
              </w:rPr>
            </w:pPr>
            <w:r>
              <w:rPr>
                <w:rFonts w:hint="eastAsia" w:ascii="微软雅黑" w:hAnsi="微软雅黑" w:eastAsia="微软雅黑"/>
                <w:bCs/>
                <w:sz w:val="18"/>
                <w:szCs w:val="18"/>
              </w:rPr>
              <w:t>《系统培训课件》</w:t>
            </w:r>
          </w:p>
          <w:p>
            <w:pPr>
              <w:snapToGrid w:val="0"/>
              <w:spacing w:before="31" w:beforeLines="10" w:after="31" w:afterLines="10" w:line="300" w:lineRule="exact"/>
              <w:rPr>
                <w:rFonts w:ascii="微软雅黑" w:hAnsi="微软雅黑" w:eastAsia="微软雅黑" w:cs="Arial"/>
                <w:sz w:val="18"/>
                <w:szCs w:val="18"/>
              </w:rPr>
            </w:pPr>
            <w:r>
              <w:rPr>
                <w:rFonts w:hint="eastAsia" w:ascii="微软雅黑" w:hAnsi="微软雅黑" w:eastAsia="微软雅黑"/>
                <w:bCs/>
                <w:sz w:val="18"/>
                <w:szCs w:val="18"/>
              </w:rPr>
              <w:t>《系统培训考核报告》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309" w:type="dxa"/>
            <w:shd w:val="clear" w:color="auto" w:fill="auto"/>
            <w:noWrap w:val="0"/>
            <w:vAlign w:val="center"/>
          </w:tcPr>
          <w:p>
            <w:pPr>
              <w:snapToGrid w:val="0"/>
              <w:spacing w:before="31" w:beforeLines="10" w:after="31" w:afterLines="10" w:line="300" w:lineRule="exact"/>
              <w:rPr>
                <w:rFonts w:ascii="微软雅黑" w:hAnsi="微软雅黑" w:eastAsia="微软雅黑" w:cs="Arial"/>
                <w:sz w:val="18"/>
                <w:szCs w:val="18"/>
              </w:rPr>
            </w:pPr>
            <w:r>
              <w:rPr>
                <w:rFonts w:hint="eastAsia" w:ascii="微软雅黑" w:hAnsi="微软雅黑" w:eastAsia="微软雅黑"/>
                <w:bCs/>
                <w:sz w:val="18"/>
                <w:szCs w:val="18"/>
              </w:rPr>
              <w:t>上线验收</w:t>
            </w:r>
          </w:p>
        </w:tc>
        <w:tc>
          <w:tcPr>
            <w:tcW w:w="3194" w:type="dxa"/>
            <w:shd w:val="clear" w:color="auto" w:fill="auto"/>
            <w:noWrap w:val="0"/>
            <w:vAlign w:val="center"/>
          </w:tcPr>
          <w:p>
            <w:pPr>
              <w:numPr>
                <w:ilvl w:val="0"/>
                <w:numId w:val="4"/>
              </w:numPr>
              <w:snapToGrid w:val="0"/>
              <w:spacing w:before="31" w:beforeLines="10" w:after="31" w:afterLines="10" w:line="300" w:lineRule="exact"/>
              <w:rPr>
                <w:rFonts w:ascii="微软雅黑" w:hAnsi="微软雅黑" w:eastAsia="微软雅黑"/>
                <w:bCs/>
                <w:sz w:val="18"/>
                <w:szCs w:val="18"/>
              </w:rPr>
            </w:pPr>
            <w:r>
              <w:rPr>
                <w:rFonts w:hint="eastAsia" w:ascii="微软雅黑" w:hAnsi="微软雅黑" w:eastAsia="微软雅黑"/>
                <w:bCs/>
                <w:sz w:val="18"/>
                <w:szCs w:val="18"/>
              </w:rPr>
              <w:t>项目数据巡检与应用辅助</w:t>
            </w:r>
          </w:p>
          <w:p>
            <w:pPr>
              <w:numPr>
                <w:ilvl w:val="0"/>
                <w:numId w:val="4"/>
              </w:numPr>
              <w:snapToGrid w:val="0"/>
              <w:spacing w:before="31" w:beforeLines="10" w:after="31" w:afterLines="10" w:line="300" w:lineRule="exact"/>
              <w:rPr>
                <w:rFonts w:ascii="微软雅黑" w:hAnsi="微软雅黑" w:eastAsia="微软雅黑"/>
                <w:bCs/>
                <w:sz w:val="18"/>
                <w:szCs w:val="18"/>
              </w:rPr>
            </w:pPr>
            <w:r>
              <w:rPr>
                <w:rFonts w:hint="eastAsia" w:ascii="微软雅黑" w:hAnsi="微软雅黑" w:eastAsia="微软雅黑"/>
                <w:bCs/>
                <w:sz w:val="18"/>
                <w:szCs w:val="18"/>
              </w:rPr>
              <w:t>验收汇报</w:t>
            </w:r>
          </w:p>
          <w:p>
            <w:pPr>
              <w:numPr>
                <w:ilvl w:val="0"/>
                <w:numId w:val="4"/>
              </w:numPr>
              <w:snapToGrid w:val="0"/>
              <w:spacing w:before="31" w:beforeLines="10" w:after="31" w:afterLines="10" w:line="300" w:lineRule="exact"/>
              <w:rPr>
                <w:rFonts w:ascii="微软雅黑" w:hAnsi="微软雅黑" w:eastAsia="微软雅黑"/>
                <w:bCs/>
                <w:sz w:val="18"/>
                <w:szCs w:val="18"/>
              </w:rPr>
            </w:pPr>
            <w:r>
              <w:rPr>
                <w:rFonts w:hint="eastAsia" w:ascii="微软雅黑" w:hAnsi="微软雅黑" w:eastAsia="微软雅黑"/>
                <w:bCs/>
                <w:sz w:val="18"/>
                <w:szCs w:val="18"/>
              </w:rPr>
              <w:t>签署项目验收报告</w:t>
            </w:r>
          </w:p>
        </w:tc>
        <w:tc>
          <w:tcPr>
            <w:tcW w:w="5103" w:type="dxa"/>
            <w:shd w:val="clear" w:color="auto" w:fill="auto"/>
            <w:noWrap w:val="0"/>
            <w:vAlign w:val="center"/>
          </w:tcPr>
          <w:p>
            <w:pPr>
              <w:snapToGrid w:val="0"/>
              <w:spacing w:before="31" w:beforeLines="10" w:after="31" w:afterLines="10" w:line="300" w:lineRule="exact"/>
              <w:rPr>
                <w:rFonts w:ascii="微软雅黑" w:hAnsi="微软雅黑" w:eastAsia="微软雅黑" w:cs="Arial"/>
                <w:sz w:val="18"/>
                <w:szCs w:val="18"/>
              </w:rPr>
            </w:pPr>
            <w:r>
              <w:rPr>
                <w:rFonts w:hint="eastAsia" w:ascii="微软雅黑" w:hAnsi="微软雅黑" w:eastAsia="微软雅黑"/>
                <w:bCs/>
                <w:sz w:val="18"/>
                <w:szCs w:val="18"/>
              </w:rPr>
              <w:t>《系统项目验收报告》</w:t>
            </w:r>
          </w:p>
        </w:tc>
      </w:tr>
    </w:tbl>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1、</w:t>
      </w:r>
      <w:r>
        <w:rPr>
          <w:rFonts w:hint="eastAsia" w:ascii="宋体" w:hAnsi="宋体"/>
          <w:sz w:val="24"/>
          <w:lang w:val="en-GB" w:eastAsia="zh-CN"/>
        </w:rPr>
        <w:t>项目成果需得到甲乙双方共同的认可，才可视为达成；在以下特殊情况下，也可视为甲方同意认可：</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1.1、</w:t>
      </w:r>
      <w:r>
        <w:rPr>
          <w:rFonts w:hint="eastAsia" w:ascii="宋体" w:hAnsi="宋体"/>
          <w:sz w:val="24"/>
          <w:lang w:val="en-GB" w:eastAsia="zh-CN"/>
        </w:rPr>
        <w:t>乙方书面提交成果给甲方，但甲方超过10个工作日既没有签字确认，也没给出书面调整意见的；</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1.2、</w:t>
      </w:r>
      <w:r>
        <w:rPr>
          <w:rFonts w:hint="eastAsia" w:ascii="宋体" w:hAnsi="宋体"/>
          <w:sz w:val="24"/>
          <w:lang w:val="en-GB" w:eastAsia="zh-CN"/>
        </w:rPr>
        <w:t>甲方不签署验收报告的理由或意见与前期双方共同签署的验收标准不符的。</w:t>
      </w:r>
    </w:p>
    <w:p>
      <w:pPr>
        <w:tabs>
          <w:tab w:val="left" w:pos="1080"/>
          <w:tab w:val="left" w:pos="1554"/>
        </w:tabs>
        <w:spacing w:line="360" w:lineRule="auto"/>
        <w:jc w:val="left"/>
        <w:rPr>
          <w:rFonts w:hint="default" w:ascii="宋体" w:hAnsi="宋体" w:eastAsia="宋体" w:cs="宋体"/>
          <w:b/>
          <w:sz w:val="24"/>
          <w:lang w:val="en-US" w:eastAsia="zh-CN"/>
        </w:rPr>
      </w:pPr>
      <w:r>
        <w:rPr>
          <w:rFonts w:hint="eastAsia" w:ascii="宋体" w:hAnsi="宋体" w:cs="宋体"/>
          <w:b/>
          <w:sz w:val="24"/>
          <w:lang w:val="en-US" w:eastAsia="zh-CN"/>
        </w:rPr>
        <w:t>七</w:t>
      </w:r>
      <w:r>
        <w:rPr>
          <w:rFonts w:hint="eastAsia" w:ascii="宋体" w:hAnsi="宋体" w:cs="宋体"/>
          <w:b/>
          <w:sz w:val="24"/>
        </w:rPr>
        <w:t>、</w:t>
      </w:r>
      <w:r>
        <w:rPr>
          <w:rFonts w:hint="eastAsia" w:ascii="宋体" w:hAnsi="宋体"/>
          <w:b/>
          <w:sz w:val="24"/>
          <w:lang w:val="en-US" w:eastAsia="zh-CN"/>
        </w:rPr>
        <w:t>项目变更控制流程</w:t>
      </w:r>
    </w:p>
    <w:p>
      <w:pPr>
        <w:spacing w:line="360" w:lineRule="auto"/>
        <w:ind w:firstLine="480" w:firstLineChars="200"/>
        <w:jc w:val="left"/>
        <w:rPr>
          <w:rFonts w:hint="eastAsia" w:ascii="宋体" w:hAnsi="宋体"/>
          <w:sz w:val="24"/>
          <w:lang w:val="en-GB" w:eastAsia="zh-CN"/>
        </w:rPr>
      </w:pPr>
      <w:bookmarkStart w:id="21" w:name="_Toc194316938"/>
      <w:bookmarkStart w:id="22" w:name="_Toc194312537"/>
      <w:bookmarkStart w:id="23" w:name="_Toc194316319"/>
      <w:bookmarkStart w:id="24" w:name="_Toc276715852"/>
      <w:bookmarkStart w:id="25" w:name="_Toc194314541"/>
      <w:bookmarkStart w:id="26" w:name="_Toc276716054"/>
      <w:bookmarkStart w:id="27" w:name="_Toc194374029"/>
      <w:bookmarkStart w:id="28" w:name="_Toc194719967"/>
      <w:bookmarkStart w:id="29" w:name="_Toc276715505"/>
      <w:bookmarkStart w:id="30" w:name="_Toc194313246"/>
      <w:bookmarkStart w:id="31" w:name="_Toc194313934"/>
      <w:bookmarkStart w:id="32" w:name="_Toc180836387"/>
      <w:r>
        <w:rPr>
          <w:rFonts w:hint="eastAsia" w:ascii="宋体" w:hAnsi="宋体"/>
          <w:sz w:val="24"/>
          <w:lang w:val="en-US" w:eastAsia="zh-CN"/>
        </w:rPr>
        <w:t>1、</w:t>
      </w:r>
      <w:r>
        <w:rPr>
          <w:rFonts w:hint="eastAsia" w:ascii="宋体" w:hAnsi="宋体"/>
          <w:sz w:val="24"/>
          <w:lang w:val="en-GB" w:eastAsia="zh-CN"/>
        </w:rPr>
        <w:t>在项目的实施过程中，任何一方要想更改由双方事先确认并计划好的服务内容，可以向对方提交一份《项目变更请求表》。详细说明想要做出的更改。可能的变更包括实施范围的更改、实施周期的更改、实施方案的更改等。双方将对所需的更改服务提供附加收费估算及项目进度、交付成果的调整建议；所有的变更请求均应报双方项目领导小组审批，仅当与之相关的所有技术及商务事宜同时得到双方项目领导小组的批准后，有关的项目变更才可执行。</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1.1、</w:t>
      </w:r>
      <w:r>
        <w:rPr>
          <w:rFonts w:hint="eastAsia" w:ascii="宋体" w:hAnsi="宋体"/>
          <w:sz w:val="24"/>
          <w:lang w:val="en-GB" w:eastAsia="zh-CN"/>
        </w:rPr>
        <w:t>《项目变更请求表》是协商变更的工具，该表中必须描述变更内容、变更的原因和变更对项目的影响。</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1.2、</w:t>
      </w:r>
      <w:r>
        <w:rPr>
          <w:rFonts w:hint="eastAsia" w:ascii="宋体" w:hAnsi="宋体"/>
          <w:sz w:val="24"/>
          <w:lang w:val="en-GB" w:eastAsia="zh-CN"/>
        </w:rPr>
        <w:t>甲乙任何一方都有权利提出项目变更，请求方的项目经理应复核建议的变更，并确定是否将该请求提交给对方。</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2、</w:t>
      </w:r>
      <w:r>
        <w:rPr>
          <w:rFonts w:hint="eastAsia" w:ascii="宋体" w:hAnsi="宋体"/>
          <w:sz w:val="24"/>
          <w:lang w:val="en-GB" w:eastAsia="zh-CN"/>
        </w:rPr>
        <w:t>项目变更的管理流程：</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2.1、</w:t>
      </w:r>
      <w:r>
        <w:rPr>
          <w:rFonts w:hint="eastAsia" w:ascii="宋体" w:hAnsi="宋体"/>
          <w:sz w:val="24"/>
          <w:lang w:val="en-GB" w:eastAsia="zh-CN"/>
        </w:rPr>
        <w:t>申请方的项目经理需对《项目变更请求表》进行书面确认。任何双方项目经理不能解决的争议应提交项目领导小组审议。</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2.2、</w:t>
      </w:r>
      <w:r>
        <w:rPr>
          <w:rFonts w:hint="eastAsia" w:ascii="宋体" w:hAnsi="宋体"/>
          <w:sz w:val="24"/>
          <w:lang w:val="en-GB" w:eastAsia="zh-CN"/>
        </w:rPr>
        <w:t>在申请方的项目经理确认后，如果涉及到项目合同或费用的修改，还需由项目领导小组批准。</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2.3、</w:t>
      </w:r>
      <w:r>
        <w:rPr>
          <w:rFonts w:hint="eastAsia" w:ascii="宋体" w:hAnsi="宋体"/>
          <w:sz w:val="24"/>
          <w:lang w:val="en-GB" w:eastAsia="zh-CN"/>
        </w:rPr>
        <w:t>批准后的《项目变更请求表》将以《项目变更建议书》的形式列为本实施合同的附件，同时取代前期的任何相冲突的附件。</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3、</w:t>
      </w:r>
      <w:r>
        <w:rPr>
          <w:rFonts w:hint="eastAsia" w:ascii="宋体" w:hAnsi="宋体"/>
          <w:sz w:val="24"/>
          <w:lang w:val="en-GB" w:eastAsia="zh-CN"/>
        </w:rPr>
        <w:t>项目变更的实施：</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3.1、</w:t>
      </w:r>
      <w:r>
        <w:rPr>
          <w:rFonts w:hint="eastAsia" w:ascii="宋体" w:hAnsi="宋体"/>
          <w:sz w:val="24"/>
          <w:lang w:val="en-GB" w:eastAsia="zh-CN"/>
        </w:rPr>
        <w:t>双方项目团队将根据经确认批准的《项目变更请求表》重新调整项目计划，并进行任务分配。</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3.2、</w:t>
      </w:r>
      <w:r>
        <w:rPr>
          <w:rFonts w:hint="eastAsia" w:ascii="宋体" w:hAnsi="宋体"/>
          <w:sz w:val="24"/>
          <w:lang w:val="en-GB" w:eastAsia="zh-CN"/>
        </w:rPr>
        <w:t>双方将根据新的项目计划履行各自的责任。</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4、</w:t>
      </w:r>
      <w:r>
        <w:rPr>
          <w:rFonts w:hint="eastAsia" w:ascii="宋体" w:hAnsi="宋体"/>
          <w:sz w:val="24"/>
          <w:lang w:val="en-GB" w:eastAsia="zh-CN"/>
        </w:rPr>
        <w:t>项目暂停</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4.1、</w:t>
      </w:r>
      <w:r>
        <w:rPr>
          <w:rFonts w:hint="eastAsia" w:ascii="宋体" w:hAnsi="宋体"/>
          <w:sz w:val="24"/>
          <w:lang w:val="en-GB" w:eastAsia="zh-CN"/>
        </w:rPr>
        <w:t>由于各种原因需要项目可暂时停止，必须甲方或乙方项目经理提出申请，由双方项目领导签署《项目暂停函》之后进入暂停状态，在《项目暂停函》签署之前，项目工作仍按原计划进行。</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4.2、</w:t>
      </w:r>
      <w:r>
        <w:rPr>
          <w:rFonts w:hint="eastAsia" w:ascii="宋体" w:hAnsi="宋体"/>
          <w:sz w:val="24"/>
          <w:lang w:val="en-GB" w:eastAsia="zh-CN"/>
        </w:rPr>
        <w:t>如项目暂停，项目暂停时间不得超过一年，否则合同自动终止。若项目需要再次启动实施，则需要甲乙双方协商之后，重新签署实施合同。</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4.3、</w:t>
      </w:r>
      <w:r>
        <w:rPr>
          <w:rFonts w:hint="eastAsia" w:ascii="宋体" w:hAnsi="宋体"/>
          <w:sz w:val="24"/>
          <w:lang w:val="en-GB" w:eastAsia="zh-CN"/>
        </w:rPr>
        <w:t>如果项目复工时，需要保留原来的顾问团队，则保留顾问团队的成本将由甲方承担。否则，乙方将不承诺复工时的项目团队为原来的顾问团队(由于离职导致的人员调整乙方不保证原来的顾问团队)。</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4.4、</w:t>
      </w:r>
      <w:r>
        <w:rPr>
          <w:rFonts w:hint="eastAsia" w:ascii="宋体" w:hAnsi="宋体"/>
          <w:sz w:val="24"/>
          <w:lang w:val="en-GB" w:eastAsia="zh-CN"/>
        </w:rPr>
        <w:t>项目复工时，组织团队所需要的时间段由双方进行友好协商，共同确认为准。对于项目复工，组织团队时间最长不得超过6周。</w:t>
      </w:r>
    </w:p>
    <w:p>
      <w:pPr>
        <w:spacing w:line="360" w:lineRule="auto"/>
        <w:jc w:val="left"/>
        <w:outlineLvl w:val="2"/>
        <w:rPr>
          <w:rFonts w:hint="default" w:ascii="宋体" w:hAnsi="宋体" w:cs="宋体"/>
          <w:b/>
          <w:sz w:val="24"/>
          <w:lang w:val="en-US"/>
        </w:rPr>
      </w:pPr>
      <w:r>
        <w:rPr>
          <w:rFonts w:hint="eastAsia" w:ascii="宋体" w:hAnsi="宋体" w:cs="宋体"/>
          <w:b/>
          <w:sz w:val="24"/>
          <w:lang w:val="en-US" w:eastAsia="zh-CN"/>
        </w:rPr>
        <w:t>八</w:t>
      </w:r>
      <w:r>
        <w:rPr>
          <w:rFonts w:hint="eastAsia" w:ascii="宋体" w:hAnsi="宋体" w:cs="宋体"/>
          <w:b/>
          <w:sz w:val="24"/>
          <w:lang w:eastAsia="zh-CN"/>
        </w:rPr>
        <w:t>、</w:t>
      </w:r>
      <w:r>
        <w:rPr>
          <w:rFonts w:hint="eastAsia" w:ascii="宋体" w:hAnsi="宋体" w:cs="宋体"/>
          <w:b/>
          <w:sz w:val="24"/>
          <w:lang w:val="en-US" w:eastAsia="zh-CN"/>
        </w:rPr>
        <w:t>甲方责任</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1、</w:t>
      </w:r>
      <w:r>
        <w:rPr>
          <w:rFonts w:hint="eastAsia" w:ascii="宋体" w:hAnsi="宋体"/>
          <w:sz w:val="24"/>
          <w:lang w:val="en-GB" w:eastAsia="zh-CN"/>
        </w:rPr>
        <w:t>甲方应根据乙方建议，自行采购搭建系统应用环境（包括软硬件、网络等）。由于应用环境不满足乙方建议而造成的系统性能下降等问题，由甲方负责。</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2、</w:t>
      </w:r>
      <w:r>
        <w:rPr>
          <w:rFonts w:hint="eastAsia" w:ascii="宋体" w:hAnsi="宋体"/>
          <w:sz w:val="24"/>
          <w:lang w:val="en-GB" w:eastAsia="zh-CN"/>
        </w:rPr>
        <w:t>甲方应积极协助乙方进行项目实施工作，具体表现在：</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2.1、</w:t>
      </w:r>
      <w:r>
        <w:rPr>
          <w:rFonts w:hint="eastAsia" w:ascii="宋体" w:hAnsi="宋体"/>
          <w:sz w:val="24"/>
          <w:lang w:val="en-GB" w:eastAsia="zh-CN"/>
        </w:rPr>
        <w:t>按照乙方建议，组建内部实施团队，协调项目推进；在项目实施过程中，甲方应保证其项目组成员相对稳定。如因甲方人员变动导致本项目实施延误或者增加乙方工作日（包括但不限于增加培训服务工作日），乙方对此延期不负责任，且甲方需要承担因此增加的实施费用。</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2.2、</w:t>
      </w:r>
      <w:r>
        <w:rPr>
          <w:rFonts w:hint="eastAsia" w:ascii="宋体" w:hAnsi="宋体"/>
          <w:sz w:val="24"/>
          <w:lang w:val="en-GB" w:eastAsia="zh-CN"/>
        </w:rPr>
        <w:t>甲方应安排专人（系统管理员）负责软件的技术维护和管理，确保软件运行环境安全，定期做好系统数据备份，监控软件运行状况；发现软件异常时应记录当前故障现象，及时向乙方反馈。</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3、</w:t>
      </w:r>
      <w:r>
        <w:rPr>
          <w:rFonts w:hint="eastAsia" w:ascii="宋体" w:hAnsi="宋体"/>
          <w:sz w:val="24"/>
          <w:lang w:val="en-GB" w:eastAsia="zh-CN"/>
        </w:rPr>
        <w:t>对于乙方提交的需求变更内容、实施范围变更内容、计划调整方案、成果文档和验收报告等，及时进行评审和确认。</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4、</w:t>
      </w:r>
      <w:r>
        <w:rPr>
          <w:rFonts w:hint="eastAsia" w:ascii="宋体" w:hAnsi="宋体"/>
          <w:sz w:val="24"/>
          <w:lang w:val="en-GB" w:eastAsia="zh-CN"/>
        </w:rPr>
        <w:t>甲方应及时为乙方免费提供双方一致确认的、本项目实施所必要的技术数据、设备、文档、测试数据、示例输出，或其它的信息资源；甲方应对其提供的所有该类数据、材料及信息的内容、准确性、完整性和统一性负责。</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5、</w:t>
      </w:r>
      <w:r>
        <w:rPr>
          <w:rFonts w:hint="eastAsia" w:ascii="宋体" w:hAnsi="宋体"/>
          <w:sz w:val="24"/>
          <w:lang w:val="en-GB" w:eastAsia="zh-CN"/>
        </w:rPr>
        <w:t>乙方的顾问在甲方现场工作期间，甲方应免费为乙方提供工作场所，并保证其可利用适当的甲方资源和办公环境（包括但不限于计算机、网络、电话、传真、会议室、投影仪等工作所必需的办公室设备和材料）。</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6、</w:t>
      </w:r>
      <w:r>
        <w:rPr>
          <w:rFonts w:hint="eastAsia" w:ascii="宋体" w:hAnsi="宋体"/>
          <w:sz w:val="24"/>
          <w:lang w:val="en-GB" w:eastAsia="zh-CN"/>
        </w:rPr>
        <w:t>在系统应用培训时，甲方须组织相关人员在约定的时间指定的地点，以脱产方式参加集中的操作培训。</w:t>
      </w:r>
    </w:p>
    <w:p>
      <w:pPr>
        <w:spacing w:line="360" w:lineRule="auto"/>
        <w:jc w:val="left"/>
        <w:outlineLvl w:val="2"/>
        <w:rPr>
          <w:rFonts w:hint="default" w:ascii="宋体" w:hAnsi="宋体" w:cs="宋体"/>
          <w:b/>
          <w:sz w:val="24"/>
          <w:lang w:val="en-US"/>
        </w:rPr>
      </w:pPr>
      <w:r>
        <w:rPr>
          <w:rFonts w:hint="eastAsia" w:ascii="宋体" w:hAnsi="宋体" w:cs="宋体"/>
          <w:b/>
          <w:sz w:val="24"/>
          <w:lang w:val="en-US" w:eastAsia="zh-CN"/>
        </w:rPr>
        <w:t>九</w:t>
      </w:r>
      <w:r>
        <w:rPr>
          <w:rFonts w:hint="eastAsia" w:ascii="宋体" w:hAnsi="宋体" w:cs="宋体"/>
          <w:b/>
          <w:sz w:val="24"/>
          <w:lang w:eastAsia="zh-CN"/>
        </w:rPr>
        <w:t>、</w:t>
      </w:r>
      <w:r>
        <w:rPr>
          <w:rFonts w:hint="eastAsia" w:ascii="宋体" w:hAnsi="宋体" w:cs="宋体"/>
          <w:b/>
          <w:sz w:val="24"/>
          <w:lang w:val="en-US" w:eastAsia="zh-CN"/>
        </w:rPr>
        <w:t>乙方责任</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1、</w:t>
      </w:r>
      <w:r>
        <w:rPr>
          <w:rFonts w:hint="eastAsia" w:ascii="宋体" w:hAnsi="宋体"/>
          <w:sz w:val="24"/>
          <w:lang w:val="en-GB" w:eastAsia="zh-CN"/>
        </w:rPr>
        <w:t>乙方应组成项目团队，主导项目实施工作；</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2、</w:t>
      </w:r>
      <w:r>
        <w:rPr>
          <w:rFonts w:hint="eastAsia" w:ascii="宋体" w:hAnsi="宋体"/>
          <w:sz w:val="24"/>
          <w:lang w:val="en-GB" w:eastAsia="zh-CN"/>
        </w:rPr>
        <w:t>在实施过程中，乙方应保证其参加本项目的实施人员的相对稳定；</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3、</w:t>
      </w:r>
      <w:r>
        <w:rPr>
          <w:rFonts w:hint="eastAsia" w:ascii="宋体" w:hAnsi="宋体"/>
          <w:sz w:val="24"/>
          <w:lang w:val="en-GB" w:eastAsia="zh-CN"/>
        </w:rPr>
        <w:t>乙方负责编制项目实施计划，经甲方确认后，严格按照实施计划所定的时间节点推进项目，并对由于自己原因造成的延迟负责；</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4、</w:t>
      </w:r>
      <w:r>
        <w:rPr>
          <w:rFonts w:hint="eastAsia" w:ascii="宋体" w:hAnsi="宋体"/>
          <w:sz w:val="24"/>
          <w:lang w:val="en-GB" w:eastAsia="zh-CN"/>
        </w:rPr>
        <w:t>乙方需及时将需求变更内容、实施范围变更内容、计划调整方案与甲方确认；</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5、</w:t>
      </w:r>
      <w:r>
        <w:rPr>
          <w:rFonts w:hint="eastAsia" w:ascii="宋体" w:hAnsi="宋体"/>
          <w:sz w:val="24"/>
          <w:lang w:val="en-GB" w:eastAsia="zh-CN"/>
        </w:rPr>
        <w:t>除非双方另行书面约定外，乙方按照本合同约定范围进行调研、规划、开发、安装、培训等工作；</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6、</w:t>
      </w:r>
      <w:r>
        <w:rPr>
          <w:rFonts w:hint="eastAsia" w:ascii="宋体" w:hAnsi="宋体"/>
          <w:sz w:val="24"/>
          <w:lang w:val="en-GB" w:eastAsia="zh-CN"/>
        </w:rPr>
        <w:t>乙方在实施期间，应按照节点提供项目成果，并向甲方进行汇报讲解；</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7、</w:t>
      </w:r>
      <w:r>
        <w:rPr>
          <w:rFonts w:hint="eastAsia" w:ascii="宋体" w:hAnsi="宋体"/>
          <w:sz w:val="24"/>
          <w:lang w:val="en-GB" w:eastAsia="zh-CN"/>
        </w:rPr>
        <w:t>乙方在实施期间应向甲方转移知识、成果和项目档案，包括项目实施方法、方案、进度周报等。</w:t>
      </w:r>
    </w:p>
    <w:p>
      <w:pPr>
        <w:spacing w:line="360" w:lineRule="auto"/>
        <w:jc w:val="left"/>
        <w:outlineLvl w:val="2"/>
        <w:rPr>
          <w:rFonts w:hint="default" w:ascii="宋体" w:hAnsi="宋体" w:cs="宋体"/>
          <w:b/>
          <w:sz w:val="24"/>
          <w:lang w:val="en-US"/>
        </w:rPr>
      </w:pPr>
      <w:r>
        <w:rPr>
          <w:rFonts w:hint="eastAsia" w:ascii="宋体" w:hAnsi="宋体" w:cs="宋体"/>
          <w:b/>
          <w:sz w:val="24"/>
          <w:lang w:val="en-US" w:eastAsia="zh-CN"/>
        </w:rPr>
        <w:t>十</w:t>
      </w:r>
      <w:r>
        <w:rPr>
          <w:rFonts w:hint="eastAsia" w:ascii="宋体" w:hAnsi="宋体" w:cs="宋体"/>
          <w:b/>
          <w:sz w:val="24"/>
          <w:lang w:eastAsia="zh-CN"/>
        </w:rPr>
        <w:t>、</w:t>
      </w:r>
      <w:r>
        <w:rPr>
          <w:rFonts w:hint="eastAsia" w:ascii="宋体" w:hAnsi="宋体" w:cs="宋体"/>
          <w:b/>
          <w:sz w:val="24"/>
          <w:lang w:val="en-US" w:eastAsia="zh-CN"/>
        </w:rPr>
        <w:t>保密条款</w:t>
      </w:r>
    </w:p>
    <w:p>
      <w:pPr>
        <w:spacing w:line="360" w:lineRule="auto"/>
        <w:ind w:firstLine="480" w:firstLineChars="200"/>
        <w:jc w:val="left"/>
        <w:rPr>
          <w:rFonts w:hint="eastAsia" w:ascii="宋体" w:hAnsi="宋体"/>
          <w:sz w:val="24"/>
          <w:lang w:val="en-GB" w:eastAsia="zh-CN"/>
        </w:rPr>
      </w:pPr>
      <w:bookmarkStart w:id="33" w:name="OLE_LINK7"/>
      <w:bookmarkStart w:id="34" w:name="OLE_LINK6"/>
      <w:r>
        <w:rPr>
          <w:rFonts w:hint="eastAsia" w:ascii="宋体" w:hAnsi="宋体"/>
          <w:sz w:val="24"/>
          <w:lang w:val="en-US" w:eastAsia="zh-CN"/>
        </w:rPr>
        <w:t>1、</w:t>
      </w:r>
      <w:r>
        <w:rPr>
          <w:rFonts w:hint="eastAsia" w:ascii="宋体" w:hAnsi="宋体"/>
          <w:sz w:val="24"/>
          <w:lang w:val="en-GB" w:eastAsia="zh-CN"/>
        </w:rPr>
        <w:t>未经甲方许可，乙方不得将涉及甲方商业秘密的信息透露给本合同之外的第三方，信息包括但不限于甲方楼盘信息、销售信息和客户资料信息以及系统用户名称和用户密码等。</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2、</w:t>
      </w:r>
      <w:r>
        <w:rPr>
          <w:rFonts w:hint="eastAsia" w:ascii="宋体" w:hAnsi="宋体"/>
          <w:sz w:val="24"/>
          <w:lang w:val="en-GB" w:eastAsia="zh-CN"/>
        </w:rPr>
        <w:t>甲方须在接受软件正式安装之日起重新设定软件系统密码，并自主负责对系统密码和系统权限的管理，如果因甲方未及时重新设定系统密码或者管理不善造成的信息泄露，乙方对此不承担任何责任。</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3、</w:t>
      </w:r>
      <w:r>
        <w:rPr>
          <w:rFonts w:hint="eastAsia" w:ascii="宋体" w:hAnsi="宋体"/>
          <w:sz w:val="24"/>
          <w:lang w:val="en-GB" w:eastAsia="zh-CN"/>
        </w:rPr>
        <w:t>本次合作价格是基于甲乙双方长期战略合作的优惠价，为保证乙方市场利益不受影响，甲方承诺甲方之所有雇员不以任何形式向第三方透露本合同的相关信息，包括但不限于乙方系统的设计方案，使用说明，系统代码以及双方的成交价格等等。</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4、</w:t>
      </w:r>
      <w:r>
        <w:rPr>
          <w:rFonts w:hint="eastAsia" w:ascii="宋体" w:hAnsi="宋体"/>
          <w:sz w:val="24"/>
          <w:lang w:val="en-GB" w:eastAsia="zh-CN"/>
        </w:rPr>
        <w:t>上述保密义务的期限为自合同签署之日起壹拾年，不受本合同期限结束的约束。</w:t>
      </w:r>
      <w:bookmarkEnd w:id="33"/>
      <w:bookmarkEnd w:id="34"/>
    </w:p>
    <w:p>
      <w:pPr>
        <w:spacing w:line="360" w:lineRule="auto"/>
        <w:jc w:val="left"/>
        <w:rPr>
          <w:rFonts w:hint="eastAsia" w:ascii="宋体" w:hAnsi="宋体" w:eastAsia="宋体" w:cs="宋体"/>
          <w:b/>
          <w:sz w:val="24"/>
          <w:lang w:eastAsia="zh-CN"/>
        </w:rPr>
      </w:pPr>
      <w:r>
        <w:rPr>
          <w:rFonts w:hint="eastAsia" w:ascii="宋体" w:hAnsi="宋体" w:cs="宋体"/>
          <w:b/>
          <w:sz w:val="24"/>
          <w:lang w:val="en-US" w:eastAsia="zh-CN"/>
        </w:rPr>
        <w:t>十一</w:t>
      </w:r>
      <w:r>
        <w:rPr>
          <w:rFonts w:hint="eastAsia" w:ascii="宋体" w:hAnsi="宋体" w:cs="宋体"/>
          <w:b/>
          <w:sz w:val="24"/>
          <w:lang w:eastAsia="zh-CN"/>
        </w:rPr>
        <w:t>、</w:t>
      </w:r>
      <w:bookmarkEnd w:id="21"/>
      <w:bookmarkEnd w:id="22"/>
      <w:bookmarkEnd w:id="23"/>
      <w:bookmarkEnd w:id="24"/>
      <w:bookmarkEnd w:id="25"/>
      <w:bookmarkEnd w:id="26"/>
      <w:bookmarkEnd w:id="27"/>
      <w:bookmarkEnd w:id="28"/>
      <w:bookmarkEnd w:id="29"/>
      <w:bookmarkEnd w:id="30"/>
      <w:bookmarkEnd w:id="31"/>
      <w:bookmarkEnd w:id="32"/>
      <w:r>
        <w:rPr>
          <w:rFonts w:hint="eastAsia" w:ascii="宋体" w:hAnsi="宋体"/>
          <w:b/>
          <w:sz w:val="24"/>
          <w:lang w:val="en-US" w:eastAsia="zh-CN"/>
        </w:rPr>
        <w:t>违约责任</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1、</w:t>
      </w:r>
      <w:r>
        <w:rPr>
          <w:rFonts w:hint="eastAsia" w:ascii="宋体" w:hAnsi="宋体"/>
          <w:sz w:val="24"/>
          <w:lang w:val="en-GB" w:eastAsia="zh-CN"/>
        </w:rPr>
        <w:t>乙方不能按本合同约定达成实施进度节点时，甲方有权不支付对应款项，直至乙方兑现交付。且每逾期一天，乙方应按该节点对应款项的0.05%向甲方支付延迟违约金。另外，甲方有权督促乙方赶工，并规定改进时限，如果在时限内乙方仍未达成相应节点，甲方有权终止实施，并有权追究乙方相关责任。</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2、在</w:t>
      </w:r>
      <w:r>
        <w:rPr>
          <w:rFonts w:hint="eastAsia" w:ascii="宋体" w:hAnsi="宋体"/>
          <w:sz w:val="24"/>
          <w:lang w:val="en-GB" w:eastAsia="zh-CN"/>
        </w:rPr>
        <w:t>乙方按照约定达成实施进度节点的情况下，甲方不按本合同约定向乙方支付对应款项，除需支付本合同所约定的款项，并赔偿乙方因此产生的损失外，每逾期一天，须按拖延付款额的0.05%向乙方支付延迟违约金。逾期超过60日，甲方仍无法支付款项，乙方有权停止履行相关合同义务，并有权追究甲方相关责任。</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3、</w:t>
      </w:r>
      <w:r>
        <w:rPr>
          <w:rFonts w:hint="eastAsia" w:ascii="宋体" w:hAnsi="宋体"/>
          <w:sz w:val="24"/>
          <w:lang w:val="en-GB" w:eastAsia="zh-CN"/>
        </w:rPr>
        <w:t>乙方无须就下列情形承担责任：</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3.1、</w:t>
      </w:r>
      <w:r>
        <w:rPr>
          <w:rFonts w:hint="eastAsia" w:ascii="宋体" w:hAnsi="宋体"/>
          <w:sz w:val="24"/>
          <w:lang w:val="en-GB" w:eastAsia="zh-CN"/>
        </w:rPr>
        <w:t>软件使用者操作、使用不当或其他不可归责于乙方的原因所导致的损失；</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3.2、</w:t>
      </w:r>
      <w:r>
        <w:rPr>
          <w:rFonts w:hint="eastAsia" w:ascii="宋体" w:hAnsi="宋体"/>
          <w:sz w:val="24"/>
          <w:lang w:val="en-GB" w:eastAsia="zh-CN"/>
        </w:rPr>
        <w:t>乙方以外的任何单位和个人修改或改动软件系统所引致的损害；</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3.3、</w:t>
      </w:r>
      <w:r>
        <w:rPr>
          <w:rFonts w:hint="eastAsia" w:ascii="宋体" w:hAnsi="宋体"/>
          <w:sz w:val="24"/>
          <w:lang w:val="en-GB" w:eastAsia="zh-CN"/>
        </w:rPr>
        <w:t>第三方软件的故障、计算机设备故障、网络故障等使软件无法正常运行；</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4、</w:t>
      </w:r>
      <w:r>
        <w:rPr>
          <w:rFonts w:hint="eastAsia" w:ascii="宋体" w:hAnsi="宋体"/>
          <w:sz w:val="24"/>
          <w:lang w:val="en-GB" w:eastAsia="zh-CN"/>
        </w:rPr>
        <w:t>因甲方未能按照本合同约定履行相应义务，或者因甲方自身业务条件不满足导致乙方无法按时兑现交付已完成的工作成果，甲方仍须履行付款承诺。当甲方具备相关条件后，乙方须继续履行实施交付。</w:t>
      </w:r>
    </w:p>
    <w:p>
      <w:pPr>
        <w:spacing w:line="360" w:lineRule="auto"/>
        <w:jc w:val="left"/>
        <w:outlineLvl w:val="2"/>
        <w:rPr>
          <w:rFonts w:hint="eastAsia" w:ascii="宋体" w:hAnsi="宋体" w:cs="宋体"/>
          <w:b/>
          <w:sz w:val="24"/>
        </w:rPr>
      </w:pPr>
      <w:r>
        <w:rPr>
          <w:rFonts w:hint="eastAsia" w:ascii="宋体" w:hAnsi="宋体" w:cs="宋体"/>
          <w:b/>
          <w:sz w:val="24"/>
          <w:lang w:val="en-US" w:eastAsia="zh-CN"/>
        </w:rPr>
        <w:t>十二</w:t>
      </w:r>
      <w:r>
        <w:rPr>
          <w:rFonts w:hint="eastAsia" w:ascii="宋体" w:hAnsi="宋体" w:cs="宋体"/>
          <w:b/>
          <w:sz w:val="24"/>
        </w:rPr>
        <w:t>、发票开具要求及责任</w:t>
      </w:r>
    </w:p>
    <w:p>
      <w:pPr>
        <w:spacing w:line="360" w:lineRule="auto"/>
        <w:ind w:firstLine="480" w:firstLineChars="200"/>
        <w:jc w:val="left"/>
        <w:rPr>
          <w:rFonts w:hint="eastAsia" w:ascii="宋体" w:hAnsi="宋体"/>
          <w:sz w:val="24"/>
          <w:lang w:val="en-US" w:eastAsia="zh-CN"/>
        </w:rPr>
      </w:pPr>
      <w:bookmarkStart w:id="35" w:name="_Toc276715506"/>
      <w:bookmarkStart w:id="36" w:name="_Toc194314542"/>
      <w:bookmarkStart w:id="37" w:name="_Toc276715853"/>
      <w:bookmarkStart w:id="38" w:name="_Toc194312538"/>
      <w:bookmarkStart w:id="39" w:name="_Toc194316939"/>
      <w:bookmarkStart w:id="40" w:name="_Toc276716055"/>
      <w:bookmarkStart w:id="41" w:name="_Toc180836388"/>
      <w:bookmarkStart w:id="42" w:name="_Toc194719968"/>
      <w:bookmarkStart w:id="43" w:name="_Toc194316320"/>
      <w:bookmarkStart w:id="44" w:name="_Toc194313247"/>
      <w:bookmarkStart w:id="45" w:name="_Toc194374030"/>
      <w:bookmarkStart w:id="46" w:name="_Toc194313935"/>
      <w:r>
        <w:rPr>
          <w:rFonts w:hint="eastAsia" w:ascii="宋体" w:hAnsi="宋体"/>
          <w:sz w:val="24"/>
          <w:lang w:val="en-US" w:eastAsia="zh-CN"/>
        </w:rPr>
        <w:t>1、每次付款前，乙方应按甲方要求出具等额合法有效的增值税专用发票。</w:t>
      </w:r>
    </w:p>
    <w:p>
      <w:pPr>
        <w:spacing w:line="360" w:lineRule="auto"/>
        <w:ind w:firstLine="480" w:firstLineChars="200"/>
        <w:jc w:val="left"/>
        <w:rPr>
          <w:rFonts w:hint="eastAsia" w:ascii="宋体" w:hAnsi="宋体"/>
          <w:sz w:val="24"/>
          <w:lang w:val="en-US" w:eastAsia="zh-CN"/>
        </w:rPr>
      </w:pPr>
      <w:r>
        <w:rPr>
          <w:rFonts w:hint="eastAsia" w:ascii="宋体" w:hAnsi="宋体"/>
          <w:sz w:val="24"/>
          <w:lang w:val="en-US" w:eastAsia="zh-CN"/>
        </w:rPr>
        <w:t>2、乙方应在开票之后5个工作日内将发票送达甲方，甲方签收发票的日期为发票的送达日期。</w:t>
      </w:r>
    </w:p>
    <w:p>
      <w:pPr>
        <w:spacing w:line="360" w:lineRule="auto"/>
        <w:ind w:firstLine="480" w:firstLineChars="200"/>
        <w:jc w:val="left"/>
        <w:rPr>
          <w:rFonts w:hint="eastAsia" w:ascii="宋体" w:hAnsi="宋体"/>
          <w:sz w:val="24"/>
          <w:lang w:val="en-US" w:eastAsia="zh-CN"/>
        </w:rPr>
      </w:pPr>
      <w:r>
        <w:rPr>
          <w:rFonts w:hint="eastAsia" w:ascii="宋体" w:hAnsi="宋体"/>
          <w:sz w:val="24"/>
          <w:lang w:val="en-US" w:eastAsia="zh-CN"/>
        </w:rPr>
        <w:t>3、对发票不合规的约定</w:t>
      </w:r>
    </w:p>
    <w:p>
      <w:pPr>
        <w:spacing w:line="360" w:lineRule="auto"/>
        <w:ind w:firstLine="480" w:firstLineChars="200"/>
        <w:jc w:val="left"/>
        <w:rPr>
          <w:rFonts w:hint="eastAsia" w:ascii="宋体" w:hAnsi="宋体"/>
          <w:sz w:val="24"/>
          <w:lang w:val="en-US" w:eastAsia="zh-CN"/>
        </w:rPr>
      </w:pPr>
      <w:r>
        <w:rPr>
          <w:rFonts w:hint="eastAsia" w:ascii="宋体" w:hAnsi="宋体"/>
          <w:sz w:val="24"/>
          <w:lang w:val="en-US" w:eastAsia="zh-CN"/>
        </w:rPr>
        <w:t>3.1、乙方提供的发票为增值税专用发票的，因乙方迟延送达、开具错误等原因导致其提供的增值税专用发票没有通过税务部门认证，造成甲方不能抵扣的，甲方有权拒绝接收。</w:t>
      </w:r>
    </w:p>
    <w:p>
      <w:pPr>
        <w:spacing w:line="360" w:lineRule="auto"/>
        <w:ind w:firstLine="480" w:firstLineChars="200"/>
        <w:jc w:val="left"/>
        <w:rPr>
          <w:rFonts w:hint="eastAsia" w:ascii="宋体" w:hAnsi="宋体"/>
          <w:sz w:val="24"/>
          <w:lang w:val="en-US" w:eastAsia="zh-CN"/>
        </w:rPr>
      </w:pPr>
      <w:r>
        <w:rPr>
          <w:rFonts w:hint="eastAsia" w:ascii="宋体" w:hAnsi="宋体"/>
          <w:sz w:val="24"/>
          <w:lang w:val="en-US" w:eastAsia="zh-CN"/>
        </w:rPr>
        <w:t>3.2、乙方开具虚假、作废等无效发票或者违反国家法律法规开具、提供发票的，乙方应自行承担相应法律责任，并应向甲方支付合同总价20%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jc w:val="left"/>
        <w:rPr>
          <w:rFonts w:hint="eastAsia" w:ascii="宋体" w:hAnsi="宋体"/>
          <w:sz w:val="24"/>
          <w:lang w:val="en-US" w:eastAsia="zh-CN"/>
        </w:rPr>
      </w:pPr>
      <w:r>
        <w:rPr>
          <w:rFonts w:hint="eastAsia" w:ascii="宋体" w:hAnsi="宋体"/>
          <w:sz w:val="24"/>
          <w:lang w:val="en-US" w:eastAsia="zh-CN"/>
        </w:rPr>
        <w:t>3.3、乙方未按合同约定开具增值税专用发票或实际开具的增值税专用发票税率低于合同中约定税率的，乙方除应向甲方支付无法抵扣部分的税款金额外，乙方还应向甲方支付合同总价20%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spacing w:line="360" w:lineRule="auto"/>
        <w:ind w:firstLine="480" w:firstLineChars="200"/>
        <w:jc w:val="left"/>
        <w:rPr>
          <w:rFonts w:hint="eastAsia" w:ascii="宋体" w:hAnsi="宋体"/>
          <w:sz w:val="24"/>
          <w:lang w:val="en-US" w:eastAsia="zh-CN"/>
        </w:rPr>
      </w:pPr>
      <w:r>
        <w:rPr>
          <w:rFonts w:hint="eastAsia" w:ascii="宋体" w:hAnsi="宋体"/>
          <w:sz w:val="24"/>
          <w:lang w:val="en-US" w:eastAsia="zh-CN"/>
        </w:rPr>
        <w:t>4、其它税务风险的合同约定，</w:t>
      </w:r>
    </w:p>
    <w:p>
      <w:pPr>
        <w:spacing w:line="360" w:lineRule="auto"/>
        <w:ind w:firstLine="480" w:firstLineChars="200"/>
        <w:jc w:val="left"/>
        <w:rPr>
          <w:rFonts w:hint="eastAsia" w:ascii="宋体" w:hAnsi="宋体"/>
          <w:sz w:val="24"/>
          <w:lang w:val="en-US" w:eastAsia="zh-CN"/>
        </w:rPr>
      </w:pPr>
      <w:r>
        <w:rPr>
          <w:rFonts w:hint="eastAsia" w:ascii="宋体" w:hAnsi="宋体"/>
          <w:sz w:val="24"/>
          <w:lang w:val="en-US" w:eastAsia="zh-CN"/>
        </w:rPr>
        <w:t>4.1、如果甲方丢失增值税专用发票联和抵扣联，乙方应向甲方提供专用发票记账联复印件，并加盖乙方发票专用章。</w:t>
      </w:r>
    </w:p>
    <w:p>
      <w:pPr>
        <w:spacing w:line="360" w:lineRule="auto"/>
        <w:ind w:firstLine="480" w:firstLineChars="200"/>
        <w:jc w:val="left"/>
        <w:rPr>
          <w:rFonts w:hint="eastAsia" w:ascii="宋体" w:hAnsi="宋体" w:cs="宋体"/>
          <w:sz w:val="24"/>
        </w:rPr>
      </w:pPr>
      <w:r>
        <w:rPr>
          <w:rFonts w:hint="eastAsia" w:ascii="宋体" w:hAnsi="宋体"/>
          <w:sz w:val="24"/>
          <w:lang w:val="en-US" w:eastAsia="zh-CN"/>
        </w:rPr>
        <w:t>4.2、如果获得开具的汇总专用发票，则乙方应提供其防伪税控系统开具的《销售货物或者提供应税劳务清单》，并加盖发票专用章。</w:t>
      </w:r>
    </w:p>
    <w:p>
      <w:pPr>
        <w:spacing w:line="360" w:lineRule="auto"/>
        <w:jc w:val="left"/>
        <w:outlineLvl w:val="2"/>
        <w:rPr>
          <w:rFonts w:hint="eastAsia" w:ascii="宋体" w:hAnsi="宋体" w:cs="宋体"/>
          <w:b/>
          <w:sz w:val="24"/>
        </w:rPr>
      </w:pPr>
      <w:r>
        <w:rPr>
          <w:rFonts w:hint="eastAsia" w:ascii="宋体" w:hAnsi="宋体" w:cs="宋体"/>
          <w:b/>
          <w:sz w:val="24"/>
          <w:lang w:val="en-US" w:eastAsia="zh-CN"/>
        </w:rPr>
        <w:t>十三</w:t>
      </w:r>
      <w:r>
        <w:rPr>
          <w:rFonts w:hint="eastAsia" w:ascii="宋体" w:hAnsi="宋体" w:cs="宋体"/>
          <w:b/>
          <w:sz w:val="24"/>
          <w:lang w:eastAsia="zh-CN"/>
        </w:rPr>
        <w:t>、</w:t>
      </w:r>
      <w:bookmarkEnd w:id="35"/>
      <w:bookmarkEnd w:id="36"/>
      <w:bookmarkEnd w:id="37"/>
      <w:bookmarkEnd w:id="38"/>
      <w:bookmarkEnd w:id="39"/>
      <w:bookmarkEnd w:id="40"/>
      <w:bookmarkEnd w:id="41"/>
      <w:bookmarkEnd w:id="42"/>
      <w:bookmarkEnd w:id="43"/>
      <w:bookmarkEnd w:id="44"/>
      <w:bookmarkEnd w:id="45"/>
      <w:bookmarkEnd w:id="46"/>
      <w:r>
        <w:rPr>
          <w:rFonts w:hint="eastAsia" w:ascii="宋体" w:hAnsi="宋体"/>
          <w:b/>
          <w:sz w:val="24"/>
          <w:lang w:val="en-US" w:eastAsia="zh-CN"/>
        </w:rPr>
        <w:t>不可抗力</w:t>
      </w:r>
      <w:r>
        <w:rPr>
          <w:rFonts w:hint="eastAsia" w:ascii="宋体" w:hAnsi="宋体"/>
          <w:b/>
          <w:sz w:val="24"/>
          <w:lang w:val="en-US" w:eastAsia="zh-CN"/>
        </w:rPr>
        <w:tab/>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1、</w:t>
      </w:r>
      <w:r>
        <w:rPr>
          <w:rFonts w:hint="eastAsia" w:ascii="宋体" w:hAnsi="宋体"/>
          <w:sz w:val="24"/>
          <w:lang w:val="en-GB" w:eastAsia="zh-CN"/>
        </w:rPr>
        <w:t>由于地震、台风、水灾、火灾、战争、法律法规、意外事故以及其他不可抗力事件，致使合同无法履行时，无法履行合同义务的一方应在3个工作日内将不能履行合同的事实通知另一方，并于10个工作日内提供不可抗力发生的详情及本合同不能履行、或者部分不能履行、或者需要延期履行的理由的有效证明文件。则上述无法履行应不被视为违约。</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2、</w:t>
      </w:r>
      <w:r>
        <w:rPr>
          <w:rFonts w:hint="eastAsia" w:ascii="宋体" w:hAnsi="宋体"/>
          <w:sz w:val="24"/>
          <w:lang w:val="en-GB" w:eastAsia="zh-CN"/>
        </w:rPr>
        <w:t>根据不可抗力事由对履行本合同影响的程度，由双方协商延长履行期，或者部分免除本合同的履行义务。如该影响持续超过60日，双方均有权以书面通知对方终止本合同。</w:t>
      </w:r>
    </w:p>
    <w:p>
      <w:pPr>
        <w:tabs>
          <w:tab w:val="left" w:pos="1554"/>
        </w:tabs>
        <w:spacing w:line="360" w:lineRule="auto"/>
        <w:jc w:val="left"/>
        <w:rPr>
          <w:rFonts w:hint="default" w:ascii="宋体" w:hAnsi="宋体" w:cs="宋体"/>
          <w:b/>
          <w:sz w:val="24"/>
          <w:lang w:val="en-US"/>
        </w:rPr>
      </w:pPr>
      <w:r>
        <w:rPr>
          <w:rFonts w:hint="eastAsia" w:ascii="宋体" w:hAnsi="宋体" w:cs="宋体"/>
          <w:b/>
          <w:sz w:val="24"/>
          <w:lang w:val="en-US" w:eastAsia="zh-CN"/>
        </w:rPr>
        <w:t>十四</w:t>
      </w:r>
      <w:r>
        <w:rPr>
          <w:rFonts w:hint="eastAsia" w:ascii="宋体" w:hAnsi="宋体" w:cs="宋体"/>
          <w:b/>
          <w:sz w:val="24"/>
          <w:lang w:eastAsia="zh-CN"/>
        </w:rPr>
        <w:t>、</w:t>
      </w:r>
      <w:r>
        <w:rPr>
          <w:rFonts w:hint="eastAsia" w:ascii="宋体" w:hAnsi="宋体" w:cs="宋体"/>
          <w:b/>
          <w:sz w:val="24"/>
          <w:lang w:val="en-US" w:eastAsia="zh-CN"/>
        </w:rPr>
        <w:t>合同终止</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1、</w:t>
      </w:r>
      <w:r>
        <w:rPr>
          <w:rFonts w:hint="eastAsia" w:ascii="宋体" w:hAnsi="宋体"/>
          <w:sz w:val="24"/>
          <w:lang w:val="en-GB" w:eastAsia="zh-CN"/>
        </w:rPr>
        <w:t>甲乙任何一方不得无故单方面解除合同。</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2、</w:t>
      </w:r>
      <w:r>
        <w:rPr>
          <w:rFonts w:hint="eastAsia" w:ascii="宋体" w:hAnsi="宋体"/>
          <w:sz w:val="24"/>
          <w:lang w:val="en-GB" w:eastAsia="zh-CN"/>
        </w:rPr>
        <w:t>合同其中任何一方根本性或严重地违反本合同约定的主要义务，守约方应给予其不少于60日的合理期限，以便违约方纠正其违约行为。若违约方在前述期限内仍未纠正其违约行为，则守约方可以书面通知违约方解除合同，合同在书面通知到达违约方之日解除。</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3、</w:t>
      </w:r>
      <w:r>
        <w:rPr>
          <w:rFonts w:hint="eastAsia" w:ascii="宋体" w:hAnsi="宋体"/>
          <w:sz w:val="24"/>
          <w:lang w:val="en-GB" w:eastAsia="zh-CN"/>
        </w:rPr>
        <w:t>甲乙双方的责任和义务履行完毕后合同自动终止。（乙方交付结果符合要求，甲方签字验收；甲方完成支付合同约定款项给乙方。）</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4、</w:t>
      </w:r>
      <w:r>
        <w:rPr>
          <w:rFonts w:hint="eastAsia" w:ascii="宋体" w:hAnsi="宋体"/>
          <w:sz w:val="24"/>
          <w:lang w:val="en-GB" w:eastAsia="zh-CN"/>
        </w:rPr>
        <w:t>即使本合同终止，合同中的知识产权、保密及其他根据条款的法律性质应当延续的条款继续有效</w:t>
      </w:r>
    </w:p>
    <w:p>
      <w:pPr>
        <w:spacing w:line="360" w:lineRule="auto"/>
        <w:jc w:val="left"/>
        <w:outlineLvl w:val="2"/>
        <w:rPr>
          <w:rFonts w:hint="eastAsia" w:ascii="宋体" w:hAnsi="宋体" w:cs="宋体"/>
          <w:b/>
          <w:sz w:val="24"/>
        </w:rPr>
      </w:pPr>
      <w:r>
        <w:rPr>
          <w:rFonts w:hint="eastAsia" w:ascii="宋体" w:hAnsi="宋体" w:cs="宋体"/>
          <w:b/>
          <w:sz w:val="24"/>
          <w:lang w:val="en-US" w:eastAsia="zh-CN"/>
        </w:rPr>
        <w:t>十五</w:t>
      </w:r>
      <w:r>
        <w:rPr>
          <w:rFonts w:hint="eastAsia" w:ascii="宋体" w:hAnsi="宋体" w:cs="宋体"/>
          <w:b/>
          <w:sz w:val="24"/>
        </w:rPr>
        <w:t>、送达条款</w:t>
      </w:r>
    </w:p>
    <w:p>
      <w:pPr>
        <w:spacing w:line="360" w:lineRule="auto"/>
        <w:ind w:firstLine="480" w:firstLineChars="200"/>
        <w:rPr>
          <w:rFonts w:hint="eastAsia" w:ascii="宋体" w:hAnsi="宋体"/>
          <w:b/>
          <w:bCs/>
          <w:sz w:val="24"/>
          <w:szCs w:val="32"/>
        </w:rPr>
      </w:pPr>
      <w:r>
        <w:rPr>
          <w:rFonts w:hint="eastAsia" w:ascii="宋体" w:hAnsi="宋体"/>
          <w:sz w:val="24"/>
          <w:szCs w:val="32"/>
        </w:rPr>
        <w:t>甲乙双方明确送达信息如下：</w:t>
      </w:r>
    </w:p>
    <w:p>
      <w:pPr>
        <w:spacing w:line="360" w:lineRule="auto"/>
        <w:ind w:left="479" w:leftChars="228"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szCs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eastAsia" w:ascii="宋体" w:hAnsi="宋体"/>
          <w:sz w:val="24"/>
          <w:szCs w:val="32"/>
        </w:rPr>
      </w:pPr>
      <w:r>
        <w:rPr>
          <w:rFonts w:hint="eastAsia" w:ascii="宋体" w:hAnsi="宋体"/>
          <w:sz w:val="24"/>
          <w:szCs w:val="32"/>
        </w:rPr>
        <w:t>送达地址：</w:t>
      </w:r>
      <w:r>
        <w:rPr>
          <w:rFonts w:hint="eastAsia" w:ascii="宋体" w:hAnsi="宋体" w:cs="宋体"/>
          <w:sz w:val="24"/>
          <w:szCs w:val="24"/>
          <w:u w:val="single"/>
          <w:lang w:val="en-GB"/>
        </w:rPr>
        <w:t>郑州市金水区花园路西农科路北建业凯旋广场1号楼12层1206室</w:t>
      </w:r>
    </w:p>
    <w:p>
      <w:pPr>
        <w:spacing w:line="360" w:lineRule="auto"/>
        <w:ind w:firstLine="480" w:firstLineChars="200"/>
        <w:rPr>
          <w:rFonts w:hint="eastAsia" w:ascii="宋体" w:hAnsi="宋体"/>
          <w:sz w:val="24"/>
        </w:rPr>
      </w:pPr>
      <w:r>
        <w:rPr>
          <w:rFonts w:hint="eastAsia" w:ascii="宋体" w:hAnsi="宋体"/>
          <w:sz w:val="24"/>
          <w:szCs w:val="32"/>
        </w:rPr>
        <w:t>联系人及联系方式：</w:t>
      </w:r>
      <w:r>
        <w:rPr>
          <w:rFonts w:hint="eastAsia" w:ascii="宋体" w:hAnsi="宋体"/>
          <w:bCs/>
          <w:sz w:val="24"/>
          <w:u w:val="single"/>
          <w:lang w:val="en-US" w:eastAsia="zh-CN"/>
        </w:rPr>
        <w:t>海晓</w:t>
      </w:r>
      <w:r>
        <w:rPr>
          <w:rFonts w:hint="eastAsia" w:ascii="宋体" w:hAnsi="宋体" w:cs="宋体"/>
          <w:sz w:val="24"/>
          <w:szCs w:val="24"/>
          <w:u w:val="single"/>
          <w:lang w:val="en-US" w:eastAsia="zh-CN"/>
        </w:rPr>
        <w:t>鹏</w:t>
      </w:r>
      <w:r>
        <w:rPr>
          <w:rFonts w:hint="eastAsia" w:ascii="宋体" w:hAnsi="宋体" w:cs="宋体"/>
          <w:sz w:val="24"/>
          <w:szCs w:val="24"/>
          <w:u w:val="single"/>
          <w:lang w:eastAsia="zh-CN"/>
        </w:rPr>
        <w:t>、</w:t>
      </w:r>
      <w:r>
        <w:rPr>
          <w:rFonts w:hint="eastAsia" w:ascii="宋体" w:hAnsi="宋体" w:cs="宋体"/>
          <w:sz w:val="24"/>
          <w:szCs w:val="24"/>
          <w:u w:val="single"/>
          <w:lang w:val="en-GB"/>
        </w:rPr>
        <w:t>0371-65758025</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bookmarkStart w:id="47" w:name="_Toc194316940"/>
      <w:bookmarkStart w:id="48" w:name="_Toc276715854"/>
      <w:bookmarkStart w:id="49" w:name="_Toc276715507"/>
      <w:bookmarkStart w:id="50" w:name="_Toc194312539"/>
      <w:bookmarkStart w:id="51" w:name="_Toc180836389"/>
      <w:bookmarkStart w:id="52" w:name="_Toc194313936"/>
      <w:bookmarkStart w:id="53" w:name="_Toc194374031"/>
      <w:bookmarkStart w:id="54" w:name="_Toc194314543"/>
      <w:bookmarkStart w:id="55" w:name="_Toc276716056"/>
      <w:bookmarkStart w:id="56" w:name="_Toc194719969"/>
      <w:bookmarkStart w:id="57" w:name="_Toc194313248"/>
      <w:bookmarkStart w:id="58" w:name="_Toc194316321"/>
      <w:r>
        <w:rPr>
          <w:rFonts w:hint="eastAsia" w:ascii="宋体" w:hAnsi="宋体" w:cs="宋体"/>
          <w:b/>
          <w:sz w:val="24"/>
        </w:rPr>
        <w:t>十</w:t>
      </w:r>
      <w:bookmarkEnd w:id="47"/>
      <w:bookmarkEnd w:id="48"/>
      <w:bookmarkEnd w:id="49"/>
      <w:bookmarkEnd w:id="50"/>
      <w:bookmarkEnd w:id="51"/>
      <w:bookmarkEnd w:id="52"/>
      <w:bookmarkEnd w:id="53"/>
      <w:bookmarkEnd w:id="54"/>
      <w:bookmarkEnd w:id="55"/>
      <w:bookmarkEnd w:id="56"/>
      <w:bookmarkEnd w:id="57"/>
      <w:bookmarkEnd w:id="58"/>
      <w:r>
        <w:rPr>
          <w:rFonts w:hint="eastAsia" w:ascii="宋体" w:hAnsi="宋体" w:cs="宋体"/>
          <w:b/>
          <w:sz w:val="24"/>
          <w:lang w:val="en-US" w:eastAsia="zh-CN"/>
        </w:rPr>
        <w:t>六</w:t>
      </w:r>
      <w:r>
        <w:rPr>
          <w:rFonts w:hint="eastAsia" w:ascii="宋体" w:hAnsi="宋体" w:cs="宋体"/>
          <w:b/>
          <w:sz w:val="24"/>
          <w:lang w:eastAsia="zh-CN"/>
        </w:rPr>
        <w:t>、</w:t>
      </w:r>
      <w:r>
        <w:rPr>
          <w:rFonts w:hint="eastAsia" w:ascii="宋体" w:hAnsi="宋体" w:cs="宋体"/>
          <w:b/>
          <w:sz w:val="24"/>
        </w:rPr>
        <w:t>其他约定</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1、本合同未尽事宜，可由双方协商解决并签署书面补充协议，补充协议与本合同享有同等法律效力。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、本合同一式</w:t>
      </w:r>
      <w:r>
        <w:rPr>
          <w:rFonts w:hint="eastAsia" w:ascii="宋体" w:hAnsi="宋体"/>
          <w:sz w:val="24"/>
          <w:szCs w:val="24"/>
          <w:lang w:val="en-US" w:eastAsia="zh-CN"/>
        </w:rPr>
        <w:t>陆</w:t>
      </w:r>
      <w:r>
        <w:rPr>
          <w:rFonts w:hint="eastAsia" w:ascii="宋体" w:hAnsi="宋体" w:eastAsia="宋体"/>
          <w:sz w:val="24"/>
          <w:szCs w:val="24"/>
        </w:rPr>
        <w:t>份，甲方伍份，乙方</w:t>
      </w:r>
      <w:r>
        <w:rPr>
          <w:rFonts w:hint="eastAsia" w:ascii="宋体" w:hAnsi="宋体"/>
          <w:sz w:val="24"/>
          <w:szCs w:val="24"/>
          <w:lang w:val="en-US" w:eastAsia="zh-CN"/>
        </w:rPr>
        <w:t>壹</w:t>
      </w:r>
      <w:r>
        <w:rPr>
          <w:rFonts w:hint="eastAsia" w:ascii="宋体" w:hAnsi="宋体" w:eastAsia="宋体"/>
          <w:sz w:val="24"/>
          <w:szCs w:val="24"/>
        </w:rPr>
        <w:t>份，均具同等法律效力。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、本合同及其补充协议自双方签字并盖章之日起生效。</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、合同签订地点：洛阳市洛龙区开元大道1号开元壹号营销中心3楼。</w:t>
      </w:r>
    </w:p>
    <w:p>
      <w:pPr>
        <w:spacing w:line="360" w:lineRule="auto"/>
        <w:jc w:val="left"/>
        <w:outlineLvl w:val="2"/>
        <w:rPr>
          <w:rFonts w:hint="eastAsia" w:ascii="宋体" w:hAnsi="宋体" w:cs="宋体"/>
          <w:b/>
          <w:sz w:val="24"/>
        </w:rPr>
      </w:pPr>
      <w:r>
        <w:rPr>
          <w:rFonts w:hint="eastAsia" w:ascii="宋体" w:hAnsi="宋体" w:cs="宋体"/>
          <w:b/>
          <w:sz w:val="24"/>
        </w:rPr>
        <w:t>十</w:t>
      </w:r>
      <w:r>
        <w:rPr>
          <w:rFonts w:hint="eastAsia" w:ascii="宋体" w:hAnsi="宋体" w:cs="宋体"/>
          <w:b/>
          <w:sz w:val="24"/>
          <w:lang w:val="en-US" w:eastAsia="zh-CN"/>
        </w:rPr>
        <w:t>七</w:t>
      </w:r>
      <w:bookmarkStart w:id="61" w:name="_GoBack"/>
      <w:bookmarkEnd w:id="61"/>
      <w:r>
        <w:rPr>
          <w:rFonts w:hint="eastAsia" w:ascii="宋体" w:hAnsi="宋体" w:cs="宋体"/>
          <w:b/>
          <w:sz w:val="24"/>
          <w:lang w:eastAsia="zh-CN"/>
        </w:rPr>
        <w:t>、</w:t>
      </w:r>
      <w:r>
        <w:rPr>
          <w:rFonts w:hint="eastAsia" w:ascii="宋体" w:hAnsi="宋体" w:cs="宋体"/>
          <w:b/>
          <w:sz w:val="24"/>
        </w:rPr>
        <w:t>合同附件</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1、附件一、廉政合作协议</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rPr>
      </w:pPr>
      <w:r>
        <w:rPr>
          <w:rFonts w:hint="eastAsia" w:ascii="宋体" w:hAnsi="宋体" w:cs="宋体"/>
          <w:kern w:val="2"/>
          <w:sz w:val="24"/>
          <w:szCs w:val="24"/>
          <w:highlight w:val="none"/>
          <w:lang w:val="en-US" w:eastAsia="zh-CN"/>
        </w:rPr>
        <w:t>2、</w:t>
      </w:r>
      <w:r>
        <w:rPr>
          <w:rFonts w:hint="eastAsia" w:ascii="宋体" w:hAnsi="宋体" w:eastAsia="宋体" w:cs="宋体"/>
          <w:kern w:val="2"/>
          <w:sz w:val="24"/>
          <w:szCs w:val="24"/>
          <w:highlight w:val="none"/>
          <w:lang w:val="en-US" w:eastAsia="zh-CN"/>
        </w:rPr>
        <w:t>附件二</w:t>
      </w:r>
      <w:r>
        <w:rPr>
          <w:rFonts w:hint="eastAsia" w:ascii="宋体" w:hAnsi="宋体" w:cs="宋体"/>
          <w:kern w:val="2"/>
          <w:sz w:val="24"/>
          <w:szCs w:val="24"/>
          <w:highlight w:val="none"/>
          <w:lang w:val="en-US" w:eastAsia="zh-CN"/>
        </w:rPr>
        <w:t>、</w:t>
      </w:r>
      <w:r>
        <w:rPr>
          <w:rFonts w:hint="eastAsia" w:ascii="宋体" w:hAnsi="宋体" w:eastAsia="宋体" w:cs="宋体"/>
          <w:kern w:val="2"/>
          <w:sz w:val="24"/>
          <w:szCs w:val="24"/>
          <w:highlight w:val="none"/>
          <w:lang w:val="en-US" w:eastAsia="zh-CN"/>
        </w:rPr>
        <w:t>《服务报价</w:t>
      </w:r>
      <w:r>
        <w:rPr>
          <w:rFonts w:hint="eastAsia" w:ascii="宋体" w:hAnsi="宋体"/>
          <w:sz w:val="24"/>
          <w:lang w:val="en-US" w:eastAsia="zh-CN"/>
        </w:rPr>
        <w:t>》</w:t>
      </w:r>
    </w:p>
    <w:p>
      <w:pPr>
        <w:spacing w:line="360" w:lineRule="auto"/>
        <w:ind w:firstLine="480" w:firstLineChars="200"/>
        <w:rPr>
          <w:rFonts w:hint="eastAsia" w:ascii="宋体" w:hAnsi="宋体"/>
          <w:sz w:val="24"/>
          <w:szCs w:val="32"/>
        </w:rPr>
      </w:pPr>
      <w:r>
        <w:rPr>
          <w:rFonts w:hint="eastAsia" w:ascii="宋体" w:hAnsi="宋体"/>
          <w:sz w:val="24"/>
          <w:szCs w:val="32"/>
        </w:rPr>
        <w:t>（以下无正文）</w:t>
      </w:r>
    </w:p>
    <w:p>
      <w:pPr>
        <w:widowControl/>
        <w:spacing w:line="360" w:lineRule="auto"/>
        <w:jc w:val="left"/>
        <w:rPr>
          <w:rFonts w:ascii="宋体" w:hAnsi="宋体" w:cs="宋体"/>
          <w:kern w:val="0"/>
          <w:sz w:val="24"/>
        </w:rPr>
        <w:sectPr>
          <w:headerReference r:id="rId3" w:type="default"/>
          <w:footerReference r:id="rId4" w:type="default"/>
          <w:pgSz w:w="11906" w:h="16838"/>
          <w:pgMar w:top="1440" w:right="1020" w:bottom="1440" w:left="102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甲方：</w:t>
      </w:r>
      <w:r>
        <w:rPr>
          <w:rFonts w:hint="eastAsia" w:ascii="宋体" w:hAnsi="宋体"/>
          <w:sz w:val="18"/>
          <w:szCs w:val="18"/>
        </w:rPr>
        <w:t>洛阳浩德鑫置地有限公司</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法人代表：</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或授权委托人：</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税号：</w:t>
      </w:r>
      <w:r>
        <w:rPr>
          <w:rFonts w:hint="eastAsia" w:ascii="宋体" w:hAnsi="宋体"/>
          <w:sz w:val="18"/>
          <w:szCs w:val="18"/>
        </w:rPr>
        <w:t>91410 30055 42480 325</w:t>
      </w:r>
      <w:r>
        <w:rPr>
          <w:rFonts w:hint="eastAsia" w:ascii="宋体" w:hAnsi="宋体"/>
          <w:sz w:val="18"/>
          <w:szCs w:val="18"/>
          <w:highlight w:val="none"/>
        </w:rPr>
        <w:t xml:space="preserve"> </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账户：</w:t>
      </w:r>
      <w:r>
        <w:rPr>
          <w:rFonts w:hint="eastAsia" w:ascii="宋体" w:hAnsi="宋体"/>
          <w:sz w:val="18"/>
          <w:szCs w:val="18"/>
        </w:rPr>
        <w:t>00000061411416707012</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开户行：</w:t>
      </w:r>
      <w:r>
        <w:rPr>
          <w:rFonts w:hint="eastAsia" w:ascii="宋体" w:hAnsi="宋体"/>
          <w:sz w:val="18"/>
          <w:szCs w:val="18"/>
        </w:rPr>
        <w:t>洛阳农村商业银行股份有限公司李楼支行</w:t>
      </w:r>
    </w:p>
    <w:p>
      <w:pPr>
        <w:spacing w:line="480" w:lineRule="auto"/>
        <w:rPr>
          <w:rFonts w:hint="eastAsia" w:ascii="宋体" w:hAnsi="宋体" w:cs="Calibri"/>
          <w:color w:val="000000"/>
          <w:kern w:val="0"/>
          <w:sz w:val="18"/>
          <w:szCs w:val="18"/>
          <w:lang w:val="en-US" w:eastAsia="zh-CN"/>
        </w:rPr>
      </w:pPr>
      <w:r>
        <w:rPr>
          <w:rFonts w:hint="eastAsia" w:ascii="宋体" w:hAnsi="宋体" w:cs="Calibri"/>
          <w:color w:val="000000"/>
          <w:kern w:val="0"/>
          <w:sz w:val="18"/>
          <w:szCs w:val="18"/>
        </w:rPr>
        <w:t>日期：202</w:t>
      </w:r>
      <w:r>
        <w:rPr>
          <w:rFonts w:hint="eastAsia" w:ascii="宋体" w:hAnsi="宋体" w:cs="Calibri"/>
          <w:color w:val="000000"/>
          <w:kern w:val="0"/>
          <w:sz w:val="18"/>
          <w:szCs w:val="18"/>
          <w:lang w:val="en-US" w:eastAsia="zh-CN"/>
        </w:rPr>
        <w:t>2</w:t>
      </w:r>
      <w:r>
        <w:rPr>
          <w:rFonts w:hint="eastAsia" w:ascii="宋体" w:hAnsi="宋体" w:cs="Calibri"/>
          <w:color w:val="000000"/>
          <w:kern w:val="0"/>
          <w:sz w:val="18"/>
          <w:szCs w:val="18"/>
        </w:rPr>
        <w:t>年</w:t>
      </w:r>
      <w:r>
        <w:rPr>
          <w:rFonts w:hint="eastAsia" w:ascii="宋体" w:hAnsi="宋体" w:cs="Calibri"/>
          <w:color w:val="000000"/>
          <w:kern w:val="0"/>
          <w:sz w:val="18"/>
          <w:szCs w:val="18"/>
          <w:lang w:val="en-US" w:eastAsia="zh-CN"/>
        </w:rPr>
        <w:t>1</w:t>
      </w:r>
      <w:r>
        <w:rPr>
          <w:rFonts w:hint="eastAsia" w:ascii="宋体" w:hAnsi="宋体" w:cs="Calibri"/>
          <w:color w:val="000000"/>
          <w:kern w:val="0"/>
          <w:sz w:val="18"/>
          <w:szCs w:val="18"/>
        </w:rPr>
        <w:t>月</w:t>
      </w:r>
      <w:r>
        <w:rPr>
          <w:rFonts w:hint="eastAsia" w:ascii="宋体" w:hAnsi="宋体" w:cs="Calibri"/>
          <w:color w:val="000000"/>
          <w:kern w:val="0"/>
          <w:sz w:val="18"/>
          <w:szCs w:val="18"/>
          <w:lang w:val="en-US" w:eastAsia="zh-CN"/>
        </w:rPr>
        <w:t>25日</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乙方：</w:t>
      </w:r>
      <w:r>
        <w:rPr>
          <w:rFonts w:hint="eastAsia" w:ascii="宋体" w:hAnsi="宋体"/>
          <w:sz w:val="18"/>
          <w:szCs w:val="18"/>
          <w:lang w:val="en-GB"/>
        </w:rPr>
        <w:t>郑州市云拓明源软件科技有限公司</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法人代表：</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或授权委托人：</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税号：</w:t>
      </w:r>
      <w:r>
        <w:rPr>
          <w:rFonts w:hint="eastAsia" w:ascii="宋体" w:hAnsi="宋体"/>
          <w:sz w:val="18"/>
          <w:szCs w:val="18"/>
          <w:lang w:val="en-GB"/>
        </w:rPr>
        <w:t>91410100MA46M10Y0U</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账户：</w:t>
      </w:r>
      <w:r>
        <w:rPr>
          <w:rFonts w:hint="eastAsia" w:ascii="宋体" w:hAnsi="宋体"/>
          <w:sz w:val="18"/>
          <w:szCs w:val="18"/>
          <w:lang w:val="en-GB"/>
        </w:rPr>
        <w:t>371906917010701</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开户行：</w:t>
      </w:r>
      <w:r>
        <w:rPr>
          <w:rFonts w:hint="eastAsia" w:ascii="宋体" w:hAnsi="宋体"/>
          <w:sz w:val="18"/>
          <w:szCs w:val="18"/>
        </w:rPr>
        <w:t>招商银行股份有限公司郑州文化路支行</w:t>
      </w:r>
    </w:p>
    <w:p>
      <w:pPr>
        <w:spacing w:line="480" w:lineRule="auto"/>
        <w:rPr>
          <w:rFonts w:hint="eastAsia" w:ascii="宋体" w:hAnsi="宋体" w:cs="Calibri"/>
          <w:color w:val="000000"/>
          <w:kern w:val="0"/>
          <w:sz w:val="18"/>
          <w:szCs w:val="18"/>
          <w:lang w:val="en-US" w:eastAsia="zh-CN"/>
        </w:rPr>
      </w:pPr>
      <w:r>
        <w:rPr>
          <w:rFonts w:hint="eastAsia" w:ascii="宋体" w:hAnsi="宋体" w:cs="Calibri"/>
          <w:color w:val="000000"/>
          <w:kern w:val="0"/>
          <w:sz w:val="18"/>
          <w:szCs w:val="18"/>
        </w:rPr>
        <w:t>日期：2021年</w:t>
      </w:r>
      <w:r>
        <w:rPr>
          <w:rFonts w:hint="eastAsia" w:ascii="宋体" w:hAnsi="宋体" w:cs="Calibri"/>
          <w:color w:val="000000"/>
          <w:kern w:val="0"/>
          <w:sz w:val="18"/>
          <w:szCs w:val="18"/>
          <w:lang w:val="en-US" w:eastAsia="zh-CN"/>
        </w:rPr>
        <w:t>1</w:t>
      </w:r>
      <w:r>
        <w:rPr>
          <w:rFonts w:hint="eastAsia" w:ascii="宋体" w:hAnsi="宋体" w:cs="Calibri"/>
          <w:color w:val="000000"/>
          <w:kern w:val="0"/>
          <w:sz w:val="18"/>
          <w:szCs w:val="18"/>
        </w:rPr>
        <w:t>月</w:t>
      </w:r>
      <w:r>
        <w:rPr>
          <w:rFonts w:hint="eastAsia" w:ascii="宋体" w:hAnsi="宋体" w:cs="Calibri"/>
          <w:color w:val="000000"/>
          <w:kern w:val="0"/>
          <w:sz w:val="18"/>
          <w:szCs w:val="18"/>
          <w:lang w:val="en-US" w:eastAsia="zh-CN"/>
        </w:rPr>
        <w:t>25日</w:t>
      </w:r>
    </w:p>
    <w:p>
      <w:pPr>
        <w:spacing w:line="360" w:lineRule="auto"/>
        <w:rPr>
          <w:rFonts w:ascii="宋体" w:hAnsi="宋体"/>
          <w:sz w:val="24"/>
        </w:rPr>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2"/>
          <w:docGrid w:type="lines" w:linePitch="312" w:charSpace="0"/>
        </w:sectPr>
      </w:pPr>
    </w:p>
    <w:p>
      <w:pPr>
        <w:spacing w:line="360" w:lineRule="auto"/>
        <w:ind w:firstLine="480" w:firstLineChars="200"/>
        <w:jc w:val="left"/>
        <w:rPr>
          <w:rFonts w:ascii="宋体" w:hAnsi="宋体"/>
          <w:sz w:val="24"/>
        </w:rPr>
      </w:pPr>
      <w:r>
        <w:rPr>
          <w:rFonts w:ascii="宋体" w:hAnsi="宋体"/>
          <w:sz w:val="24"/>
        </w:rPr>
        <w:br w:type="page"/>
      </w:r>
      <w:bookmarkStart w:id="59" w:name="_Hlk56432066"/>
      <w:bookmarkStart w:id="60" w:name="_Hlk56432203"/>
    </w:p>
    <w:p>
      <w:pPr>
        <w:spacing w:line="360" w:lineRule="auto"/>
        <w:jc w:val="both"/>
        <w:rPr>
          <w:rFonts w:ascii="宋体" w:hAnsi="宋体"/>
          <w:b/>
          <w:bCs/>
          <w:sz w:val="24"/>
        </w:rPr>
      </w:pPr>
      <w:r>
        <w:rPr>
          <w:rFonts w:hint="eastAsia" w:ascii="宋体" w:hAnsi="宋体" w:eastAsia="宋体" w:cs="宋体"/>
          <w:b/>
          <w:bCs/>
          <w:kern w:val="2"/>
          <w:sz w:val="24"/>
          <w:szCs w:val="24"/>
          <w:highlight w:val="none"/>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eastAsia="宋体" w:cs="宋体"/>
          <w:sz w:val="24"/>
          <w:szCs w:val="24"/>
          <w:u w:val="single"/>
          <w:lang w:val="en-US" w:eastAsia="zh-CN"/>
        </w:rPr>
        <w:t>洛阳浩德鑫置地有限公司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eastAsia="宋体" w:cs="宋体"/>
          <w:sz w:val="24"/>
          <w:szCs w:val="24"/>
          <w:u w:val="single"/>
          <w:lang w:val="en-GB" w:eastAsia="zh-CN"/>
        </w:rPr>
        <w:t>郑州市云拓明源软件科技有限公司</w:t>
      </w:r>
    </w:p>
    <w:bookmarkEnd w:id="59"/>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w:t>
      </w:r>
      <w:r>
        <w:rPr>
          <w:rFonts w:hint="eastAsia" w:ascii="宋体" w:hAnsi="宋体" w:cs="宋体"/>
          <w:b/>
          <w:sz w:val="24"/>
          <w:szCs w:val="28"/>
          <w:lang w:eastAsia="zh-CN"/>
        </w:rPr>
        <w:t>、</w:t>
      </w:r>
      <w:r>
        <w:rPr>
          <w:rFonts w:hint="eastAsia" w:ascii="宋体" w:hAnsi="宋体" w:cs="宋体"/>
          <w:b/>
          <w:sz w:val="24"/>
          <w:szCs w:val="28"/>
          <w:lang w:val="en-US" w:eastAsia="zh-CN"/>
        </w:rPr>
        <w:t>乙</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乙</w:t>
      </w:r>
      <w:r>
        <w:rPr>
          <w:rFonts w:hint="eastAsia" w:ascii="宋体" w:hAnsi="宋体" w:cs="宋体"/>
          <w:sz w:val="24"/>
          <w:szCs w:val="28"/>
        </w:rPr>
        <w:t>方有责任向</w:t>
      </w:r>
      <w:r>
        <w:rPr>
          <w:rFonts w:hint="eastAsia" w:ascii="宋体" w:hAnsi="宋体" w:cs="宋体"/>
          <w:sz w:val="24"/>
          <w:szCs w:val="28"/>
          <w:lang w:val="en-US" w:eastAsia="zh-CN"/>
        </w:rPr>
        <w:t>甲</w:t>
      </w:r>
      <w:r>
        <w:rPr>
          <w:rFonts w:hint="eastAsia" w:ascii="宋体" w:hAnsi="宋体" w:cs="宋体"/>
          <w:sz w:val="24"/>
          <w:szCs w:val="28"/>
        </w:rPr>
        <w:t>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乙</w:t>
      </w:r>
      <w:r>
        <w:rPr>
          <w:rFonts w:hint="eastAsia" w:ascii="宋体" w:hAnsi="宋体" w:cs="宋体"/>
          <w:sz w:val="24"/>
          <w:szCs w:val="28"/>
        </w:rPr>
        <w:t>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乙</w:t>
      </w:r>
      <w:r>
        <w:rPr>
          <w:rFonts w:hint="eastAsia" w:ascii="宋体" w:hAnsi="宋体" w:cs="宋体"/>
          <w:sz w:val="24"/>
          <w:szCs w:val="28"/>
        </w:rPr>
        <w:t>方人员应严格遵守本单位有关廉政管理的规定，不得接受</w:t>
      </w:r>
      <w:r>
        <w:rPr>
          <w:rFonts w:hint="eastAsia" w:ascii="宋体" w:hAnsi="宋体" w:cs="宋体"/>
          <w:sz w:val="24"/>
          <w:szCs w:val="28"/>
          <w:lang w:val="en-US" w:eastAsia="zh-CN"/>
        </w:rPr>
        <w:t>甲</w:t>
      </w:r>
      <w:r>
        <w:rPr>
          <w:rFonts w:hint="eastAsia" w:ascii="宋体" w:hAnsi="宋体" w:cs="宋体"/>
          <w:sz w:val="24"/>
          <w:szCs w:val="28"/>
        </w:rPr>
        <w:t>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乙</w:t>
      </w:r>
      <w:r>
        <w:rPr>
          <w:rFonts w:hint="eastAsia" w:ascii="宋体" w:hAnsi="宋体" w:cs="宋体"/>
          <w:sz w:val="24"/>
          <w:szCs w:val="28"/>
        </w:rPr>
        <w:t>方在项目建设期间发现</w:t>
      </w:r>
      <w:r>
        <w:rPr>
          <w:rFonts w:hint="eastAsia" w:ascii="宋体" w:hAnsi="宋体" w:cs="宋体"/>
          <w:sz w:val="24"/>
          <w:szCs w:val="28"/>
          <w:lang w:val="en-US" w:eastAsia="zh-CN"/>
        </w:rPr>
        <w:t>乙</w:t>
      </w:r>
      <w:r>
        <w:rPr>
          <w:rFonts w:hint="eastAsia" w:ascii="宋体" w:hAnsi="宋体" w:cs="宋体"/>
          <w:sz w:val="24"/>
          <w:szCs w:val="28"/>
        </w:rPr>
        <w:t>方人员任何形式的索贿受贿行为，均应及时采取措施予以制止，并及时通报</w:t>
      </w:r>
      <w:r>
        <w:rPr>
          <w:rFonts w:hint="eastAsia" w:ascii="宋体" w:hAnsi="宋体" w:cs="宋体"/>
          <w:sz w:val="24"/>
          <w:szCs w:val="28"/>
          <w:lang w:val="en-US" w:eastAsia="zh-CN"/>
        </w:rPr>
        <w:t>甲方</w:t>
      </w:r>
      <w:r>
        <w:rPr>
          <w:rFonts w:hint="eastAsia" w:ascii="宋体" w:hAnsi="宋体" w:cs="宋体"/>
          <w:sz w:val="24"/>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乙</w:t>
      </w:r>
      <w:r>
        <w:rPr>
          <w:rFonts w:hint="eastAsia" w:ascii="宋体" w:hAnsi="宋体" w:cs="宋体"/>
          <w:sz w:val="24"/>
          <w:szCs w:val="28"/>
        </w:rPr>
        <w:t>方人员如违反廉政管理制度及本协议规定，</w:t>
      </w:r>
      <w:r>
        <w:rPr>
          <w:rFonts w:hint="eastAsia" w:ascii="宋体" w:hAnsi="宋体" w:cs="宋体"/>
          <w:sz w:val="24"/>
          <w:szCs w:val="28"/>
          <w:lang w:val="en-US" w:eastAsia="zh-CN"/>
        </w:rPr>
        <w:t>乙</w:t>
      </w:r>
      <w:r>
        <w:rPr>
          <w:rFonts w:hint="eastAsia" w:ascii="宋体" w:hAnsi="宋体" w:cs="宋体"/>
          <w:sz w:val="24"/>
          <w:szCs w:val="28"/>
        </w:rPr>
        <w:t>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w:t>
      </w:r>
      <w:r>
        <w:rPr>
          <w:rFonts w:hint="eastAsia" w:ascii="宋体" w:hAnsi="宋体" w:cs="宋体"/>
          <w:sz w:val="24"/>
          <w:szCs w:val="28"/>
          <w:lang w:val="en-US" w:eastAsia="zh-CN"/>
        </w:rPr>
        <w:t>乙</w:t>
      </w:r>
      <w:r>
        <w:rPr>
          <w:rFonts w:hint="eastAsia" w:ascii="宋体" w:hAnsi="宋体" w:cs="宋体"/>
          <w:sz w:val="24"/>
          <w:szCs w:val="28"/>
        </w:rPr>
        <w:t>方举报</w:t>
      </w:r>
      <w:r>
        <w:rPr>
          <w:rFonts w:hint="eastAsia" w:ascii="宋体" w:hAnsi="宋体" w:cs="宋体"/>
          <w:sz w:val="24"/>
          <w:szCs w:val="28"/>
          <w:lang w:val="en-US" w:eastAsia="zh-CN"/>
        </w:rPr>
        <w:t>乙</w:t>
      </w:r>
      <w:r>
        <w:rPr>
          <w:rFonts w:hint="eastAsia" w:ascii="宋体" w:hAnsi="宋体" w:cs="宋体"/>
          <w:sz w:val="24"/>
          <w:szCs w:val="28"/>
        </w:rPr>
        <w:t>方人员违反廉政规定的情况，</w:t>
      </w:r>
      <w:r>
        <w:rPr>
          <w:rFonts w:hint="eastAsia" w:ascii="宋体" w:hAnsi="宋体" w:cs="宋体"/>
          <w:sz w:val="24"/>
          <w:szCs w:val="28"/>
          <w:lang w:val="en-US" w:eastAsia="zh-CN"/>
        </w:rPr>
        <w:t>乙</w:t>
      </w:r>
      <w:r>
        <w:rPr>
          <w:rFonts w:hint="eastAsia" w:ascii="宋体" w:hAnsi="宋体" w:cs="宋体"/>
          <w:sz w:val="24"/>
          <w:szCs w:val="28"/>
        </w:rPr>
        <w:t>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w:t>
      </w:r>
      <w:r>
        <w:rPr>
          <w:rFonts w:hint="eastAsia" w:ascii="宋体" w:hAnsi="宋体" w:cs="宋体"/>
          <w:b/>
          <w:sz w:val="24"/>
          <w:szCs w:val="28"/>
          <w:lang w:eastAsia="zh-CN"/>
        </w:rPr>
        <w:t>、</w:t>
      </w:r>
      <w:r>
        <w:rPr>
          <w:rFonts w:hint="eastAsia" w:ascii="宋体" w:hAnsi="宋体" w:cs="宋体"/>
          <w:b/>
          <w:sz w:val="24"/>
          <w:szCs w:val="28"/>
          <w:lang w:val="en-US" w:eastAsia="zh-CN"/>
        </w:rPr>
        <w:t>甲</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甲</w:t>
      </w:r>
      <w:r>
        <w:rPr>
          <w:rFonts w:hint="eastAsia" w:ascii="宋体" w:hAnsi="宋体" w:cs="宋体"/>
          <w:sz w:val="24"/>
          <w:szCs w:val="28"/>
        </w:rPr>
        <w:t>方应保证</w:t>
      </w:r>
      <w:r>
        <w:rPr>
          <w:rFonts w:hint="eastAsia" w:ascii="宋体" w:hAnsi="宋体" w:cs="宋体"/>
          <w:sz w:val="24"/>
          <w:szCs w:val="28"/>
          <w:lang w:val="en-US" w:eastAsia="zh-CN"/>
        </w:rPr>
        <w:t>甲</w:t>
      </w:r>
      <w:r>
        <w:rPr>
          <w:rFonts w:hint="eastAsia" w:ascii="宋体" w:hAnsi="宋体" w:cs="宋体"/>
          <w:sz w:val="24"/>
          <w:szCs w:val="28"/>
        </w:rPr>
        <w:t>方有关人员了解</w:t>
      </w:r>
      <w:r>
        <w:rPr>
          <w:rFonts w:hint="eastAsia" w:ascii="宋体" w:hAnsi="宋体" w:cs="宋体"/>
          <w:sz w:val="24"/>
          <w:szCs w:val="28"/>
          <w:lang w:val="en-US" w:eastAsia="zh-CN"/>
        </w:rPr>
        <w:t>乙</w:t>
      </w:r>
      <w:r>
        <w:rPr>
          <w:rFonts w:hint="eastAsia" w:ascii="宋体" w:hAnsi="宋体" w:cs="宋体"/>
          <w:sz w:val="24"/>
          <w:szCs w:val="28"/>
        </w:rPr>
        <w:t>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甲</w:t>
      </w:r>
      <w:r>
        <w:rPr>
          <w:rFonts w:hint="eastAsia" w:ascii="宋体" w:hAnsi="宋体" w:cs="宋体"/>
          <w:sz w:val="24"/>
          <w:szCs w:val="28"/>
        </w:rPr>
        <w:t>方不得宴请</w:t>
      </w:r>
      <w:r>
        <w:rPr>
          <w:rFonts w:hint="eastAsia" w:ascii="宋体" w:hAnsi="宋体" w:cs="宋体"/>
          <w:sz w:val="24"/>
          <w:szCs w:val="28"/>
          <w:lang w:val="en-US" w:eastAsia="zh-CN"/>
        </w:rPr>
        <w:t>乙</w:t>
      </w:r>
      <w:r>
        <w:rPr>
          <w:rFonts w:hint="eastAsia" w:ascii="宋体" w:hAnsi="宋体" w:cs="宋体"/>
          <w:sz w:val="24"/>
          <w:szCs w:val="28"/>
        </w:rPr>
        <w:t>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甲</w:t>
      </w:r>
      <w:r>
        <w:rPr>
          <w:rFonts w:hint="eastAsia" w:ascii="宋体" w:hAnsi="宋体" w:cs="宋体"/>
          <w:sz w:val="24"/>
          <w:szCs w:val="28"/>
        </w:rPr>
        <w:t>方在</w:t>
      </w:r>
      <w:r>
        <w:rPr>
          <w:rFonts w:hint="eastAsia" w:ascii="宋体" w:hAnsi="宋体" w:cs="宋体"/>
          <w:sz w:val="24"/>
          <w:szCs w:val="28"/>
          <w:lang w:val="en-US" w:eastAsia="zh-CN"/>
        </w:rPr>
        <w:t>合同期内</w:t>
      </w:r>
      <w:r>
        <w:rPr>
          <w:rFonts w:hint="eastAsia" w:ascii="宋体" w:hAnsi="宋体" w:cs="宋体"/>
          <w:sz w:val="24"/>
          <w:szCs w:val="28"/>
        </w:rPr>
        <w:t>发现</w:t>
      </w:r>
      <w:r>
        <w:rPr>
          <w:rFonts w:hint="eastAsia" w:ascii="宋体" w:hAnsi="宋体" w:cs="宋体"/>
          <w:sz w:val="24"/>
          <w:szCs w:val="28"/>
          <w:lang w:val="en-US" w:eastAsia="zh-CN"/>
        </w:rPr>
        <w:t>甲</w:t>
      </w:r>
      <w:r>
        <w:rPr>
          <w:rFonts w:hint="eastAsia" w:ascii="宋体" w:hAnsi="宋体" w:cs="宋体"/>
          <w:sz w:val="24"/>
          <w:szCs w:val="28"/>
        </w:rPr>
        <w:t>方人员</w:t>
      </w:r>
      <w:r>
        <w:rPr>
          <w:rFonts w:hint="eastAsia" w:ascii="宋体" w:hAnsi="宋体" w:cs="宋体"/>
          <w:sz w:val="24"/>
          <w:szCs w:val="28"/>
          <w:lang w:val="en-US" w:eastAsia="zh-CN"/>
        </w:rPr>
        <w:t>向乙</w:t>
      </w:r>
      <w:r>
        <w:rPr>
          <w:rFonts w:hint="eastAsia" w:ascii="宋体" w:hAnsi="宋体" w:cs="宋体"/>
          <w:sz w:val="24"/>
          <w:szCs w:val="28"/>
        </w:rPr>
        <w:t>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甲</w:t>
      </w:r>
      <w:r>
        <w:rPr>
          <w:rFonts w:hint="eastAsia" w:ascii="宋体" w:hAnsi="宋体" w:cs="宋体"/>
          <w:sz w:val="24"/>
          <w:szCs w:val="28"/>
        </w:rPr>
        <w:t>方有责任接受</w:t>
      </w:r>
      <w:r>
        <w:rPr>
          <w:rFonts w:hint="eastAsia" w:ascii="宋体" w:hAnsi="宋体" w:cs="宋体"/>
          <w:sz w:val="24"/>
          <w:szCs w:val="28"/>
          <w:lang w:val="en-US" w:eastAsia="zh-CN"/>
        </w:rPr>
        <w:t>乙</w:t>
      </w:r>
      <w:r>
        <w:rPr>
          <w:rFonts w:hint="eastAsia" w:ascii="宋体" w:hAnsi="宋体" w:cs="宋体"/>
          <w:sz w:val="24"/>
          <w:szCs w:val="28"/>
        </w:rPr>
        <w:t>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甲</w:t>
      </w:r>
      <w:r>
        <w:rPr>
          <w:rFonts w:hint="eastAsia" w:ascii="宋体" w:hAnsi="宋体" w:cs="宋体"/>
          <w:sz w:val="24"/>
          <w:szCs w:val="28"/>
        </w:rPr>
        <w:t>方单位人员有义务就</w:t>
      </w:r>
      <w:r>
        <w:rPr>
          <w:rFonts w:hint="eastAsia" w:ascii="宋体" w:hAnsi="宋体" w:cs="宋体"/>
          <w:sz w:val="24"/>
          <w:szCs w:val="28"/>
          <w:lang w:val="en-US" w:eastAsia="zh-CN"/>
        </w:rPr>
        <w:t>乙</w:t>
      </w:r>
      <w:r>
        <w:rPr>
          <w:rFonts w:hint="eastAsia" w:ascii="宋体" w:hAnsi="宋体" w:cs="宋体"/>
          <w:sz w:val="24"/>
          <w:szCs w:val="28"/>
        </w:rPr>
        <w:t>方人员任何形式的索贿或受贿行为及时向甲方单位领导举报；如</w:t>
      </w:r>
      <w:r>
        <w:rPr>
          <w:rFonts w:hint="eastAsia" w:ascii="宋体" w:hAnsi="宋体" w:cs="宋体"/>
          <w:sz w:val="24"/>
          <w:szCs w:val="28"/>
          <w:lang w:val="en-US" w:eastAsia="zh-CN"/>
        </w:rPr>
        <w:t>甲</w:t>
      </w:r>
      <w:r>
        <w:rPr>
          <w:rFonts w:hint="eastAsia" w:ascii="宋体" w:hAnsi="宋体" w:cs="宋体"/>
          <w:sz w:val="24"/>
          <w:szCs w:val="28"/>
        </w:rPr>
        <w:t>方向</w:t>
      </w:r>
      <w:r>
        <w:rPr>
          <w:rFonts w:hint="eastAsia" w:ascii="宋体" w:hAnsi="宋体" w:cs="宋体"/>
          <w:sz w:val="24"/>
          <w:szCs w:val="28"/>
          <w:lang w:val="en-US" w:eastAsia="zh-CN"/>
        </w:rPr>
        <w:t>乙</w:t>
      </w:r>
      <w:r>
        <w:rPr>
          <w:rFonts w:hint="eastAsia" w:ascii="宋体" w:hAnsi="宋体" w:cs="宋体"/>
          <w:sz w:val="24"/>
          <w:szCs w:val="28"/>
        </w:rPr>
        <w:t>方人员行贿，或</w:t>
      </w:r>
      <w:r>
        <w:rPr>
          <w:rFonts w:hint="eastAsia" w:ascii="宋体" w:hAnsi="宋体" w:cs="宋体"/>
          <w:sz w:val="24"/>
          <w:szCs w:val="28"/>
          <w:lang w:val="en-US" w:eastAsia="zh-CN"/>
        </w:rPr>
        <w:t>乙</w:t>
      </w:r>
      <w:r>
        <w:rPr>
          <w:rFonts w:hint="eastAsia" w:ascii="宋体" w:hAnsi="宋体" w:cs="宋体"/>
          <w:sz w:val="24"/>
          <w:szCs w:val="28"/>
        </w:rPr>
        <w:t>方人员向</w:t>
      </w:r>
      <w:r>
        <w:rPr>
          <w:rFonts w:hint="eastAsia" w:ascii="宋体" w:hAnsi="宋体" w:cs="宋体"/>
          <w:sz w:val="24"/>
          <w:szCs w:val="28"/>
          <w:lang w:val="en-US" w:eastAsia="zh-CN"/>
        </w:rPr>
        <w:t>甲</w:t>
      </w:r>
      <w:r>
        <w:rPr>
          <w:rFonts w:hint="eastAsia" w:ascii="宋体" w:hAnsi="宋体" w:cs="宋体"/>
          <w:sz w:val="24"/>
          <w:szCs w:val="28"/>
        </w:rPr>
        <w:t>方索贿，</w:t>
      </w:r>
      <w:r>
        <w:rPr>
          <w:rFonts w:hint="eastAsia" w:ascii="宋体" w:hAnsi="宋体" w:cs="宋体"/>
          <w:sz w:val="24"/>
          <w:szCs w:val="28"/>
          <w:lang w:val="en-US" w:eastAsia="zh-CN"/>
        </w:rPr>
        <w:t>乙</w:t>
      </w:r>
      <w:r>
        <w:rPr>
          <w:rFonts w:hint="eastAsia" w:ascii="宋体" w:hAnsi="宋体" w:cs="宋体"/>
          <w:sz w:val="24"/>
          <w:szCs w:val="28"/>
        </w:rPr>
        <w:t>方满足其要求且未向</w:t>
      </w:r>
      <w:r>
        <w:rPr>
          <w:rFonts w:hint="eastAsia" w:ascii="宋体" w:hAnsi="宋体" w:cs="宋体"/>
          <w:sz w:val="24"/>
          <w:szCs w:val="28"/>
          <w:lang w:val="en-US" w:eastAsia="zh-CN"/>
        </w:rPr>
        <w:t>乙</w:t>
      </w:r>
      <w:r>
        <w:rPr>
          <w:rFonts w:hint="eastAsia" w:ascii="宋体" w:hAnsi="宋体" w:cs="宋体"/>
          <w:sz w:val="24"/>
          <w:szCs w:val="28"/>
        </w:rPr>
        <w:t>方举报的，一经查实，除追回由此给</w:t>
      </w:r>
      <w:r>
        <w:rPr>
          <w:rFonts w:hint="eastAsia" w:ascii="宋体" w:hAnsi="宋体" w:cs="宋体"/>
          <w:sz w:val="24"/>
          <w:szCs w:val="28"/>
          <w:lang w:val="en-US" w:eastAsia="zh-CN"/>
        </w:rPr>
        <w:t>乙</w:t>
      </w:r>
      <w:r>
        <w:rPr>
          <w:rFonts w:hint="eastAsia" w:ascii="宋体" w:hAnsi="宋体" w:cs="宋体"/>
          <w:sz w:val="24"/>
          <w:szCs w:val="28"/>
        </w:rPr>
        <w:t>方造成的损失外，</w:t>
      </w:r>
      <w:r>
        <w:rPr>
          <w:rFonts w:hint="eastAsia" w:ascii="宋体" w:hAnsi="宋体" w:cs="宋体"/>
          <w:sz w:val="24"/>
          <w:szCs w:val="28"/>
          <w:lang w:val="en-US" w:eastAsia="zh-CN"/>
        </w:rPr>
        <w:t>乙</w:t>
      </w:r>
      <w:r>
        <w:rPr>
          <w:rFonts w:hint="eastAsia" w:ascii="宋体" w:hAnsi="宋体" w:cs="宋体"/>
          <w:sz w:val="24"/>
          <w:szCs w:val="28"/>
        </w:rPr>
        <w:t>方可要求</w:t>
      </w:r>
      <w:r>
        <w:rPr>
          <w:rFonts w:hint="eastAsia" w:ascii="宋体" w:hAnsi="宋体" w:cs="宋体"/>
          <w:sz w:val="24"/>
          <w:szCs w:val="28"/>
          <w:lang w:val="en-US" w:eastAsia="zh-CN"/>
        </w:rPr>
        <w:t>甲</w:t>
      </w:r>
      <w:r>
        <w:rPr>
          <w:rFonts w:hint="eastAsia" w:ascii="宋体" w:hAnsi="宋体" w:cs="宋体"/>
          <w:sz w:val="24"/>
          <w:szCs w:val="28"/>
        </w:rPr>
        <w:t>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w:t>
      </w:r>
      <w:r>
        <w:rPr>
          <w:rFonts w:hint="eastAsia" w:ascii="宋体" w:hAnsi="宋体" w:cs="宋体"/>
          <w:sz w:val="24"/>
          <w:szCs w:val="28"/>
          <w:lang w:val="en-US" w:eastAsia="zh-CN"/>
        </w:rPr>
        <w:t>甲</w:t>
      </w:r>
      <w:r>
        <w:rPr>
          <w:rFonts w:hint="eastAsia" w:ascii="宋体" w:hAnsi="宋体" w:cs="宋体"/>
          <w:sz w:val="24"/>
          <w:szCs w:val="28"/>
        </w:rPr>
        <w:t>方或其人员在</w:t>
      </w:r>
      <w:r>
        <w:rPr>
          <w:rFonts w:hint="eastAsia" w:ascii="宋体" w:hAnsi="宋体" w:cs="宋体"/>
          <w:sz w:val="24"/>
          <w:szCs w:val="28"/>
          <w:lang w:val="en-US" w:eastAsia="zh-CN"/>
        </w:rPr>
        <w:t>合同期内</w:t>
      </w:r>
      <w:r>
        <w:rPr>
          <w:rFonts w:hint="eastAsia" w:ascii="宋体" w:hAnsi="宋体" w:cs="宋体"/>
          <w:sz w:val="24"/>
          <w:szCs w:val="28"/>
        </w:rPr>
        <w:t>贿赂</w:t>
      </w:r>
      <w:r>
        <w:rPr>
          <w:rFonts w:hint="eastAsia" w:ascii="宋体" w:hAnsi="宋体" w:cs="宋体"/>
          <w:sz w:val="24"/>
          <w:szCs w:val="28"/>
          <w:lang w:val="en-US" w:eastAsia="zh-CN"/>
        </w:rPr>
        <w:t>乙</w:t>
      </w:r>
      <w:r>
        <w:rPr>
          <w:rFonts w:hint="eastAsia" w:ascii="宋体" w:hAnsi="宋体" w:cs="宋体"/>
          <w:sz w:val="24"/>
          <w:szCs w:val="28"/>
        </w:rPr>
        <w:t>方人员，被检查机关立案查处的，</w:t>
      </w:r>
      <w:r>
        <w:rPr>
          <w:rFonts w:hint="eastAsia" w:ascii="宋体" w:hAnsi="宋体" w:cs="宋体"/>
          <w:sz w:val="24"/>
          <w:szCs w:val="28"/>
          <w:lang w:val="en-US" w:eastAsia="zh-CN"/>
        </w:rPr>
        <w:t>乙</w:t>
      </w:r>
      <w:r>
        <w:rPr>
          <w:rFonts w:hint="eastAsia" w:ascii="宋体" w:hAnsi="宋体" w:cs="宋体"/>
          <w:sz w:val="24"/>
          <w:szCs w:val="28"/>
        </w:rPr>
        <w:t>方有权中止合同履行或解除合同，由此给</w:t>
      </w:r>
      <w:r>
        <w:rPr>
          <w:rFonts w:hint="eastAsia" w:ascii="宋体" w:hAnsi="宋体" w:cs="宋体"/>
          <w:sz w:val="24"/>
          <w:szCs w:val="28"/>
          <w:lang w:val="en-US" w:eastAsia="zh-CN"/>
        </w:rPr>
        <w:t>乙</w:t>
      </w:r>
      <w:r>
        <w:rPr>
          <w:rFonts w:hint="eastAsia" w:ascii="宋体" w:hAnsi="宋体" w:cs="宋体"/>
          <w:sz w:val="24"/>
          <w:szCs w:val="28"/>
        </w:rPr>
        <w:t>方造成的损失，均由</w:t>
      </w:r>
      <w:r>
        <w:rPr>
          <w:rFonts w:hint="eastAsia" w:ascii="宋体" w:hAnsi="宋体" w:cs="宋体"/>
          <w:sz w:val="24"/>
          <w:szCs w:val="28"/>
          <w:lang w:val="en-US" w:eastAsia="zh-CN"/>
        </w:rPr>
        <w:t>甲</w:t>
      </w:r>
      <w:r>
        <w:rPr>
          <w:rFonts w:hint="eastAsia" w:ascii="宋体" w:hAnsi="宋体" w:cs="宋体"/>
          <w:sz w:val="24"/>
          <w:szCs w:val="28"/>
        </w:rPr>
        <w:t>方负责赔偿。</w:t>
      </w:r>
    </w:p>
    <w:p>
      <w:pPr>
        <w:spacing w:line="360" w:lineRule="auto"/>
        <w:ind w:firstLine="482" w:firstLineChars="200"/>
        <w:rPr>
          <w:rFonts w:hint="eastAsia" w:ascii="宋体" w:hAnsi="宋体" w:eastAsia="宋体" w:cs="宋体"/>
          <w:b/>
          <w:sz w:val="24"/>
          <w:szCs w:val="28"/>
        </w:rPr>
      </w:pPr>
      <w:r>
        <w:rPr>
          <w:rFonts w:hint="eastAsia" w:ascii="宋体" w:hAnsi="宋体" w:cs="宋体"/>
          <w:b/>
          <w:sz w:val="24"/>
          <w:szCs w:val="28"/>
        </w:rPr>
        <w:t xml:space="preserve"> 三、</w:t>
      </w:r>
      <w:r>
        <w:rPr>
          <w:rFonts w:hint="eastAsia" w:ascii="宋体" w:hAnsi="宋体" w:eastAsia="宋体" w:cs="宋体"/>
          <w:b/>
          <w:sz w:val="24"/>
          <w:szCs w:val="28"/>
        </w:rPr>
        <w:t>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微信小程序举报（扫面右侧二维码进入程序，举报信息直达董事长）</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8"/>
        </w:rPr>
        <w:t>（</w:t>
      </w:r>
      <w:r>
        <w:rPr>
          <w:rFonts w:hint="eastAsia" w:ascii="宋体" w:hAnsi="宋体" w:eastAsia="宋体" w:cs="宋体"/>
          <w:sz w:val="24"/>
          <w:szCs w:val="28"/>
          <w:lang w:val="en-US" w:eastAsia="zh-CN"/>
        </w:rPr>
        <w:t>2</w:t>
      </w:r>
      <w:r>
        <w:rPr>
          <w:rFonts w:hint="eastAsia" w:ascii="宋体" w:hAnsi="宋体" w:eastAsia="宋体" w:cs="宋体"/>
          <w:sz w:val="24"/>
          <w:szCs w:val="28"/>
        </w:rPr>
        <w:t>）邮箱：hddcfkb@Foxmail.com</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3</w:t>
      </w:r>
      <w:r>
        <w:rPr>
          <w:rFonts w:hint="eastAsia" w:ascii="宋体" w:hAnsi="宋体" w:eastAsia="宋体" w:cs="宋体"/>
          <w:sz w:val="24"/>
          <w:szCs w:val="28"/>
        </w:rPr>
        <w:t>）电话：集团首席风控官：13903793259；</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4</w:t>
      </w:r>
      <w:r>
        <w:rPr>
          <w:rFonts w:hint="eastAsia" w:ascii="宋体" w:hAnsi="宋体" w:eastAsia="宋体" w:cs="宋体"/>
          <w:sz w:val="24"/>
          <w:szCs w:val="28"/>
        </w:rPr>
        <w:t>）电话：集团审计总监：18137710188；</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5</w:t>
      </w:r>
      <w:r>
        <w:rPr>
          <w:rFonts w:hint="eastAsia" w:ascii="宋体" w:hAnsi="宋体" w:eastAsia="宋体" w:cs="宋体"/>
          <w:sz w:val="24"/>
          <w:szCs w:val="28"/>
        </w:rPr>
        <w:t>）电话：地产风控总监：18638357973；</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6</w:t>
      </w:r>
      <w:r>
        <w:rPr>
          <w:rFonts w:hint="eastAsia" w:ascii="宋体" w:hAnsi="宋体" w:eastAsia="宋体" w:cs="宋体"/>
          <w:sz w:val="24"/>
          <w:szCs w:val="28"/>
        </w:rPr>
        <w:t>）电话：地产风控经理：15670305910；</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7</w:t>
      </w:r>
      <w:r>
        <w:rPr>
          <w:rFonts w:hint="eastAsia" w:ascii="宋体" w:hAnsi="宋体" w:eastAsia="宋体" w:cs="宋体"/>
          <w:sz w:val="24"/>
          <w:szCs w:val="28"/>
        </w:rPr>
        <w:t>）直接和风控人员约定场所当面举报。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eastAsia="宋体" w:cs="宋体"/>
          <w:sz w:val="24"/>
          <w:szCs w:val="24"/>
          <w:u w:val="single"/>
          <w:lang w:val="en-US" w:eastAsia="zh-CN"/>
        </w:rPr>
        <w:t>洛阳浩德鑫置地有限公司</w:t>
      </w:r>
      <w:r>
        <w:rPr>
          <w:rFonts w:hint="eastAsia" w:ascii="宋体" w:hAnsi="宋体" w:cs="宋体"/>
          <w:sz w:val="24"/>
        </w:rPr>
        <w:t xml:space="preserve">       乙方：</w:t>
      </w:r>
      <w:r>
        <w:rPr>
          <w:rFonts w:hint="eastAsia" w:ascii="宋体" w:hAnsi="宋体" w:eastAsia="宋体" w:cs="宋体"/>
          <w:sz w:val="24"/>
          <w:szCs w:val="24"/>
          <w:u w:val="single"/>
          <w:lang w:val="en-GB" w:eastAsia="zh-CN"/>
        </w:rPr>
        <w:t>郑州市云拓明源软件科技有限公司</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签署日期：</w:t>
      </w:r>
      <w:r>
        <w:rPr>
          <w:rFonts w:ascii="宋体" w:hAnsi="宋体" w:cs="宋体"/>
          <w:sz w:val="24"/>
        </w:rPr>
        <w:t>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w:t>
      </w:r>
      <w:r>
        <w:rPr>
          <w:rFonts w:hint="eastAsia" w:ascii="宋体" w:hAnsi="宋体" w:cs="宋体"/>
          <w:sz w:val="24"/>
          <w:lang w:val="en-US" w:eastAsia="zh-CN"/>
        </w:rPr>
        <w:t>25日</w:t>
      </w:r>
      <w:r>
        <w:rPr>
          <w:rFonts w:hint="eastAsia" w:ascii="宋体" w:hAnsi="宋体" w:cs="宋体"/>
          <w:sz w:val="24"/>
        </w:rPr>
        <w:t xml:space="preserve">          签署日期：</w:t>
      </w:r>
      <w:bookmarkEnd w:id="60"/>
      <w:r>
        <w:rPr>
          <w:rFonts w:hint="eastAsia" w:ascii="宋体" w:hAnsi="宋体" w:cs="宋体"/>
          <w:sz w:val="24"/>
        </w:rPr>
        <w:t>2</w:t>
      </w:r>
      <w:r>
        <w:rPr>
          <w:rFonts w:ascii="宋体" w:hAnsi="宋体" w:cs="宋体"/>
          <w:sz w:val="24"/>
        </w:rPr>
        <w:t>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w:t>
      </w:r>
      <w:r>
        <w:rPr>
          <w:rFonts w:hint="eastAsia" w:ascii="宋体" w:hAnsi="宋体" w:cs="宋体"/>
          <w:sz w:val="24"/>
          <w:lang w:val="en-US" w:eastAsia="zh-CN"/>
        </w:rPr>
        <w:t>25日</w:t>
      </w:r>
    </w:p>
    <w:p>
      <w:pPr>
        <w:spacing w:line="360" w:lineRule="auto"/>
        <w:jc w:val="both"/>
        <w:rPr>
          <w:rFonts w:hint="eastAsia" w:ascii="宋体" w:hAnsi="宋体" w:eastAsia="宋体" w:cs="宋体"/>
          <w:b/>
          <w:bCs/>
          <w:kern w:val="2"/>
          <w:sz w:val="24"/>
          <w:szCs w:val="24"/>
          <w:highlight w:val="none"/>
          <w:lang w:val="en-US" w:eastAsia="zh-CN"/>
        </w:rPr>
      </w:pPr>
      <w:r>
        <w:rPr>
          <w:rFonts w:hint="eastAsia" w:ascii="宋体" w:hAnsi="宋体" w:eastAsia="宋体" w:cs="宋体"/>
          <w:b/>
          <w:bCs/>
          <w:kern w:val="2"/>
          <w:sz w:val="24"/>
          <w:szCs w:val="24"/>
          <w:highlight w:val="none"/>
        </w:rPr>
        <w:t>附件</w:t>
      </w:r>
      <w:r>
        <w:rPr>
          <w:rFonts w:hint="eastAsia" w:ascii="宋体" w:hAnsi="宋体" w:cs="宋体"/>
          <w:b/>
          <w:bCs/>
          <w:kern w:val="2"/>
          <w:sz w:val="24"/>
          <w:szCs w:val="24"/>
          <w:highlight w:val="none"/>
          <w:lang w:val="en-US" w:eastAsia="zh-CN"/>
        </w:rPr>
        <w:t>二</w:t>
      </w:r>
      <w:r>
        <w:rPr>
          <w:rFonts w:hint="eastAsia" w:ascii="宋体" w:hAnsi="宋体" w:eastAsia="宋体" w:cs="宋体"/>
          <w:b/>
          <w:bCs/>
          <w:kern w:val="2"/>
          <w:sz w:val="24"/>
          <w:szCs w:val="24"/>
          <w:highlight w:val="none"/>
        </w:rPr>
        <w:t>、</w:t>
      </w:r>
      <w:r>
        <w:rPr>
          <w:rFonts w:hint="eastAsia" w:ascii="宋体" w:hAnsi="宋体" w:eastAsia="宋体" w:cs="宋体"/>
          <w:b/>
          <w:bCs/>
          <w:kern w:val="2"/>
          <w:sz w:val="24"/>
          <w:szCs w:val="24"/>
          <w:highlight w:val="none"/>
          <w:lang w:val="en-US" w:eastAsia="zh-CN"/>
        </w:rPr>
        <w:t>《服务报价》</w:t>
      </w:r>
    </w:p>
    <w:tbl>
      <w:tblPr>
        <w:tblW w:w="9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64"/>
        <w:gridCol w:w="710"/>
        <w:gridCol w:w="416"/>
        <w:gridCol w:w="874"/>
        <w:gridCol w:w="1666"/>
        <w:gridCol w:w="1680"/>
        <w:gridCol w:w="620"/>
        <w:gridCol w:w="602"/>
        <w:gridCol w:w="686"/>
        <w:gridCol w:w="516"/>
        <w:gridCol w:w="1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21" w:hRule="atLeast"/>
        </w:trPr>
        <w:tc>
          <w:tcPr>
            <w:tcW w:w="9660" w:type="dxa"/>
            <w:gridSpan w:val="11"/>
            <w:tcBorders>
              <w:top w:val="nil"/>
              <w:left w:val="nil"/>
              <w:bottom w:val="single" w:color="00B0F0" w:sz="4" w:space="0"/>
              <w:right w:val="nil"/>
            </w:tcBorders>
            <w:shd w:val="clear"/>
            <w:vAlign w:val="bottom"/>
          </w:tcPr>
          <w:p>
            <w:pPr>
              <w:keepNext w:val="0"/>
              <w:keepLines w:val="0"/>
              <w:widowControl/>
              <w:suppressLineNumbers w:val="0"/>
              <w:jc w:val="left"/>
              <w:textAlignment w:val="bottom"/>
              <w:rPr>
                <w:rFonts w:ascii="等线" w:hAnsi="等线" w:eastAsia="等线" w:cs="等线"/>
                <w:i w:val="0"/>
                <w:iCs w:val="0"/>
                <w:color w:val="FF0000"/>
                <w:sz w:val="20"/>
                <w:szCs w:val="20"/>
                <w:u w:val="none"/>
              </w:rPr>
            </w:pPr>
            <w:r>
              <w:rPr>
                <w:rFonts w:hint="eastAsia" w:ascii="等线" w:hAnsi="等线" w:eastAsia="等线" w:cs="等线"/>
                <w:i w:val="0"/>
                <w:iCs w:val="0"/>
                <w:color w:val="FF0000"/>
                <w:kern w:val="0"/>
                <w:sz w:val="20"/>
                <w:szCs w:val="20"/>
                <w:u w:val="none"/>
                <w:bdr w:val="none" w:color="auto" w:sz="0" w:space="0"/>
                <w:lang w:val="en-US" w:eastAsia="zh-CN" w:bidi="ar"/>
              </w:rPr>
              <w:t>必看：</w:t>
            </w:r>
            <w:r>
              <w:rPr>
                <w:rFonts w:hint="eastAsia" w:ascii="等线" w:hAnsi="等线" w:eastAsia="等线" w:cs="等线"/>
                <w:i w:val="0"/>
                <w:iCs w:val="0"/>
                <w:color w:val="FF0000"/>
                <w:kern w:val="0"/>
                <w:sz w:val="20"/>
                <w:szCs w:val="20"/>
                <w:u w:val="none"/>
                <w:bdr w:val="none" w:color="auto" w:sz="0" w:space="0"/>
                <w:lang w:val="en-US" w:eastAsia="zh-CN" w:bidi="ar"/>
              </w:rPr>
              <w:br w:type="textWrapping"/>
            </w:r>
            <w:r>
              <w:rPr>
                <w:rFonts w:hint="eastAsia" w:ascii="等线" w:hAnsi="等线" w:eastAsia="等线" w:cs="等线"/>
                <w:i w:val="0"/>
                <w:iCs w:val="0"/>
                <w:color w:val="FF0000"/>
                <w:kern w:val="0"/>
                <w:sz w:val="20"/>
                <w:szCs w:val="20"/>
                <w:u w:val="none"/>
                <w:bdr w:val="none" w:color="auto" w:sz="0" w:space="0"/>
                <w:lang w:val="en-US" w:eastAsia="zh-CN" w:bidi="ar"/>
              </w:rPr>
              <w:t>1、本文档仅限内部查看，严谨直接发给客户，如客户报价需要则根据客户情况优化后发给客户；</w:t>
            </w:r>
            <w:r>
              <w:rPr>
                <w:rFonts w:hint="eastAsia" w:ascii="等线" w:hAnsi="等线" w:eastAsia="等线" w:cs="等线"/>
                <w:i w:val="0"/>
                <w:iCs w:val="0"/>
                <w:color w:val="FF0000"/>
                <w:kern w:val="0"/>
                <w:sz w:val="20"/>
                <w:szCs w:val="20"/>
                <w:u w:val="none"/>
                <w:bdr w:val="none" w:color="auto" w:sz="0" w:space="0"/>
                <w:lang w:val="en-US" w:eastAsia="zh-CN" w:bidi="ar"/>
              </w:rPr>
              <w:br w:type="textWrapping"/>
            </w:r>
            <w:r>
              <w:rPr>
                <w:rFonts w:hint="eastAsia" w:ascii="等线" w:hAnsi="等线" w:eastAsia="等线" w:cs="等线"/>
                <w:i w:val="0"/>
                <w:iCs w:val="0"/>
                <w:color w:val="FF0000"/>
                <w:kern w:val="0"/>
                <w:sz w:val="20"/>
                <w:szCs w:val="20"/>
                <w:u w:val="none"/>
                <w:bdr w:val="none" w:color="auto" w:sz="0" w:space="0"/>
                <w:lang w:val="en-US" w:eastAsia="zh-CN" w:bidi="ar"/>
              </w:rPr>
              <w:t>2、红色字体需仔细阅读、根据客户情况确认是否能够交付、如何交付；</w:t>
            </w:r>
            <w:r>
              <w:rPr>
                <w:rFonts w:hint="eastAsia" w:ascii="等线" w:hAnsi="等线" w:eastAsia="等线" w:cs="等线"/>
                <w:i w:val="0"/>
                <w:iCs w:val="0"/>
                <w:color w:val="FF0000"/>
                <w:kern w:val="0"/>
                <w:sz w:val="20"/>
                <w:szCs w:val="20"/>
                <w:u w:val="none"/>
                <w:bdr w:val="none" w:color="auto" w:sz="0" w:space="0"/>
                <w:lang w:val="en-US" w:eastAsia="zh-CN" w:bidi="ar"/>
              </w:rPr>
              <w:br w:type="textWrapping"/>
            </w:r>
            <w:r>
              <w:rPr>
                <w:rFonts w:hint="eastAsia" w:ascii="等线" w:hAnsi="等线" w:eastAsia="等线" w:cs="等线"/>
                <w:i w:val="0"/>
                <w:iCs w:val="0"/>
                <w:color w:val="FF0000"/>
                <w:kern w:val="0"/>
                <w:sz w:val="20"/>
                <w:szCs w:val="20"/>
                <w:u w:val="none"/>
                <w:bdr w:val="none" w:color="auto" w:sz="0" w:space="0"/>
                <w:lang w:val="en-US" w:eastAsia="zh-CN" w:bidi="ar"/>
              </w:rPr>
              <w:t>3、蓝色字体为非必须服务产品项，客户可根据需求选购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77" w:hRule="atLeast"/>
        </w:trPr>
        <w:tc>
          <w:tcPr>
            <w:tcW w:w="467" w:type="dxa"/>
            <w:tcBorders>
              <w:top w:val="single" w:color="00B0F0" w:sz="4" w:space="0"/>
              <w:left w:val="single" w:color="00B0F0" w:sz="4" w:space="0"/>
              <w:bottom w:val="single" w:color="00B0F0" w:sz="4" w:space="0"/>
              <w:right w:val="single" w:color="00B0F0" w:sz="4" w:space="0"/>
            </w:tcBorders>
            <w:shd w:val="clear" w:color="auto" w:fill="B4C6E7"/>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序号</w:t>
            </w:r>
          </w:p>
        </w:tc>
        <w:tc>
          <w:tcPr>
            <w:tcW w:w="714" w:type="dxa"/>
            <w:tcBorders>
              <w:top w:val="single" w:color="00B0F0" w:sz="4" w:space="0"/>
              <w:left w:val="single" w:color="00B0F0" w:sz="4" w:space="0"/>
              <w:bottom w:val="single" w:color="00B0F0" w:sz="4" w:space="0"/>
              <w:right w:val="single" w:color="00B0F0" w:sz="4" w:space="0"/>
            </w:tcBorders>
            <w:shd w:val="clear" w:color="auto" w:fill="B4C6E7"/>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服务分类</w:t>
            </w:r>
          </w:p>
        </w:tc>
        <w:tc>
          <w:tcPr>
            <w:tcW w:w="396" w:type="dxa"/>
            <w:tcBorders>
              <w:top w:val="single" w:color="00B0F0" w:sz="4" w:space="0"/>
              <w:left w:val="single" w:color="00B0F0" w:sz="4" w:space="0"/>
              <w:bottom w:val="single" w:color="00B0F0" w:sz="4" w:space="0"/>
              <w:right w:val="single" w:color="00B0F0" w:sz="4" w:space="0"/>
            </w:tcBorders>
            <w:shd w:val="clear" w:color="auto" w:fill="B4C6E7"/>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编号</w:t>
            </w:r>
          </w:p>
        </w:tc>
        <w:tc>
          <w:tcPr>
            <w:tcW w:w="886" w:type="dxa"/>
            <w:tcBorders>
              <w:top w:val="single" w:color="00B0F0" w:sz="4" w:space="0"/>
              <w:left w:val="single" w:color="00B0F0" w:sz="4" w:space="0"/>
              <w:bottom w:val="single" w:color="00B0F0" w:sz="4" w:space="0"/>
              <w:right w:val="single" w:color="00B0F0" w:sz="4" w:space="0"/>
            </w:tcBorders>
            <w:shd w:val="clear" w:color="auto" w:fill="B4C6E7"/>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产品名称</w:t>
            </w:r>
          </w:p>
        </w:tc>
        <w:tc>
          <w:tcPr>
            <w:tcW w:w="1702" w:type="dxa"/>
            <w:tcBorders>
              <w:top w:val="single" w:color="00B0F0" w:sz="4" w:space="0"/>
              <w:left w:val="single" w:color="00B0F0" w:sz="4" w:space="0"/>
              <w:bottom w:val="single" w:color="00B0F0" w:sz="4" w:space="0"/>
              <w:right w:val="single" w:color="00B0F0" w:sz="4" w:space="0"/>
            </w:tcBorders>
            <w:shd w:val="clear" w:color="auto" w:fill="B4C6E7"/>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服务项</w:t>
            </w:r>
          </w:p>
        </w:tc>
        <w:tc>
          <w:tcPr>
            <w:tcW w:w="1725" w:type="dxa"/>
            <w:tcBorders>
              <w:top w:val="single" w:color="00B0F0" w:sz="4" w:space="0"/>
              <w:left w:val="single" w:color="00B0F0" w:sz="4" w:space="0"/>
              <w:bottom w:val="single" w:color="00B0F0" w:sz="4" w:space="0"/>
              <w:right w:val="single" w:color="00B0F0" w:sz="4" w:space="0"/>
            </w:tcBorders>
            <w:shd w:val="clear" w:color="auto" w:fill="B4C6E7"/>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服务标准</w:t>
            </w:r>
          </w:p>
        </w:tc>
        <w:tc>
          <w:tcPr>
            <w:tcW w:w="621" w:type="dxa"/>
            <w:tcBorders>
              <w:top w:val="single" w:color="00B0F0" w:sz="4" w:space="0"/>
              <w:left w:val="single" w:color="00B0F0" w:sz="4" w:space="0"/>
              <w:bottom w:val="single" w:color="00B0F0" w:sz="4" w:space="0"/>
              <w:right w:val="single" w:color="00B0F0" w:sz="4" w:space="0"/>
            </w:tcBorders>
            <w:shd w:val="clear" w:color="auto" w:fill="B4C6E7"/>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核心ERP</w:t>
            </w:r>
          </w:p>
        </w:tc>
        <w:tc>
          <w:tcPr>
            <w:tcW w:w="476" w:type="dxa"/>
            <w:tcBorders>
              <w:top w:val="single" w:color="00B0F0" w:sz="4" w:space="0"/>
              <w:left w:val="single" w:color="00B0F0" w:sz="4" w:space="0"/>
              <w:bottom w:val="single" w:color="00B0F0" w:sz="4" w:space="0"/>
              <w:right w:val="single" w:color="00B0F0" w:sz="4" w:space="0"/>
            </w:tcBorders>
            <w:shd w:val="clear" w:color="auto" w:fill="B4C6E7"/>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云ERP</w:t>
            </w:r>
          </w:p>
        </w:tc>
        <w:tc>
          <w:tcPr>
            <w:tcW w:w="697" w:type="dxa"/>
            <w:tcBorders>
              <w:top w:val="single" w:color="00B0F0" w:sz="4" w:space="0"/>
              <w:left w:val="single" w:color="00B0F0" w:sz="4" w:space="0"/>
              <w:bottom w:val="single" w:color="00B0F0" w:sz="4" w:space="0"/>
              <w:right w:val="single" w:color="00B0F0" w:sz="4" w:space="0"/>
            </w:tcBorders>
            <w:shd w:val="clear" w:color="auto" w:fill="B4C6E7"/>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提供方式</w:t>
            </w:r>
          </w:p>
        </w:tc>
        <w:tc>
          <w:tcPr>
            <w:tcW w:w="520" w:type="dxa"/>
            <w:tcBorders>
              <w:top w:val="single" w:color="00B0F0" w:sz="4" w:space="0"/>
              <w:left w:val="single" w:color="00B0F0" w:sz="4" w:space="0"/>
              <w:bottom w:val="single" w:color="00B0F0" w:sz="4" w:space="0"/>
              <w:right w:val="single" w:color="00B0F0" w:sz="4" w:space="0"/>
            </w:tcBorders>
            <w:shd w:val="clear" w:color="auto" w:fill="B4C6E7"/>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是否必选</w:t>
            </w:r>
          </w:p>
        </w:tc>
        <w:tc>
          <w:tcPr>
            <w:tcW w:w="1456" w:type="dxa"/>
            <w:tcBorders>
              <w:top w:val="single" w:color="00B0F0" w:sz="4" w:space="0"/>
              <w:left w:val="single" w:color="00B0F0" w:sz="4" w:space="0"/>
              <w:bottom w:val="single" w:color="00B0F0" w:sz="4" w:space="0"/>
              <w:right w:val="single" w:color="00B0F0" w:sz="4" w:space="0"/>
            </w:tcBorders>
            <w:shd w:val="clear" w:color="auto" w:fill="B4C6E7"/>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收费标准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94" w:hRule="atLeast"/>
        </w:trPr>
        <w:tc>
          <w:tcPr>
            <w:tcW w:w="0" w:type="auto"/>
            <w:vMerge w:val="restart"/>
            <w:tcBorders>
              <w:top w:val="single" w:color="00B0F0" w:sz="4" w:space="0"/>
              <w:left w:val="single" w:color="00B0F0" w:sz="4" w:space="0"/>
              <w:bottom w:val="single" w:color="00B0F0" w:sz="4" w:space="0"/>
              <w:right w:val="single" w:color="00B0F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一</w:t>
            </w:r>
          </w:p>
        </w:tc>
        <w:tc>
          <w:tcPr>
            <w:tcW w:w="714" w:type="dxa"/>
            <w:vMerge w:val="restart"/>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Style w:val="28"/>
                <w:bdr w:val="none" w:color="auto" w:sz="0" w:space="0"/>
                <w:lang w:val="en-US" w:eastAsia="zh-CN" w:bidi="ar"/>
              </w:rPr>
              <w:t>产品支持服务</w:t>
            </w:r>
            <w:r>
              <w:rPr>
                <w:rStyle w:val="28"/>
                <w:bdr w:val="none" w:color="auto" w:sz="0" w:space="0"/>
                <w:lang w:val="en-US" w:eastAsia="zh-CN" w:bidi="ar"/>
              </w:rPr>
              <w:br w:type="textWrapping"/>
            </w:r>
            <w:r>
              <w:rPr>
                <w:rStyle w:val="28"/>
                <w:bdr w:val="none" w:color="auto" w:sz="0" w:space="0"/>
                <w:lang w:val="en-US" w:eastAsia="zh-CN" w:bidi="ar"/>
              </w:rPr>
              <w:t>【可用】</w:t>
            </w:r>
            <w:r>
              <w:rPr>
                <w:rStyle w:val="28"/>
                <w:bdr w:val="none" w:color="auto" w:sz="0" w:space="0"/>
                <w:lang w:val="en-US" w:eastAsia="zh-CN" w:bidi="ar"/>
              </w:rPr>
              <w:br w:type="textWrapping"/>
            </w:r>
            <w:r>
              <w:rPr>
                <w:rStyle w:val="29"/>
                <w:bdr w:val="none" w:color="auto" w:sz="0" w:space="0"/>
                <w:lang w:val="en-US" w:eastAsia="zh-CN" w:bidi="ar"/>
              </w:rPr>
              <w:t>面向系统</w:t>
            </w:r>
          </w:p>
        </w:tc>
        <w:tc>
          <w:tcPr>
            <w:tcW w:w="396" w:type="dxa"/>
            <w:vMerge w:val="restart"/>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1</w:t>
            </w:r>
          </w:p>
        </w:tc>
        <w:tc>
          <w:tcPr>
            <w:tcW w:w="886" w:type="dxa"/>
            <w:vMerge w:val="restart"/>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ERP产品支持服务</w:t>
            </w:r>
          </w:p>
        </w:tc>
        <w:tc>
          <w:tcPr>
            <w:tcW w:w="1702"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故障分析与诊断</w:t>
            </w:r>
          </w:p>
        </w:tc>
        <w:tc>
          <w:tcPr>
            <w:tcW w:w="1725"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5天*7小时人工服务</w:t>
            </w:r>
          </w:p>
        </w:tc>
        <w:tc>
          <w:tcPr>
            <w:tcW w:w="621"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w:t>
            </w:r>
          </w:p>
        </w:tc>
        <w:tc>
          <w:tcPr>
            <w:tcW w:w="476"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w:t>
            </w:r>
          </w:p>
        </w:tc>
        <w:tc>
          <w:tcPr>
            <w:tcW w:w="697" w:type="dxa"/>
            <w:vMerge w:val="restart"/>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远程</w:t>
            </w:r>
          </w:p>
        </w:tc>
        <w:tc>
          <w:tcPr>
            <w:tcW w:w="520" w:type="dxa"/>
            <w:vMerge w:val="restart"/>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是</w:t>
            </w:r>
          </w:p>
        </w:tc>
        <w:tc>
          <w:tcPr>
            <w:tcW w:w="1456" w:type="dxa"/>
            <w:vMerge w:val="restart"/>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（产品标准价+用户增购价+专项）*25%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77" w:hRule="atLeast"/>
        </w:trPr>
        <w:tc>
          <w:tcPr>
            <w:tcW w:w="0" w:type="auto"/>
            <w:vMerge w:val="continue"/>
            <w:tcBorders>
              <w:top w:val="single" w:color="00B0F0" w:sz="4" w:space="0"/>
              <w:left w:val="single" w:color="00B0F0" w:sz="4" w:space="0"/>
              <w:bottom w:val="single" w:color="00B0F0" w:sz="4" w:space="0"/>
              <w:right w:val="single" w:color="00B0F0" w:sz="4" w:space="0"/>
            </w:tcBorders>
            <w:shd w:val="clear" w:color="auto" w:fill="FFFFFF"/>
            <w:noWrap/>
            <w:vAlign w:val="center"/>
          </w:tcPr>
          <w:p>
            <w:pPr>
              <w:jc w:val="center"/>
              <w:rPr>
                <w:rFonts w:hint="eastAsia" w:ascii="微软雅黑" w:hAnsi="微软雅黑" w:eastAsia="微软雅黑" w:cs="微软雅黑"/>
                <w:b/>
                <w:bCs/>
                <w:i w:val="0"/>
                <w:iCs w:val="0"/>
                <w:color w:val="000000"/>
                <w:sz w:val="20"/>
                <w:szCs w:val="20"/>
                <w:u w:val="none"/>
              </w:rPr>
            </w:pPr>
          </w:p>
        </w:tc>
        <w:tc>
          <w:tcPr>
            <w:tcW w:w="714"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39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88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1702"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智能监控</w:t>
            </w:r>
          </w:p>
        </w:tc>
        <w:tc>
          <w:tcPr>
            <w:tcW w:w="1725"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7天*24小时监控自动告警服务</w:t>
            </w:r>
          </w:p>
        </w:tc>
        <w:tc>
          <w:tcPr>
            <w:tcW w:w="621"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w:t>
            </w:r>
          </w:p>
        </w:tc>
        <w:tc>
          <w:tcPr>
            <w:tcW w:w="476"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w:t>
            </w:r>
          </w:p>
        </w:tc>
        <w:tc>
          <w:tcPr>
            <w:tcW w:w="697"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i w:val="0"/>
                <w:iCs w:val="0"/>
                <w:color w:val="000000"/>
                <w:sz w:val="20"/>
                <w:szCs w:val="20"/>
                <w:u w:val="none"/>
              </w:rPr>
            </w:pPr>
          </w:p>
        </w:tc>
        <w:tc>
          <w:tcPr>
            <w:tcW w:w="520"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i w:val="0"/>
                <w:iCs w:val="0"/>
                <w:color w:val="000000"/>
                <w:sz w:val="20"/>
                <w:szCs w:val="20"/>
                <w:u w:val="none"/>
              </w:rPr>
            </w:pPr>
          </w:p>
        </w:tc>
        <w:tc>
          <w:tcPr>
            <w:tcW w:w="145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77" w:hRule="atLeast"/>
        </w:trPr>
        <w:tc>
          <w:tcPr>
            <w:tcW w:w="0" w:type="auto"/>
            <w:vMerge w:val="continue"/>
            <w:tcBorders>
              <w:top w:val="single" w:color="00B0F0" w:sz="4" w:space="0"/>
              <w:left w:val="single" w:color="00B0F0" w:sz="4" w:space="0"/>
              <w:bottom w:val="single" w:color="00B0F0" w:sz="4" w:space="0"/>
              <w:right w:val="single" w:color="00B0F0" w:sz="4" w:space="0"/>
            </w:tcBorders>
            <w:shd w:val="clear" w:color="auto" w:fill="FFFFFF"/>
            <w:noWrap/>
            <w:vAlign w:val="center"/>
          </w:tcPr>
          <w:p>
            <w:pPr>
              <w:jc w:val="center"/>
              <w:rPr>
                <w:rFonts w:hint="eastAsia" w:ascii="微软雅黑" w:hAnsi="微软雅黑" w:eastAsia="微软雅黑" w:cs="微软雅黑"/>
                <w:b/>
                <w:bCs/>
                <w:i w:val="0"/>
                <w:iCs w:val="0"/>
                <w:color w:val="000000"/>
                <w:sz w:val="20"/>
                <w:szCs w:val="20"/>
                <w:u w:val="none"/>
              </w:rPr>
            </w:pPr>
          </w:p>
        </w:tc>
        <w:tc>
          <w:tcPr>
            <w:tcW w:w="714"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39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88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1702"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产品补丁包</w:t>
            </w:r>
          </w:p>
        </w:tc>
        <w:tc>
          <w:tcPr>
            <w:tcW w:w="1725"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按照明源补丁管理规范提供产品补丁包</w:t>
            </w:r>
          </w:p>
        </w:tc>
        <w:tc>
          <w:tcPr>
            <w:tcW w:w="621"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w:t>
            </w:r>
          </w:p>
        </w:tc>
        <w:tc>
          <w:tcPr>
            <w:tcW w:w="476"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w:t>
            </w:r>
          </w:p>
        </w:tc>
        <w:tc>
          <w:tcPr>
            <w:tcW w:w="697"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i w:val="0"/>
                <w:iCs w:val="0"/>
                <w:color w:val="000000"/>
                <w:sz w:val="20"/>
                <w:szCs w:val="20"/>
                <w:u w:val="none"/>
              </w:rPr>
            </w:pPr>
          </w:p>
        </w:tc>
        <w:tc>
          <w:tcPr>
            <w:tcW w:w="520"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i w:val="0"/>
                <w:iCs w:val="0"/>
                <w:color w:val="000000"/>
                <w:sz w:val="20"/>
                <w:szCs w:val="20"/>
                <w:u w:val="none"/>
              </w:rPr>
            </w:pPr>
          </w:p>
        </w:tc>
        <w:tc>
          <w:tcPr>
            <w:tcW w:w="145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77" w:hRule="atLeast"/>
        </w:trPr>
        <w:tc>
          <w:tcPr>
            <w:tcW w:w="0" w:type="auto"/>
            <w:vMerge w:val="continue"/>
            <w:tcBorders>
              <w:top w:val="single" w:color="00B0F0" w:sz="4" w:space="0"/>
              <w:left w:val="single" w:color="00B0F0" w:sz="4" w:space="0"/>
              <w:bottom w:val="single" w:color="00B0F0" w:sz="4" w:space="0"/>
              <w:right w:val="single" w:color="00B0F0" w:sz="4" w:space="0"/>
            </w:tcBorders>
            <w:shd w:val="clear" w:color="auto" w:fill="FFFFFF"/>
            <w:noWrap/>
            <w:vAlign w:val="center"/>
          </w:tcPr>
          <w:p>
            <w:pPr>
              <w:jc w:val="center"/>
              <w:rPr>
                <w:rFonts w:hint="eastAsia" w:ascii="微软雅黑" w:hAnsi="微软雅黑" w:eastAsia="微软雅黑" w:cs="微软雅黑"/>
                <w:b/>
                <w:bCs/>
                <w:i w:val="0"/>
                <w:iCs w:val="0"/>
                <w:color w:val="000000"/>
                <w:sz w:val="20"/>
                <w:szCs w:val="20"/>
                <w:u w:val="none"/>
              </w:rPr>
            </w:pPr>
          </w:p>
        </w:tc>
        <w:tc>
          <w:tcPr>
            <w:tcW w:w="714"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39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88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1702"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智能体检</w:t>
            </w:r>
          </w:p>
        </w:tc>
        <w:tc>
          <w:tcPr>
            <w:tcW w:w="1725"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7天*24小时在线自助服务</w:t>
            </w:r>
          </w:p>
        </w:tc>
        <w:tc>
          <w:tcPr>
            <w:tcW w:w="621"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w:t>
            </w:r>
          </w:p>
        </w:tc>
        <w:tc>
          <w:tcPr>
            <w:tcW w:w="476"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w:t>
            </w:r>
          </w:p>
        </w:tc>
        <w:tc>
          <w:tcPr>
            <w:tcW w:w="697"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i w:val="0"/>
                <w:iCs w:val="0"/>
                <w:color w:val="000000"/>
                <w:sz w:val="20"/>
                <w:szCs w:val="20"/>
                <w:u w:val="none"/>
              </w:rPr>
            </w:pPr>
          </w:p>
        </w:tc>
        <w:tc>
          <w:tcPr>
            <w:tcW w:w="520"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i w:val="0"/>
                <w:iCs w:val="0"/>
                <w:color w:val="000000"/>
                <w:sz w:val="20"/>
                <w:szCs w:val="20"/>
                <w:u w:val="none"/>
              </w:rPr>
            </w:pPr>
          </w:p>
        </w:tc>
        <w:tc>
          <w:tcPr>
            <w:tcW w:w="145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77" w:hRule="atLeast"/>
        </w:trPr>
        <w:tc>
          <w:tcPr>
            <w:tcW w:w="0" w:type="auto"/>
            <w:vMerge w:val="continue"/>
            <w:tcBorders>
              <w:top w:val="single" w:color="00B0F0" w:sz="4" w:space="0"/>
              <w:left w:val="single" w:color="00B0F0" w:sz="4" w:space="0"/>
              <w:bottom w:val="single" w:color="00B0F0" w:sz="4" w:space="0"/>
              <w:right w:val="single" w:color="00B0F0" w:sz="4" w:space="0"/>
            </w:tcBorders>
            <w:shd w:val="clear" w:color="auto" w:fill="FFFFFF"/>
            <w:noWrap/>
            <w:vAlign w:val="center"/>
          </w:tcPr>
          <w:p>
            <w:pPr>
              <w:jc w:val="center"/>
              <w:rPr>
                <w:rFonts w:hint="eastAsia" w:ascii="微软雅黑" w:hAnsi="微软雅黑" w:eastAsia="微软雅黑" w:cs="微软雅黑"/>
                <w:b/>
                <w:bCs/>
                <w:i w:val="0"/>
                <w:iCs w:val="0"/>
                <w:color w:val="000000"/>
                <w:sz w:val="20"/>
                <w:szCs w:val="20"/>
                <w:u w:val="none"/>
              </w:rPr>
            </w:pPr>
          </w:p>
        </w:tc>
        <w:tc>
          <w:tcPr>
            <w:tcW w:w="714"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39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88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1702"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产品智能在线服务</w:t>
            </w:r>
          </w:p>
        </w:tc>
        <w:tc>
          <w:tcPr>
            <w:tcW w:w="1725"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7天*24小时在线自助服务</w:t>
            </w:r>
          </w:p>
        </w:tc>
        <w:tc>
          <w:tcPr>
            <w:tcW w:w="621"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w:t>
            </w:r>
          </w:p>
        </w:tc>
        <w:tc>
          <w:tcPr>
            <w:tcW w:w="476"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w:t>
            </w:r>
          </w:p>
        </w:tc>
        <w:tc>
          <w:tcPr>
            <w:tcW w:w="697" w:type="dxa"/>
            <w:vMerge w:val="restart"/>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远程</w:t>
            </w:r>
          </w:p>
        </w:tc>
        <w:tc>
          <w:tcPr>
            <w:tcW w:w="520"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i w:val="0"/>
                <w:iCs w:val="0"/>
                <w:color w:val="000000"/>
                <w:sz w:val="20"/>
                <w:szCs w:val="20"/>
                <w:u w:val="none"/>
              </w:rPr>
            </w:pPr>
          </w:p>
        </w:tc>
        <w:tc>
          <w:tcPr>
            <w:tcW w:w="145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77" w:hRule="atLeast"/>
        </w:trPr>
        <w:tc>
          <w:tcPr>
            <w:tcW w:w="0" w:type="auto"/>
            <w:vMerge w:val="continue"/>
            <w:tcBorders>
              <w:top w:val="single" w:color="00B0F0" w:sz="4" w:space="0"/>
              <w:left w:val="single" w:color="00B0F0" w:sz="4" w:space="0"/>
              <w:bottom w:val="single" w:color="00B0F0" w:sz="4" w:space="0"/>
              <w:right w:val="single" w:color="00B0F0" w:sz="4" w:space="0"/>
            </w:tcBorders>
            <w:shd w:val="clear" w:color="auto" w:fill="FFFFFF"/>
            <w:noWrap/>
            <w:vAlign w:val="center"/>
          </w:tcPr>
          <w:p>
            <w:pPr>
              <w:jc w:val="center"/>
              <w:rPr>
                <w:rFonts w:hint="eastAsia" w:ascii="微软雅黑" w:hAnsi="微软雅黑" w:eastAsia="微软雅黑" w:cs="微软雅黑"/>
                <w:b/>
                <w:bCs/>
                <w:i w:val="0"/>
                <w:iCs w:val="0"/>
                <w:color w:val="000000"/>
                <w:sz w:val="20"/>
                <w:szCs w:val="20"/>
                <w:u w:val="none"/>
              </w:rPr>
            </w:pPr>
          </w:p>
        </w:tc>
        <w:tc>
          <w:tcPr>
            <w:tcW w:w="714"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39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88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1702"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FF0000"/>
                <w:sz w:val="20"/>
                <w:szCs w:val="20"/>
                <w:u w:val="none"/>
              </w:rPr>
            </w:pPr>
            <w:r>
              <w:rPr>
                <w:rFonts w:hint="eastAsia" w:ascii="微软雅黑" w:hAnsi="微软雅黑" w:eastAsia="微软雅黑" w:cs="微软雅黑"/>
                <w:i w:val="0"/>
                <w:iCs w:val="0"/>
                <w:color w:val="FF0000"/>
                <w:kern w:val="0"/>
                <w:sz w:val="20"/>
                <w:szCs w:val="20"/>
                <w:u w:val="none"/>
                <w:bdr w:val="none" w:color="auto" w:sz="0" w:space="0"/>
                <w:lang w:val="en-US" w:eastAsia="zh-CN" w:bidi="ar"/>
              </w:rPr>
              <w:t>建模平台使用授权</w:t>
            </w:r>
          </w:p>
        </w:tc>
        <w:tc>
          <w:tcPr>
            <w:tcW w:w="1725"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20"/>
                <w:szCs w:val="20"/>
                <w:u w:val="none"/>
              </w:rPr>
            </w:pPr>
            <w:r>
              <w:rPr>
                <w:rFonts w:hint="eastAsia" w:ascii="微软雅黑" w:hAnsi="微软雅黑" w:eastAsia="微软雅黑" w:cs="微软雅黑"/>
                <w:i w:val="0"/>
                <w:iCs w:val="0"/>
                <w:color w:val="FF0000"/>
                <w:kern w:val="0"/>
                <w:sz w:val="20"/>
                <w:szCs w:val="20"/>
                <w:u w:val="none"/>
                <w:bdr w:val="none" w:color="auto" w:sz="0" w:space="0"/>
                <w:lang w:val="en-US" w:eastAsia="zh-CN" w:bidi="ar"/>
              </w:rPr>
              <w:t>7天*24小时在线自助服务</w:t>
            </w:r>
          </w:p>
        </w:tc>
        <w:tc>
          <w:tcPr>
            <w:tcW w:w="621"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20"/>
                <w:szCs w:val="20"/>
                <w:u w:val="none"/>
              </w:rPr>
            </w:pPr>
            <w:r>
              <w:rPr>
                <w:rFonts w:hint="eastAsia" w:ascii="微软雅黑" w:hAnsi="微软雅黑" w:eastAsia="微软雅黑" w:cs="微软雅黑"/>
                <w:i w:val="0"/>
                <w:iCs w:val="0"/>
                <w:color w:val="FF0000"/>
                <w:kern w:val="0"/>
                <w:sz w:val="20"/>
                <w:szCs w:val="20"/>
                <w:u w:val="none"/>
                <w:bdr w:val="none" w:color="auto" w:sz="0" w:space="0"/>
                <w:lang w:val="en-US" w:eastAsia="zh-CN" w:bidi="ar"/>
              </w:rPr>
              <w:t>-</w:t>
            </w:r>
          </w:p>
        </w:tc>
        <w:tc>
          <w:tcPr>
            <w:tcW w:w="476"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w:t>
            </w:r>
          </w:p>
        </w:tc>
        <w:tc>
          <w:tcPr>
            <w:tcW w:w="697"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i w:val="0"/>
                <w:iCs w:val="0"/>
                <w:color w:val="000000"/>
                <w:sz w:val="20"/>
                <w:szCs w:val="20"/>
                <w:u w:val="none"/>
              </w:rPr>
            </w:pPr>
          </w:p>
        </w:tc>
        <w:tc>
          <w:tcPr>
            <w:tcW w:w="520"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i w:val="0"/>
                <w:iCs w:val="0"/>
                <w:color w:val="000000"/>
                <w:sz w:val="20"/>
                <w:szCs w:val="20"/>
                <w:u w:val="none"/>
              </w:rPr>
            </w:pPr>
          </w:p>
        </w:tc>
        <w:tc>
          <w:tcPr>
            <w:tcW w:w="145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61" w:hRule="atLeast"/>
        </w:trPr>
        <w:tc>
          <w:tcPr>
            <w:tcW w:w="0" w:type="auto"/>
            <w:vMerge w:val="continue"/>
            <w:tcBorders>
              <w:top w:val="single" w:color="00B0F0" w:sz="4" w:space="0"/>
              <w:left w:val="single" w:color="00B0F0" w:sz="4" w:space="0"/>
              <w:bottom w:val="single" w:color="00B0F0" w:sz="4" w:space="0"/>
              <w:right w:val="single" w:color="00B0F0" w:sz="4" w:space="0"/>
            </w:tcBorders>
            <w:shd w:val="clear" w:color="auto" w:fill="FFFFFF"/>
            <w:noWrap/>
            <w:vAlign w:val="center"/>
          </w:tcPr>
          <w:p>
            <w:pPr>
              <w:jc w:val="center"/>
              <w:rPr>
                <w:rFonts w:hint="eastAsia" w:ascii="微软雅黑" w:hAnsi="微软雅黑" w:eastAsia="微软雅黑" w:cs="微软雅黑"/>
                <w:b/>
                <w:bCs/>
                <w:i w:val="0"/>
                <w:iCs w:val="0"/>
                <w:color w:val="000000"/>
                <w:sz w:val="20"/>
                <w:szCs w:val="20"/>
                <w:u w:val="none"/>
              </w:rPr>
            </w:pPr>
          </w:p>
        </w:tc>
        <w:tc>
          <w:tcPr>
            <w:tcW w:w="714"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39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88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1702"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FF0000"/>
                <w:sz w:val="20"/>
                <w:szCs w:val="20"/>
                <w:u w:val="none"/>
              </w:rPr>
            </w:pPr>
            <w:r>
              <w:rPr>
                <w:rFonts w:hint="eastAsia" w:ascii="微软雅黑" w:hAnsi="微软雅黑" w:eastAsia="微软雅黑" w:cs="微软雅黑"/>
                <w:i w:val="0"/>
                <w:iCs w:val="0"/>
                <w:color w:val="FF0000"/>
                <w:kern w:val="0"/>
                <w:sz w:val="20"/>
                <w:szCs w:val="20"/>
                <w:u w:val="none"/>
                <w:bdr w:val="none" w:color="auto" w:sz="0" w:space="0"/>
                <w:lang w:val="en-US" w:eastAsia="zh-CN" w:bidi="ar"/>
              </w:rPr>
              <w:t>云ERP开放平台版本升级包</w:t>
            </w:r>
          </w:p>
        </w:tc>
        <w:tc>
          <w:tcPr>
            <w:tcW w:w="1725"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FF0000"/>
                <w:sz w:val="20"/>
                <w:szCs w:val="20"/>
                <w:u w:val="none"/>
              </w:rPr>
            </w:pPr>
            <w:r>
              <w:rPr>
                <w:rFonts w:hint="eastAsia" w:ascii="微软雅黑" w:hAnsi="微软雅黑" w:eastAsia="微软雅黑" w:cs="微软雅黑"/>
                <w:i w:val="0"/>
                <w:iCs w:val="0"/>
                <w:color w:val="FF0000"/>
                <w:kern w:val="0"/>
                <w:sz w:val="20"/>
                <w:szCs w:val="20"/>
                <w:u w:val="none"/>
                <w:bdr w:val="none" w:color="auto" w:sz="0" w:space="0"/>
                <w:lang w:val="en-US" w:eastAsia="zh-CN" w:bidi="ar"/>
              </w:rPr>
              <w:t>按照明源云ERP开放平台发版规范提供合格的平台版本升级包</w:t>
            </w:r>
          </w:p>
        </w:tc>
        <w:tc>
          <w:tcPr>
            <w:tcW w:w="621"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20"/>
                <w:szCs w:val="20"/>
                <w:u w:val="none"/>
              </w:rPr>
            </w:pPr>
            <w:r>
              <w:rPr>
                <w:rFonts w:hint="eastAsia" w:ascii="微软雅黑" w:hAnsi="微软雅黑" w:eastAsia="微软雅黑" w:cs="微软雅黑"/>
                <w:i w:val="0"/>
                <w:iCs w:val="0"/>
                <w:color w:val="FF0000"/>
                <w:kern w:val="0"/>
                <w:sz w:val="20"/>
                <w:szCs w:val="20"/>
                <w:u w:val="none"/>
                <w:bdr w:val="none" w:color="auto" w:sz="0" w:space="0"/>
                <w:lang w:val="en-US" w:eastAsia="zh-CN" w:bidi="ar"/>
              </w:rPr>
              <w:t>-</w:t>
            </w:r>
          </w:p>
        </w:tc>
        <w:tc>
          <w:tcPr>
            <w:tcW w:w="476"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w:t>
            </w:r>
          </w:p>
        </w:tc>
        <w:tc>
          <w:tcPr>
            <w:tcW w:w="697"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i w:val="0"/>
                <w:iCs w:val="0"/>
                <w:color w:val="000000"/>
                <w:sz w:val="20"/>
                <w:szCs w:val="20"/>
                <w:u w:val="none"/>
              </w:rPr>
            </w:pPr>
          </w:p>
        </w:tc>
        <w:tc>
          <w:tcPr>
            <w:tcW w:w="520"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i w:val="0"/>
                <w:iCs w:val="0"/>
                <w:color w:val="000000"/>
                <w:sz w:val="20"/>
                <w:szCs w:val="20"/>
                <w:u w:val="none"/>
              </w:rPr>
            </w:pPr>
          </w:p>
        </w:tc>
        <w:tc>
          <w:tcPr>
            <w:tcW w:w="145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77" w:hRule="atLeast"/>
        </w:trPr>
        <w:tc>
          <w:tcPr>
            <w:tcW w:w="0" w:type="auto"/>
            <w:vMerge w:val="continue"/>
            <w:tcBorders>
              <w:top w:val="single" w:color="00B0F0" w:sz="4" w:space="0"/>
              <w:left w:val="single" w:color="00B0F0" w:sz="4" w:space="0"/>
              <w:bottom w:val="single" w:color="00B0F0" w:sz="4" w:space="0"/>
              <w:right w:val="single" w:color="00B0F0" w:sz="4" w:space="0"/>
            </w:tcBorders>
            <w:shd w:val="clear" w:color="auto" w:fill="FFFFFF"/>
            <w:noWrap/>
            <w:vAlign w:val="center"/>
          </w:tcPr>
          <w:p>
            <w:pPr>
              <w:jc w:val="center"/>
              <w:rPr>
                <w:rFonts w:hint="eastAsia" w:ascii="微软雅黑" w:hAnsi="微软雅黑" w:eastAsia="微软雅黑" w:cs="微软雅黑"/>
                <w:b/>
                <w:bCs/>
                <w:i w:val="0"/>
                <w:iCs w:val="0"/>
                <w:color w:val="000000"/>
                <w:sz w:val="20"/>
                <w:szCs w:val="20"/>
                <w:u w:val="none"/>
              </w:rPr>
            </w:pPr>
          </w:p>
        </w:tc>
        <w:tc>
          <w:tcPr>
            <w:tcW w:w="714"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39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88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1702"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FF0000"/>
                <w:sz w:val="20"/>
                <w:szCs w:val="20"/>
                <w:u w:val="none"/>
              </w:rPr>
            </w:pPr>
            <w:r>
              <w:rPr>
                <w:rFonts w:hint="eastAsia" w:ascii="微软雅黑" w:hAnsi="微软雅黑" w:eastAsia="微软雅黑" w:cs="微软雅黑"/>
                <w:i w:val="0"/>
                <w:iCs w:val="0"/>
                <w:color w:val="FF0000"/>
                <w:kern w:val="0"/>
                <w:sz w:val="20"/>
                <w:szCs w:val="20"/>
                <w:u w:val="none"/>
                <w:bdr w:val="none" w:color="auto" w:sz="0" w:space="0"/>
                <w:lang w:val="en-US" w:eastAsia="zh-CN" w:bidi="ar"/>
              </w:rPr>
              <w:t>用户授权资产保值</w:t>
            </w:r>
          </w:p>
        </w:tc>
        <w:tc>
          <w:tcPr>
            <w:tcW w:w="1725"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20"/>
                <w:szCs w:val="20"/>
                <w:u w:val="none"/>
              </w:rPr>
            </w:pPr>
            <w:r>
              <w:rPr>
                <w:rFonts w:hint="eastAsia" w:ascii="微软雅黑" w:hAnsi="微软雅黑" w:eastAsia="微软雅黑" w:cs="微软雅黑"/>
                <w:i w:val="0"/>
                <w:iCs w:val="0"/>
                <w:color w:val="FF0000"/>
                <w:kern w:val="0"/>
                <w:sz w:val="20"/>
                <w:szCs w:val="20"/>
                <w:u w:val="none"/>
                <w:bdr w:val="none" w:color="auto" w:sz="0" w:space="0"/>
                <w:lang w:val="en-US" w:eastAsia="zh-CN" w:bidi="ar"/>
              </w:rPr>
              <w:t>版本升级后持续可用的历史用户授权</w:t>
            </w:r>
          </w:p>
        </w:tc>
        <w:tc>
          <w:tcPr>
            <w:tcW w:w="621"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20"/>
                <w:szCs w:val="20"/>
                <w:u w:val="none"/>
              </w:rPr>
            </w:pPr>
            <w:r>
              <w:rPr>
                <w:rFonts w:hint="eastAsia" w:ascii="微软雅黑" w:hAnsi="微软雅黑" w:eastAsia="微软雅黑" w:cs="微软雅黑"/>
                <w:i w:val="0"/>
                <w:iCs w:val="0"/>
                <w:color w:val="FF0000"/>
                <w:kern w:val="0"/>
                <w:sz w:val="20"/>
                <w:szCs w:val="20"/>
                <w:u w:val="none"/>
                <w:bdr w:val="none" w:color="auto" w:sz="0" w:space="0"/>
                <w:lang w:val="en-US" w:eastAsia="zh-CN" w:bidi="ar"/>
              </w:rPr>
              <w:t>-</w:t>
            </w:r>
          </w:p>
        </w:tc>
        <w:tc>
          <w:tcPr>
            <w:tcW w:w="476"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w:t>
            </w:r>
          </w:p>
        </w:tc>
        <w:tc>
          <w:tcPr>
            <w:tcW w:w="697" w:type="dxa"/>
            <w:vMerge w:val="restart"/>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远程</w:t>
            </w:r>
          </w:p>
        </w:tc>
        <w:tc>
          <w:tcPr>
            <w:tcW w:w="520"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i w:val="0"/>
                <w:iCs w:val="0"/>
                <w:color w:val="000000"/>
                <w:sz w:val="20"/>
                <w:szCs w:val="20"/>
                <w:u w:val="none"/>
              </w:rPr>
            </w:pPr>
          </w:p>
        </w:tc>
        <w:tc>
          <w:tcPr>
            <w:tcW w:w="145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77" w:hRule="atLeast"/>
        </w:trPr>
        <w:tc>
          <w:tcPr>
            <w:tcW w:w="0" w:type="auto"/>
            <w:vMerge w:val="continue"/>
            <w:tcBorders>
              <w:top w:val="single" w:color="00B0F0" w:sz="4" w:space="0"/>
              <w:left w:val="single" w:color="00B0F0" w:sz="4" w:space="0"/>
              <w:bottom w:val="single" w:color="00B0F0" w:sz="4" w:space="0"/>
              <w:right w:val="single" w:color="00B0F0" w:sz="4" w:space="0"/>
            </w:tcBorders>
            <w:shd w:val="clear" w:color="auto" w:fill="FFFFFF"/>
            <w:noWrap/>
            <w:vAlign w:val="center"/>
          </w:tcPr>
          <w:p>
            <w:pPr>
              <w:jc w:val="center"/>
              <w:rPr>
                <w:rFonts w:hint="eastAsia" w:ascii="微软雅黑" w:hAnsi="微软雅黑" w:eastAsia="微软雅黑" w:cs="微软雅黑"/>
                <w:b/>
                <w:bCs/>
                <w:i w:val="0"/>
                <w:iCs w:val="0"/>
                <w:color w:val="000000"/>
                <w:sz w:val="20"/>
                <w:szCs w:val="20"/>
                <w:u w:val="none"/>
              </w:rPr>
            </w:pPr>
          </w:p>
        </w:tc>
        <w:tc>
          <w:tcPr>
            <w:tcW w:w="714"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39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88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1702"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基础应用报告</w:t>
            </w:r>
          </w:p>
        </w:tc>
        <w:tc>
          <w:tcPr>
            <w:tcW w:w="1725"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Style w:val="30"/>
                <w:bdr w:val="none" w:color="auto" w:sz="0" w:space="0"/>
                <w:lang w:val="en-US" w:eastAsia="zh-CN" w:bidi="ar"/>
              </w:rPr>
              <w:t>按照</w:t>
            </w:r>
            <w:r>
              <w:rPr>
                <w:rStyle w:val="31"/>
                <w:bdr w:val="none" w:color="auto" w:sz="0" w:space="0"/>
                <w:lang w:val="en-US" w:eastAsia="zh-CN" w:bidi="ar"/>
              </w:rPr>
              <w:t>月度或季度</w:t>
            </w:r>
            <w:r>
              <w:rPr>
                <w:rStyle w:val="30"/>
                <w:bdr w:val="none" w:color="auto" w:sz="0" w:space="0"/>
                <w:lang w:val="en-US" w:eastAsia="zh-CN" w:bidi="ar"/>
              </w:rPr>
              <w:t>的频度提供基础应用报告</w:t>
            </w:r>
          </w:p>
        </w:tc>
        <w:tc>
          <w:tcPr>
            <w:tcW w:w="621"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w:t>
            </w:r>
          </w:p>
        </w:tc>
        <w:tc>
          <w:tcPr>
            <w:tcW w:w="476"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w:t>
            </w:r>
          </w:p>
        </w:tc>
        <w:tc>
          <w:tcPr>
            <w:tcW w:w="697"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i w:val="0"/>
                <w:iCs w:val="0"/>
                <w:color w:val="000000"/>
                <w:sz w:val="20"/>
                <w:szCs w:val="20"/>
                <w:u w:val="none"/>
              </w:rPr>
            </w:pPr>
          </w:p>
        </w:tc>
        <w:tc>
          <w:tcPr>
            <w:tcW w:w="520"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i w:val="0"/>
                <w:iCs w:val="0"/>
                <w:color w:val="000000"/>
                <w:sz w:val="20"/>
                <w:szCs w:val="20"/>
                <w:u w:val="none"/>
              </w:rPr>
            </w:pPr>
          </w:p>
        </w:tc>
        <w:tc>
          <w:tcPr>
            <w:tcW w:w="145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77" w:hRule="atLeast"/>
        </w:trPr>
        <w:tc>
          <w:tcPr>
            <w:tcW w:w="0" w:type="auto"/>
            <w:vMerge w:val="restart"/>
            <w:tcBorders>
              <w:top w:val="single" w:color="00B0F0" w:sz="4" w:space="0"/>
              <w:left w:val="single" w:color="00B0F0" w:sz="4" w:space="0"/>
              <w:bottom w:val="single" w:color="00B0F0" w:sz="4" w:space="0"/>
              <w:right w:val="single" w:color="00B0F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二</w:t>
            </w:r>
          </w:p>
        </w:tc>
        <w:tc>
          <w:tcPr>
            <w:tcW w:w="714" w:type="dxa"/>
            <w:vMerge w:val="restart"/>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Style w:val="28"/>
                <w:bdr w:val="none" w:color="auto" w:sz="0" w:space="0"/>
                <w:lang w:val="en-US" w:eastAsia="zh-CN" w:bidi="ar"/>
              </w:rPr>
              <w:t>应用支持服务</w:t>
            </w:r>
            <w:r>
              <w:rPr>
                <w:rStyle w:val="28"/>
                <w:bdr w:val="none" w:color="auto" w:sz="0" w:space="0"/>
                <w:lang w:val="en-US" w:eastAsia="zh-CN" w:bidi="ar"/>
              </w:rPr>
              <w:br w:type="textWrapping"/>
            </w:r>
            <w:r>
              <w:rPr>
                <w:rStyle w:val="28"/>
                <w:bdr w:val="none" w:color="auto" w:sz="0" w:space="0"/>
                <w:lang w:val="en-US" w:eastAsia="zh-CN" w:bidi="ar"/>
              </w:rPr>
              <w:t>【会用】</w:t>
            </w:r>
            <w:r>
              <w:rPr>
                <w:rStyle w:val="28"/>
                <w:bdr w:val="none" w:color="auto" w:sz="0" w:space="0"/>
                <w:lang w:val="en-US" w:eastAsia="zh-CN" w:bidi="ar"/>
              </w:rPr>
              <w:br w:type="textWrapping"/>
            </w:r>
            <w:r>
              <w:rPr>
                <w:rStyle w:val="29"/>
                <w:bdr w:val="none" w:color="auto" w:sz="0" w:space="0"/>
                <w:lang w:val="en-US" w:eastAsia="zh-CN" w:bidi="ar"/>
              </w:rPr>
              <w:t>面向用户</w:t>
            </w:r>
          </w:p>
        </w:tc>
        <w:tc>
          <w:tcPr>
            <w:tcW w:w="0" w:type="auto"/>
            <w:tcBorders>
              <w:top w:val="single" w:color="00B0F0" w:sz="4" w:space="0"/>
              <w:left w:val="single" w:color="00B0F0" w:sz="4" w:space="0"/>
              <w:bottom w:val="single" w:color="00B0F0" w:sz="4" w:space="0"/>
              <w:right w:val="single" w:color="00B0F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1</w:t>
            </w:r>
          </w:p>
        </w:tc>
        <w:tc>
          <w:tcPr>
            <w:tcW w:w="886"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系统操作咨询服务</w:t>
            </w:r>
          </w:p>
        </w:tc>
        <w:tc>
          <w:tcPr>
            <w:tcW w:w="1702"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系统操作咨询</w:t>
            </w:r>
          </w:p>
        </w:tc>
        <w:tc>
          <w:tcPr>
            <w:tcW w:w="1725"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5天*7小时人工服务</w:t>
            </w:r>
          </w:p>
        </w:tc>
        <w:tc>
          <w:tcPr>
            <w:tcW w:w="621"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w:t>
            </w:r>
          </w:p>
        </w:tc>
        <w:tc>
          <w:tcPr>
            <w:tcW w:w="476"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w:t>
            </w:r>
          </w:p>
        </w:tc>
        <w:tc>
          <w:tcPr>
            <w:tcW w:w="697"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远程</w:t>
            </w:r>
          </w:p>
        </w:tc>
        <w:tc>
          <w:tcPr>
            <w:tcW w:w="520"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i w:val="0"/>
                <w:iCs w:val="0"/>
                <w:color w:val="000000"/>
                <w:sz w:val="20"/>
                <w:szCs w:val="20"/>
                <w:u w:val="none"/>
              </w:rPr>
            </w:pPr>
          </w:p>
        </w:tc>
        <w:tc>
          <w:tcPr>
            <w:tcW w:w="145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61" w:hRule="atLeast"/>
        </w:trPr>
        <w:tc>
          <w:tcPr>
            <w:tcW w:w="0" w:type="auto"/>
            <w:vMerge w:val="continue"/>
            <w:tcBorders>
              <w:top w:val="single" w:color="00B0F0" w:sz="4" w:space="0"/>
              <w:left w:val="single" w:color="00B0F0" w:sz="4" w:space="0"/>
              <w:bottom w:val="single" w:color="00B0F0" w:sz="4" w:space="0"/>
              <w:right w:val="single" w:color="00B0F0" w:sz="4" w:space="0"/>
            </w:tcBorders>
            <w:shd w:val="clear" w:color="auto" w:fill="FFFFFF"/>
            <w:noWrap/>
            <w:vAlign w:val="center"/>
          </w:tcPr>
          <w:p>
            <w:pPr>
              <w:jc w:val="center"/>
              <w:rPr>
                <w:rFonts w:hint="eastAsia" w:ascii="微软雅黑" w:hAnsi="微软雅黑" w:eastAsia="微软雅黑" w:cs="微软雅黑"/>
                <w:b/>
                <w:bCs/>
                <w:i w:val="0"/>
                <w:iCs w:val="0"/>
                <w:color w:val="000000"/>
                <w:sz w:val="20"/>
                <w:szCs w:val="20"/>
                <w:u w:val="none"/>
              </w:rPr>
            </w:pPr>
          </w:p>
        </w:tc>
        <w:tc>
          <w:tcPr>
            <w:tcW w:w="714"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396" w:type="dxa"/>
            <w:tcBorders>
              <w:top w:val="single" w:color="00B0F0" w:sz="4" w:space="0"/>
              <w:left w:val="single" w:color="00B0F0" w:sz="4" w:space="0"/>
              <w:bottom w:val="nil"/>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2</w:t>
            </w:r>
          </w:p>
        </w:tc>
        <w:tc>
          <w:tcPr>
            <w:tcW w:w="886" w:type="dxa"/>
            <w:tcBorders>
              <w:top w:val="single" w:color="00B0F0" w:sz="4" w:space="0"/>
              <w:left w:val="single" w:color="00B0F0" w:sz="4" w:space="0"/>
              <w:bottom w:val="nil"/>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主动巡检与诊断服务</w:t>
            </w:r>
          </w:p>
        </w:tc>
        <w:tc>
          <w:tcPr>
            <w:tcW w:w="1702" w:type="dxa"/>
            <w:tcBorders>
              <w:top w:val="single" w:color="00B0F0" w:sz="4" w:space="0"/>
              <w:left w:val="single" w:color="00B0F0" w:sz="4" w:space="0"/>
              <w:bottom w:val="nil"/>
              <w:right w:val="single" w:color="00B0F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系统应用诊断报告</w:t>
            </w:r>
          </w:p>
        </w:tc>
        <w:tc>
          <w:tcPr>
            <w:tcW w:w="1725"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Style w:val="32"/>
                <w:bdr w:val="none" w:color="auto" w:sz="0" w:space="0"/>
                <w:lang w:val="en-US" w:eastAsia="zh-CN" w:bidi="ar"/>
              </w:rPr>
              <w:t>每</w:t>
            </w:r>
            <w:r>
              <w:rPr>
                <w:rStyle w:val="31"/>
                <w:bdr w:val="none" w:color="auto" w:sz="0" w:space="0"/>
                <w:lang w:val="en-US" w:eastAsia="zh-CN" w:bidi="ar"/>
              </w:rPr>
              <w:t>月度或者季度</w:t>
            </w:r>
            <w:r>
              <w:rPr>
                <w:rStyle w:val="32"/>
                <w:bdr w:val="none" w:color="auto" w:sz="0" w:space="0"/>
                <w:lang w:val="en-US" w:eastAsia="zh-CN" w:bidi="ar"/>
              </w:rPr>
              <w:t>一次</w:t>
            </w:r>
          </w:p>
        </w:tc>
        <w:tc>
          <w:tcPr>
            <w:tcW w:w="621"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w:t>
            </w:r>
          </w:p>
        </w:tc>
        <w:tc>
          <w:tcPr>
            <w:tcW w:w="476"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w:t>
            </w:r>
          </w:p>
        </w:tc>
        <w:tc>
          <w:tcPr>
            <w:tcW w:w="697"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远程/上门</w:t>
            </w:r>
          </w:p>
        </w:tc>
        <w:tc>
          <w:tcPr>
            <w:tcW w:w="520"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i w:val="0"/>
                <w:iCs w:val="0"/>
                <w:color w:val="000000"/>
                <w:sz w:val="20"/>
                <w:szCs w:val="20"/>
                <w:u w:val="none"/>
              </w:rPr>
            </w:pPr>
          </w:p>
        </w:tc>
        <w:tc>
          <w:tcPr>
            <w:tcW w:w="145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77" w:hRule="atLeast"/>
        </w:trPr>
        <w:tc>
          <w:tcPr>
            <w:tcW w:w="0" w:type="auto"/>
            <w:vMerge w:val="continue"/>
            <w:tcBorders>
              <w:top w:val="single" w:color="00B0F0" w:sz="4" w:space="0"/>
              <w:left w:val="single" w:color="00B0F0" w:sz="4" w:space="0"/>
              <w:bottom w:val="single" w:color="00B0F0" w:sz="4" w:space="0"/>
              <w:right w:val="single" w:color="00B0F0" w:sz="4" w:space="0"/>
            </w:tcBorders>
            <w:shd w:val="clear" w:color="auto" w:fill="FFFFFF"/>
            <w:noWrap/>
            <w:vAlign w:val="center"/>
          </w:tcPr>
          <w:p>
            <w:pPr>
              <w:jc w:val="center"/>
              <w:rPr>
                <w:rFonts w:hint="eastAsia" w:ascii="微软雅黑" w:hAnsi="微软雅黑" w:eastAsia="微软雅黑" w:cs="微软雅黑"/>
                <w:b/>
                <w:bCs/>
                <w:i w:val="0"/>
                <w:iCs w:val="0"/>
                <w:color w:val="000000"/>
                <w:sz w:val="20"/>
                <w:szCs w:val="20"/>
                <w:u w:val="none"/>
              </w:rPr>
            </w:pPr>
          </w:p>
        </w:tc>
        <w:tc>
          <w:tcPr>
            <w:tcW w:w="714"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396"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3</w:t>
            </w:r>
          </w:p>
        </w:tc>
        <w:tc>
          <w:tcPr>
            <w:tcW w:w="886"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用户培训服务</w:t>
            </w:r>
          </w:p>
        </w:tc>
        <w:tc>
          <w:tcPr>
            <w:tcW w:w="1702"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用户系统操作培训</w:t>
            </w:r>
          </w:p>
        </w:tc>
        <w:tc>
          <w:tcPr>
            <w:tcW w:w="1725"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服务周期内可提供2次</w:t>
            </w:r>
          </w:p>
        </w:tc>
        <w:tc>
          <w:tcPr>
            <w:tcW w:w="621"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w:t>
            </w:r>
          </w:p>
        </w:tc>
        <w:tc>
          <w:tcPr>
            <w:tcW w:w="476"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w:t>
            </w:r>
          </w:p>
        </w:tc>
        <w:tc>
          <w:tcPr>
            <w:tcW w:w="697"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上门</w:t>
            </w:r>
          </w:p>
        </w:tc>
        <w:tc>
          <w:tcPr>
            <w:tcW w:w="520"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i w:val="0"/>
                <w:iCs w:val="0"/>
                <w:color w:val="000000"/>
                <w:sz w:val="20"/>
                <w:szCs w:val="20"/>
                <w:u w:val="none"/>
              </w:rPr>
            </w:pPr>
          </w:p>
        </w:tc>
        <w:tc>
          <w:tcPr>
            <w:tcW w:w="145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94" w:hRule="atLeast"/>
        </w:trPr>
        <w:tc>
          <w:tcPr>
            <w:tcW w:w="0" w:type="auto"/>
            <w:vMerge w:val="continue"/>
            <w:tcBorders>
              <w:top w:val="single" w:color="00B0F0" w:sz="4" w:space="0"/>
              <w:left w:val="single" w:color="00B0F0" w:sz="4" w:space="0"/>
              <w:bottom w:val="single" w:color="00B0F0" w:sz="4" w:space="0"/>
              <w:right w:val="single" w:color="00B0F0" w:sz="4" w:space="0"/>
            </w:tcBorders>
            <w:shd w:val="clear" w:color="auto" w:fill="FFFFFF"/>
            <w:noWrap/>
            <w:vAlign w:val="center"/>
          </w:tcPr>
          <w:p>
            <w:pPr>
              <w:jc w:val="center"/>
              <w:rPr>
                <w:rFonts w:hint="eastAsia" w:ascii="微软雅黑" w:hAnsi="微软雅黑" w:eastAsia="微软雅黑" w:cs="微软雅黑"/>
                <w:b/>
                <w:bCs/>
                <w:i w:val="0"/>
                <w:iCs w:val="0"/>
                <w:color w:val="000000"/>
                <w:sz w:val="20"/>
                <w:szCs w:val="20"/>
                <w:u w:val="none"/>
              </w:rPr>
            </w:pPr>
          </w:p>
        </w:tc>
        <w:tc>
          <w:tcPr>
            <w:tcW w:w="714"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396" w:type="dxa"/>
            <w:vMerge w:val="restart"/>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4</w:t>
            </w:r>
          </w:p>
        </w:tc>
        <w:tc>
          <w:tcPr>
            <w:tcW w:w="886" w:type="dxa"/>
            <w:vMerge w:val="restart"/>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数据价值输出服务</w:t>
            </w:r>
          </w:p>
        </w:tc>
        <w:tc>
          <w:tcPr>
            <w:tcW w:w="1702"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数据类服务</w:t>
            </w:r>
          </w:p>
        </w:tc>
        <w:tc>
          <w:tcPr>
            <w:tcW w:w="1725"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5天*7小时人工服务</w:t>
            </w:r>
          </w:p>
        </w:tc>
        <w:tc>
          <w:tcPr>
            <w:tcW w:w="621"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w:t>
            </w:r>
          </w:p>
        </w:tc>
        <w:tc>
          <w:tcPr>
            <w:tcW w:w="476"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w:t>
            </w:r>
          </w:p>
        </w:tc>
        <w:tc>
          <w:tcPr>
            <w:tcW w:w="697"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远程</w:t>
            </w:r>
          </w:p>
        </w:tc>
        <w:tc>
          <w:tcPr>
            <w:tcW w:w="520"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i w:val="0"/>
                <w:iCs w:val="0"/>
                <w:color w:val="000000"/>
                <w:sz w:val="20"/>
                <w:szCs w:val="20"/>
                <w:u w:val="none"/>
              </w:rPr>
            </w:pPr>
          </w:p>
        </w:tc>
        <w:tc>
          <w:tcPr>
            <w:tcW w:w="145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94" w:hRule="atLeast"/>
        </w:trPr>
        <w:tc>
          <w:tcPr>
            <w:tcW w:w="0" w:type="auto"/>
            <w:vMerge w:val="continue"/>
            <w:tcBorders>
              <w:top w:val="single" w:color="00B0F0" w:sz="4" w:space="0"/>
              <w:left w:val="single" w:color="00B0F0" w:sz="4" w:space="0"/>
              <w:bottom w:val="single" w:color="00B0F0" w:sz="4" w:space="0"/>
              <w:right w:val="single" w:color="00B0F0" w:sz="4" w:space="0"/>
            </w:tcBorders>
            <w:shd w:val="clear" w:color="auto" w:fill="FFFFFF"/>
            <w:noWrap/>
            <w:vAlign w:val="center"/>
          </w:tcPr>
          <w:p>
            <w:pPr>
              <w:jc w:val="center"/>
              <w:rPr>
                <w:rFonts w:hint="eastAsia" w:ascii="微软雅黑" w:hAnsi="微软雅黑" w:eastAsia="微软雅黑" w:cs="微软雅黑"/>
                <w:b/>
                <w:bCs/>
                <w:i w:val="0"/>
                <w:iCs w:val="0"/>
                <w:color w:val="000000"/>
                <w:sz w:val="20"/>
                <w:szCs w:val="20"/>
                <w:u w:val="none"/>
              </w:rPr>
            </w:pPr>
          </w:p>
        </w:tc>
        <w:tc>
          <w:tcPr>
            <w:tcW w:w="714"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39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88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1702"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报表调整&amp;套打调整</w:t>
            </w:r>
          </w:p>
        </w:tc>
        <w:tc>
          <w:tcPr>
            <w:tcW w:w="1725" w:type="dxa"/>
            <w:vMerge w:val="restart"/>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服务期限内可提供5张报表新增，调整3次算做一次新增</w:t>
            </w:r>
          </w:p>
        </w:tc>
        <w:tc>
          <w:tcPr>
            <w:tcW w:w="621"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w:t>
            </w:r>
          </w:p>
        </w:tc>
        <w:tc>
          <w:tcPr>
            <w:tcW w:w="476"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w:t>
            </w:r>
          </w:p>
        </w:tc>
        <w:tc>
          <w:tcPr>
            <w:tcW w:w="697"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远程</w:t>
            </w:r>
          </w:p>
        </w:tc>
        <w:tc>
          <w:tcPr>
            <w:tcW w:w="520"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i w:val="0"/>
                <w:iCs w:val="0"/>
                <w:color w:val="000000"/>
                <w:sz w:val="20"/>
                <w:szCs w:val="20"/>
                <w:u w:val="none"/>
              </w:rPr>
            </w:pPr>
          </w:p>
        </w:tc>
        <w:tc>
          <w:tcPr>
            <w:tcW w:w="145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0" w:type="auto"/>
            <w:vMerge w:val="continue"/>
            <w:tcBorders>
              <w:top w:val="single" w:color="00B0F0" w:sz="4" w:space="0"/>
              <w:left w:val="single" w:color="00B0F0" w:sz="4" w:space="0"/>
              <w:bottom w:val="single" w:color="00B0F0" w:sz="4" w:space="0"/>
              <w:right w:val="single" w:color="00B0F0" w:sz="4" w:space="0"/>
            </w:tcBorders>
            <w:shd w:val="clear" w:color="auto" w:fill="FFFFFF"/>
            <w:noWrap/>
            <w:vAlign w:val="center"/>
          </w:tcPr>
          <w:p>
            <w:pPr>
              <w:jc w:val="center"/>
              <w:rPr>
                <w:rFonts w:hint="eastAsia" w:ascii="微软雅黑" w:hAnsi="微软雅黑" w:eastAsia="微软雅黑" w:cs="微软雅黑"/>
                <w:b/>
                <w:bCs/>
                <w:i w:val="0"/>
                <w:iCs w:val="0"/>
                <w:color w:val="000000"/>
                <w:sz w:val="20"/>
                <w:szCs w:val="20"/>
                <w:u w:val="none"/>
              </w:rPr>
            </w:pPr>
          </w:p>
        </w:tc>
        <w:tc>
          <w:tcPr>
            <w:tcW w:w="714"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39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88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1702"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套打新增&amp;报表新增</w:t>
            </w:r>
          </w:p>
        </w:tc>
        <w:tc>
          <w:tcPr>
            <w:tcW w:w="1725"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i w:val="0"/>
                <w:iCs w:val="0"/>
                <w:color w:val="000000"/>
                <w:sz w:val="20"/>
                <w:szCs w:val="20"/>
                <w:u w:val="none"/>
              </w:rPr>
            </w:pPr>
          </w:p>
        </w:tc>
        <w:tc>
          <w:tcPr>
            <w:tcW w:w="621"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w:t>
            </w:r>
          </w:p>
        </w:tc>
        <w:tc>
          <w:tcPr>
            <w:tcW w:w="476"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w:t>
            </w:r>
          </w:p>
        </w:tc>
        <w:tc>
          <w:tcPr>
            <w:tcW w:w="697" w:type="dxa"/>
            <w:tcBorders>
              <w:top w:val="single" w:color="00B0F0" w:sz="4" w:space="0"/>
              <w:left w:val="single" w:color="00B0F0" w:sz="4" w:space="0"/>
              <w:bottom w:val="single" w:color="00B0F0" w:sz="4" w:space="0"/>
              <w:right w:val="single" w:color="00B0F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远程</w:t>
            </w:r>
          </w:p>
        </w:tc>
        <w:tc>
          <w:tcPr>
            <w:tcW w:w="520"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i w:val="0"/>
                <w:iCs w:val="0"/>
                <w:color w:val="000000"/>
                <w:sz w:val="20"/>
                <w:szCs w:val="20"/>
                <w:u w:val="none"/>
              </w:rPr>
            </w:pPr>
          </w:p>
        </w:tc>
        <w:tc>
          <w:tcPr>
            <w:tcW w:w="1456" w:type="dxa"/>
            <w:vMerge w:val="continue"/>
            <w:tcBorders>
              <w:top w:val="single" w:color="00B0F0" w:sz="4" w:space="0"/>
              <w:left w:val="single" w:color="00B0F0" w:sz="4" w:space="0"/>
              <w:bottom w:val="single" w:color="00B0F0" w:sz="4" w:space="0"/>
              <w:right w:val="single" w:color="00B0F0" w:sz="4" w:space="0"/>
            </w:tcBorders>
            <w:shd w:val="clear" w:color="auto" w:fill="FFFFFF"/>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2" w:hRule="atLeast"/>
        </w:trPr>
        <w:tc>
          <w:tcPr>
            <w:tcW w:w="0" w:type="auto"/>
            <w:tcBorders>
              <w:top w:val="single" w:color="00B0F0" w:sz="4" w:space="0"/>
              <w:left w:val="single" w:color="00B0F0" w:sz="4" w:space="0"/>
              <w:bottom w:val="single" w:color="00B0F0" w:sz="4" w:space="0"/>
              <w:right w:val="single" w:color="00B0F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b/>
                <w:bCs/>
                <w:i/>
                <w:iCs/>
                <w:color w:val="00B0F0"/>
                <w:sz w:val="20"/>
                <w:szCs w:val="20"/>
                <w:u w:val="none"/>
              </w:rPr>
            </w:pPr>
            <w:r>
              <w:rPr>
                <w:rFonts w:hint="eastAsia" w:ascii="微软雅黑" w:hAnsi="微软雅黑" w:eastAsia="微软雅黑" w:cs="微软雅黑"/>
                <w:b/>
                <w:bCs/>
                <w:i/>
                <w:iCs/>
                <w:color w:val="00B0F0"/>
                <w:kern w:val="0"/>
                <w:sz w:val="20"/>
                <w:szCs w:val="20"/>
                <w:u w:val="none"/>
                <w:bdr w:val="none" w:color="auto" w:sz="0" w:space="0"/>
                <w:lang w:val="en-US" w:eastAsia="zh-CN" w:bidi="ar"/>
              </w:rPr>
              <w:t>三</w:t>
            </w:r>
          </w:p>
        </w:tc>
        <w:tc>
          <w:tcPr>
            <w:tcW w:w="714" w:type="dxa"/>
            <w:tcBorders>
              <w:top w:val="single" w:color="00B0F0" w:sz="4" w:space="0"/>
              <w:left w:val="single" w:color="00B0F0" w:sz="4" w:space="0"/>
              <w:bottom w:val="single" w:color="00B0F0" w:sz="4" w:space="0"/>
              <w:right w:val="single" w:color="00B0F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b/>
                <w:bCs/>
                <w:i/>
                <w:iCs/>
                <w:color w:val="00B0F0"/>
                <w:sz w:val="20"/>
                <w:szCs w:val="20"/>
                <w:u w:val="none"/>
              </w:rPr>
            </w:pPr>
            <w:r>
              <w:rPr>
                <w:rFonts w:hint="eastAsia" w:ascii="微软雅黑" w:hAnsi="微软雅黑" w:eastAsia="微软雅黑" w:cs="微软雅黑"/>
                <w:b/>
                <w:bCs/>
                <w:i/>
                <w:iCs/>
                <w:color w:val="00B0F0"/>
                <w:kern w:val="0"/>
                <w:sz w:val="20"/>
                <w:szCs w:val="20"/>
                <w:u w:val="none"/>
                <w:bdr w:val="none" w:color="auto" w:sz="0" w:space="0"/>
                <w:lang w:val="en-US" w:eastAsia="zh-CN" w:bidi="ar"/>
              </w:rPr>
              <w:t>其他可选服务</w:t>
            </w:r>
          </w:p>
        </w:tc>
        <w:tc>
          <w:tcPr>
            <w:tcW w:w="396" w:type="dxa"/>
            <w:tcBorders>
              <w:top w:val="single" w:color="00B0F0" w:sz="4" w:space="0"/>
              <w:left w:val="single" w:color="00B0F0" w:sz="4" w:space="0"/>
              <w:bottom w:val="single" w:color="00B0F0" w:sz="4" w:space="0"/>
              <w:right w:val="single" w:color="00B0F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b/>
                <w:bCs/>
                <w:i/>
                <w:iCs/>
                <w:color w:val="00B0F0"/>
                <w:sz w:val="20"/>
                <w:szCs w:val="20"/>
                <w:u w:val="none"/>
              </w:rPr>
            </w:pPr>
            <w:r>
              <w:rPr>
                <w:rFonts w:hint="eastAsia" w:ascii="微软雅黑" w:hAnsi="微软雅黑" w:eastAsia="微软雅黑" w:cs="微软雅黑"/>
                <w:b/>
                <w:bCs/>
                <w:i/>
                <w:iCs/>
                <w:color w:val="00B0F0"/>
                <w:kern w:val="0"/>
                <w:sz w:val="20"/>
                <w:szCs w:val="20"/>
                <w:u w:val="none"/>
                <w:bdr w:val="none" w:color="auto" w:sz="0" w:space="0"/>
                <w:lang w:val="en-US" w:eastAsia="zh-CN" w:bidi="ar"/>
              </w:rPr>
              <w:t>5</w:t>
            </w:r>
          </w:p>
        </w:tc>
        <w:tc>
          <w:tcPr>
            <w:tcW w:w="886" w:type="dxa"/>
            <w:tcBorders>
              <w:top w:val="single" w:color="00B0F0" w:sz="4" w:space="0"/>
              <w:left w:val="single" w:color="00B0F0" w:sz="4" w:space="0"/>
              <w:bottom w:val="single" w:color="00B0F0" w:sz="4" w:space="0"/>
              <w:right w:val="single" w:color="00B0F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b/>
                <w:bCs/>
                <w:i/>
                <w:iCs/>
                <w:color w:val="00B0F0"/>
                <w:sz w:val="20"/>
                <w:szCs w:val="20"/>
                <w:u w:val="none"/>
              </w:rPr>
            </w:pPr>
            <w:r>
              <w:rPr>
                <w:rFonts w:hint="eastAsia" w:ascii="微软雅黑" w:hAnsi="微软雅黑" w:eastAsia="微软雅黑" w:cs="微软雅黑"/>
                <w:b/>
                <w:bCs/>
                <w:i/>
                <w:iCs/>
                <w:color w:val="00B0F0"/>
                <w:kern w:val="0"/>
                <w:sz w:val="20"/>
                <w:szCs w:val="20"/>
                <w:u w:val="none"/>
                <w:bdr w:val="none" w:color="auto" w:sz="0" w:space="0"/>
                <w:lang w:val="en-US" w:eastAsia="zh-CN" w:bidi="ar"/>
              </w:rPr>
              <w:t>系统代操作服务</w:t>
            </w:r>
          </w:p>
        </w:tc>
        <w:tc>
          <w:tcPr>
            <w:tcW w:w="1702" w:type="dxa"/>
            <w:tcBorders>
              <w:top w:val="single" w:color="00B0F0" w:sz="4" w:space="0"/>
              <w:left w:val="single" w:color="00B0F0" w:sz="4" w:space="0"/>
              <w:bottom w:val="single" w:color="00B0F0" w:sz="4" w:space="0"/>
              <w:right w:val="single" w:color="00B0F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B0F0"/>
                <w:sz w:val="20"/>
                <w:szCs w:val="20"/>
                <w:u w:val="none"/>
              </w:rPr>
            </w:pPr>
            <w:r>
              <w:rPr>
                <w:rFonts w:hint="eastAsia" w:ascii="微软雅黑" w:hAnsi="微软雅黑" w:eastAsia="微软雅黑" w:cs="微软雅黑"/>
                <w:i/>
                <w:iCs/>
                <w:color w:val="00B0F0"/>
                <w:kern w:val="0"/>
                <w:sz w:val="20"/>
                <w:szCs w:val="20"/>
                <w:u w:val="none"/>
                <w:bdr w:val="none" w:color="auto" w:sz="0" w:space="0"/>
                <w:lang w:val="en-US" w:eastAsia="zh-CN" w:bidi="ar"/>
              </w:rPr>
              <w:t>代操作服务</w:t>
            </w:r>
            <w:r>
              <w:rPr>
                <w:rFonts w:hint="eastAsia" w:ascii="微软雅黑" w:hAnsi="微软雅黑" w:eastAsia="微软雅黑" w:cs="微软雅黑"/>
                <w:i/>
                <w:iCs/>
                <w:color w:val="00B0F0"/>
                <w:kern w:val="0"/>
                <w:sz w:val="20"/>
                <w:szCs w:val="20"/>
                <w:u w:val="none"/>
                <w:bdr w:val="none" w:color="auto" w:sz="0" w:space="0"/>
                <w:lang w:val="en-US" w:eastAsia="zh-CN" w:bidi="ar"/>
              </w:rPr>
              <w:br w:type="textWrapping"/>
            </w:r>
            <w:r>
              <w:rPr>
                <w:rFonts w:hint="eastAsia" w:ascii="微软雅黑" w:hAnsi="微软雅黑" w:eastAsia="微软雅黑" w:cs="微软雅黑"/>
                <w:i/>
                <w:iCs/>
                <w:color w:val="00B0F0"/>
                <w:kern w:val="0"/>
                <w:sz w:val="20"/>
                <w:szCs w:val="20"/>
                <w:u w:val="none"/>
                <w:bdr w:val="none" w:color="auto" w:sz="0" w:space="0"/>
                <w:lang w:val="en-US" w:eastAsia="zh-CN" w:bidi="ar"/>
              </w:rPr>
              <w:t>（服务内容：</w:t>
            </w:r>
            <w:r>
              <w:rPr>
                <w:rFonts w:hint="eastAsia" w:ascii="微软雅黑" w:hAnsi="微软雅黑" w:eastAsia="微软雅黑" w:cs="微软雅黑"/>
                <w:i/>
                <w:iCs/>
                <w:color w:val="00B0F0"/>
                <w:kern w:val="0"/>
                <w:sz w:val="20"/>
                <w:szCs w:val="20"/>
                <w:u w:val="none"/>
                <w:bdr w:val="none" w:color="auto" w:sz="0" w:space="0"/>
                <w:lang w:val="en-US" w:eastAsia="zh-CN" w:bidi="ar"/>
              </w:rPr>
              <w:br w:type="textWrapping"/>
            </w:r>
            <w:r>
              <w:rPr>
                <w:rFonts w:hint="eastAsia" w:ascii="微软雅黑" w:hAnsi="微软雅黑" w:eastAsia="微软雅黑" w:cs="微软雅黑"/>
                <w:i/>
                <w:iCs/>
                <w:color w:val="00B0F0"/>
                <w:kern w:val="0"/>
                <w:sz w:val="20"/>
                <w:szCs w:val="20"/>
                <w:u w:val="none"/>
                <w:bdr w:val="none" w:color="auto" w:sz="0" w:space="0"/>
                <w:lang w:val="en-US" w:eastAsia="zh-CN" w:bidi="ar"/>
              </w:rPr>
              <w:t>1、流程调整；</w:t>
            </w:r>
            <w:r>
              <w:rPr>
                <w:rFonts w:hint="eastAsia" w:ascii="微软雅黑" w:hAnsi="微软雅黑" w:eastAsia="微软雅黑" w:cs="微软雅黑"/>
                <w:i/>
                <w:iCs/>
                <w:color w:val="00B0F0"/>
                <w:kern w:val="0"/>
                <w:sz w:val="20"/>
                <w:szCs w:val="20"/>
                <w:u w:val="none"/>
                <w:bdr w:val="none" w:color="auto" w:sz="0" w:space="0"/>
                <w:lang w:val="en-US" w:eastAsia="zh-CN" w:bidi="ar"/>
              </w:rPr>
              <w:br w:type="textWrapping"/>
            </w:r>
            <w:r>
              <w:rPr>
                <w:rFonts w:hint="eastAsia" w:ascii="微软雅黑" w:hAnsi="微软雅黑" w:eastAsia="微软雅黑" w:cs="微软雅黑"/>
                <w:i/>
                <w:iCs/>
                <w:color w:val="00B0F0"/>
                <w:kern w:val="0"/>
                <w:sz w:val="20"/>
                <w:szCs w:val="20"/>
                <w:u w:val="none"/>
                <w:bdr w:val="none" w:color="auto" w:sz="0" w:space="0"/>
                <w:lang w:val="en-US" w:eastAsia="zh-CN" w:bidi="ar"/>
              </w:rPr>
              <w:t>2、权限调整；</w:t>
            </w:r>
            <w:r>
              <w:rPr>
                <w:rFonts w:hint="eastAsia" w:ascii="微软雅黑" w:hAnsi="微软雅黑" w:eastAsia="微软雅黑" w:cs="微软雅黑"/>
                <w:i/>
                <w:iCs/>
                <w:color w:val="00B0F0"/>
                <w:kern w:val="0"/>
                <w:sz w:val="20"/>
                <w:szCs w:val="20"/>
                <w:u w:val="none"/>
                <w:bdr w:val="none" w:color="auto" w:sz="0" w:space="0"/>
                <w:lang w:val="en-US" w:eastAsia="zh-CN" w:bidi="ar"/>
              </w:rPr>
              <w:br w:type="textWrapping"/>
            </w:r>
            <w:r>
              <w:rPr>
                <w:rFonts w:hint="eastAsia" w:ascii="微软雅黑" w:hAnsi="微软雅黑" w:eastAsia="微软雅黑" w:cs="微软雅黑"/>
                <w:i/>
                <w:iCs/>
                <w:color w:val="00B0F0"/>
                <w:kern w:val="0"/>
                <w:sz w:val="20"/>
                <w:szCs w:val="20"/>
                <w:u w:val="none"/>
                <w:bdr w:val="none" w:color="auto" w:sz="0" w:space="0"/>
                <w:lang w:val="en-US" w:eastAsia="zh-CN" w:bidi="ar"/>
              </w:rPr>
              <w:t>3、组织角色、岗位配置；</w:t>
            </w:r>
            <w:r>
              <w:rPr>
                <w:rFonts w:hint="eastAsia" w:ascii="微软雅黑" w:hAnsi="微软雅黑" w:eastAsia="微软雅黑" w:cs="微软雅黑"/>
                <w:i/>
                <w:iCs/>
                <w:color w:val="00B0F0"/>
                <w:kern w:val="0"/>
                <w:sz w:val="20"/>
                <w:szCs w:val="20"/>
                <w:u w:val="none"/>
                <w:bdr w:val="none" w:color="auto" w:sz="0" w:space="0"/>
                <w:lang w:val="en-US" w:eastAsia="zh-CN" w:bidi="ar"/>
              </w:rPr>
              <w:br w:type="textWrapping"/>
            </w:r>
            <w:r>
              <w:rPr>
                <w:rFonts w:hint="eastAsia" w:ascii="微软雅黑" w:hAnsi="微软雅黑" w:eastAsia="微软雅黑" w:cs="微软雅黑"/>
                <w:i/>
                <w:iCs/>
                <w:color w:val="00B0F0"/>
                <w:kern w:val="0"/>
                <w:sz w:val="20"/>
                <w:szCs w:val="20"/>
                <w:u w:val="none"/>
                <w:bdr w:val="none" w:color="auto" w:sz="0" w:space="0"/>
                <w:lang w:val="en-US" w:eastAsia="zh-CN" w:bidi="ar"/>
              </w:rPr>
              <w:t>4、参数配置；）</w:t>
            </w:r>
          </w:p>
        </w:tc>
        <w:tc>
          <w:tcPr>
            <w:tcW w:w="1725" w:type="dxa"/>
            <w:tcBorders>
              <w:top w:val="single" w:color="00B0F0" w:sz="4" w:space="0"/>
              <w:left w:val="single" w:color="00B0F0" w:sz="4" w:space="0"/>
              <w:bottom w:val="single" w:color="00B0F0" w:sz="4" w:space="0"/>
              <w:right w:val="single" w:color="00B0F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iCs/>
                <w:color w:val="00B0F0"/>
                <w:sz w:val="20"/>
                <w:szCs w:val="20"/>
                <w:u w:val="none"/>
              </w:rPr>
            </w:pPr>
            <w:r>
              <w:rPr>
                <w:rFonts w:hint="eastAsia" w:ascii="微软雅黑" w:hAnsi="微软雅黑" w:eastAsia="微软雅黑" w:cs="微软雅黑"/>
                <w:i/>
                <w:iCs/>
                <w:color w:val="00B0F0"/>
                <w:kern w:val="0"/>
                <w:sz w:val="20"/>
                <w:szCs w:val="20"/>
                <w:u w:val="none"/>
                <w:bdr w:val="none" w:color="auto" w:sz="0" w:space="0"/>
                <w:lang w:val="en-US" w:eastAsia="zh-CN" w:bidi="ar"/>
              </w:rPr>
              <w:t>5天*7小时人工服务</w:t>
            </w:r>
          </w:p>
        </w:tc>
        <w:tc>
          <w:tcPr>
            <w:tcW w:w="621" w:type="dxa"/>
            <w:tcBorders>
              <w:top w:val="single" w:color="00B0F0" w:sz="4" w:space="0"/>
              <w:left w:val="single" w:color="00B0F0" w:sz="4" w:space="0"/>
              <w:bottom w:val="single" w:color="00B0F0" w:sz="4" w:space="0"/>
              <w:right w:val="single" w:color="00B0F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iCs/>
                <w:color w:val="00B0F0"/>
                <w:sz w:val="20"/>
                <w:szCs w:val="20"/>
                <w:u w:val="none"/>
              </w:rPr>
            </w:pPr>
            <w:r>
              <w:rPr>
                <w:rFonts w:hint="eastAsia" w:ascii="微软雅黑" w:hAnsi="微软雅黑" w:eastAsia="微软雅黑" w:cs="微软雅黑"/>
                <w:i/>
                <w:iCs/>
                <w:color w:val="00B0F0"/>
                <w:kern w:val="0"/>
                <w:sz w:val="20"/>
                <w:szCs w:val="20"/>
                <w:u w:val="none"/>
                <w:bdr w:val="none" w:color="auto" w:sz="0" w:space="0"/>
                <w:lang w:val="en-US" w:eastAsia="zh-CN" w:bidi="ar"/>
              </w:rPr>
              <w:t>√</w:t>
            </w:r>
          </w:p>
        </w:tc>
        <w:tc>
          <w:tcPr>
            <w:tcW w:w="476" w:type="dxa"/>
            <w:tcBorders>
              <w:top w:val="single" w:color="00B0F0" w:sz="4" w:space="0"/>
              <w:left w:val="single" w:color="00B0F0" w:sz="4" w:space="0"/>
              <w:bottom w:val="single" w:color="00B0F0" w:sz="4" w:space="0"/>
              <w:right w:val="single" w:color="00B0F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iCs/>
                <w:color w:val="00B0F0"/>
                <w:sz w:val="20"/>
                <w:szCs w:val="20"/>
                <w:u w:val="none"/>
              </w:rPr>
            </w:pPr>
            <w:r>
              <w:rPr>
                <w:rFonts w:hint="eastAsia" w:ascii="微软雅黑" w:hAnsi="微软雅黑" w:eastAsia="微软雅黑" w:cs="微软雅黑"/>
                <w:i/>
                <w:iCs/>
                <w:color w:val="00B0F0"/>
                <w:kern w:val="0"/>
                <w:sz w:val="20"/>
                <w:szCs w:val="20"/>
                <w:u w:val="none"/>
                <w:bdr w:val="none" w:color="auto" w:sz="0" w:space="0"/>
                <w:lang w:val="en-US" w:eastAsia="zh-CN" w:bidi="ar"/>
              </w:rPr>
              <w:t>√</w:t>
            </w:r>
          </w:p>
        </w:tc>
        <w:tc>
          <w:tcPr>
            <w:tcW w:w="697" w:type="dxa"/>
            <w:tcBorders>
              <w:top w:val="single" w:color="00B0F0" w:sz="4" w:space="0"/>
              <w:left w:val="single" w:color="00B0F0" w:sz="4" w:space="0"/>
              <w:bottom w:val="single" w:color="00B0F0" w:sz="4" w:space="0"/>
              <w:right w:val="single" w:color="00B0F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iCs/>
                <w:color w:val="00B0F0"/>
                <w:sz w:val="20"/>
                <w:szCs w:val="20"/>
                <w:u w:val="none"/>
              </w:rPr>
            </w:pPr>
            <w:r>
              <w:rPr>
                <w:rFonts w:hint="eastAsia" w:ascii="微软雅黑" w:hAnsi="微软雅黑" w:eastAsia="微软雅黑" w:cs="微软雅黑"/>
                <w:i/>
                <w:iCs/>
                <w:color w:val="00B0F0"/>
                <w:kern w:val="0"/>
                <w:sz w:val="20"/>
                <w:szCs w:val="20"/>
                <w:u w:val="none"/>
                <w:bdr w:val="none" w:color="auto" w:sz="0" w:space="0"/>
                <w:lang w:val="en-US" w:eastAsia="zh-CN" w:bidi="ar"/>
              </w:rPr>
              <w:t>远程</w:t>
            </w:r>
          </w:p>
        </w:tc>
        <w:tc>
          <w:tcPr>
            <w:tcW w:w="520" w:type="dxa"/>
            <w:tcBorders>
              <w:top w:val="single" w:color="00B0F0" w:sz="4" w:space="0"/>
              <w:left w:val="single" w:color="00B0F0" w:sz="4" w:space="0"/>
              <w:bottom w:val="single" w:color="00B0F0" w:sz="4" w:space="0"/>
              <w:right w:val="single" w:color="00B0F0" w:sz="4" w:space="0"/>
            </w:tcBorders>
            <w:shd w:val="clear"/>
            <w:vAlign w:val="center"/>
          </w:tcPr>
          <w:p>
            <w:pPr>
              <w:keepNext w:val="0"/>
              <w:keepLines w:val="0"/>
              <w:widowControl/>
              <w:suppressLineNumbers w:val="0"/>
              <w:jc w:val="both"/>
              <w:textAlignment w:val="center"/>
              <w:rPr>
                <w:rFonts w:hint="eastAsia" w:ascii="微软雅黑" w:hAnsi="微软雅黑" w:eastAsia="微软雅黑" w:cs="微软雅黑"/>
                <w:i/>
                <w:iCs/>
                <w:color w:val="00B0F0"/>
                <w:sz w:val="20"/>
                <w:szCs w:val="20"/>
                <w:u w:val="none"/>
              </w:rPr>
            </w:pPr>
            <w:r>
              <w:rPr>
                <w:rFonts w:hint="eastAsia" w:ascii="微软雅黑" w:hAnsi="微软雅黑" w:eastAsia="微软雅黑" w:cs="微软雅黑"/>
                <w:i/>
                <w:iCs/>
                <w:color w:val="00B0F0"/>
                <w:kern w:val="0"/>
                <w:sz w:val="20"/>
                <w:szCs w:val="20"/>
                <w:u w:val="none"/>
                <w:bdr w:val="none" w:color="auto" w:sz="0" w:space="0"/>
                <w:lang w:val="en-US" w:eastAsia="zh-CN" w:bidi="ar"/>
              </w:rPr>
              <w:t>否</w:t>
            </w:r>
          </w:p>
        </w:tc>
        <w:tc>
          <w:tcPr>
            <w:tcW w:w="1456" w:type="dxa"/>
            <w:tcBorders>
              <w:top w:val="single" w:color="00B0F0" w:sz="4" w:space="0"/>
              <w:left w:val="single" w:color="00B0F0" w:sz="4" w:space="0"/>
              <w:bottom w:val="single" w:color="00B0F0" w:sz="4" w:space="0"/>
              <w:right w:val="single" w:color="00B0F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iCs/>
                <w:color w:val="00B0F0"/>
                <w:sz w:val="20"/>
                <w:szCs w:val="20"/>
                <w:u w:val="none"/>
              </w:rPr>
            </w:pPr>
            <w:r>
              <w:rPr>
                <w:rFonts w:hint="eastAsia" w:ascii="微软雅黑" w:hAnsi="微软雅黑" w:eastAsia="微软雅黑" w:cs="微软雅黑"/>
                <w:i/>
                <w:iCs/>
                <w:color w:val="00B0F0"/>
                <w:kern w:val="0"/>
                <w:sz w:val="20"/>
                <w:szCs w:val="20"/>
                <w:u w:val="none"/>
                <w:bdr w:val="none" w:color="auto" w:sz="0" w:space="0"/>
                <w:lang w:val="en-US" w:eastAsia="zh-CN" w:bidi="ar"/>
              </w:rPr>
              <w:t>（产品标准价+用户增购价+专项）*5%</w:t>
            </w:r>
          </w:p>
        </w:tc>
      </w:tr>
    </w:tbl>
    <w:p>
      <w:pPr>
        <w:spacing w:line="360" w:lineRule="auto"/>
        <w:jc w:val="both"/>
      </w:pPr>
    </w:p>
    <w:p>
      <w:pPr>
        <w:pStyle w:val="2"/>
        <w:numPr>
          <w:numId w:val="0"/>
        </w:numPr>
        <w:ind w:left="567" w:leftChars="0"/>
        <w:rPr>
          <w:rFonts w:hint="eastAsia"/>
          <w:lang w:val="en-US" w:eastAsia="zh-CN"/>
        </w:rPr>
      </w:pPr>
    </w:p>
    <w:sectPr>
      <w:type w:val="continuous"/>
      <w:pgSz w:w="11906" w:h="16838"/>
      <w:pgMar w:top="1440" w:right="1361" w:bottom="1440" w:left="136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0D5FCD4C"/>
    <w:multiLevelType w:val="singleLevel"/>
    <w:tmpl w:val="0D5FCD4C"/>
    <w:lvl w:ilvl="0" w:tentative="0">
      <w:start w:val="1"/>
      <w:numFmt w:val="chineseCounting"/>
      <w:suff w:val="nothing"/>
      <w:lvlText w:val="%1、"/>
      <w:lvlJc w:val="left"/>
      <w:rPr>
        <w:rFonts w:hint="eastAsia"/>
      </w:rPr>
    </w:lvl>
  </w:abstractNum>
  <w:abstractNum w:abstractNumId="2">
    <w:nsid w:val="15C55BB1"/>
    <w:multiLevelType w:val="multilevel"/>
    <w:tmpl w:val="15C55BB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4E53133A"/>
    <w:multiLevelType w:val="multilevel"/>
    <w:tmpl w:val="4E53133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F"/>
    <w:rsid w:val="0001515A"/>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C5CAD"/>
    <w:rsid w:val="00EF2EEB"/>
    <w:rsid w:val="00EF4318"/>
    <w:rsid w:val="00F04AED"/>
    <w:rsid w:val="00F346B8"/>
    <w:rsid w:val="00F41946"/>
    <w:rsid w:val="00F47BAB"/>
    <w:rsid w:val="00F9271F"/>
    <w:rsid w:val="00FB5C3F"/>
    <w:rsid w:val="00FB6127"/>
    <w:rsid w:val="01B4527D"/>
    <w:rsid w:val="01CB0216"/>
    <w:rsid w:val="02390242"/>
    <w:rsid w:val="03596F4F"/>
    <w:rsid w:val="04C81DDD"/>
    <w:rsid w:val="0887577A"/>
    <w:rsid w:val="08DF64FD"/>
    <w:rsid w:val="093A147B"/>
    <w:rsid w:val="0CA560FA"/>
    <w:rsid w:val="0CA821B9"/>
    <w:rsid w:val="0F92036E"/>
    <w:rsid w:val="11403337"/>
    <w:rsid w:val="131243B7"/>
    <w:rsid w:val="13B567D8"/>
    <w:rsid w:val="14033ECF"/>
    <w:rsid w:val="15286CEF"/>
    <w:rsid w:val="15A9236C"/>
    <w:rsid w:val="162714E3"/>
    <w:rsid w:val="16E30568"/>
    <w:rsid w:val="17E36AF4"/>
    <w:rsid w:val="18BE0AEA"/>
    <w:rsid w:val="19DD25E4"/>
    <w:rsid w:val="1A9F4A43"/>
    <w:rsid w:val="1AFA2072"/>
    <w:rsid w:val="1BF426A8"/>
    <w:rsid w:val="1C1D65DB"/>
    <w:rsid w:val="1C417613"/>
    <w:rsid w:val="1F005BE2"/>
    <w:rsid w:val="20276D8B"/>
    <w:rsid w:val="208732AA"/>
    <w:rsid w:val="2303717F"/>
    <w:rsid w:val="23D0048D"/>
    <w:rsid w:val="24534DF9"/>
    <w:rsid w:val="25073FC0"/>
    <w:rsid w:val="250D06A7"/>
    <w:rsid w:val="255F2A47"/>
    <w:rsid w:val="27B54A03"/>
    <w:rsid w:val="28A26E6A"/>
    <w:rsid w:val="290A4A78"/>
    <w:rsid w:val="29E65E51"/>
    <w:rsid w:val="2B0B655A"/>
    <w:rsid w:val="2B497197"/>
    <w:rsid w:val="2BB1567F"/>
    <w:rsid w:val="2BB67440"/>
    <w:rsid w:val="2C611306"/>
    <w:rsid w:val="2CD76BFF"/>
    <w:rsid w:val="2DD652D7"/>
    <w:rsid w:val="30171D8F"/>
    <w:rsid w:val="32271861"/>
    <w:rsid w:val="32AF55CF"/>
    <w:rsid w:val="33303667"/>
    <w:rsid w:val="34184193"/>
    <w:rsid w:val="34DC5AF1"/>
    <w:rsid w:val="36621AE9"/>
    <w:rsid w:val="3712749D"/>
    <w:rsid w:val="37B02C8E"/>
    <w:rsid w:val="3BA73B99"/>
    <w:rsid w:val="3BB52F69"/>
    <w:rsid w:val="3DEB2B85"/>
    <w:rsid w:val="3E2B12C1"/>
    <w:rsid w:val="41057530"/>
    <w:rsid w:val="412344D1"/>
    <w:rsid w:val="414A1CE5"/>
    <w:rsid w:val="42520CBD"/>
    <w:rsid w:val="456F6C3A"/>
    <w:rsid w:val="48032C9F"/>
    <w:rsid w:val="493704AF"/>
    <w:rsid w:val="49EF783F"/>
    <w:rsid w:val="4A61791F"/>
    <w:rsid w:val="4B9B2D12"/>
    <w:rsid w:val="4BB167B4"/>
    <w:rsid w:val="4F2C3F62"/>
    <w:rsid w:val="4F543085"/>
    <w:rsid w:val="4FCE64C5"/>
    <w:rsid w:val="50903205"/>
    <w:rsid w:val="50A53155"/>
    <w:rsid w:val="51A030B0"/>
    <w:rsid w:val="541A219E"/>
    <w:rsid w:val="57974EC1"/>
    <w:rsid w:val="588E2756"/>
    <w:rsid w:val="5A3533D6"/>
    <w:rsid w:val="5CA0764D"/>
    <w:rsid w:val="5CA61CCA"/>
    <w:rsid w:val="5D401A1F"/>
    <w:rsid w:val="5DC10A1D"/>
    <w:rsid w:val="5E047D0D"/>
    <w:rsid w:val="5E5F01F9"/>
    <w:rsid w:val="5FA50551"/>
    <w:rsid w:val="60110153"/>
    <w:rsid w:val="61655970"/>
    <w:rsid w:val="61BC489F"/>
    <w:rsid w:val="62EA43A2"/>
    <w:rsid w:val="665D4746"/>
    <w:rsid w:val="69F670B0"/>
    <w:rsid w:val="6A4610AD"/>
    <w:rsid w:val="6AC83870"/>
    <w:rsid w:val="6BA54773"/>
    <w:rsid w:val="6CFA1878"/>
    <w:rsid w:val="6D152035"/>
    <w:rsid w:val="6D2C37F7"/>
    <w:rsid w:val="6E721D27"/>
    <w:rsid w:val="6ECB124D"/>
    <w:rsid w:val="6ED03167"/>
    <w:rsid w:val="6F5E2F4E"/>
    <w:rsid w:val="6F8F3E7A"/>
    <w:rsid w:val="704E5D4D"/>
    <w:rsid w:val="71CB7A0C"/>
    <w:rsid w:val="72EE39A0"/>
    <w:rsid w:val="742835D1"/>
    <w:rsid w:val="74F80C46"/>
    <w:rsid w:val="755B4E28"/>
    <w:rsid w:val="778D031B"/>
    <w:rsid w:val="79667E59"/>
    <w:rsid w:val="79E24CBE"/>
    <w:rsid w:val="7B282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link w:val="19"/>
    <w:qFormat/>
    <w:uiPriority w:val="0"/>
    <w:pPr>
      <w:spacing w:after="120"/>
    </w:pPr>
    <w:rPr>
      <w:rFonts w:asciiTheme="minorHAnsi" w:hAnsiTheme="minorHAnsi" w:eastAsiaTheme="minorEastAsia" w:cstheme="minorBidi"/>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szCs w:val="24"/>
    </w:rPr>
  </w:style>
  <w:style w:type="paragraph" w:styleId="8">
    <w:name w:val="Body Text First Indent 2"/>
    <w:basedOn w:val="9"/>
    <w:next w:val="5"/>
    <w:qFormat/>
    <w:uiPriority w:val="0"/>
    <w:pPr>
      <w:ind w:left="0" w:leftChars="0" w:firstLine="0" w:firstLineChars="0"/>
    </w:pPr>
  </w:style>
  <w:style w:type="paragraph" w:styleId="9">
    <w:name w:val="Body Text Indent"/>
    <w:basedOn w:val="1"/>
    <w:next w:val="5"/>
    <w:qFormat/>
    <w:uiPriority w:val="6"/>
    <w:pPr>
      <w:ind w:firstLine="645"/>
    </w:pPr>
    <w:rPr>
      <w:rFonts w:ascii="宋体" w:hAnsi="宋体"/>
      <w:kern w:val="1"/>
      <w:sz w:val="32"/>
      <w:szCs w:val="20"/>
    </w:rPr>
  </w:style>
  <w:style w:type="paragraph" w:styleId="10">
    <w:name w:val="Balloon Text"/>
    <w:basedOn w:val="1"/>
    <w:link w:val="21"/>
    <w:semiHidden/>
    <w:unhideWhenUsed/>
    <w:qFormat/>
    <w:uiPriority w:val="99"/>
    <w:rPr>
      <w:sz w:val="18"/>
      <w:szCs w:val="18"/>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semiHidden/>
    <w:unhideWhenUsed/>
    <w:qFormat/>
    <w:uiPriority w:val="99"/>
    <w:rPr>
      <w:sz w:val="21"/>
      <w:szCs w:val="21"/>
    </w:rPr>
  </w:style>
  <w:style w:type="character" w:customStyle="1" w:styleId="16">
    <w:name w:val="标题 1 字符"/>
    <w:basedOn w:val="14"/>
    <w:link w:val="3"/>
    <w:qFormat/>
    <w:uiPriority w:val="0"/>
    <w:rPr>
      <w:b/>
      <w:bCs/>
      <w:kern w:val="44"/>
      <w:sz w:val="24"/>
      <w:szCs w:val="44"/>
    </w:rPr>
  </w:style>
  <w:style w:type="character" w:customStyle="1" w:styleId="17">
    <w:name w:val="页眉 字符"/>
    <w:basedOn w:val="14"/>
    <w:link w:val="12"/>
    <w:qFormat/>
    <w:uiPriority w:val="99"/>
    <w:rPr>
      <w:rFonts w:ascii="Calibri" w:hAnsi="Calibri" w:eastAsia="宋体" w:cs="Times New Roman"/>
      <w:sz w:val="18"/>
      <w:szCs w:val="18"/>
    </w:rPr>
  </w:style>
  <w:style w:type="character" w:customStyle="1" w:styleId="18">
    <w:name w:val="页脚 字符"/>
    <w:basedOn w:val="14"/>
    <w:link w:val="11"/>
    <w:qFormat/>
    <w:uiPriority w:val="99"/>
    <w:rPr>
      <w:rFonts w:ascii="Calibri" w:hAnsi="Calibri" w:eastAsia="宋体" w:cs="Times New Roman"/>
      <w:sz w:val="18"/>
      <w:szCs w:val="18"/>
    </w:rPr>
  </w:style>
  <w:style w:type="character" w:customStyle="1" w:styleId="19">
    <w:name w:val="正文文本 字符"/>
    <w:link w:val="5"/>
    <w:qFormat/>
    <w:uiPriority w:val="0"/>
    <w:rPr>
      <w:szCs w:val="24"/>
    </w:rPr>
  </w:style>
  <w:style w:type="character" w:customStyle="1" w:styleId="20">
    <w:name w:val="正文文本 字符1"/>
    <w:basedOn w:val="14"/>
    <w:semiHidden/>
    <w:qFormat/>
    <w:uiPriority w:val="99"/>
    <w:rPr>
      <w:rFonts w:ascii="Times New Roman" w:hAnsi="Times New Roman" w:eastAsia="宋体" w:cs="Times New Roman"/>
      <w:szCs w:val="24"/>
    </w:rPr>
  </w:style>
  <w:style w:type="character" w:customStyle="1" w:styleId="21">
    <w:name w:val="批注框文本 字符"/>
    <w:basedOn w:val="14"/>
    <w:link w:val="10"/>
    <w:semiHidden/>
    <w:qFormat/>
    <w:uiPriority w:val="99"/>
    <w:rPr>
      <w:rFonts w:ascii="Times New Roman" w:hAnsi="Times New Roman" w:eastAsia="宋体" w:cs="Times New Roman"/>
      <w:kern w:val="2"/>
      <w:sz w:val="18"/>
      <w:szCs w:val="18"/>
    </w:rPr>
  </w:style>
  <w:style w:type="paragraph" w:customStyle="1" w:styleId="22">
    <w:name w:val="正文1"/>
    <w:basedOn w:val="1"/>
    <w:qFormat/>
    <w:uiPriority w:val="0"/>
    <w:pPr>
      <w:ind w:firstLine="200" w:firstLineChars="200"/>
    </w:pPr>
    <w:rPr>
      <w:rFonts w:ascii="Times New Roman" w:hAnsi="Times New Roman"/>
    </w:rPr>
  </w:style>
  <w:style w:type="character" w:customStyle="1" w:styleId="23">
    <w:name w:val="font11"/>
    <w:basedOn w:val="14"/>
    <w:qFormat/>
    <w:uiPriority w:val="0"/>
    <w:rPr>
      <w:rFonts w:hint="eastAsia" w:ascii="等线" w:hAnsi="等线" w:eastAsia="等线" w:cs="等线"/>
      <w:color w:val="000000"/>
      <w:sz w:val="20"/>
      <w:szCs w:val="20"/>
      <w:u w:val="none"/>
    </w:rPr>
  </w:style>
  <w:style w:type="character" w:customStyle="1" w:styleId="24">
    <w:name w:val="font31"/>
    <w:basedOn w:val="14"/>
    <w:qFormat/>
    <w:uiPriority w:val="0"/>
    <w:rPr>
      <w:rFonts w:hint="eastAsia" w:ascii="等线" w:hAnsi="等线" w:eastAsia="等线" w:cs="等线"/>
      <w:b/>
      <w:bCs/>
      <w:color w:val="000000"/>
      <w:sz w:val="20"/>
      <w:szCs w:val="20"/>
      <w:u w:val="none"/>
    </w:rPr>
  </w:style>
  <w:style w:type="paragraph" w:customStyle="1" w:styleId="25">
    <w:name w:val="列出段落1"/>
    <w:basedOn w:val="1"/>
    <w:qFormat/>
    <w:uiPriority w:val="34"/>
    <w:pPr>
      <w:ind w:firstLine="420" w:firstLineChars="200"/>
    </w:pPr>
  </w:style>
  <w:style w:type="paragraph" w:customStyle="1" w:styleId="26">
    <w:name w:val="列出段落11"/>
    <w:basedOn w:val="1"/>
    <w:qFormat/>
    <w:uiPriority w:val="34"/>
    <w:pPr>
      <w:ind w:firstLine="420" w:firstLineChars="200"/>
    </w:pPr>
    <w:rPr>
      <w:rFonts w:ascii="Times New Roman" w:hAnsi="Times New Roman"/>
      <w:sz w:val="21"/>
    </w:rPr>
  </w:style>
  <w:style w:type="paragraph" w:styleId="27">
    <w:name w:val="List Paragraph"/>
    <w:basedOn w:val="1"/>
    <w:qFormat/>
    <w:uiPriority w:val="34"/>
    <w:pPr>
      <w:ind w:firstLine="420" w:firstLineChars="200"/>
    </w:pPr>
  </w:style>
  <w:style w:type="character" w:customStyle="1" w:styleId="28">
    <w:name w:val="font61"/>
    <w:basedOn w:val="14"/>
    <w:uiPriority w:val="0"/>
    <w:rPr>
      <w:rFonts w:hint="eastAsia" w:ascii="微软雅黑" w:hAnsi="微软雅黑" w:eastAsia="微软雅黑" w:cs="微软雅黑"/>
      <w:b/>
      <w:bCs/>
      <w:color w:val="000000"/>
      <w:sz w:val="20"/>
      <w:szCs w:val="20"/>
      <w:u w:val="none"/>
    </w:rPr>
  </w:style>
  <w:style w:type="character" w:customStyle="1" w:styleId="29">
    <w:name w:val="font151"/>
    <w:basedOn w:val="14"/>
    <w:uiPriority w:val="0"/>
    <w:rPr>
      <w:rFonts w:hint="eastAsia" w:ascii="微软雅黑" w:hAnsi="微软雅黑" w:eastAsia="微软雅黑" w:cs="微软雅黑"/>
      <w:b/>
      <w:bCs/>
      <w:color w:val="FF0000"/>
      <w:sz w:val="20"/>
      <w:szCs w:val="20"/>
      <w:u w:val="none"/>
    </w:rPr>
  </w:style>
  <w:style w:type="character" w:customStyle="1" w:styleId="30">
    <w:name w:val="font91"/>
    <w:basedOn w:val="14"/>
    <w:uiPriority w:val="0"/>
    <w:rPr>
      <w:rFonts w:hint="eastAsia" w:ascii="微软雅黑" w:hAnsi="微软雅黑" w:eastAsia="微软雅黑" w:cs="微软雅黑"/>
      <w:color w:val="000000"/>
      <w:sz w:val="20"/>
      <w:szCs w:val="20"/>
      <w:u w:val="none"/>
    </w:rPr>
  </w:style>
  <w:style w:type="character" w:customStyle="1" w:styleId="31">
    <w:name w:val="font81"/>
    <w:basedOn w:val="14"/>
    <w:uiPriority w:val="0"/>
    <w:rPr>
      <w:rFonts w:hint="eastAsia" w:ascii="微软雅黑" w:hAnsi="微软雅黑" w:eastAsia="微软雅黑" w:cs="微软雅黑"/>
      <w:color w:val="FF0000"/>
      <w:sz w:val="20"/>
      <w:szCs w:val="20"/>
      <w:u w:val="none"/>
    </w:rPr>
  </w:style>
  <w:style w:type="character" w:customStyle="1" w:styleId="32">
    <w:name w:val="font71"/>
    <w:basedOn w:val="14"/>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736</Words>
  <Characters>4197</Characters>
  <Lines>34</Lines>
  <Paragraphs>9</Paragraphs>
  <TotalTime>31</TotalTime>
  <ScaleCrop>false</ScaleCrop>
  <LinksUpToDate>false</LinksUpToDate>
  <CharactersWithSpaces>4924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2022-01-24T08:40:51Z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2EFA3266790C42A5A6CA9E61DF020917</vt:lpwstr>
  </property>
</Properties>
</file>