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rPr>
      </w:pPr>
      <w:r>
        <w:rPr>
          <w:rFonts w:hint="eastAsia" w:ascii="宋体" w:hAnsi="宋体" w:cs="宋体"/>
          <w:b/>
          <w:bCs/>
          <w:sz w:val="44"/>
          <w:szCs w:val="40"/>
        </w:rPr>
        <w:t xml:space="preserve">                             </w:t>
      </w:r>
    </w:p>
    <w:p>
      <w:pPr>
        <w:tabs>
          <w:tab w:val="left" w:pos="1092"/>
        </w:tabs>
        <w:jc w:val="center"/>
        <w:rPr>
          <w:rFonts w:ascii="宋体" w:hAnsi="宋体"/>
          <w:b/>
          <w:bCs/>
          <w:sz w:val="48"/>
          <w:szCs w:val="48"/>
        </w:rPr>
      </w:pPr>
    </w:p>
    <w:p>
      <w:pPr>
        <w:pStyle w:val="2"/>
        <w:rPr>
          <w:rFonts w:hAnsi="宋体" w:cs="宋体"/>
        </w:rPr>
      </w:pPr>
    </w:p>
    <w:p>
      <w:pPr>
        <w:pStyle w:val="2"/>
        <w:rPr>
          <w:rFonts w:hAnsi="宋体" w:cs="宋体"/>
        </w:rPr>
      </w:pPr>
    </w:p>
    <w:p>
      <w:pPr>
        <w:pStyle w:val="3"/>
        <w:keepNext w:val="0"/>
        <w:spacing w:before="156" w:beforeLines="50" w:after="156" w:afterLines="50" w:line="360" w:lineRule="auto"/>
        <w:ind w:left="485" w:right="120" w:rightChars="50" w:hanging="485" w:hangingChars="151"/>
        <w:jc w:val="center"/>
        <w:rPr>
          <w:rFonts w:ascii="宋体" w:hAnsi="宋体" w:cs="宋体"/>
        </w:rPr>
      </w:pPr>
    </w:p>
    <w:p>
      <w:pPr>
        <w:spacing w:line="360" w:lineRule="auto"/>
        <w:jc w:val="center"/>
        <w:rPr>
          <w:rFonts w:ascii="宋体" w:hAnsi="宋体" w:cs="宋体"/>
        </w:rPr>
      </w:pPr>
    </w:p>
    <w:p>
      <w:pPr>
        <w:spacing w:line="480" w:lineRule="auto"/>
        <w:jc w:val="center"/>
        <w:rPr>
          <w:rFonts w:ascii="宋体" w:hAnsi="宋体" w:cs="Tahoma"/>
          <w:b/>
          <w:sz w:val="48"/>
          <w:szCs w:val="48"/>
        </w:rPr>
      </w:pPr>
      <w:r>
        <w:rPr>
          <w:rFonts w:hint="eastAsia" w:ascii="宋体" w:hAnsi="宋体" w:cs="Tahoma"/>
          <w:b/>
          <w:sz w:val="48"/>
          <w:szCs w:val="48"/>
        </w:rPr>
        <w:t>栾川山水文苑S1地块各楼栋户内及公共</w:t>
      </w:r>
    </w:p>
    <w:p>
      <w:pPr>
        <w:spacing w:line="480" w:lineRule="auto"/>
        <w:jc w:val="center"/>
        <w:rPr>
          <w:rFonts w:ascii="宋体" w:hAnsi="宋体" w:cs="Tahoma"/>
          <w:b/>
          <w:sz w:val="48"/>
          <w:szCs w:val="48"/>
        </w:rPr>
      </w:pPr>
      <w:r>
        <w:rPr>
          <w:rFonts w:hint="eastAsia" w:ascii="宋体" w:hAnsi="宋体" w:cs="Tahoma"/>
          <w:b/>
          <w:sz w:val="48"/>
          <w:szCs w:val="48"/>
        </w:rPr>
        <w:t>配电箱、车库及人防配电箱采购合同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autoSpaceDN w:val="0"/>
        <w:spacing w:line="360" w:lineRule="auto"/>
        <w:ind w:firstLine="840" w:firstLineChars="280"/>
        <w:rPr>
          <w:rFonts w:ascii="宋体" w:hAnsi="宋体"/>
          <w:sz w:val="30"/>
          <w:szCs w:val="30"/>
        </w:rPr>
      </w:pPr>
      <w:bookmarkStart w:id="0" w:name="_Hlk36566518"/>
      <w:r>
        <w:rPr>
          <w:rFonts w:hint="eastAsia" w:ascii="宋体" w:hAnsi="宋体"/>
          <w:sz w:val="30"/>
          <w:szCs w:val="30"/>
        </w:rPr>
        <w:t xml:space="preserve">           成本代码：</w:t>
      </w:r>
      <w:r>
        <w:rPr>
          <w:rFonts w:hint="eastAsia" w:ascii="宋体" w:hAnsi="宋体" w:cs="宋体"/>
          <w:sz w:val="30"/>
          <w:szCs w:val="30"/>
          <w:u w:val="single"/>
        </w:rPr>
        <w:t>03020301</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LCS1-JA-044</w:t>
      </w: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2"/>
        <w:ind w:firstLine="562"/>
        <w:rPr>
          <w:rFonts w:hAnsi="宋体" w:cs="宋体"/>
          <w:b w:val="0"/>
          <w:sz w:val="28"/>
          <w:szCs w:val="28"/>
        </w:rPr>
      </w:pPr>
    </w:p>
    <w:p>
      <w:pPr>
        <w:pStyle w:val="2"/>
        <w:rPr>
          <w:rFonts w:hAnsi="宋体" w:cs="宋体"/>
          <w:b w:val="0"/>
          <w:sz w:val="28"/>
          <w:szCs w:val="28"/>
        </w:rPr>
      </w:pPr>
    </w:p>
    <w:p>
      <w:pPr>
        <w:pStyle w:val="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委托人：</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承包人：</w:t>
      </w:r>
      <w:r>
        <w:rPr>
          <w:rFonts w:hint="eastAsia" w:ascii="宋体" w:hAnsi="宋体" w:cs="宋体"/>
          <w:b/>
          <w:sz w:val="28"/>
          <w:szCs w:val="28"/>
          <w:u w:val="single"/>
        </w:rPr>
        <w:t>中浩德电子商务产业园（洛阳）有限公司</w:t>
      </w:r>
      <w:r>
        <w:rPr>
          <w:rFonts w:ascii="宋体" w:hAnsi="宋体" w:cs="宋体"/>
          <w:b/>
          <w:sz w:val="28"/>
          <w:szCs w:val="28"/>
          <w:u w:val="none"/>
        </w:rPr>
        <w:t xml:space="preserve">         </w:t>
      </w:r>
      <w:r>
        <w:rPr>
          <w:rFonts w:ascii="宋体" w:hAnsi="宋体" w:cs="宋体"/>
          <w:b/>
          <w:sz w:val="28"/>
          <w:szCs w:val="28"/>
          <w:u w:val="single"/>
        </w:rPr>
        <w:t xml:space="preserve">       </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w:t>
      </w:r>
      <w:r>
        <w:rPr>
          <w:rFonts w:hint="eastAsia" w:ascii="宋体" w:hAnsi="宋体" w:cs="宋体"/>
          <w:b/>
          <w:sz w:val="28"/>
          <w:szCs w:val="28"/>
          <w:lang w:val="en-US" w:eastAsia="zh-CN"/>
        </w:rPr>
        <w:t>5</w:t>
      </w:r>
      <w:r>
        <w:rPr>
          <w:rFonts w:hint="eastAsia" w:ascii="宋体" w:hAnsi="宋体" w:cs="宋体"/>
          <w:b/>
          <w:sz w:val="28"/>
          <w:szCs w:val="28"/>
        </w:rPr>
        <w:t>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rPr>
          <w:rFonts w:ascii="宋体" w:hAnsi="宋体" w:cs="宋体"/>
          <w:u w:val="single"/>
        </w:rPr>
      </w:pPr>
      <w:r>
        <w:rPr>
          <w:rFonts w:hint="eastAsia" w:ascii="宋体" w:hAnsi="宋体" w:cs="宋体"/>
        </w:rPr>
        <w:t>委托人</w:t>
      </w:r>
      <w:r>
        <w:rPr>
          <w:rFonts w:hint="eastAsia" w:ascii="宋体" w:hAnsi="宋体"/>
        </w:rPr>
        <w:t>（以下简称甲方）</w:t>
      </w:r>
      <w:r>
        <w:rPr>
          <w:rFonts w:hint="eastAsia" w:ascii="宋体" w:hAnsi="宋体" w:cs="宋体"/>
        </w:rPr>
        <w:t>：</w:t>
      </w:r>
      <w:r>
        <w:rPr>
          <w:rFonts w:hint="eastAsia" w:ascii="宋体" w:hAnsi="宋体" w:cs="宋体"/>
          <w:u w:val="single"/>
        </w:rPr>
        <w:t>栾川县浩德颐康文旅有限公司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91410324MA9FJURUXE</w:t>
      </w:r>
    </w:p>
    <w:p>
      <w:pPr>
        <w:spacing w:line="360" w:lineRule="auto"/>
        <w:rPr>
          <w:rFonts w:ascii="宋体" w:hAnsi="宋体" w:cs="宋体"/>
          <w:sz w:val="30"/>
          <w:szCs w:val="30"/>
          <w:u w:val="single"/>
        </w:rPr>
      </w:pPr>
      <w:r>
        <w:rPr>
          <w:rFonts w:hint="eastAsia" w:ascii="宋体" w:hAnsi="宋体" w:cs="宋体"/>
        </w:rPr>
        <w:t>承包人</w:t>
      </w:r>
      <w:r>
        <w:rPr>
          <w:rFonts w:hint="eastAsia" w:ascii="宋体" w:hAnsi="宋体"/>
        </w:rPr>
        <w:t>（以下简称乙方）</w:t>
      </w:r>
      <w:r>
        <w:rPr>
          <w:rFonts w:hint="eastAsia" w:ascii="宋体" w:hAnsi="宋体" w:cs="宋体"/>
        </w:rPr>
        <w:t>：</w:t>
      </w:r>
      <w:r>
        <w:rPr>
          <w:rFonts w:hint="eastAsia" w:ascii="宋体" w:hAnsi="宋体" w:cs="宋体"/>
          <w:u w:val="single"/>
        </w:rPr>
        <w:t>中浩德电子商务产业园（洛阳）有限公司</w:t>
      </w:r>
    </w:p>
    <w:p>
      <w:pPr>
        <w:spacing w:line="360" w:lineRule="auto"/>
        <w:rPr>
          <w:rFonts w:ascii="宋体" w:hAnsi="宋体" w:cs="宋体"/>
          <w:u w:val="single"/>
        </w:rPr>
      </w:pPr>
      <w:r>
        <w:rPr>
          <w:rFonts w:hint="eastAsia" w:ascii="宋体" w:hAnsi="宋体" w:cs="宋体"/>
        </w:rPr>
        <w:t>统一社会信用代码：</w:t>
      </w:r>
      <w:r>
        <w:rPr>
          <w:rFonts w:ascii="宋体" w:hAnsi="宋体" w:cs="宋体"/>
          <w:u w:val="single"/>
        </w:rPr>
        <w:t>91410307MA3XDL7PX6</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依照《中华人民共和国民法典》、《中华人民共和国建筑法》及其他有关法律法规，遵循自愿、公平和诚实信用的原则，双方就</w:t>
      </w:r>
      <w:r>
        <w:rPr>
          <w:rFonts w:hint="eastAsia" w:ascii="宋体" w:hAnsi="宋体" w:cs="宋体"/>
          <w:b w:val="0"/>
          <w:bCs w:val="0"/>
          <w:kern w:val="2"/>
          <w:sz w:val="24"/>
          <w:szCs w:val="24"/>
          <w:u w:val="single"/>
        </w:rPr>
        <w:t>栾川山水文苑S1地块各楼栋户内及公共配电箱、车库及人防配电箱采购</w:t>
      </w:r>
      <w:r>
        <w:rPr>
          <w:rFonts w:hint="eastAsia" w:ascii="宋体" w:hAnsi="宋体" w:cs="宋体"/>
          <w:b w:val="0"/>
          <w:bCs w:val="0"/>
          <w:kern w:val="2"/>
          <w:sz w:val="24"/>
          <w:szCs w:val="24"/>
        </w:rPr>
        <w:t>事项协商一致，订立本合同。</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一、工程概况</w:t>
      </w:r>
    </w:p>
    <w:p>
      <w:pPr>
        <w:spacing w:line="360" w:lineRule="auto"/>
        <w:ind w:firstLine="480" w:firstLineChars="200"/>
        <w:rPr>
          <w:rFonts w:ascii="宋体" w:hAnsi="宋体" w:cs="宋体"/>
        </w:rPr>
      </w:pPr>
      <w:r>
        <w:rPr>
          <w:rFonts w:hint="eastAsia" w:ascii="宋体" w:hAnsi="宋体" w:cs="宋体"/>
        </w:rPr>
        <w:t>工程名称：栾川山水文苑S1地块各楼栋户内及公共配电箱、车库及人防配电箱采购，本工程用地面积46917.56m²，总建筑面积133916.97m²，其中地下建筑面积39358.51m²，地上建筑面积94558.46m²（1#、2#、3#、5#、6#、7#、8#、9#、10#、11#、12#、13#、15#、16#、17#、18#、19#、20#）。</w:t>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工程地点：洛阳市栾川县栾川山水文苑项目</w:t>
      </w:r>
    </w:p>
    <w:p>
      <w:pPr>
        <w:numPr>
          <w:ilvl w:val="0"/>
          <w:numId w:val="1"/>
        </w:numPr>
        <w:tabs>
          <w:tab w:val="left" w:pos="0"/>
        </w:tabs>
        <w:kinsoku w:val="0"/>
        <w:wordWrap w:val="0"/>
        <w:topLinePunct/>
        <w:autoSpaceDE w:val="0"/>
        <w:spacing w:line="360" w:lineRule="auto"/>
        <w:rPr>
          <w:rFonts w:ascii="宋体" w:hAnsi="宋体" w:cs="宋体"/>
          <w:b/>
        </w:rPr>
      </w:pPr>
      <w:r>
        <w:rPr>
          <w:rFonts w:hint="eastAsia" w:ascii="宋体" w:hAnsi="宋体" w:cs="宋体"/>
          <w:b/>
        </w:rPr>
        <w:t>货物的名称、品种、规格和质量及范围</w:t>
      </w:r>
    </w:p>
    <w:p>
      <w:pPr>
        <w:pStyle w:val="15"/>
      </w:pPr>
      <w:r>
        <w:rPr>
          <w:rFonts w:hint="eastAsia"/>
        </w:rPr>
        <w:t xml:space="preserve">    1、货物的名称、品种、规格、品牌：</w:t>
      </w:r>
    </w:p>
    <w:p>
      <w:pPr>
        <w:pStyle w:val="15"/>
        <w:ind w:firstLine="480" w:firstLineChars="200"/>
      </w:pPr>
      <w:r>
        <w:rPr>
          <w:rFonts w:hint="eastAsia"/>
        </w:rPr>
        <w:t>按甲方选定“</w:t>
      </w:r>
      <w:r>
        <w:rPr>
          <w:rFonts w:hint="eastAsia" w:ascii="宋体" w:hAnsi="宋体" w:cs="宋体"/>
          <w:u w:val="single"/>
        </w:rPr>
        <w:t>中浩德电子商务产业园（洛阳）有限公司</w:t>
      </w:r>
      <w:r>
        <w:rPr>
          <w:rFonts w:hint="eastAsia"/>
        </w:rPr>
        <w:t>”提供的“配电箱”，具体规格及型号见本合同附件；配电箱主要电器元件选用“</w:t>
      </w:r>
      <w:r>
        <w:rPr>
          <w:rFonts w:hint="eastAsia"/>
          <w:u w:val="single"/>
        </w:rPr>
        <w:t xml:space="preserve">德力西 </w:t>
      </w:r>
      <w:r>
        <w:rPr>
          <w:rFonts w:hint="eastAsia"/>
        </w:rPr>
        <w:t>”。</w:t>
      </w:r>
    </w:p>
    <w:p>
      <w:pPr>
        <w:pStyle w:val="15"/>
        <w:ind w:firstLine="480" w:firstLineChars="200"/>
      </w:pPr>
      <w:r>
        <w:rPr>
          <w:rFonts w:hint="eastAsia"/>
        </w:rPr>
        <w:t>2、货物的质量、技术标准：</w:t>
      </w:r>
    </w:p>
    <w:p>
      <w:pPr>
        <w:pStyle w:val="15"/>
        <w:ind w:firstLine="480" w:firstLineChars="200"/>
      </w:pPr>
      <w:r>
        <w:rPr>
          <w:rFonts w:hint="eastAsia"/>
        </w:rPr>
        <w:t>2.1、配电箱质量满足国家或相关行业的强制性质量标准；无强制性标准的应以样品或双方约定的标准为准（包括图纸、样品）等，图纸及样品必须经双方签认并妥善封存，此外所供配电箱还应提供具有国家认可机构出具的与每批配电箱相对应有效期限内的有效质量检验合格报告。如国家标准、行业标准及甲方企业内控标准不一致时，以其中最高的标准为准。</w:t>
      </w:r>
    </w:p>
    <w:p>
      <w:pPr>
        <w:pStyle w:val="15"/>
        <w:ind w:firstLine="480" w:firstLineChars="200"/>
      </w:pPr>
      <w:r>
        <w:rPr>
          <w:rFonts w:hint="eastAsia"/>
        </w:rPr>
        <w:t>2.2、明装配电箱钢板厚度裸板1.2mm（允许在国标范围内有误差--正负0.07mm）；</w:t>
      </w:r>
    </w:p>
    <w:p>
      <w:pPr>
        <w:pStyle w:val="15"/>
        <w:ind w:firstLine="960" w:firstLineChars="400"/>
        <w:rPr>
          <w:rFonts w:hint="eastAsia"/>
          <w:lang w:eastAsia="zh-CN"/>
        </w:rPr>
      </w:pPr>
      <w:r>
        <w:rPr>
          <w:rFonts w:hint="eastAsia"/>
        </w:rPr>
        <w:t>户箱（暗装）钢板厚度裸板1.0mm（允许在国标范围内有误差--正负0.05mm）</w:t>
      </w:r>
      <w:r>
        <w:rPr>
          <w:rFonts w:hint="eastAsia"/>
          <w:lang w:eastAsia="zh-CN"/>
        </w:rPr>
        <w:t>；</w:t>
      </w:r>
    </w:p>
    <w:p>
      <w:pPr>
        <w:pStyle w:val="16"/>
        <w:ind w:firstLine="960" w:firstLineChars="400"/>
        <w:rPr>
          <w:rFonts w:hint="eastAsia"/>
          <w:lang w:eastAsia="zh-CN"/>
        </w:rPr>
      </w:pPr>
      <w:r>
        <w:rPr>
          <w:rFonts w:hint="eastAsia"/>
          <w:b w:val="0"/>
          <w:bCs/>
          <w:color w:val="auto"/>
        </w:rPr>
        <w:t>明装配电箱（柜）箱体、箱门需提高钢板厚度，符合相关规范要求，保证正常使用。</w:t>
      </w:r>
    </w:p>
    <w:p>
      <w:pPr>
        <w:numPr>
          <w:ilvl w:val="0"/>
          <w:numId w:val="2"/>
        </w:numPr>
        <w:kinsoku w:val="0"/>
        <w:wordWrap w:val="0"/>
        <w:topLinePunct/>
        <w:autoSpaceDE w:val="0"/>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范围</w:t>
      </w:r>
    </w:p>
    <w:p>
      <w:pPr>
        <w:kinsoku w:val="0"/>
        <w:wordWrap w:val="0"/>
        <w:topLinePunct/>
        <w:autoSpaceDE w:val="0"/>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3.1、栾川山水文苑S1地块各楼栋户内及公共配电箱、车库及人防配电箱。详见附件二《工程量清单（栾川山水文苑S1地块各楼栋户内及公共配电箱、车库及人防配电箱采购）》</w:t>
      </w:r>
    </w:p>
    <w:p>
      <w:pPr>
        <w:pStyle w:val="15"/>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3.2、制作成品的必要检、试验项目（不包含第三方检验费用）。</w:t>
      </w:r>
    </w:p>
    <w:p>
      <w:pPr>
        <w:pStyle w:val="15"/>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3.3、本合同包制作、装车、送货及卸货、不含安装。</w:t>
      </w:r>
    </w:p>
    <w:p>
      <w:pPr>
        <w:pStyle w:val="16"/>
        <w:spacing w:line="360" w:lineRule="auto"/>
        <w:rPr>
          <w:b/>
          <w:bCs/>
        </w:rPr>
      </w:pPr>
      <w:r>
        <w:rPr>
          <w:rFonts w:hint="eastAsia"/>
          <w:b/>
          <w:bCs/>
        </w:rPr>
        <w:t>三、货物的数量和计量单位、计量方法</w:t>
      </w:r>
    </w:p>
    <w:p>
      <w:pPr>
        <w:pStyle w:val="16"/>
        <w:spacing w:line="360" w:lineRule="auto"/>
        <w:ind w:firstLine="480"/>
      </w:pPr>
      <w:r>
        <w:rPr>
          <w:rFonts w:hint="eastAsia"/>
        </w:rPr>
        <w:t>1、货物的数量：实际需要的货物品种、规格、数量详见附件</w:t>
      </w:r>
      <w:r>
        <w:rPr>
          <w:rStyle w:val="35"/>
          <w:rFonts w:hint="eastAsia" w:ascii="Times New Roman" w:cs="Times New Roman"/>
          <w:color w:val="auto"/>
          <w:kern w:val="2"/>
        </w:rPr>
        <w:t>二</w:t>
      </w:r>
      <w:r>
        <w:rPr>
          <w:rFonts w:hint="eastAsia"/>
        </w:rPr>
        <w:t>。</w:t>
      </w:r>
    </w:p>
    <w:p>
      <w:pPr>
        <w:pStyle w:val="16"/>
        <w:spacing w:line="360" w:lineRule="auto"/>
        <w:ind w:firstLine="480"/>
      </w:pPr>
      <w:r>
        <w:rPr>
          <w:rFonts w:hint="eastAsia"/>
        </w:rPr>
        <w:t>2、按本合同附件的计量单位为准。</w:t>
      </w:r>
    </w:p>
    <w:p>
      <w:pPr>
        <w:pStyle w:val="16"/>
        <w:spacing w:line="360" w:lineRule="auto"/>
        <w:ind w:firstLine="480"/>
      </w:pPr>
      <w:r>
        <w:rPr>
          <w:rFonts w:hint="eastAsia"/>
        </w:rPr>
        <w:t>3、计量方法：按验收合格的数量乘以相应货物单价据实计算。</w:t>
      </w:r>
    </w:p>
    <w:p>
      <w:pPr>
        <w:pStyle w:val="17"/>
        <w:spacing w:line="360" w:lineRule="auto"/>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四、货物的交货单位（或交货人）、交货方法、运输方式、到货地点</w:t>
      </w:r>
    </w:p>
    <w:p>
      <w:pPr>
        <w:pStyle w:val="15"/>
        <w:ind w:firstLine="480" w:firstLineChars="200"/>
      </w:pPr>
      <w:r>
        <w:rPr>
          <w:rFonts w:hint="eastAsia"/>
        </w:rPr>
        <w:t>1、</w:t>
      </w:r>
      <w:r>
        <w:rPr>
          <w:rFonts w:hint="eastAsia"/>
          <w:lang w:val="en-US" w:eastAsia="zh-CN"/>
        </w:rPr>
        <w:t>交货方式：乙方负责将</w:t>
      </w:r>
      <w:r>
        <w:rPr>
          <w:rFonts w:hint="eastAsia"/>
        </w:rPr>
        <w:t>货物</w:t>
      </w:r>
      <w:r>
        <w:rPr>
          <w:rFonts w:hint="eastAsia"/>
          <w:lang w:val="en-US" w:eastAsia="zh-CN"/>
        </w:rPr>
        <w:t>运输、装卸到</w:t>
      </w:r>
      <w:r>
        <w:rPr>
          <w:rFonts w:hint="eastAsia"/>
        </w:rPr>
        <w:t>甲方指定地点，并卸至买方指定位置，经甲方、乙方、监理、总承包单位四方核对无误，签署《验收单》，货物移交总承包单位后，视为完成交付。</w:t>
      </w:r>
    </w:p>
    <w:p>
      <w:pPr>
        <w:pStyle w:val="17"/>
        <w:spacing w:line="360" w:lineRule="auto"/>
        <w:ind w:firstLine="480" w:firstLineChars="200"/>
        <w:jc w:val="both"/>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2、货物的收货单位（或交货人）： 总承包单位为河南诚鹏建设工程有限公司。</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3、货物送达地址：河南省洛阳市栾川县栾川山水文苑S1地块</w:t>
      </w:r>
      <w:r>
        <w:rPr>
          <w:rFonts w:hint="eastAsia" w:asciiTheme="minorEastAsia" w:hAnsiTheme="minorEastAsia" w:eastAsiaTheme="minorEastAsia" w:cstheme="minorEastAsia"/>
          <w:b w:val="0"/>
          <w:bCs/>
          <w:sz w:val="24"/>
          <w:lang w:eastAsia="zh-CN"/>
        </w:rPr>
        <w:t>。</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4、货物交货方法：乙方送货及装卸车；按照甲方要求送货。</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5、货物运输方式：乙方自行选择运输方式，确保货物按期且无损送达指定交货地点。</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6、附件四中为《送货单》及《验收单》，每次乙方送货后将盖章的《送货单》复印2份送工程部备案。《验收单》一式5份，请款及结算时随资料一并递交。</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7、每次送货，乙方应报送各产品合格证件及加盖红章检测报告复印件各肆套。</w:t>
      </w:r>
    </w:p>
    <w:p>
      <w:pPr>
        <w:pStyle w:val="18"/>
        <w:keepNext w:val="0"/>
        <w:keepLines w:val="0"/>
        <w:pageBreakBefore w:val="0"/>
        <w:widowControl/>
        <w:kinsoku/>
        <w:wordWrap/>
        <w:overflowPunct/>
        <w:topLinePunct w:val="0"/>
        <w:autoSpaceDE/>
        <w:autoSpaceDN/>
        <w:bidi w:val="0"/>
        <w:adjustRightInd/>
        <w:snapToGrid/>
        <w:spacing w:line="360" w:lineRule="auto"/>
        <w:ind w:left="0" w:leftChars="0" w:firstLine="480"/>
        <w:textAlignment w:val="auto"/>
        <w:rPr>
          <w:rStyle w:val="35"/>
          <w:rFonts w:ascii="Times New Roman"/>
          <w:kern w:val="2"/>
        </w:rPr>
      </w:pPr>
      <w:r>
        <w:rPr>
          <w:rFonts w:hint="eastAsia" w:asciiTheme="minorEastAsia" w:hAnsiTheme="minorEastAsia" w:eastAsiaTheme="minorEastAsia" w:cstheme="minorEastAsia"/>
          <w:bCs/>
          <w:szCs w:val="24"/>
        </w:rPr>
        <w:t>8、货物及运输的毁损灭失等风险，在送达完毕且经甲方验收合格前由乙方承担，验收合格货物移交至</w:t>
      </w:r>
      <w:r>
        <w:rPr>
          <w:rFonts w:hint="eastAsia" w:asciiTheme="minorEastAsia" w:hAnsiTheme="minorEastAsia" w:eastAsiaTheme="minorEastAsia" w:cstheme="minorEastAsia"/>
          <w:bCs/>
        </w:rPr>
        <w:t>总承包单位后</w:t>
      </w:r>
      <w:r>
        <w:rPr>
          <w:rFonts w:hint="eastAsia" w:asciiTheme="minorEastAsia" w:hAnsiTheme="minorEastAsia" w:eastAsiaTheme="minorEastAsia" w:cstheme="minorEastAsia"/>
          <w:bCs/>
          <w:szCs w:val="24"/>
        </w:rPr>
        <w:t>由</w:t>
      </w:r>
      <w:r>
        <w:rPr>
          <w:rFonts w:hint="eastAsia" w:asciiTheme="minorEastAsia" w:hAnsiTheme="minorEastAsia" w:eastAsiaTheme="minorEastAsia" w:cstheme="minorEastAsia"/>
          <w:bCs/>
        </w:rPr>
        <w:t>总承包单位</w:t>
      </w:r>
      <w:r>
        <w:rPr>
          <w:rFonts w:hint="eastAsia" w:asciiTheme="minorEastAsia" w:hAnsiTheme="minorEastAsia" w:eastAsiaTheme="minorEastAsia" w:cstheme="minorEastAsia"/>
          <w:bCs/>
          <w:szCs w:val="24"/>
        </w:rPr>
        <w:t>承担。</w:t>
      </w:r>
    </w:p>
    <w:p>
      <w:pPr>
        <w:pStyle w:val="15"/>
        <w:keepNext w:val="0"/>
        <w:keepLines w:val="0"/>
        <w:pageBreakBefore w:val="0"/>
        <w:widowControl/>
        <w:kinsoku/>
        <w:wordWrap/>
        <w:overflowPunct/>
        <w:topLinePunct w:val="0"/>
        <w:autoSpaceDE/>
        <w:autoSpaceDN/>
        <w:bidi w:val="0"/>
        <w:adjustRightInd/>
        <w:snapToGrid/>
        <w:ind w:firstLine="480" w:firstLineChars="200"/>
        <w:textAlignment w:val="auto"/>
      </w:pPr>
      <w:r>
        <w:rPr>
          <w:rStyle w:val="35"/>
          <w:rFonts w:hint="eastAsia" w:ascii="宋体" w:hAnsi="宋体" w:cs="宋体"/>
          <w:kern w:val="2"/>
          <w:sz w:val="24"/>
          <w:szCs w:val="24"/>
        </w:rPr>
        <w:t>9、</w:t>
      </w:r>
      <w:r>
        <w:rPr>
          <w:rFonts w:hint="eastAsia"/>
        </w:rPr>
        <w:t>乙方负责办理运输和保险（如需要），将货物运抵交货地点（含卸车费）。有关运输、保险和装卸等一切相关费用由乙方承担，费用已含在投标报价中</w:t>
      </w:r>
    </w:p>
    <w:p>
      <w:pPr>
        <w:pStyle w:val="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五、承包方式</w:t>
      </w:r>
    </w:p>
    <w:p>
      <w:pPr>
        <w:spacing w:line="360" w:lineRule="auto"/>
        <w:ind w:firstLine="480" w:firstLineChars="200"/>
        <w:rPr>
          <w:rFonts w:ascii="宋体" w:hAnsi="宋体" w:cs="宋体"/>
          <w:szCs w:val="22"/>
        </w:rPr>
      </w:pPr>
      <w:r>
        <w:rPr>
          <w:rFonts w:hint="eastAsia" w:ascii="宋体" w:hAnsi="宋体" w:cs="宋体"/>
          <w:szCs w:val="22"/>
        </w:rPr>
        <w:t>1、本工程采用固定综合单价的承包方式、以实结算的形式。在图纸有发生变更的情况下，乙方不得以任何理由提出单价变动。综合单价为材料到工地价，包括材料出厂价、包装费、运输损耗费、运输费(项目工地)、材料所须的各种检测费、各类风险、利润、税金（按税计算）、二次装卸费及其他一切费用等。</w:t>
      </w:r>
    </w:p>
    <w:p>
      <w:pPr>
        <w:spacing w:line="360" w:lineRule="auto"/>
        <w:ind w:firstLine="480" w:firstLineChars="200"/>
        <w:rPr>
          <w:rFonts w:ascii="宋体" w:hAnsi="宋体" w:cs="宋体"/>
          <w:b/>
          <w:bCs/>
          <w:szCs w:val="22"/>
        </w:rPr>
      </w:pPr>
      <w:r>
        <w:rPr>
          <w:rFonts w:hint="eastAsia" w:ascii="宋体" w:hAnsi="宋体" w:cs="宋体"/>
          <w:szCs w:val="22"/>
        </w:rPr>
        <w:t>结算方式：结算总价=固定综合单价*</w:t>
      </w:r>
      <w:r>
        <w:rPr>
          <w:rFonts w:hint="eastAsia" w:asciiTheme="minorEastAsia" w:hAnsiTheme="minorEastAsia" w:eastAsiaTheme="minorEastAsia"/>
        </w:rPr>
        <w:t>实际</w:t>
      </w:r>
      <w:r>
        <w:rPr>
          <w:rFonts w:hint="eastAsia" w:asciiTheme="minorEastAsia" w:hAnsiTheme="minorEastAsia" w:eastAsiaTheme="minorEastAsia"/>
          <w:lang w:eastAsia="zh-CN"/>
        </w:rPr>
        <w:t>供货</w:t>
      </w:r>
      <w:r>
        <w:rPr>
          <w:rFonts w:hint="eastAsia" w:asciiTheme="minorEastAsia" w:hAnsiTheme="minorEastAsia" w:eastAsiaTheme="minorEastAsia"/>
        </w:rPr>
        <w:t>数量</w:t>
      </w:r>
      <w:r>
        <w:rPr>
          <w:rFonts w:hint="eastAsia" w:ascii="宋体" w:hAnsi="宋体" w:cs="宋体"/>
          <w:szCs w:val="22"/>
        </w:rPr>
        <w:t>±变更</w:t>
      </w:r>
      <w:r>
        <w:rPr>
          <w:rFonts w:hint="eastAsia" w:ascii="宋体" w:hAnsi="宋体" w:cs="宋体"/>
          <w:szCs w:val="22"/>
          <w:lang w:eastAsia="zh-CN"/>
        </w:rPr>
        <w:t>、</w:t>
      </w:r>
      <w:r>
        <w:rPr>
          <w:rFonts w:hint="eastAsia" w:ascii="宋体" w:hAnsi="宋体" w:cs="宋体"/>
          <w:szCs w:val="22"/>
        </w:rPr>
        <w:t>签证</w:t>
      </w:r>
      <w:r>
        <w:rPr>
          <w:rFonts w:hint="eastAsia" w:ascii="宋体" w:hAnsi="宋体" w:cs="宋体"/>
          <w:szCs w:val="22"/>
          <w:lang w:val="en-US" w:eastAsia="zh-CN"/>
        </w:rPr>
        <w:t>造价</w:t>
      </w:r>
      <w:r>
        <w:rPr>
          <w:rFonts w:hint="eastAsia" w:ascii="宋体" w:hAnsi="宋体" w:cs="宋体"/>
          <w:szCs w:val="22"/>
        </w:rPr>
        <w:t>-</w:t>
      </w:r>
      <w:r>
        <w:rPr>
          <w:rFonts w:hint="eastAsia" w:ascii="宋体" w:hAnsi="宋体" w:cs="宋体"/>
          <w:szCs w:val="22"/>
          <w:lang w:val="en-US" w:eastAsia="zh-CN"/>
        </w:rPr>
        <w:t>其他</w:t>
      </w:r>
      <w:r>
        <w:rPr>
          <w:rFonts w:hint="eastAsia" w:ascii="宋体" w:hAnsi="宋体" w:cs="宋体"/>
          <w:szCs w:val="22"/>
        </w:rPr>
        <w:t>应扣费用</w:t>
      </w:r>
    </w:p>
    <w:p>
      <w:pPr>
        <w:spacing w:line="360" w:lineRule="auto"/>
        <w:ind w:firstLine="480" w:firstLineChars="200"/>
        <w:rPr>
          <w:rFonts w:ascii="宋体" w:hAnsi="宋体" w:cs="宋体"/>
          <w:szCs w:val="22"/>
        </w:rPr>
      </w:pPr>
      <w:r>
        <w:rPr>
          <w:rFonts w:hint="eastAsia" w:ascii="宋体" w:hAnsi="宋体" w:cs="宋体"/>
          <w:szCs w:val="22"/>
        </w:rPr>
        <w:t>2、变更签证处理办法：在合同实际执行过程中，如配电箱图纸变更或数量增减发生的金额变化：</w:t>
      </w:r>
    </w:p>
    <w:p>
      <w:pPr>
        <w:spacing w:line="360" w:lineRule="auto"/>
        <w:ind w:firstLine="480" w:firstLineChars="200"/>
        <w:rPr>
          <w:rFonts w:ascii="宋体" w:hAnsi="宋体" w:cs="宋体"/>
          <w:szCs w:val="22"/>
        </w:rPr>
      </w:pPr>
      <w:r>
        <w:rPr>
          <w:rFonts w:hint="eastAsia" w:ascii="宋体" w:hAnsi="宋体" w:cs="宋体"/>
          <w:szCs w:val="22"/>
        </w:rPr>
        <w:t>（1）如仅配电箱数量变更，箱体内部配置并未发生改变，则按照合同后附表中对应货品价格进行增减。</w:t>
      </w:r>
    </w:p>
    <w:p>
      <w:pPr>
        <w:spacing w:line="360" w:lineRule="auto"/>
        <w:ind w:firstLine="480" w:firstLineChars="200"/>
        <w:rPr>
          <w:rFonts w:ascii="宋体" w:hAnsi="宋体" w:cs="宋体"/>
          <w:szCs w:val="22"/>
        </w:rPr>
      </w:pPr>
      <w:r>
        <w:rPr>
          <w:rFonts w:hint="eastAsia" w:ascii="宋体" w:hAnsi="宋体" w:cs="宋体"/>
          <w:szCs w:val="22"/>
        </w:rPr>
        <w:t>（2）配电箱图纸变更导致箱体内部配置发生变更的，元器件单价按照合同后附表中单价调整，无单价的由甲乙双方商定后列入结算价款中。</w:t>
      </w:r>
    </w:p>
    <w:p>
      <w:pPr>
        <w:numPr>
          <w:ilvl w:val="255"/>
          <w:numId w:val="0"/>
        </w:numPr>
        <w:kinsoku w:val="0"/>
        <w:wordWrap w:val="0"/>
        <w:topLinePunct/>
        <w:autoSpaceDE w:val="0"/>
        <w:spacing w:line="360" w:lineRule="auto"/>
        <w:rPr>
          <w:rFonts w:hAnsi="宋体" w:cs="宋体"/>
          <w:bCs/>
        </w:rPr>
      </w:pPr>
      <w:r>
        <w:rPr>
          <w:rFonts w:hint="eastAsia" w:ascii="宋体" w:hAnsi="宋体" w:cs="宋体"/>
          <w:b/>
          <w:bCs/>
        </w:rPr>
        <w:t>六、供货期要求</w:t>
      </w:r>
    </w:p>
    <w:p>
      <w:pPr>
        <w:pStyle w:val="17"/>
        <w:spacing w:line="360" w:lineRule="auto"/>
        <w:ind w:firstLine="480" w:firstLineChars="200"/>
        <w:jc w:val="both"/>
        <w:rPr>
          <w:rFonts w:ascii="Times New Roman" w:hAnsi="Times New Roman"/>
          <w:b w:val="0"/>
          <w:sz w:val="24"/>
          <w:szCs w:val="20"/>
        </w:rPr>
      </w:pPr>
      <w:r>
        <w:rPr>
          <w:rFonts w:hint="eastAsia" w:ascii="Times New Roman" w:hAnsi="Times New Roman"/>
          <w:b w:val="0"/>
          <w:sz w:val="24"/>
          <w:szCs w:val="20"/>
        </w:rPr>
        <w:t>1、供货方式：乙方按照订货清单进行批次供货。</w:t>
      </w:r>
    </w:p>
    <w:p>
      <w:pPr>
        <w:spacing w:line="360" w:lineRule="auto"/>
        <w:ind w:firstLine="480" w:firstLineChars="200"/>
        <w:rPr>
          <w:szCs w:val="20"/>
        </w:rPr>
      </w:pPr>
      <w:r>
        <w:rPr>
          <w:rFonts w:hint="eastAsia"/>
          <w:szCs w:val="20"/>
        </w:rPr>
        <w:t>2、每批次供货期为15日历天，每批次交货时间具体以甲方书面通知为准。</w:t>
      </w:r>
    </w:p>
    <w:p>
      <w:pPr>
        <w:spacing w:line="360" w:lineRule="auto"/>
        <w:ind w:firstLine="480" w:firstLineChars="200"/>
        <w:rPr>
          <w:rFonts w:ascii="宋体" w:hAnsi="宋体"/>
        </w:rPr>
      </w:pPr>
      <w:r>
        <w:rPr>
          <w:rFonts w:hint="eastAsia"/>
        </w:rPr>
        <w:t>3</w:t>
      </w:r>
      <w:r>
        <w:rPr>
          <w:rFonts w:hint="eastAsia" w:ascii="宋体" w:hAnsi="宋体"/>
        </w:rPr>
        <w:t>、施工过程中如遇甲方责任或不可抗力等因素所延误的工期，经甲、乙双方签证认可后予以调整，并在此基础上确定完工日期。</w:t>
      </w:r>
    </w:p>
    <w:p>
      <w:pPr>
        <w:pStyle w:val="2"/>
        <w:numPr>
          <w:ilvl w:val="255"/>
          <w:numId w:val="0"/>
        </w:numPr>
        <w:kinsoku w:val="0"/>
        <w:wordWrap w:val="0"/>
        <w:topLinePunct/>
        <w:autoSpaceDE w:val="0"/>
        <w:spacing w:line="360" w:lineRule="auto"/>
        <w:rPr>
          <w:rFonts w:hAnsi="宋体" w:cs="宋体"/>
          <w:szCs w:val="24"/>
        </w:rPr>
      </w:pPr>
      <w:r>
        <w:rPr>
          <w:rFonts w:hint="eastAsia" w:hAnsi="宋体" w:cs="宋体"/>
          <w:szCs w:val="24"/>
        </w:rPr>
        <w:t>七、合同价格</w:t>
      </w:r>
    </w:p>
    <w:p>
      <w:pPr>
        <w:kinsoku w:val="0"/>
        <w:wordWrap w:val="0"/>
        <w:topLinePunct/>
        <w:autoSpaceDE w:val="0"/>
        <w:spacing w:line="360" w:lineRule="auto"/>
        <w:ind w:firstLine="480" w:firstLineChars="200"/>
        <w:rPr>
          <w:rFonts w:ascii="宋体" w:hAnsi="宋体" w:cs="宋体"/>
        </w:rPr>
      </w:pPr>
      <w:r>
        <w:rPr>
          <w:rFonts w:hint="eastAsia" w:ascii="宋体" w:hAnsi="宋体" w:cs="宋体"/>
        </w:rPr>
        <w:t>1、合同暂定含税总价为</w:t>
      </w:r>
      <w:r>
        <w:rPr>
          <w:rFonts w:hint="eastAsia" w:ascii="宋体" w:hAnsi="宋体" w:cs="宋体"/>
          <w:b/>
          <w:bCs/>
          <w:u w:val="single"/>
        </w:rPr>
        <w:t>¥1,319,996</w:t>
      </w:r>
      <w:r>
        <w:rPr>
          <w:rFonts w:hint="eastAsia" w:ascii="宋体" w:hAnsi="宋体" w:cs="宋体"/>
          <w:b/>
          <w:bCs/>
          <w:u w:val="single"/>
          <w:lang w:val="en-US" w:eastAsia="zh-CN"/>
        </w:rPr>
        <w:t>.00</w:t>
      </w:r>
      <w:r>
        <w:rPr>
          <w:rFonts w:hint="eastAsia" w:ascii="宋体" w:hAnsi="宋体" w:cs="宋体"/>
        </w:rPr>
        <w:t>元（大写人民币</w:t>
      </w:r>
      <w:r>
        <w:rPr>
          <w:rFonts w:hint="eastAsia" w:ascii="宋体" w:hAnsi="宋体" w:cs="宋体"/>
          <w:b/>
          <w:bCs/>
          <w:u w:val="single"/>
        </w:rPr>
        <w:t>壹佰叁拾壹万玖仟玖佰玖拾陆元整</w:t>
      </w:r>
      <w:r>
        <w:rPr>
          <w:rFonts w:hint="eastAsia" w:ascii="宋体" w:hAnsi="宋体" w:cs="宋体"/>
          <w:u w:val="single"/>
        </w:rPr>
        <w:t>，（以下简称“合同总价”</w:t>
      </w:r>
      <w:r>
        <w:rPr>
          <w:rFonts w:hint="eastAsia" w:ascii="宋体" w:hAnsi="宋体" w:cs="宋体"/>
        </w:rPr>
        <w:t>）。其中不含税金额为¥</w:t>
      </w:r>
      <w:r>
        <w:rPr>
          <w:rFonts w:ascii="宋体" w:hAnsi="宋体" w:cs="宋体"/>
          <w:b/>
          <w:bCs/>
          <w:u w:val="single"/>
        </w:rPr>
        <w:t>1,168</w:t>
      </w:r>
      <w:r>
        <w:rPr>
          <w:rFonts w:hint="eastAsia" w:ascii="宋体" w:hAnsi="宋体" w:cs="宋体"/>
          <w:b/>
          <w:bCs/>
          <w:u w:val="single"/>
        </w:rPr>
        <w:t>,</w:t>
      </w:r>
      <w:r>
        <w:rPr>
          <w:rFonts w:ascii="宋体" w:hAnsi="宋体" w:cs="宋体"/>
          <w:b/>
          <w:bCs/>
          <w:u w:val="single"/>
        </w:rPr>
        <w:t>138.05</w:t>
      </w:r>
      <w:r>
        <w:rPr>
          <w:rFonts w:hint="eastAsia" w:ascii="宋体" w:hAnsi="宋体" w:cs="宋体"/>
          <w:b/>
          <w:bCs/>
          <w:u w:val="single"/>
        </w:rPr>
        <w:t xml:space="preserve"> </w:t>
      </w:r>
      <w:r>
        <w:rPr>
          <w:rFonts w:hint="eastAsia" w:ascii="宋体" w:hAnsi="宋体" w:cs="宋体"/>
        </w:rPr>
        <w:t>元（大写人民币</w:t>
      </w:r>
      <w:r>
        <w:rPr>
          <w:rFonts w:hint="eastAsia" w:ascii="宋体" w:hAnsi="宋体" w:cs="宋体"/>
          <w:b/>
          <w:bCs/>
          <w:u w:val="single"/>
        </w:rPr>
        <w:t>壹佰壹拾陆万捌仟壹佰叁拾捌元零伍分</w:t>
      </w:r>
      <w:r>
        <w:rPr>
          <w:rFonts w:hint="eastAsia" w:ascii="宋体" w:hAnsi="宋体" w:cs="宋体"/>
        </w:rPr>
        <w:t>），增值税税金为¥</w:t>
      </w:r>
      <w:r>
        <w:rPr>
          <w:rFonts w:hint="eastAsia" w:ascii="宋体" w:hAnsi="宋体" w:cs="宋体"/>
          <w:b/>
          <w:bCs/>
          <w:u w:val="single"/>
        </w:rPr>
        <w:t>151857.95</w:t>
      </w:r>
      <w:r>
        <w:rPr>
          <w:rFonts w:hint="eastAsia" w:ascii="宋体" w:hAnsi="宋体" w:cs="宋体"/>
        </w:rPr>
        <w:t>元（大写人民币</w:t>
      </w:r>
      <w:r>
        <w:rPr>
          <w:rFonts w:hint="eastAsia" w:ascii="宋体" w:hAnsi="宋体" w:cs="宋体"/>
          <w:b/>
          <w:bCs/>
          <w:u w:val="single"/>
        </w:rPr>
        <w:t>壹拾伍万壹仟捌佰伍拾柒元玖角伍分</w:t>
      </w:r>
      <w:r>
        <w:rPr>
          <w:rFonts w:hint="eastAsia" w:ascii="宋体" w:hAnsi="宋体" w:cs="宋体"/>
        </w:rPr>
        <w:t>），税率</w:t>
      </w:r>
      <w:r>
        <w:rPr>
          <w:rFonts w:hint="eastAsia" w:ascii="宋体" w:hAnsi="宋体" w:cs="宋体"/>
          <w:b/>
          <w:bCs/>
          <w:u w:val="single"/>
        </w:rPr>
        <w:t>13</w:t>
      </w:r>
      <w:r>
        <w:rPr>
          <w:rFonts w:hint="eastAsia" w:ascii="宋体" w:hAnsi="宋体" w:cs="宋体"/>
        </w:rPr>
        <w:t>%。详见附件二《工程量清单计价表》。</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固定综合单价包干，固定综合单价包括但不限于人工费、材料费、机械费、措施费、窝工费、水电费、垃圾清运费、材料检测检验费、规费、安全文明施工费、扬尘治理增加费、疫情增加费、管理费、利润、税金(增值税专用发票)、验收、运输、装卸码放费、质保期服务等所需全部费用。详见附件二《工程量清单计价表》。合同清单内所有内容按固定综合单价包干以实结算形式，固定综合单价不因任何因素的变化而调整</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除合同总价及甲方认可的变更费用外，甲方不向乙方或任意第三方支付任何款项</w:t>
      </w:r>
      <w:r>
        <w:rPr>
          <w:rFonts w:hint="eastAsia" w:hAnsi="宋体" w:cs="宋体"/>
          <w:b w:val="0"/>
          <w:bCs/>
          <w:kern w:val="2"/>
          <w:position w:val="0"/>
          <w:szCs w:val="24"/>
        </w:rPr>
        <w:t>。</w:t>
      </w:r>
    </w:p>
    <w:p>
      <w:pPr>
        <w:spacing w:line="360" w:lineRule="auto"/>
        <w:ind w:firstLine="420" w:firstLineChars="175"/>
        <w:rPr>
          <w:rFonts w:ascii="宋体" w:hAnsi="宋体" w:cs="宋体"/>
        </w:rPr>
      </w:pPr>
      <w:r>
        <w:rPr>
          <w:rFonts w:hint="eastAsia" w:ascii="宋体" w:hAnsi="宋体" w:cs="宋体"/>
        </w:rPr>
        <w:t>3、增值税税率说明：</w:t>
      </w:r>
    </w:p>
    <w:p>
      <w:pPr>
        <w:spacing w:line="360" w:lineRule="auto"/>
        <w:ind w:firstLine="420" w:firstLineChars="175"/>
        <w:rPr>
          <w:rFonts w:ascii="宋体" w:hAnsi="宋体" w:cs="宋体"/>
        </w:rPr>
      </w:pPr>
      <w:r>
        <w:rPr>
          <w:rFonts w:hint="eastAsia" w:ascii="宋体" w:hAnsi="宋体" w:cs="宋体"/>
        </w:rPr>
        <w:t>3</w:t>
      </w:r>
      <w:r>
        <w:rPr>
          <w:rFonts w:ascii="宋体" w:hAnsi="宋体" w:cs="宋体"/>
        </w:rPr>
        <w:t>.1</w:t>
      </w:r>
      <w:r>
        <w:rPr>
          <w:rFonts w:hint="eastAsia" w:ascii="宋体" w:hAnsi="宋体" w:cs="宋体"/>
        </w:rPr>
        <w:t>、合同价增值税税率按</w:t>
      </w:r>
      <w:r>
        <w:rPr>
          <w:rFonts w:hint="eastAsia" w:ascii="宋体" w:hAnsi="宋体" w:cs="宋体"/>
          <w:b/>
          <w:bCs/>
          <w:u w:val="single"/>
        </w:rPr>
        <w:t>13</w:t>
      </w:r>
      <w:r>
        <w:rPr>
          <w:rFonts w:ascii="宋体" w:hAnsi="宋体" w:cs="宋体"/>
        </w:rPr>
        <w:t>%</w:t>
      </w:r>
      <w:r>
        <w:rPr>
          <w:rFonts w:hint="eastAsia" w:ascii="宋体" w:hAnsi="宋体" w:cs="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rPr>
      </w:pPr>
      <w:r>
        <w:rPr>
          <w:rFonts w:hint="eastAsia" w:ascii="宋体" w:hAnsi="宋体" w:cs="宋体"/>
        </w:rPr>
        <w:t>3</w:t>
      </w:r>
      <w:r>
        <w:rPr>
          <w:rFonts w:ascii="宋体" w:hAnsi="宋体" w:cs="宋体"/>
        </w:rPr>
        <w:t>.2</w:t>
      </w:r>
      <w:r>
        <w:rPr>
          <w:rFonts w:hint="eastAsia" w:ascii="宋体" w:hAnsi="宋体" w:cs="宋体"/>
        </w:rPr>
        <w:t>、如因乙方纳税资格变更引起增值税税率变化，风险由乙方自行承担（税率增加的，甲方仍按原税率支付税金；税率减小的，甲方按减小后的税率支付税金）。</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八、工程价款支付</w:t>
      </w:r>
      <w:r>
        <w:rPr>
          <w:rFonts w:hAnsi="宋体" w:cs="宋体"/>
          <w:szCs w:val="24"/>
        </w:rPr>
        <w:t xml:space="preserve"> </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1、根据工程施工阶段需求分批供货</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1.1、本工程无预付款；</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1.2、每批货全部到货完毕并验收合格后，支付至本批次配电箱到货价款的80%；</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1.3、全部配电箱送货完毕并竣工验收合格，办理结算完毕后支付至结算金额的95%，结算金额的5%留作质保金，质保期为两年，质保期应自竣工验收合格之日起计算；</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1.4、办理结算时乙方需提供符合要求的《验收单》作为结算依据，详见附件</w:t>
      </w:r>
      <w:r>
        <w:rPr>
          <w:rFonts w:hint="eastAsia" w:hAnsi="宋体" w:cs="宋体"/>
          <w:b w:val="0"/>
          <w:bCs/>
          <w:kern w:val="2"/>
          <w:position w:val="0"/>
          <w:szCs w:val="24"/>
          <w:lang w:val="en-US" w:eastAsia="zh-CN"/>
        </w:rPr>
        <w:t>四</w:t>
      </w:r>
      <w:r>
        <w:rPr>
          <w:rFonts w:hint="eastAsia" w:hAnsi="宋体" w:cs="宋体"/>
          <w:b w:val="0"/>
          <w:bCs/>
          <w:kern w:val="2"/>
          <w:position w:val="0"/>
          <w:szCs w:val="24"/>
        </w:rPr>
        <w:t>；</w:t>
      </w:r>
    </w:p>
    <w:p>
      <w:pPr>
        <w:kinsoku w:val="0"/>
        <w:wordWrap w:val="0"/>
        <w:topLinePunct/>
        <w:autoSpaceDE w:val="0"/>
        <w:spacing w:line="360" w:lineRule="auto"/>
        <w:ind w:firstLine="480" w:firstLineChars="200"/>
        <w:rPr>
          <w:rFonts w:hint="eastAsia" w:ascii="宋体" w:hAnsi="宋体" w:cs="宋体"/>
          <w:bCs/>
        </w:rPr>
      </w:pPr>
      <w:r>
        <w:rPr>
          <w:rFonts w:hint="eastAsia" w:ascii="宋体" w:hAnsi="宋体" w:cs="宋体"/>
          <w:bCs/>
        </w:rPr>
        <w:t>1.</w:t>
      </w:r>
      <w:r>
        <w:rPr>
          <w:rFonts w:hint="eastAsia" w:ascii="宋体" w:hAnsi="宋体" w:cs="宋体"/>
          <w:bCs/>
          <w:lang w:val="en-US" w:eastAsia="zh-CN"/>
        </w:rPr>
        <w:t>5</w:t>
      </w:r>
      <w:r>
        <w:rPr>
          <w:rFonts w:hint="eastAsia" w:ascii="宋体" w:hAnsi="宋体" w:cs="宋体"/>
          <w:bCs/>
        </w:rPr>
        <w:t>、工程款按节点支付时，不再支付变更及签证款项，即变更及签证部分付款在结算后支付。</w:t>
      </w:r>
    </w:p>
    <w:p>
      <w:pPr>
        <w:pStyle w:val="2"/>
        <w:spacing w:line="360" w:lineRule="auto"/>
        <w:ind w:firstLine="482" w:firstLineChars="200"/>
        <w:rPr>
          <w:rFonts w:hint="default" w:eastAsia="宋体"/>
          <w:lang w:val="en-US" w:eastAsia="zh-CN"/>
        </w:rPr>
      </w:pPr>
      <w:r>
        <w:rPr>
          <w:rFonts w:hint="eastAsia" w:hAnsi="宋体" w:cs="宋体"/>
          <w:bCs/>
          <w:lang w:val="en-US" w:eastAsia="zh-CN"/>
        </w:rPr>
        <w:t>1.6、</w:t>
      </w:r>
      <w:r>
        <w:rPr>
          <w:rFonts w:hint="eastAsia" w:hAnsi="宋体" w:cs="宋体"/>
          <w:b w:val="0"/>
          <w:bCs w:val="0"/>
          <w:lang w:val="en-US" w:eastAsia="zh-CN"/>
        </w:rPr>
        <w:t>甲方每次付款前，乙方应当提供合法有效等额的增值税专用发票；甲方支付至结算价款的95%时，乙方应当提供结算价款100%的增值税专用发票。否则，甲方有权延迟支付且不视为违约。</w:t>
      </w:r>
    </w:p>
    <w:p>
      <w:pPr>
        <w:pStyle w:val="15"/>
        <w:ind w:firstLine="480" w:firstLineChars="200"/>
      </w:pPr>
      <w:r>
        <w:rPr>
          <w:rFonts w:hint="eastAsia" w:ascii="宋体" w:hAnsi="宋体" w:cs="宋体"/>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3、对发票不合规的约定:</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3.1、乙方提供的发票为增值税专用发票的，因乙方迟延送达、开具错误等原因导致其提供的增值税专用发票没有通过税务部门认证，造成甲方不能抵扣的，甲方有权拒绝接收。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4、其它税务风险的合同约定:</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4</w:t>
      </w:r>
      <w:r>
        <w:rPr>
          <w:rFonts w:ascii="宋体" w:hAnsi="宋体" w:cs="宋体"/>
          <w:bCs/>
        </w:rPr>
        <w:t>.1、</w:t>
      </w:r>
      <w:r>
        <w:rPr>
          <w:rFonts w:hint="eastAsia" w:ascii="宋体" w:hAnsi="宋体" w:cs="宋体"/>
          <w:bCs/>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4.2、如果获得开具的汇总专用发票，则乙方应提供其防伪税控系统开具的《销售货物或者提供应税劳务清单》，并加盖发票专用章。</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九、技术规范及质量要求</w:t>
      </w:r>
    </w:p>
    <w:p>
      <w:pPr>
        <w:kinsoku w:val="0"/>
        <w:wordWrap w:val="0"/>
        <w:topLinePunct/>
        <w:autoSpaceDE w:val="0"/>
        <w:spacing w:line="360" w:lineRule="auto"/>
        <w:ind w:firstLine="480" w:firstLineChars="200"/>
        <w:rPr>
          <w:rFonts w:ascii="宋体" w:hAnsi="宋体"/>
        </w:rPr>
      </w:pPr>
      <w:r>
        <w:rPr>
          <w:rFonts w:hint="eastAsia" w:ascii="宋体" w:hAnsi="宋体"/>
        </w:rPr>
        <w:t>1、</w:t>
      </w:r>
      <w:r>
        <w:rPr>
          <w:rFonts w:hint="eastAsia" w:hAnsi="宋体" w:cs="宋体"/>
        </w:rPr>
        <w:t>技术规范</w:t>
      </w:r>
    </w:p>
    <w:p>
      <w:pPr>
        <w:kinsoku w:val="0"/>
        <w:wordWrap w:val="0"/>
        <w:topLinePunct/>
        <w:autoSpaceDE w:val="0"/>
        <w:spacing w:line="360" w:lineRule="auto"/>
        <w:ind w:firstLine="480" w:firstLineChars="200"/>
        <w:rPr>
          <w:rFonts w:ascii="宋体" w:hAnsi="宋体"/>
        </w:rPr>
      </w:pPr>
      <w:r>
        <w:rPr>
          <w:rFonts w:hint="eastAsia" w:ascii="宋体" w:hAnsi="宋体"/>
        </w:rPr>
        <w:t>（1）产品应按设计图纸要求满足并不限于以下国家现行相关标准。</w:t>
      </w:r>
    </w:p>
    <w:p>
      <w:pPr>
        <w:kinsoku w:val="0"/>
        <w:wordWrap w:val="0"/>
        <w:topLinePunct/>
        <w:autoSpaceDE w:val="0"/>
        <w:spacing w:line="360" w:lineRule="auto"/>
        <w:ind w:firstLine="480" w:firstLineChars="200"/>
        <w:rPr>
          <w:rFonts w:ascii="宋体" w:hAnsi="宋体"/>
        </w:rPr>
      </w:pPr>
      <w:r>
        <w:rPr>
          <w:rFonts w:hint="eastAsia" w:ascii="宋体" w:hAnsi="宋体"/>
        </w:rPr>
        <w:t>（2）GB7251.1-2013《低压成套开关设备和控制设备》。</w:t>
      </w:r>
    </w:p>
    <w:p>
      <w:pPr>
        <w:kinsoku w:val="0"/>
        <w:wordWrap w:val="0"/>
        <w:topLinePunct/>
        <w:autoSpaceDE w:val="0"/>
        <w:spacing w:line="360" w:lineRule="auto"/>
        <w:ind w:firstLine="480" w:firstLineChars="200"/>
        <w:rPr>
          <w:rFonts w:ascii="宋体" w:hAnsi="宋体"/>
        </w:rPr>
      </w:pPr>
      <w:r>
        <w:rPr>
          <w:rFonts w:hint="eastAsia" w:ascii="宋体" w:hAnsi="宋体"/>
        </w:rPr>
        <w:t>（3）EC60439.1-2005《低压成套开关设备和控制设备》。</w:t>
      </w:r>
    </w:p>
    <w:p>
      <w:pPr>
        <w:kinsoku w:val="0"/>
        <w:wordWrap w:val="0"/>
        <w:topLinePunct/>
        <w:autoSpaceDE w:val="0"/>
        <w:spacing w:line="360" w:lineRule="auto"/>
        <w:ind w:firstLine="480" w:firstLineChars="200"/>
        <w:rPr>
          <w:rFonts w:ascii="宋体" w:hAnsi="宋体"/>
        </w:rPr>
      </w:pPr>
      <w:r>
        <w:rPr>
          <w:rFonts w:hint="eastAsia" w:ascii="宋体" w:hAnsi="宋体"/>
        </w:rPr>
        <w:t>（4）GB50254~59-2014《电气装置安装工程施工及验收规范》。</w:t>
      </w:r>
    </w:p>
    <w:p>
      <w:pPr>
        <w:kinsoku w:val="0"/>
        <w:wordWrap w:val="0"/>
        <w:topLinePunct/>
        <w:autoSpaceDE w:val="0"/>
        <w:spacing w:line="360" w:lineRule="auto"/>
        <w:ind w:firstLine="480" w:firstLineChars="200"/>
        <w:rPr>
          <w:rFonts w:ascii="宋体" w:hAnsi="宋体"/>
        </w:rPr>
      </w:pPr>
      <w:r>
        <w:rPr>
          <w:rFonts w:hint="eastAsia" w:ascii="宋体" w:hAnsi="宋体"/>
        </w:rPr>
        <w:t>（5）GB50343-2012《建筑物电子信息系统防雷技术规范》。</w:t>
      </w:r>
    </w:p>
    <w:p>
      <w:pPr>
        <w:kinsoku w:val="0"/>
        <w:wordWrap w:val="0"/>
        <w:topLinePunct/>
        <w:autoSpaceDE w:val="0"/>
        <w:spacing w:line="360" w:lineRule="auto"/>
        <w:ind w:firstLine="480" w:firstLineChars="200"/>
        <w:rPr>
          <w:rFonts w:ascii="宋体" w:hAnsi="宋体"/>
        </w:rPr>
      </w:pPr>
      <w:r>
        <w:rPr>
          <w:rFonts w:hint="eastAsia" w:ascii="宋体" w:hAnsi="宋体"/>
        </w:rPr>
        <w:t>（6）GB50303-</w:t>
      </w:r>
      <w:r>
        <w:rPr>
          <w:rFonts w:hint="eastAsia" w:ascii="宋体" w:hAnsi="宋体"/>
          <w:lang w:val="en-US" w:eastAsia="zh-CN"/>
        </w:rPr>
        <w:t>2019</w:t>
      </w:r>
      <w:r>
        <w:rPr>
          <w:rFonts w:hint="eastAsia" w:ascii="宋体" w:hAnsi="宋体"/>
        </w:rPr>
        <w:t>《建筑电气工程质量验收规范》。</w:t>
      </w:r>
    </w:p>
    <w:p>
      <w:pPr>
        <w:kinsoku w:val="0"/>
        <w:wordWrap w:val="0"/>
        <w:topLinePunct/>
        <w:autoSpaceDE w:val="0"/>
        <w:spacing w:line="360" w:lineRule="auto"/>
        <w:ind w:firstLine="480" w:firstLineChars="200"/>
        <w:rPr>
          <w:rFonts w:ascii="宋体" w:hAnsi="宋体"/>
        </w:rPr>
      </w:pPr>
      <w:r>
        <w:rPr>
          <w:rFonts w:hint="eastAsia" w:ascii="宋体" w:hAnsi="宋体"/>
        </w:rPr>
        <w:t>所有主要元件通过3C认证或行业认证。</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说明：</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1.1、以上引用标准，如果已有最新标准，则执行新标准。</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1.2、以上只列出一些主要规范、标准，本项目涉及的有关内容按相应规范、标准执行；</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1.3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kinsoku w:val="0"/>
        <w:wordWrap w:val="0"/>
        <w:topLinePunct/>
        <w:autoSpaceDE w:val="0"/>
        <w:spacing w:line="360" w:lineRule="auto"/>
        <w:ind w:firstLine="480" w:firstLineChars="200"/>
        <w:rPr>
          <w:rFonts w:ascii="宋体" w:hAnsi="宋体" w:cs="宋体"/>
          <w:bCs/>
        </w:rPr>
      </w:pPr>
      <w:r>
        <w:rPr>
          <w:rFonts w:hint="eastAsia" w:ascii="宋体" w:hAnsi="宋体" w:cs="宋体"/>
          <w:bCs/>
        </w:rPr>
        <w:t>2、质量要求：</w:t>
      </w:r>
    </w:p>
    <w:p>
      <w:pPr>
        <w:spacing w:line="360" w:lineRule="auto"/>
        <w:rPr>
          <w:rFonts w:ascii="宋体" w:hAnsi="宋体" w:cs="宋体"/>
          <w:bCs/>
        </w:rPr>
      </w:pPr>
      <w:r>
        <w:rPr>
          <w:rFonts w:hint="eastAsia" w:ascii="宋体" w:hAnsi="宋体" w:cs="宋体"/>
        </w:rPr>
        <w:t xml:space="preserve">    </w:t>
      </w:r>
      <w:r>
        <w:rPr>
          <w:rFonts w:hint="eastAsia" w:ascii="宋体" w:hAnsi="宋体" w:cs="宋体"/>
          <w:bCs/>
        </w:rPr>
        <w:t>2.1、箱体要求：</w:t>
      </w:r>
    </w:p>
    <w:p>
      <w:pPr>
        <w:spacing w:line="360" w:lineRule="auto"/>
        <w:rPr>
          <w:rFonts w:ascii="宋体" w:hAnsi="宋体" w:cs="宋体"/>
          <w:bCs/>
        </w:rPr>
      </w:pPr>
      <w:r>
        <w:rPr>
          <w:rFonts w:hint="eastAsia" w:ascii="宋体" w:hAnsi="宋体" w:cs="宋体"/>
          <w:bCs/>
        </w:rPr>
        <w:t xml:space="preserve">   （1）配电箱（柜）的外涂采用静电喷涂方式颜色根据甲方要求，表面应平整、干净、无凹坑；箱体内使用的有镀层的零部件，应保证无剥落、半点、漏镀、生锈等不良现象。</w:t>
      </w:r>
    </w:p>
    <w:p>
      <w:pPr>
        <w:spacing w:line="360" w:lineRule="auto"/>
        <w:rPr>
          <w:rFonts w:ascii="宋体" w:hAnsi="宋体" w:cs="宋体"/>
          <w:bCs/>
        </w:rPr>
      </w:pPr>
      <w:r>
        <w:rPr>
          <w:rFonts w:hint="eastAsia" w:ascii="宋体" w:hAnsi="宋体" w:cs="宋体"/>
          <w:bCs/>
        </w:rPr>
        <w:t xml:space="preserve">   （2）配电箱（柜）箱体选用钢板厚度：</w:t>
      </w:r>
    </w:p>
    <w:p>
      <w:pPr>
        <w:spacing w:line="360" w:lineRule="auto"/>
        <w:ind w:firstLine="420" w:firstLineChars="175"/>
        <w:rPr>
          <w:rFonts w:ascii="宋体" w:hAnsi="宋体" w:cs="宋体"/>
          <w:bCs/>
        </w:rPr>
      </w:pPr>
      <w:r>
        <w:rPr>
          <w:rFonts w:hint="eastAsia" w:ascii="宋体" w:hAnsi="宋体" w:cs="宋体"/>
          <w:bCs/>
        </w:rPr>
        <w:t>明装配电箱钢板厚度裸板1.2</w:t>
      </w:r>
      <w:r>
        <w:rPr>
          <w:rFonts w:ascii="宋体" w:hAnsi="宋体" w:cs="宋体"/>
          <w:bCs/>
        </w:rPr>
        <w:t>mm</w:t>
      </w:r>
      <w:r>
        <w:rPr>
          <w:rFonts w:hint="eastAsia" w:ascii="宋体" w:hAnsi="宋体" w:cs="宋体"/>
          <w:bCs/>
        </w:rPr>
        <w:t>（允许在国标范围内有误差--正负0</w:t>
      </w:r>
      <w:r>
        <w:rPr>
          <w:rFonts w:ascii="宋体" w:hAnsi="宋体" w:cs="宋体"/>
          <w:bCs/>
        </w:rPr>
        <w:t>.07mm</w:t>
      </w:r>
      <w:r>
        <w:rPr>
          <w:rFonts w:hint="eastAsia" w:ascii="宋体" w:hAnsi="宋体" w:cs="宋体"/>
          <w:bCs/>
        </w:rPr>
        <w:t>）；</w:t>
      </w:r>
    </w:p>
    <w:p>
      <w:pPr>
        <w:spacing w:line="360" w:lineRule="auto"/>
        <w:ind w:firstLine="420" w:firstLineChars="175"/>
        <w:rPr>
          <w:rFonts w:hint="eastAsia" w:ascii="宋体" w:hAnsi="宋体" w:cs="宋体"/>
          <w:bCs/>
          <w:lang w:eastAsia="zh-CN"/>
        </w:rPr>
      </w:pPr>
      <w:r>
        <w:rPr>
          <w:rFonts w:hint="eastAsia" w:ascii="宋体" w:hAnsi="宋体" w:cs="宋体"/>
          <w:bCs/>
        </w:rPr>
        <w:t>户箱（暗装）钢板厚度裸板1.0</w:t>
      </w:r>
      <w:r>
        <w:rPr>
          <w:rFonts w:ascii="宋体" w:hAnsi="宋体" w:cs="宋体"/>
          <w:bCs/>
        </w:rPr>
        <w:t>mm</w:t>
      </w:r>
      <w:r>
        <w:rPr>
          <w:rFonts w:hint="eastAsia" w:ascii="宋体" w:hAnsi="宋体" w:cs="宋体"/>
          <w:bCs/>
        </w:rPr>
        <w:t>（允许在国标范围内有误差--正负0</w:t>
      </w:r>
      <w:r>
        <w:rPr>
          <w:rFonts w:ascii="宋体" w:hAnsi="宋体" w:cs="宋体"/>
          <w:bCs/>
        </w:rPr>
        <w:t>.05mm</w:t>
      </w:r>
      <w:r>
        <w:rPr>
          <w:rFonts w:hint="eastAsia" w:ascii="宋体" w:hAnsi="宋体" w:cs="宋体"/>
          <w:bCs/>
        </w:rPr>
        <w:t>）</w:t>
      </w:r>
      <w:r>
        <w:rPr>
          <w:rFonts w:hint="eastAsia" w:ascii="宋体" w:hAnsi="宋体" w:cs="宋体"/>
          <w:bCs/>
          <w:lang w:eastAsia="zh-CN"/>
        </w:rPr>
        <w:t>；</w:t>
      </w:r>
    </w:p>
    <w:p>
      <w:pPr>
        <w:pStyle w:val="2"/>
        <w:ind w:firstLine="480" w:firstLineChars="200"/>
        <w:rPr>
          <w:rFonts w:hint="eastAsia"/>
          <w:lang w:eastAsia="zh-CN"/>
        </w:rPr>
      </w:pPr>
      <w:r>
        <w:rPr>
          <w:rFonts w:hint="eastAsia"/>
          <w:b w:val="0"/>
          <w:bCs/>
          <w:color w:val="auto"/>
        </w:rPr>
        <w:t>明装配电箱（柜）箱体、箱门需提高钢板厚度，符合相关规范要求，保证正常使用。</w:t>
      </w:r>
    </w:p>
    <w:p>
      <w:pPr>
        <w:spacing w:line="360" w:lineRule="auto"/>
        <w:rPr>
          <w:rFonts w:ascii="宋体" w:hAnsi="宋体" w:cs="宋体"/>
          <w:bCs/>
        </w:rPr>
      </w:pPr>
      <w:r>
        <w:rPr>
          <w:rFonts w:hint="eastAsia" w:ascii="宋体" w:hAnsi="宋体" w:cs="宋体"/>
          <w:bCs/>
          <w:color w:val="auto"/>
        </w:rPr>
        <w:t>在非落地式配电箱背面四角设置挂耳，挂耳采</w:t>
      </w:r>
      <w:r>
        <w:rPr>
          <w:rFonts w:hint="eastAsia" w:ascii="宋体" w:hAnsi="宋体" w:cs="宋体"/>
          <w:bCs/>
        </w:rPr>
        <w:t>用40*4的扁铁,扁铁长度在10CM，箱（柜）内部元器件接法与装配布置合理、进出线预留洞口数量、大小、形状及箱（柜）的安装方式必须符合国标、图集、设计图纸具体参数的要求（相应图纸由我方提供）。</w:t>
      </w:r>
    </w:p>
    <w:p>
      <w:pPr>
        <w:spacing w:line="360" w:lineRule="auto"/>
        <w:rPr>
          <w:rFonts w:ascii="宋体" w:hAnsi="宋体" w:cs="宋体"/>
          <w:bCs/>
        </w:rPr>
      </w:pPr>
      <w:r>
        <w:rPr>
          <w:rFonts w:hint="eastAsia" w:ascii="宋体" w:hAnsi="宋体" w:cs="宋体"/>
          <w:bCs/>
        </w:rPr>
        <w:t xml:space="preserve">   2.2、电器元件要求：</w:t>
      </w:r>
    </w:p>
    <w:p>
      <w:pPr>
        <w:spacing w:line="360" w:lineRule="auto"/>
        <w:rPr>
          <w:rFonts w:ascii="宋体" w:hAnsi="宋体" w:cs="宋体"/>
          <w:bCs/>
          <w:color w:val="auto"/>
        </w:rPr>
      </w:pPr>
      <w:r>
        <w:rPr>
          <w:rFonts w:hint="eastAsia" w:ascii="宋体" w:hAnsi="宋体" w:cs="宋体"/>
          <w:bCs/>
        </w:rPr>
        <w:t xml:space="preserve">   （1）箱（柜）内的电气元器件选用：所有元器件应严格按照我方提供的图纸进行选配，图纸上未注明的辅助性元器件应选用取得生产许可证的厂家的合格产品。所有产品的元器件均应保证能满足产品性能的要求，厂家并应提供元器件的供应商资质、规格型号、断路器分段能力、漏电断路</w:t>
      </w:r>
      <w:r>
        <w:rPr>
          <w:rFonts w:hint="eastAsia" w:ascii="宋体" w:hAnsi="宋体" w:cs="宋体"/>
          <w:bCs/>
          <w:color w:val="auto"/>
        </w:rPr>
        <w:t>器的证明文件。</w:t>
      </w:r>
    </w:p>
    <w:p>
      <w:pPr>
        <w:spacing w:line="360" w:lineRule="auto"/>
        <w:rPr>
          <w:rFonts w:ascii="宋体" w:hAnsi="宋体" w:cs="宋体"/>
          <w:bCs/>
          <w:color w:val="auto"/>
        </w:rPr>
      </w:pPr>
      <w:r>
        <w:rPr>
          <w:rFonts w:hint="eastAsia" w:ascii="宋体" w:hAnsi="宋体" w:cs="宋体"/>
          <w:bCs/>
          <w:color w:val="auto"/>
        </w:rPr>
        <w:t xml:space="preserve">   （2）配电箱</w:t>
      </w:r>
      <w:r>
        <w:rPr>
          <w:rFonts w:hint="eastAsia" w:ascii="宋体" w:hAnsi="宋体" w:cs="宋体"/>
          <w:bCs/>
          <w:color w:val="auto"/>
          <w:lang w:val="en-US" w:eastAsia="zh-CN"/>
        </w:rPr>
        <w:t>主要</w:t>
      </w:r>
      <w:r>
        <w:rPr>
          <w:rFonts w:hint="eastAsia" w:ascii="宋体" w:hAnsi="宋体" w:cs="宋体"/>
          <w:bCs/>
          <w:color w:val="auto"/>
        </w:rPr>
        <w:t>电器元件选用德力西。</w:t>
      </w:r>
    </w:p>
    <w:p>
      <w:pPr>
        <w:spacing w:line="360" w:lineRule="auto"/>
        <w:rPr>
          <w:rFonts w:ascii="宋体" w:hAnsi="宋体" w:cs="宋体"/>
          <w:bCs/>
        </w:rPr>
      </w:pPr>
      <w:r>
        <w:rPr>
          <w:rFonts w:hint="eastAsia" w:ascii="宋体" w:hAnsi="宋体" w:cs="宋体"/>
          <w:bCs/>
          <w:color w:val="auto"/>
        </w:rPr>
        <w:t xml:space="preserve">   （3）配电箱总开关到分开关要用铜</w:t>
      </w:r>
      <w:r>
        <w:rPr>
          <w:rFonts w:hint="eastAsia" w:ascii="宋体" w:hAnsi="宋体" w:cs="宋体"/>
          <w:bCs/>
          <w:color w:val="auto"/>
          <w:lang w:val="en-US" w:eastAsia="zh-CN"/>
        </w:rPr>
        <w:t>质母线连接</w:t>
      </w:r>
      <w:r>
        <w:rPr>
          <w:rFonts w:hint="eastAsia" w:ascii="宋体" w:hAnsi="宋体" w:cs="宋体"/>
          <w:bCs/>
          <w:color w:val="auto"/>
        </w:rPr>
        <w:t>并符合规范验收要求；不能用</w:t>
      </w:r>
      <w:r>
        <w:rPr>
          <w:rFonts w:hint="eastAsia" w:ascii="宋体" w:hAnsi="宋体" w:cs="宋体"/>
          <w:bCs/>
        </w:rPr>
        <w:t>铜线连接；总开关的出线导线截面不能小于进线的截面；回路标注要用塑料条大字并固定牢靠。</w:t>
      </w:r>
    </w:p>
    <w:p>
      <w:pPr>
        <w:spacing w:line="360" w:lineRule="auto"/>
        <w:rPr>
          <w:rFonts w:ascii="宋体" w:hAnsi="宋体" w:cs="宋体"/>
          <w:bCs/>
        </w:rPr>
      </w:pPr>
      <w:r>
        <w:rPr>
          <w:rFonts w:hint="eastAsia" w:ascii="宋体" w:hAnsi="宋体" w:cs="宋体"/>
          <w:bCs/>
        </w:rPr>
        <w:t xml:space="preserve">   （4）绝缘导线的配线要求：绝缘导线应根据图纸中该回路所带断路器额定电流选用。但电流回路不得小于2.5mm²，绝缘等级符合GB50303-</w:t>
      </w:r>
      <w:r>
        <w:rPr>
          <w:rFonts w:hint="eastAsia" w:ascii="宋体" w:hAnsi="宋体" w:cs="宋体"/>
          <w:bCs/>
          <w:lang w:val="en-US" w:eastAsia="zh-CN"/>
        </w:rPr>
        <w:t>2019</w:t>
      </w:r>
      <w:r>
        <w:rPr>
          <w:rFonts w:hint="eastAsia" w:ascii="宋体" w:hAnsi="宋体" w:cs="宋体"/>
          <w:bCs/>
        </w:rPr>
        <w:t>的要求。绝缘导线的连接应采用符合JB2436标准的冷压铜质接线端子进行连接，并要求预留外进线的固定用紧固件，导线布设是不得紧贴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导线的两端要求有清晰、牢固的打印编号，编号应与所提供的电路原理、控制图一致。</w:t>
      </w:r>
    </w:p>
    <w:p>
      <w:pPr>
        <w:spacing w:line="360" w:lineRule="auto"/>
        <w:rPr>
          <w:rFonts w:ascii="宋体" w:hAnsi="宋体" w:cs="宋体"/>
          <w:bCs/>
        </w:rPr>
      </w:pPr>
      <w:r>
        <w:rPr>
          <w:rFonts w:hint="eastAsia" w:ascii="宋体" w:hAnsi="宋体" w:cs="宋体"/>
          <w:bCs/>
        </w:rPr>
        <w:t xml:space="preserve">    （5）电气连锁的要求：本次招标中的双电源供电的配电箱，要求进行电气联动，电气联动装置必须动作灵敏可靠，部分断路器采用分励脱扣，其相应的接线应接至接线端子，并有明确标记。</w:t>
      </w:r>
    </w:p>
    <w:p>
      <w:pPr>
        <w:spacing w:line="360" w:lineRule="auto"/>
        <w:rPr>
          <w:rFonts w:ascii="宋体" w:hAnsi="宋体" w:cs="宋体"/>
          <w:bCs/>
        </w:rPr>
      </w:pPr>
      <w:r>
        <w:rPr>
          <w:rFonts w:hint="eastAsia" w:ascii="宋体" w:hAnsi="宋体" w:cs="宋体"/>
          <w:bCs/>
        </w:rPr>
        <w:t xml:space="preserve">    （6）配电箱的防护要求：配电箱均要求能在三级污染条件下运行，即配电箱柜的防护等级达到IP3X。所有箱体的钢板、型钢必须在喷涂前进行除油、除锈、磷化处理，其金属件均应有防腐蚀能力。</w:t>
      </w:r>
    </w:p>
    <w:p>
      <w:pPr>
        <w:spacing w:line="360" w:lineRule="auto"/>
        <w:ind w:firstLine="480" w:firstLineChars="200"/>
        <w:rPr>
          <w:rFonts w:ascii="宋体" w:hAnsi="宋体" w:cs="宋体"/>
          <w:bCs/>
        </w:rPr>
      </w:pPr>
      <w:r>
        <w:rPr>
          <w:rFonts w:hint="eastAsia" w:ascii="宋体" w:hAnsi="宋体" w:cs="宋体"/>
          <w:bCs/>
        </w:rPr>
        <w:t>（7）配电箱柜的试验要求：配电箱必须按照GB50171-</w:t>
      </w:r>
      <w:r>
        <w:rPr>
          <w:rFonts w:ascii="宋体" w:hAnsi="宋体" w:cs="宋体"/>
          <w:bCs/>
        </w:rPr>
        <w:t>2012</w:t>
      </w:r>
      <w:r>
        <w:rPr>
          <w:rFonts w:hint="eastAsia" w:ascii="宋体" w:hAnsi="宋体" w:cs="宋体"/>
          <w:bCs/>
        </w:rPr>
        <w:t>和相关国家规范、标准进行各种电器性能的检、试验并由厂家将各检、试验报告提供给甲方、监理。设备进场后按照电气装置安装工程电气设备交接试验标准（GB50150）进行交接试验，试验合格后方可接受。</w:t>
      </w:r>
    </w:p>
    <w:p>
      <w:pPr>
        <w:spacing w:line="360" w:lineRule="auto"/>
        <w:ind w:firstLine="480" w:firstLineChars="200"/>
        <w:rPr>
          <w:rFonts w:ascii="宋体" w:hAnsi="宋体" w:cs="宋体"/>
          <w:bCs/>
        </w:rPr>
      </w:pPr>
      <w:r>
        <w:rPr>
          <w:rFonts w:hint="eastAsia" w:ascii="宋体" w:hAnsi="宋体" w:cs="宋体"/>
          <w:bCs/>
        </w:rPr>
        <w:t>（8）配电箱采用二层包装，内层为塑料保护罩，外层用纸箱包装。</w:t>
      </w:r>
    </w:p>
    <w:p>
      <w:pPr>
        <w:spacing w:line="360" w:lineRule="auto"/>
        <w:ind w:firstLine="480" w:firstLineChars="200"/>
        <w:rPr>
          <w:rFonts w:ascii="宋体" w:hAnsi="宋体" w:cs="宋体"/>
          <w:bCs/>
        </w:rPr>
      </w:pPr>
      <w:r>
        <w:rPr>
          <w:rFonts w:hint="eastAsia" w:ascii="宋体" w:hAnsi="宋体" w:cs="宋体"/>
          <w:bCs/>
        </w:rPr>
        <w:t>2.3、柜体使用环境条件（除另有规定外，所有设备均应满足下列情况）： </w:t>
      </w:r>
    </w:p>
    <w:p>
      <w:pPr>
        <w:spacing w:line="360" w:lineRule="auto"/>
        <w:ind w:firstLine="480" w:firstLineChars="200"/>
        <w:rPr>
          <w:rFonts w:ascii="宋体" w:hAnsi="宋体" w:cs="宋体"/>
          <w:bCs/>
        </w:rPr>
      </w:pPr>
      <w:r>
        <w:rPr>
          <w:rFonts w:hint="eastAsia" w:ascii="宋体" w:hAnsi="宋体" w:cs="宋体"/>
          <w:bCs/>
        </w:rPr>
        <w:t>（1）海拨高度:≤1000M </w:t>
      </w:r>
    </w:p>
    <w:p>
      <w:pPr>
        <w:spacing w:line="360" w:lineRule="auto"/>
        <w:ind w:firstLine="480" w:firstLineChars="200"/>
        <w:rPr>
          <w:rFonts w:ascii="宋体" w:hAnsi="宋体" w:cs="宋体"/>
          <w:bCs/>
        </w:rPr>
      </w:pPr>
      <w:r>
        <w:rPr>
          <w:rFonts w:hint="eastAsia" w:ascii="宋体" w:hAnsi="宋体" w:cs="宋体"/>
          <w:bCs/>
        </w:rPr>
        <w:t>（2）环境湿度:日平均≤95%，月平均≤90%，(20℃以下为90%) </w:t>
      </w:r>
    </w:p>
    <w:p>
      <w:pPr>
        <w:spacing w:line="360" w:lineRule="auto"/>
        <w:ind w:firstLine="480" w:firstLineChars="200"/>
        <w:rPr>
          <w:rFonts w:ascii="宋体" w:hAnsi="宋体" w:cs="宋体"/>
          <w:bCs/>
        </w:rPr>
      </w:pPr>
      <w:r>
        <w:rPr>
          <w:rFonts w:hint="eastAsia" w:ascii="宋体" w:hAnsi="宋体" w:cs="宋体"/>
          <w:bCs/>
        </w:rPr>
        <w:t>（3）最高温度: +50℃ </w:t>
      </w:r>
    </w:p>
    <w:p>
      <w:pPr>
        <w:spacing w:line="360" w:lineRule="auto"/>
        <w:ind w:firstLine="480" w:firstLineChars="200"/>
        <w:rPr>
          <w:rFonts w:ascii="宋体" w:hAnsi="宋体" w:cs="宋体"/>
          <w:bCs/>
        </w:rPr>
      </w:pPr>
      <w:r>
        <w:rPr>
          <w:rFonts w:hint="eastAsia" w:ascii="宋体" w:hAnsi="宋体" w:cs="宋体"/>
          <w:bCs/>
        </w:rPr>
        <w:t>（4）最低温度: -10℃ </w:t>
      </w:r>
    </w:p>
    <w:p>
      <w:pPr>
        <w:spacing w:line="360" w:lineRule="auto"/>
        <w:ind w:firstLine="480" w:firstLineChars="200"/>
        <w:rPr>
          <w:rFonts w:ascii="宋体" w:hAnsi="宋体" w:cs="宋体"/>
          <w:bCs/>
        </w:rPr>
      </w:pPr>
      <w:r>
        <w:rPr>
          <w:rFonts w:hint="eastAsia" w:ascii="宋体" w:hAnsi="宋体" w:cs="宋体"/>
          <w:bCs/>
        </w:rPr>
        <w:t>（5）24小时内其平均温度不超过:+35℃</w:t>
      </w:r>
    </w:p>
    <w:p>
      <w:pPr>
        <w:spacing w:line="360" w:lineRule="auto"/>
        <w:ind w:firstLine="480" w:firstLineChars="200"/>
        <w:rPr>
          <w:rFonts w:ascii="宋体" w:hAnsi="宋体" w:cs="宋体"/>
          <w:bCs/>
        </w:rPr>
      </w:pPr>
      <w:r>
        <w:rPr>
          <w:rFonts w:hint="eastAsia" w:ascii="宋体" w:hAnsi="宋体" w:cs="宋体"/>
          <w:bCs/>
        </w:rPr>
        <w:t>（6）地震烈度: 不超过8度</w:t>
      </w:r>
    </w:p>
    <w:p>
      <w:pPr>
        <w:spacing w:line="360" w:lineRule="auto"/>
        <w:ind w:firstLine="480" w:firstLineChars="200"/>
        <w:rPr>
          <w:rFonts w:ascii="宋体" w:hAnsi="宋体" w:cs="宋体"/>
          <w:bCs/>
        </w:rPr>
      </w:pPr>
      <w:r>
        <w:rPr>
          <w:rFonts w:hint="eastAsia" w:ascii="宋体" w:hAnsi="宋体" w:cs="宋体"/>
          <w:bCs/>
        </w:rPr>
        <w:t>（7）污秽等级: 3级 </w:t>
      </w:r>
    </w:p>
    <w:p>
      <w:pPr>
        <w:spacing w:line="360" w:lineRule="auto"/>
        <w:ind w:firstLine="480" w:firstLineChars="200"/>
        <w:rPr>
          <w:rFonts w:ascii="宋体" w:hAnsi="宋体" w:cs="宋体"/>
          <w:bCs/>
        </w:rPr>
      </w:pPr>
      <w:r>
        <w:rPr>
          <w:rFonts w:hint="eastAsia" w:ascii="宋体" w:hAnsi="宋体" w:cs="宋体"/>
          <w:bCs/>
        </w:rPr>
        <w:t>（8）安装场所:户内、外,无火灾、爆炸危险化学腐蚀和无剧烈震动和冲击。</w:t>
      </w:r>
    </w:p>
    <w:p>
      <w:pPr>
        <w:pStyle w:val="15"/>
        <w:ind w:firstLine="480" w:firstLineChars="200"/>
        <w:rPr>
          <w:rFonts w:ascii="宋体" w:hAnsi="宋体" w:cs="宋体"/>
        </w:rPr>
      </w:pPr>
      <w:r>
        <w:rPr>
          <w:rFonts w:hint="eastAsia" w:ascii="宋体" w:hAnsi="宋体" w:cs="宋体"/>
          <w:bCs/>
          <w:szCs w:val="24"/>
        </w:rPr>
        <w:t>2.4、产品功能及详细技术规格</w:t>
      </w:r>
      <w:r>
        <w:rPr>
          <w:rFonts w:hint="eastAsia" w:ascii="宋体" w:hAnsi="宋体" w:cs="宋体"/>
          <w:szCs w:val="24"/>
        </w:rPr>
        <w:t>详见配电箱系统图及清单。</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十、设备、材料采购及试验</w:t>
      </w:r>
    </w:p>
    <w:p>
      <w:pPr>
        <w:spacing w:line="360" w:lineRule="auto"/>
        <w:ind w:firstLine="480" w:firstLineChars="200"/>
        <w:rPr>
          <w:rFonts w:ascii="宋体" w:hAnsi="宋体"/>
        </w:rPr>
      </w:pPr>
      <w:r>
        <w:rPr>
          <w:rFonts w:hint="eastAsia" w:ascii="宋体" w:hAnsi="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w:t>
      </w:r>
      <w:r>
        <w:rPr>
          <w:rFonts w:hint="eastAsia" w:ascii="宋体" w:hAnsi="宋体" w:cs="宋体"/>
        </w:rPr>
        <w:t>自检或按甲方要求进行</w:t>
      </w:r>
      <w:r>
        <w:rPr>
          <w:rFonts w:hint="eastAsia" w:ascii="宋体" w:hAnsi="宋体"/>
        </w:rPr>
        <w:t>检验或试验，不合格的不得使用，检验或试验费用由乙方承担。</w:t>
      </w:r>
      <w:r>
        <w:rPr>
          <w:rFonts w:hint="eastAsia" w:ascii="宋体" w:hAnsi="宋体" w:cs="宋体"/>
        </w:rPr>
        <w:t>甲方的认可及/或签证并不视为对乙方供应设备及材料的质量合格的认可，也不因此免除乙方对设备及材料的质量瑕疵担保的责任。</w:t>
      </w:r>
      <w:r>
        <w:rPr>
          <w:rFonts w:hint="eastAsia" w:ascii="宋体" w:hAnsi="宋体"/>
        </w:rPr>
        <w:t>未经甲方和监理工程师检查认可的设备、材料不得进场；已进场</w:t>
      </w:r>
      <w:r>
        <w:rPr>
          <w:rFonts w:hint="eastAsia" w:ascii="宋体" w:hAnsi="宋体" w:cs="宋体"/>
        </w:rPr>
        <w:t>但自检或甲方检验</w:t>
      </w:r>
      <w:r>
        <w:rPr>
          <w:rFonts w:hint="eastAsia" w:ascii="宋体" w:hAnsi="宋体"/>
        </w:rPr>
        <w:t>不合格的设备、材料应清退出场，由此造成的责任及损失由乙方负责。</w:t>
      </w:r>
    </w:p>
    <w:p>
      <w:pPr>
        <w:spacing w:line="360" w:lineRule="auto"/>
        <w:ind w:firstLine="480" w:firstLineChars="200"/>
        <w:rPr>
          <w:rFonts w:ascii="宋体" w:hAnsi="宋体"/>
        </w:rPr>
      </w:pPr>
      <w:r>
        <w:rPr>
          <w:rFonts w:hint="eastAsia" w:ascii="宋体" w:hAnsi="宋体"/>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w:t>
      </w:r>
      <w:r>
        <w:rPr>
          <w:rFonts w:hint="eastAsia" w:ascii="宋体" w:hAnsi="宋体" w:cs="宋体"/>
        </w:rPr>
        <w:t>存在的包括但不限于质量</w:t>
      </w:r>
      <w:r>
        <w:rPr>
          <w:rFonts w:hint="eastAsia" w:ascii="宋体" w:hAnsi="宋体"/>
        </w:rPr>
        <w:t>问题造成建筑物环境污染超过国家</w:t>
      </w:r>
      <w:r>
        <w:rPr>
          <w:rFonts w:hint="eastAsia" w:ascii="宋体" w:hAnsi="宋体" w:cs="宋体"/>
        </w:rPr>
        <w:t>或洛阳市</w:t>
      </w:r>
      <w:r>
        <w:rPr>
          <w:rFonts w:hint="eastAsia" w:ascii="宋体" w:hAnsi="宋体"/>
        </w:rPr>
        <w:t>允许标准，由乙方</w:t>
      </w:r>
      <w:r>
        <w:rPr>
          <w:rFonts w:hint="eastAsia" w:ascii="宋体" w:hAnsi="宋体" w:cs="宋体"/>
        </w:rPr>
        <w:t>负责处理并</w:t>
      </w:r>
      <w:r>
        <w:rPr>
          <w:rFonts w:hint="eastAsia" w:ascii="宋体" w:hAnsi="宋体"/>
        </w:rPr>
        <w:t>承担因此而造成的全部经济损失。</w:t>
      </w:r>
    </w:p>
    <w:p>
      <w:pPr>
        <w:numPr>
          <w:ilvl w:val="255"/>
          <w:numId w:val="0"/>
        </w:numPr>
        <w:kinsoku w:val="0"/>
        <w:wordWrap w:val="0"/>
        <w:topLinePunct/>
        <w:autoSpaceDE w:val="0"/>
        <w:spacing w:line="360" w:lineRule="auto"/>
        <w:rPr>
          <w:rFonts w:hAnsi="宋体" w:cs="宋体"/>
          <w:b/>
          <w:bCs/>
        </w:rPr>
      </w:pPr>
      <w:r>
        <w:rPr>
          <w:rFonts w:hint="eastAsia" w:hAnsi="宋体" w:cs="宋体"/>
          <w:b/>
          <w:bCs/>
        </w:rPr>
        <w:t>十一、现场安全文明施工及管理要求</w:t>
      </w:r>
    </w:p>
    <w:p>
      <w:pPr>
        <w:spacing w:line="360" w:lineRule="auto"/>
        <w:ind w:firstLine="480" w:firstLineChars="200"/>
        <w:rPr>
          <w:rFonts w:ascii="宋体" w:hAnsi="宋体"/>
        </w:rPr>
      </w:pPr>
      <w:r>
        <w:rPr>
          <w:rFonts w:hint="eastAsia" w:ascii="宋体" w:hAnsi="宋体"/>
          <w:lang w:val="en-US" w:eastAsia="zh-CN"/>
        </w:rPr>
        <w:t>1</w:t>
      </w:r>
      <w:r>
        <w:rPr>
          <w:rFonts w:hint="eastAsia" w:ascii="宋体" w:hAnsi="宋体"/>
        </w:rPr>
        <w:t>、施工现场用电器具应有接地、接零装置和线路布置规范化，安全防护措施到位。乙方自身职工、与甲方有关的第三方人员在现场发生伤亡事故，其经济责任、法律责任和其它民事责任均由乙方负责。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rPr>
      </w:pPr>
      <w:r>
        <w:rPr>
          <w:rFonts w:hint="eastAsia" w:ascii="宋体" w:hAnsi="宋体"/>
          <w:lang w:val="en-US" w:eastAsia="zh-CN"/>
        </w:rPr>
        <w:t>2</w:t>
      </w:r>
      <w:r>
        <w:rPr>
          <w:rFonts w:hint="eastAsia" w:ascii="宋体" w:hAnsi="宋体"/>
        </w:rPr>
        <w:t>、乙方应加强对</w:t>
      </w:r>
      <w:r>
        <w:rPr>
          <w:rFonts w:hint="eastAsia" w:ascii="宋体" w:hAnsi="宋体" w:cs="宋体"/>
        </w:rPr>
        <w:t>现场施工人员</w:t>
      </w:r>
      <w:r>
        <w:rPr>
          <w:rFonts w:hint="eastAsia" w:ascii="宋体" w:hAnsi="宋体"/>
        </w:rPr>
        <w:t>的教育。施工现场严禁酗酒、打架斗殴、赌博和其它违法违章现象，每发现一次，乙方按</w:t>
      </w:r>
      <w:r>
        <w:rPr>
          <w:rFonts w:ascii="宋体" w:hAnsi="宋体"/>
        </w:rPr>
        <w:t>2000</w:t>
      </w:r>
      <w:r>
        <w:rPr>
          <w:rFonts w:hint="eastAsia" w:ascii="宋体" w:hAnsi="宋体"/>
        </w:rPr>
        <w:t>元/次向甲方支付违约金。</w:t>
      </w:r>
    </w:p>
    <w:p>
      <w:pPr>
        <w:spacing w:line="360" w:lineRule="auto"/>
        <w:ind w:firstLine="480" w:firstLineChars="200"/>
        <w:rPr>
          <w:rFonts w:ascii="宋体" w:hAnsi="宋体"/>
        </w:rPr>
      </w:pPr>
      <w:r>
        <w:rPr>
          <w:rFonts w:hint="eastAsia" w:ascii="宋体" w:hAnsi="宋体"/>
          <w:lang w:val="en-US" w:eastAsia="zh-CN"/>
        </w:rPr>
        <w:t>3</w:t>
      </w:r>
      <w:r>
        <w:rPr>
          <w:rFonts w:hint="eastAsia" w:ascii="宋体" w:hAnsi="宋体"/>
        </w:rPr>
        <w:t>、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rPr>
      </w:pPr>
      <w:r>
        <w:rPr>
          <w:rFonts w:hint="eastAsia" w:ascii="宋体" w:hAnsi="宋体"/>
          <w:lang w:val="en-US" w:eastAsia="zh-CN"/>
        </w:rPr>
        <w:t>4</w:t>
      </w:r>
      <w:r>
        <w:rPr>
          <w:rFonts w:hint="eastAsia" w:ascii="宋体" w:hAnsi="宋体"/>
        </w:rPr>
        <w:t>、乙方需遵守甲方、监理及总承包单位的相关安全规程制度，否则按相关制度进行处罚。</w:t>
      </w:r>
    </w:p>
    <w:p>
      <w:pPr>
        <w:spacing w:line="360" w:lineRule="auto"/>
        <w:ind w:firstLine="480" w:firstLineChars="200"/>
        <w:rPr>
          <w:rFonts w:ascii="宋体" w:hAnsi="宋体"/>
        </w:rPr>
      </w:pPr>
      <w:r>
        <w:rPr>
          <w:rFonts w:hint="eastAsia" w:ascii="宋体" w:hAnsi="宋体"/>
          <w:lang w:val="en-US" w:eastAsia="zh-CN"/>
        </w:rPr>
        <w:t>5</w:t>
      </w:r>
      <w:r>
        <w:rPr>
          <w:rFonts w:hint="eastAsia" w:ascii="宋体" w:hAnsi="宋体"/>
        </w:rPr>
        <w:t>、乙方在施工中要服从甲方及监理人员的统一指挥，做好防尘防噪措施，各项措施和管理达到洛阳市文明建设的有关规定。现场施工实行工完场清制度，垃圾及时清运出场。</w:t>
      </w:r>
    </w:p>
    <w:p>
      <w:pPr>
        <w:spacing w:line="360" w:lineRule="auto"/>
        <w:ind w:firstLine="480" w:firstLineChars="200"/>
        <w:rPr>
          <w:rFonts w:ascii="宋体" w:hAnsi="宋体"/>
        </w:rPr>
      </w:pPr>
      <w:r>
        <w:rPr>
          <w:rFonts w:hint="eastAsia" w:ascii="宋体" w:hAnsi="宋体"/>
          <w:lang w:val="en-US" w:eastAsia="zh-CN"/>
        </w:rPr>
        <w:t>6</w:t>
      </w:r>
      <w:r>
        <w:rPr>
          <w:rFonts w:hint="eastAsia" w:ascii="宋体" w:hAnsi="宋体"/>
        </w:rPr>
        <w:t>、乙方应保证施工现场的卫生标准、噪音标准等指标满足国家、地方的有关规定。施工中因乙方违反规定造成的损失和发生的费用（若主管部门罚款）均由乙方承担。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rPr>
      </w:pPr>
      <w:r>
        <w:rPr>
          <w:rFonts w:hint="eastAsia" w:ascii="宋体" w:hAnsi="宋体"/>
          <w:lang w:val="en-US" w:eastAsia="zh-CN"/>
        </w:rPr>
        <w:t>7</w:t>
      </w:r>
      <w:r>
        <w:rPr>
          <w:rFonts w:hint="eastAsia" w:ascii="宋体" w:hAnsi="宋体"/>
        </w:rPr>
        <w:t>、施工过程中如发生扰民或民扰，由乙方与甲方协调解决，费用乙方承担。</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十二、验收</w:t>
      </w:r>
    </w:p>
    <w:p>
      <w:pPr>
        <w:pStyle w:val="2"/>
        <w:numPr>
          <w:ilvl w:val="255"/>
          <w:numId w:val="0"/>
        </w:numPr>
        <w:tabs>
          <w:tab w:val="left" w:pos="0"/>
        </w:tabs>
        <w:kinsoku w:val="0"/>
        <w:wordWrap w:val="0"/>
        <w:topLinePunct/>
        <w:autoSpaceDE w:val="0"/>
        <w:spacing w:line="360" w:lineRule="auto"/>
        <w:ind w:firstLine="480" w:firstLineChars="200"/>
        <w:rPr>
          <w:rFonts w:hAnsi="宋体" w:cs="宋体"/>
          <w:b w:val="0"/>
          <w:bCs/>
          <w:szCs w:val="24"/>
        </w:rPr>
      </w:pPr>
      <w:r>
        <w:rPr>
          <w:rFonts w:hint="eastAsia" w:hAnsi="宋体" w:cs="宋体"/>
          <w:b w:val="0"/>
          <w:bCs/>
          <w:szCs w:val="24"/>
        </w:rPr>
        <w:t>1、样品封存：本合同签订前，由乙方提供箱体及内部元器件作为封样样品。</w:t>
      </w:r>
    </w:p>
    <w:p>
      <w:pPr>
        <w:pStyle w:val="2"/>
        <w:numPr>
          <w:ilvl w:val="255"/>
          <w:numId w:val="0"/>
        </w:numPr>
        <w:tabs>
          <w:tab w:val="left" w:pos="0"/>
        </w:tabs>
        <w:kinsoku w:val="0"/>
        <w:wordWrap w:val="0"/>
        <w:topLinePunct/>
        <w:autoSpaceDE w:val="0"/>
        <w:spacing w:line="360" w:lineRule="auto"/>
        <w:ind w:firstLine="480" w:firstLineChars="200"/>
        <w:rPr>
          <w:rFonts w:hAnsi="宋体" w:cs="宋体"/>
          <w:b w:val="0"/>
          <w:bCs/>
          <w:szCs w:val="24"/>
        </w:rPr>
      </w:pPr>
      <w:r>
        <w:rPr>
          <w:rFonts w:hint="eastAsia" w:hAnsi="宋体" w:cs="宋体"/>
          <w:b w:val="0"/>
          <w:bCs/>
          <w:szCs w:val="24"/>
        </w:rPr>
        <w:t>2、甲方按双方签认的样品及合同文件中电器元件的产地、品牌及质量标准对到货产品进行验收。</w:t>
      </w:r>
    </w:p>
    <w:p>
      <w:pPr>
        <w:pStyle w:val="2"/>
        <w:numPr>
          <w:ilvl w:val="255"/>
          <w:numId w:val="0"/>
        </w:numPr>
        <w:tabs>
          <w:tab w:val="left" w:pos="0"/>
        </w:tabs>
        <w:kinsoku w:val="0"/>
        <w:wordWrap w:val="0"/>
        <w:topLinePunct/>
        <w:autoSpaceDE w:val="0"/>
        <w:spacing w:line="360" w:lineRule="auto"/>
        <w:ind w:firstLine="480" w:firstLineChars="200"/>
        <w:rPr>
          <w:rFonts w:hAnsi="宋体" w:cs="宋体"/>
          <w:b w:val="0"/>
          <w:bCs/>
          <w:szCs w:val="24"/>
        </w:rPr>
      </w:pPr>
      <w:r>
        <w:rPr>
          <w:rFonts w:hint="eastAsia" w:hAnsi="宋体" w:cs="宋体"/>
          <w:b w:val="0"/>
          <w:bCs/>
          <w:szCs w:val="24"/>
        </w:rPr>
        <w:t>3、质量标准按国家现行相关标准及规范执行，并达到优良等级标准。</w:t>
      </w:r>
    </w:p>
    <w:p>
      <w:pPr>
        <w:pStyle w:val="2"/>
        <w:numPr>
          <w:ilvl w:val="255"/>
          <w:numId w:val="0"/>
        </w:numPr>
        <w:tabs>
          <w:tab w:val="left" w:pos="0"/>
        </w:tabs>
        <w:kinsoku w:val="0"/>
        <w:wordWrap w:val="0"/>
        <w:topLinePunct/>
        <w:autoSpaceDE w:val="0"/>
        <w:spacing w:line="360" w:lineRule="auto"/>
        <w:ind w:firstLine="480" w:firstLineChars="200"/>
        <w:rPr>
          <w:rFonts w:hAnsi="宋体" w:cs="宋体"/>
          <w:b w:val="0"/>
          <w:bCs/>
          <w:szCs w:val="24"/>
        </w:rPr>
      </w:pPr>
      <w:r>
        <w:rPr>
          <w:rFonts w:hint="eastAsia" w:hAnsi="宋体" w:cs="宋体"/>
          <w:b w:val="0"/>
          <w:bCs/>
          <w:szCs w:val="24"/>
        </w:rPr>
        <w:t>4、验收时乙方须随货物提交的附件包括：国家认可机构检验的质量合格报告、合格证书、保修书、安装说明书等；否则，视为货物质量不符合合同约定，甲方有权拒收货物，因此导致逾期交付由乙方承担相关违约责任。</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十三、结算方式</w:t>
      </w:r>
    </w:p>
    <w:p>
      <w:pPr>
        <w:spacing w:line="360" w:lineRule="auto"/>
        <w:ind w:firstLine="480" w:firstLineChars="200"/>
        <w:rPr>
          <w:rFonts w:ascii="宋体" w:hAnsi="宋体"/>
        </w:rPr>
      </w:pPr>
      <w:r>
        <w:rPr>
          <w:rFonts w:hint="eastAsia" w:ascii="宋体" w:hAnsi="宋体"/>
        </w:rPr>
        <w:t>1、结算依据：甲方审核签认的施工设计方案、甲方认可的变更签证、采购合同、补充协议、招标、投标文件等。</w:t>
      </w:r>
    </w:p>
    <w:p>
      <w:pPr>
        <w:snapToGrid w:val="0"/>
        <w:spacing w:line="360" w:lineRule="auto"/>
        <w:ind w:firstLine="470" w:firstLineChars="196"/>
        <w:rPr>
          <w:rFonts w:asciiTheme="minorEastAsia" w:hAnsiTheme="minorEastAsia" w:eastAsiaTheme="minorEastAsia"/>
        </w:rPr>
      </w:pPr>
      <w:r>
        <w:rPr>
          <w:rFonts w:hint="eastAsia" w:asciiTheme="minorEastAsia" w:hAnsiTheme="minorEastAsia" w:eastAsiaTheme="minorEastAsia"/>
        </w:rPr>
        <w:t>2、结算价款：实际供货数量依据甲方工程部、成本部、监理公司及乙方共同签字确认的数量为准。</w:t>
      </w:r>
    </w:p>
    <w:p>
      <w:pPr>
        <w:snapToGrid w:val="0"/>
        <w:spacing w:line="360" w:lineRule="auto"/>
        <w:ind w:firstLine="470" w:firstLineChars="196"/>
        <w:rPr>
          <w:rFonts w:asciiTheme="minorEastAsia" w:hAnsiTheme="minorEastAsia" w:eastAsiaTheme="minorEastAsia"/>
        </w:rPr>
      </w:pPr>
      <w:r>
        <w:rPr>
          <w:rFonts w:hint="eastAsia" w:asciiTheme="minorEastAsia" w:hAnsiTheme="minorEastAsia" w:eastAsiaTheme="minorEastAsia"/>
        </w:rPr>
        <w:t>结算金额=固定综合单价×实际供货数量±变更、签证造价-其他应扣费用。</w:t>
      </w:r>
    </w:p>
    <w:p>
      <w:pPr>
        <w:snapToGrid w:val="0"/>
        <w:spacing w:line="360" w:lineRule="auto"/>
        <w:ind w:firstLine="470" w:firstLineChars="196"/>
        <w:rPr>
          <w:rFonts w:asciiTheme="minorEastAsia" w:hAnsiTheme="minorEastAsia" w:eastAsiaTheme="minorEastAsia"/>
        </w:rPr>
      </w:pPr>
      <w:r>
        <w:rPr>
          <w:rFonts w:hint="eastAsia" w:asciiTheme="minorEastAsia" w:hAnsiTheme="minorEastAsia" w:eastAsiaTheme="minorEastAsia"/>
        </w:rPr>
        <w:t>3、乙方结算资料在报送甲方时一次性报送完整，在甲方结算审价过程中，不再接受增加任何结算资料（图纸、签证变更单、价格凭证等），送审的结算书中若有遗漏项目均作为让利给甲方，不作增加调整。</w:t>
      </w:r>
    </w:p>
    <w:p>
      <w:pPr>
        <w:snapToGrid w:val="0"/>
        <w:spacing w:line="360" w:lineRule="auto"/>
        <w:ind w:firstLine="470" w:firstLineChars="196"/>
        <w:rPr>
          <w:rFonts w:hint="eastAsia" w:asciiTheme="minorEastAsia" w:hAnsiTheme="minorEastAsia" w:eastAsiaTheme="minorEastAsia"/>
        </w:rPr>
      </w:pPr>
      <w:r>
        <w:rPr>
          <w:rFonts w:hint="eastAsia" w:asciiTheme="minorEastAsia" w:hAnsiTheme="minorEastAsia" w:eastAsiaTheme="minorEastAsia"/>
        </w:rPr>
        <w:t>4、乙方报送结算书应诚实准确，若最终审减额（报送金额—结算金额）超过结算金额的5%，则需要乙方向甲方支付超出5%部分的费用的3%作为违约金，且违约金在结算金额中一次性扣除。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rPr>
          <w:rFonts w:asciiTheme="minorEastAsia" w:hAnsiTheme="minorEastAsia" w:eastAsiaTheme="minorEastAsia"/>
        </w:rPr>
      </w:pPr>
      <w:bookmarkStart w:id="1" w:name="_GoBack"/>
      <w:bookmarkEnd w:id="1"/>
      <w:r>
        <w:rPr>
          <w:rFonts w:hint="eastAsia" w:asciiTheme="minorEastAsia" w:hAnsiTheme="minorEastAsia" w:eastAsiaTheme="minorEastAsia"/>
        </w:rPr>
        <w:t>5、办理竣工验收、合格证、检测费用等由乙方自行承担。</w:t>
      </w:r>
    </w:p>
    <w:p>
      <w:pPr>
        <w:snapToGrid w:val="0"/>
        <w:spacing w:line="360" w:lineRule="auto"/>
        <w:ind w:firstLine="470" w:firstLineChars="196"/>
        <w:rPr>
          <w:rFonts w:asciiTheme="minorEastAsia" w:hAnsiTheme="minorEastAsia" w:eastAsiaTheme="minorEastAsia"/>
        </w:rPr>
      </w:pPr>
      <w:r>
        <w:rPr>
          <w:rFonts w:hint="eastAsia" w:asciiTheme="minorEastAsia" w:hAnsiTheme="minorEastAsia" w:eastAsiaTheme="minorEastAsia"/>
        </w:rPr>
        <w:t>6、若甲方需在本合同约定的标的或工作量以外委托乙方完成一定的工作量，应以正式书面形式将具体工作范围、价款、完成时间、付款方式等主要内容通知乙方。若无正式书面委托，甲方不予结算。</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十四、质保期</w:t>
      </w:r>
    </w:p>
    <w:p>
      <w:pPr>
        <w:pStyle w:val="15"/>
        <w:ind w:firstLine="480" w:firstLineChars="200"/>
        <w:rPr>
          <w:rFonts w:ascii="宋体" w:hAnsi="宋体" w:cs="宋体"/>
          <w:bCs/>
          <w:szCs w:val="24"/>
        </w:rPr>
      </w:pPr>
      <w:r>
        <w:rPr>
          <w:rFonts w:hint="eastAsia" w:ascii="宋体" w:hAnsi="宋体" w:cs="宋体"/>
          <w:bCs/>
          <w:szCs w:val="24"/>
        </w:rPr>
        <w:t>1、乙方货物的质量保修期为两年，自工程竣工验收合格之日起计算。</w:t>
      </w:r>
    </w:p>
    <w:p>
      <w:pPr>
        <w:pStyle w:val="15"/>
        <w:ind w:firstLine="480" w:firstLineChars="200"/>
        <w:rPr>
          <w:rFonts w:ascii="宋体" w:hAnsi="宋体" w:cs="宋体"/>
          <w:bCs/>
          <w:szCs w:val="24"/>
        </w:rPr>
      </w:pPr>
      <w:r>
        <w:rPr>
          <w:rFonts w:hint="eastAsia" w:ascii="宋体" w:hAnsi="宋体" w:cs="宋体"/>
          <w:bCs/>
          <w:szCs w:val="24"/>
        </w:rPr>
        <w:t>2、如乙方所承诺的质量保修期，低于合同签定时强制性法规中所规定的最低质量保证期限，则乙方的保证责任按照国家强制性法规中所规定的最低质量保证期限执行。</w:t>
      </w:r>
    </w:p>
    <w:p>
      <w:pPr>
        <w:pStyle w:val="15"/>
        <w:ind w:firstLine="480" w:firstLineChars="200"/>
        <w:rPr>
          <w:rFonts w:ascii="宋体" w:hAnsi="宋体" w:cs="宋体"/>
          <w:bCs/>
          <w:szCs w:val="24"/>
        </w:rPr>
      </w:pPr>
      <w:r>
        <w:rPr>
          <w:rFonts w:hint="eastAsia" w:ascii="宋体" w:hAnsi="宋体" w:cs="宋体"/>
          <w:bCs/>
          <w:szCs w:val="24"/>
        </w:rPr>
        <w:t>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pStyle w:val="15"/>
        <w:ind w:firstLine="480" w:firstLineChars="200"/>
        <w:rPr>
          <w:rFonts w:ascii="宋体" w:hAnsi="宋体" w:cs="宋体"/>
          <w:bCs/>
          <w:szCs w:val="24"/>
        </w:rPr>
      </w:pPr>
      <w:r>
        <w:rPr>
          <w:rFonts w:hint="eastAsia" w:ascii="宋体" w:hAnsi="宋体" w:cs="宋体"/>
          <w:bCs/>
          <w:szCs w:val="24"/>
        </w:rPr>
        <w:t>4、对质量缺陷有争议的，甲、乙双方均可委托权威部门进行鉴定，如经鉴定属于乙方责任，则所有鉴定费用由乙方承担，除此之外，乙方须对延迟修复质量缺陷给甲方或第三人造成的全部损失进行赔偿。</w:t>
      </w:r>
    </w:p>
    <w:p>
      <w:pPr>
        <w:pStyle w:val="15"/>
        <w:ind w:firstLine="480" w:firstLineChars="200"/>
      </w:pPr>
      <w:r>
        <w:rPr>
          <w:rFonts w:hint="eastAsia" w:ascii="宋体" w:hAnsi="宋体" w:cs="宋体"/>
          <w:bCs/>
          <w:szCs w:val="24"/>
        </w:rPr>
        <w:t>5、合同解除前所供的货物，乙方仍应按照原合同中质量保修责任条款之约定承担质量保修责任。</w:t>
      </w:r>
    </w:p>
    <w:p>
      <w:pPr>
        <w:tabs>
          <w:tab w:val="left" w:pos="900"/>
        </w:tabs>
        <w:spacing w:line="360" w:lineRule="auto"/>
        <w:ind w:firstLine="480" w:firstLineChars="200"/>
        <w:rPr>
          <w:rFonts w:ascii="宋体" w:hAnsi="宋体" w:cs="宋体"/>
        </w:rPr>
      </w:pPr>
      <w:r>
        <w:rPr>
          <w:rFonts w:hint="eastAsia" w:ascii="宋体" w:hAnsi="宋体" w:cs="宋体"/>
        </w:rPr>
        <w:t>6、在质保期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十五、履约保证金</w:t>
      </w:r>
    </w:p>
    <w:p>
      <w:pPr>
        <w:spacing w:line="360" w:lineRule="auto"/>
        <w:ind w:firstLine="480" w:firstLineChars="200"/>
        <w:rPr>
          <w:rFonts w:ascii="宋体" w:hAnsi="宋体" w:cs="宋体"/>
        </w:rPr>
      </w:pPr>
      <w:r>
        <w:rPr>
          <w:rFonts w:hint="eastAsia" w:ascii="宋体" w:hAnsi="宋体" w:cs="宋体"/>
        </w:rPr>
        <w:t>1、乙方缴纳的投标保证金</w:t>
      </w:r>
      <w:r>
        <w:rPr>
          <w:rFonts w:hint="eastAsia" w:ascii="宋体" w:hAnsi="宋体" w:cs="宋体"/>
          <w:b/>
          <w:bCs/>
          <w:u w:val="single"/>
        </w:rPr>
        <w:t>贰万元</w:t>
      </w:r>
      <w:r>
        <w:rPr>
          <w:rFonts w:hint="eastAsia" w:ascii="宋体" w:hAnsi="宋体" w:cs="宋体"/>
        </w:rPr>
        <w:t>在本合同生效时转为履约保证金。全部供货完成且经总承包单位安装完成并经甲方、监理及相关部门验收合格后7日内无息退还剩余款项（若有）。</w:t>
      </w:r>
    </w:p>
    <w:p>
      <w:pPr>
        <w:numPr>
          <w:ilvl w:val="255"/>
          <w:numId w:val="0"/>
        </w:numPr>
        <w:spacing w:line="360" w:lineRule="auto"/>
        <w:ind w:firstLine="420" w:firstLineChars="175"/>
        <w:rPr>
          <w:rFonts w:ascii="宋体" w:hAnsi="宋体" w:cs="宋体"/>
          <w:bCs/>
        </w:rPr>
      </w:pPr>
      <w:r>
        <w:rPr>
          <w:rFonts w:hint="eastAsia" w:ascii="宋体" w:hAnsi="宋体" w:cs="宋体"/>
          <w:bCs/>
        </w:rPr>
        <w:t>2、凡在工期、工程质量、安全文明施工等要求中，任何一项要求没有达到本合同约定，甲方有权按比例或全额扣除乙方履约保证金，乙方应</w:t>
      </w:r>
      <w:r>
        <w:rPr>
          <w:rFonts w:ascii="宋体" w:hAnsi="宋体" w:cs="宋体"/>
          <w:bCs/>
        </w:rPr>
        <w:t>7</w:t>
      </w:r>
      <w:r>
        <w:rPr>
          <w:rFonts w:hint="eastAsia" w:ascii="宋体" w:hAnsi="宋体" w:cs="宋体"/>
          <w:bCs/>
        </w:rPr>
        <w:t>日内予以补足，否则，甲方有权在应付款项中暂时扣除用于补足履约保证金。</w:t>
      </w:r>
    </w:p>
    <w:p>
      <w:pPr>
        <w:pStyle w:val="15"/>
        <w:rPr>
          <w:b/>
          <w:bCs/>
        </w:rPr>
      </w:pPr>
      <w:r>
        <w:rPr>
          <w:rFonts w:hint="eastAsia"/>
          <w:b/>
          <w:bCs/>
        </w:rPr>
        <w:t>十六、承包要求</w:t>
      </w:r>
    </w:p>
    <w:p>
      <w:pPr>
        <w:pStyle w:val="15"/>
        <w:ind w:firstLine="480" w:firstLineChars="200"/>
      </w:pPr>
      <w:r>
        <w:rPr>
          <w:rFonts w:hint="eastAsia"/>
        </w:rPr>
        <w:t>1、乙方不得将其在合同中的任何义务全部或部分转让给第三人。</w:t>
      </w:r>
    </w:p>
    <w:p>
      <w:pPr>
        <w:pStyle w:val="15"/>
        <w:ind w:firstLine="480" w:firstLineChars="200"/>
      </w:pPr>
      <w:r>
        <w:rPr>
          <w:rFonts w:hint="eastAsia"/>
        </w:rPr>
        <w:t>2、除非合同另有规定，乙方不得在未得到甲方的同意前，将合同的任何部分分包出去。</w:t>
      </w:r>
    </w:p>
    <w:p>
      <w:pPr>
        <w:pStyle w:val="15"/>
        <w:ind w:firstLine="480" w:firstLineChars="200"/>
      </w:pPr>
      <w:r>
        <w:rPr>
          <w:rFonts w:hint="eastAsia"/>
        </w:rPr>
        <w:t>3、甲方任何有关分包的同意，不免除乙方根据合同应担负的责任或应尽的义务，乙方对任何分包商、分包商代理人、分包商的服务人员及工作人员的行为、违约及疏忽负责。</w:t>
      </w:r>
    </w:p>
    <w:p>
      <w:pPr>
        <w:pStyle w:val="15"/>
        <w:ind w:firstLine="480" w:firstLineChars="200"/>
      </w:pPr>
      <w:r>
        <w:rPr>
          <w:rFonts w:hint="eastAsia"/>
        </w:rPr>
        <w:t>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pStyle w:val="15"/>
        <w:ind w:firstLine="480" w:firstLineChars="200"/>
      </w:pPr>
      <w:r>
        <w:rPr>
          <w:rFonts w:hint="eastAsia"/>
        </w:rPr>
        <w:t>5、乙方不得有将货物委托第三人生产后贴用合同所指定品牌的行为。</w:t>
      </w:r>
    </w:p>
    <w:p>
      <w:pPr>
        <w:pStyle w:val="16"/>
        <w:spacing w:line="360" w:lineRule="auto"/>
        <w:rPr>
          <w:b/>
          <w:bCs/>
        </w:rPr>
      </w:pPr>
      <w:r>
        <w:rPr>
          <w:rFonts w:hint="eastAsia"/>
          <w:b/>
          <w:bCs/>
        </w:rPr>
        <w:t>十七、知识产权</w:t>
      </w:r>
    </w:p>
    <w:p>
      <w:pPr>
        <w:pStyle w:val="16"/>
        <w:spacing w:line="360" w:lineRule="auto"/>
        <w:ind w:firstLine="480" w:firstLineChars="200"/>
      </w:pPr>
      <w:r>
        <w:rPr>
          <w:rFonts w:hint="eastAsia"/>
        </w:rPr>
        <w:t>1、如因甲方购买乙方货物，造成对任何专利权、商标权、著作权、名称权或其它受保护之权利的侵犯，则所引起的一切索赔和诉讼由乙方承担责任并负责支付一切损害赔偿费、诉讼费和其它费用。</w:t>
      </w:r>
    </w:p>
    <w:p>
      <w:pPr>
        <w:pStyle w:val="16"/>
        <w:spacing w:line="360" w:lineRule="auto"/>
        <w:ind w:firstLine="480" w:firstLineChars="200"/>
      </w:pPr>
      <w:r>
        <w:rPr>
          <w:rFonts w:hint="eastAsia"/>
        </w:rPr>
        <w:t>2、按有关规定乙方生产的货物应办理生产许可证而未办理的，由此引发的各种纠纷、责任（含安全及质量事故责任）、相关费用均由乙方全部负责。</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十八、双方责任与义务</w:t>
      </w:r>
    </w:p>
    <w:p>
      <w:pPr>
        <w:spacing w:line="360" w:lineRule="auto"/>
        <w:ind w:firstLine="480" w:firstLineChars="200"/>
        <w:rPr>
          <w:rFonts w:ascii="宋体" w:hAnsi="宋体"/>
        </w:rPr>
      </w:pPr>
      <w:r>
        <w:rPr>
          <w:rFonts w:hint="eastAsia" w:ascii="宋体" w:hAnsi="宋体"/>
        </w:rPr>
        <w:t>1、甲方的责任与义务</w:t>
      </w:r>
    </w:p>
    <w:p>
      <w:pPr>
        <w:spacing w:line="360" w:lineRule="auto"/>
        <w:ind w:firstLine="480" w:firstLineChars="200"/>
        <w:rPr>
          <w:rFonts w:ascii="宋体" w:hAnsi="宋体"/>
          <w:b w:val="0"/>
          <w:bCs w:val="0"/>
        </w:rPr>
      </w:pPr>
      <w:r>
        <w:rPr>
          <w:rFonts w:hint="eastAsia" w:ascii="宋体" w:hAnsi="宋体"/>
        </w:rPr>
        <w:t>1.1、遵守法律、法规和规章，甲方应在其实施本合同的全部工作中遵守与本合同有关的法律、法规和规</w:t>
      </w:r>
      <w:r>
        <w:rPr>
          <w:rFonts w:hint="eastAsia" w:ascii="宋体" w:hAnsi="宋体"/>
          <w:b w:val="0"/>
          <w:bCs w:val="0"/>
        </w:rPr>
        <w:t>章，并应承担由于其自身违反上述法律、法规和规章的责任。</w:t>
      </w:r>
    </w:p>
    <w:p>
      <w:pPr>
        <w:spacing w:line="360" w:lineRule="auto"/>
        <w:ind w:firstLine="480" w:firstLineChars="200"/>
        <w:rPr>
          <w:rFonts w:ascii="宋体" w:hAnsi="宋体"/>
        </w:rPr>
      </w:pPr>
      <w:r>
        <w:rPr>
          <w:rFonts w:hint="eastAsia" w:ascii="宋体" w:hAnsi="宋体"/>
          <w:b w:val="0"/>
          <w:bCs w:val="0"/>
        </w:rPr>
        <w:t>1.2、</w:t>
      </w:r>
      <w:r>
        <w:rPr>
          <w:rFonts w:hint="eastAsia" w:ascii="宋体" w:hAnsi="宋体" w:cs="宋体"/>
          <w:b w:val="0"/>
          <w:bCs w:val="0"/>
        </w:rPr>
        <w:t>甲方委派</w:t>
      </w:r>
      <w:r>
        <w:rPr>
          <w:rFonts w:hint="eastAsia" w:ascii="宋体" w:hAnsi="宋体" w:cs="宋体"/>
          <w:b w:val="0"/>
          <w:bCs w:val="0"/>
          <w:u w:val="single"/>
        </w:rPr>
        <w:t>牛晓辉</w:t>
      </w:r>
      <w:r>
        <w:rPr>
          <w:rFonts w:hint="eastAsia" w:ascii="宋体" w:hAnsi="宋体" w:cs="宋体"/>
          <w:b w:val="0"/>
          <w:bCs w:val="0"/>
        </w:rPr>
        <w:t>为现场代表，电话</w:t>
      </w:r>
      <w:r>
        <w:rPr>
          <w:rFonts w:hint="eastAsia" w:ascii="宋体" w:hAnsi="宋体" w:cs="宋体"/>
          <w:b w:val="0"/>
          <w:bCs w:val="0"/>
          <w:u w:val="single"/>
        </w:rPr>
        <w:t>15638156386</w:t>
      </w:r>
      <w:r>
        <w:rPr>
          <w:rFonts w:hint="eastAsia" w:ascii="宋体" w:hAnsi="宋体" w:cs="宋体"/>
          <w:b w:val="0"/>
          <w:bCs w:val="0"/>
        </w:rPr>
        <w:t>，</w:t>
      </w:r>
      <w:r>
        <w:rPr>
          <w:rFonts w:hint="eastAsia" w:ascii="宋体" w:hAnsi="宋体"/>
          <w:b w:val="0"/>
          <w:bCs w:val="0"/>
        </w:rPr>
        <w:t>监督</w:t>
      </w:r>
      <w:r>
        <w:rPr>
          <w:rFonts w:hint="eastAsia" w:ascii="宋体" w:hAnsi="宋体"/>
        </w:rPr>
        <w:t>、检查产品、工程的质量，协调工作中发生的有关事宜，并参与产品、工程的初验、验收和签证工作。如现场代表变更则需及时通知乙方。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1.3、甲方应提供乙方所需工程建筑图、说明书、建筑平面图、变更图及有关技术文件等作为乙方供货的有效依据。</w:t>
      </w:r>
    </w:p>
    <w:p>
      <w:pPr>
        <w:spacing w:line="360" w:lineRule="auto"/>
        <w:ind w:firstLine="480" w:firstLineChars="200"/>
        <w:rPr>
          <w:rFonts w:ascii="宋体" w:hAnsi="宋体"/>
        </w:rPr>
      </w:pPr>
      <w:r>
        <w:rPr>
          <w:rFonts w:hint="eastAsia" w:ascii="宋体" w:hAnsi="宋体"/>
        </w:rPr>
        <w:t>1.4、进场材料及施工成品、半成品达不到标准要求的，甲方有权责令乙方调换。</w:t>
      </w:r>
    </w:p>
    <w:p>
      <w:pPr>
        <w:spacing w:line="360" w:lineRule="auto"/>
        <w:ind w:firstLine="480" w:firstLineChars="200"/>
        <w:rPr>
          <w:rFonts w:ascii="宋体" w:hAnsi="宋体"/>
        </w:rPr>
      </w:pPr>
      <w:r>
        <w:rPr>
          <w:rFonts w:hint="eastAsia" w:ascii="宋体" w:hAnsi="宋体"/>
        </w:rPr>
        <w:t>2、 乙方责任与义务</w:t>
      </w:r>
    </w:p>
    <w:p>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rPr>
      </w:pPr>
      <w:r>
        <w:rPr>
          <w:rFonts w:hint="eastAsia" w:ascii="宋体" w:hAnsi="宋体"/>
        </w:rPr>
        <w:t>2.2、</w:t>
      </w:r>
      <w:r>
        <w:rPr>
          <w:rFonts w:hint="eastAsia" w:ascii="宋体" w:hAnsi="宋体" w:cs="宋体"/>
        </w:rPr>
        <w:t>乙方委派</w:t>
      </w:r>
      <w:r>
        <w:rPr>
          <w:rFonts w:hint="eastAsia" w:ascii="宋体" w:hAnsi="宋体" w:cs="宋体"/>
          <w:color w:val="000000" w:themeColor="text1"/>
          <w:szCs w:val="24"/>
          <w:u w:val="single"/>
          <w:lang w:eastAsia="zh-CN"/>
          <w14:textFill>
            <w14:solidFill>
              <w14:schemeClr w14:val="tx1"/>
            </w14:solidFill>
          </w14:textFill>
        </w:rPr>
        <w:t>车现斌</w:t>
      </w:r>
      <w:r>
        <w:rPr>
          <w:rFonts w:hint="eastAsia" w:ascii="宋体" w:hAnsi="宋体" w:cs="宋体"/>
          <w:color w:val="000000" w:themeColor="text1"/>
          <w:szCs w:val="24"/>
          <w:u w:val="single"/>
          <w:lang w:val="en-US" w:eastAsia="zh-CN"/>
          <w14:textFill>
            <w14:solidFill>
              <w14:schemeClr w14:val="tx1"/>
            </w14:solidFill>
          </w14:textFill>
        </w:rPr>
        <w:t>为</w:t>
      </w:r>
      <w:r>
        <w:rPr>
          <w:rFonts w:hint="eastAsia" w:ascii="宋体" w:hAnsi="宋体" w:cs="宋体"/>
        </w:rPr>
        <w:t>现场代表，电话</w:t>
      </w:r>
      <w:r>
        <w:rPr>
          <w:rFonts w:hint="eastAsia" w:ascii="宋体" w:hAnsi="宋体" w:cs="宋体"/>
          <w:color w:val="000000" w:themeColor="text1"/>
          <w:szCs w:val="24"/>
          <w:u w:val="single"/>
          <w:lang w:val="en-US" w:eastAsia="zh-CN"/>
          <w14:textFill>
            <w14:solidFill>
              <w14:schemeClr w14:val="tx1"/>
            </w14:solidFill>
          </w14:textFill>
        </w:rPr>
        <w:t>13838863476</w:t>
      </w:r>
      <w:r>
        <w:rPr>
          <w:rFonts w:hint="eastAsia" w:ascii="宋体" w:hAnsi="宋体" w:cs="宋体"/>
        </w:rPr>
        <w:t>，</w:t>
      </w:r>
      <w:r>
        <w:rPr>
          <w:rFonts w:hint="eastAsia" w:ascii="宋体" w:hAnsi="宋体"/>
        </w:rPr>
        <w:t>并</w:t>
      </w:r>
      <w:r>
        <w:rPr>
          <w:rFonts w:hint="eastAsia" w:ascii="宋体" w:hAnsi="宋体"/>
          <w:lang w:val="en-US" w:eastAsia="zh-CN"/>
        </w:rPr>
        <w:t>需</w:t>
      </w:r>
      <w:r>
        <w:rPr>
          <w:rFonts w:hint="eastAsia" w:ascii="宋体" w:hAnsi="宋体"/>
        </w:rPr>
        <w:t>持有与工程项目相适应的资格证书，负责施工期间的施工质量、安全问题，协调工作中发生的有关事宜。如现场代表变更则需经甲方同意。</w:t>
      </w:r>
    </w:p>
    <w:p>
      <w:pPr>
        <w:spacing w:line="360" w:lineRule="auto"/>
        <w:ind w:firstLine="480" w:firstLineChars="200"/>
        <w:rPr>
          <w:rFonts w:ascii="宋体" w:hAnsi="宋体"/>
        </w:rPr>
      </w:pPr>
      <w:r>
        <w:rPr>
          <w:rFonts w:hint="eastAsia" w:ascii="宋体" w:hAnsi="宋体"/>
        </w:rPr>
        <w:t>2.3、乙方应服从甲方和监理单位的管理，密切配合总承包单位施工，遵守工地的有关规定；严格实行工序开工前向监理报验制度。</w:t>
      </w:r>
    </w:p>
    <w:p>
      <w:pPr>
        <w:spacing w:line="360" w:lineRule="auto"/>
        <w:ind w:firstLine="480" w:firstLineChars="200"/>
        <w:rPr>
          <w:rFonts w:ascii="宋体" w:hAnsi="宋体"/>
        </w:rPr>
      </w:pPr>
      <w:r>
        <w:rPr>
          <w:rFonts w:hint="eastAsia" w:ascii="宋体" w:hAnsi="宋体"/>
        </w:rPr>
        <w:t>2.4、乙方须在</w:t>
      </w:r>
      <w:r>
        <w:rPr>
          <w:rFonts w:hint="eastAsia" w:ascii="宋体" w:hAnsi="宋体"/>
          <w:lang w:val="en-US" w:eastAsia="zh-CN"/>
        </w:rPr>
        <w:t>供货</w:t>
      </w:r>
      <w:r>
        <w:rPr>
          <w:rFonts w:hint="eastAsia" w:ascii="宋体" w:hAnsi="宋体"/>
        </w:rPr>
        <w:t>前负责提交货物成品图样给甲</w:t>
      </w:r>
      <w:r>
        <w:rPr>
          <w:rFonts w:hint="eastAsia" w:ascii="宋体" w:hAnsi="宋体" w:cs="宋体"/>
        </w:rPr>
        <w:t>方确认</w:t>
      </w:r>
      <w:r>
        <w:rPr>
          <w:rFonts w:hint="eastAsia"/>
        </w:rPr>
        <w:t>。</w:t>
      </w:r>
    </w:p>
    <w:p>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pPr>
        <w:tabs>
          <w:tab w:val="left" w:pos="1554"/>
        </w:tabs>
        <w:spacing w:line="360" w:lineRule="auto"/>
        <w:ind w:firstLine="480" w:firstLineChars="200"/>
        <w:rPr>
          <w:rFonts w:ascii="宋体" w:hAnsi="宋体" w:cs="宋体"/>
        </w:rPr>
      </w:pPr>
      <w:r>
        <w:rPr>
          <w:rFonts w:hint="eastAsia" w:ascii="宋体" w:hAnsi="宋体"/>
        </w:rPr>
        <w:t>2.6、</w:t>
      </w:r>
      <w:r>
        <w:rPr>
          <w:rFonts w:hint="eastAsia" w:ascii="宋体" w:hAnsi="宋体" w:cs="宋体"/>
        </w:rPr>
        <w:t>由于乙方原因导致交付延误的，每延误一天，甲方给予警告，若延迟5天以上，乙方应每天向甲方偿付该批次货款2％的违约金。若乙方供货延误7天以上（含7天）的，甲方有权单方解除合同，甲方解除合同的，乙方除按照本款前述约定承担违约金外，还应向甲方支付该批次货物货款总额的3%作为违约金。违约金若不足以弥补甲方损失的，乙方仍应当承担损害赔偿责任。</w:t>
      </w:r>
    </w:p>
    <w:p>
      <w:pPr>
        <w:tabs>
          <w:tab w:val="left" w:pos="1554"/>
        </w:tabs>
        <w:spacing w:line="360" w:lineRule="auto"/>
        <w:ind w:firstLine="480" w:firstLineChars="200"/>
        <w:rPr>
          <w:rFonts w:ascii="宋体" w:hAnsi="宋体" w:cs="宋体"/>
        </w:rPr>
      </w:pPr>
      <w:r>
        <w:rPr>
          <w:rFonts w:hint="eastAsia" w:ascii="宋体" w:hAnsi="宋体" w:cs="宋体"/>
        </w:rPr>
        <w:t>2.7、甲方对安装完成的货物进行验收，同一批次不合格率低于3%（含3%）的，不合格货物2天内调换完成。同一批次不合格率高于3%的，按该批次不合格货物货款总额的2%向甲方支付违约金。</w:t>
      </w:r>
    </w:p>
    <w:p>
      <w:pPr>
        <w:tabs>
          <w:tab w:val="left" w:pos="1554"/>
        </w:tabs>
        <w:spacing w:line="360" w:lineRule="auto"/>
        <w:ind w:firstLine="480" w:firstLineChars="200"/>
        <w:rPr>
          <w:rFonts w:ascii="宋体" w:hAnsi="宋体" w:cs="宋体"/>
        </w:rPr>
      </w:pPr>
      <w:r>
        <w:rPr>
          <w:rFonts w:hint="eastAsia" w:ascii="宋体" w:hAnsi="宋体" w:cs="宋体"/>
        </w:rPr>
        <w:t>2.8、本合同签订后，乙方无法定或约定理由提出解除合同，或以自己的行为表明解除合同的，乙方应向甲方支付2万元作为违约金，并赔偿甲方由此造成的全部损失。</w:t>
      </w:r>
    </w:p>
    <w:p>
      <w:pPr>
        <w:pStyle w:val="15"/>
        <w:ind w:firstLine="480" w:firstLineChars="200"/>
      </w:pPr>
      <w:r>
        <w:rPr>
          <w:rFonts w:hint="eastAsia" w:ascii="宋体" w:hAnsi="宋体" w:cs="宋体"/>
        </w:rPr>
        <w:t>2.9、如涉及到现场测量的，乙方负责到施工现场测量订做货物的尺寸，结算时按实际竣工数量乘以本合同相应的单价据实结算。因乙方测量尺寸误差引起的质量问题由乙方负全部责任、</w:t>
      </w:r>
    </w:p>
    <w:p>
      <w:pPr>
        <w:pStyle w:val="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十九、违约责任</w:t>
      </w:r>
    </w:p>
    <w:p>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pPr>
        <w:tabs>
          <w:tab w:val="left" w:pos="900"/>
        </w:tabs>
        <w:spacing w:line="360" w:lineRule="auto"/>
        <w:ind w:firstLine="480" w:firstLineChars="200"/>
        <w:rPr>
          <w:rFonts w:ascii="宋体" w:hAnsi="宋体" w:cs="宋体"/>
        </w:rPr>
      </w:pPr>
      <w:r>
        <w:rPr>
          <w:rFonts w:ascii="宋体" w:hAnsi="宋体" w:cs="宋体"/>
        </w:rPr>
        <w:t>2</w:t>
      </w:r>
      <w:r>
        <w:rPr>
          <w:rFonts w:hint="eastAsia" w:ascii="宋体" w:hAnsi="宋体" w:cs="宋体"/>
        </w:rPr>
        <w:t>、乙方存在其他任何逾期违约行为但未达到甲方行使单方解除条件的，每逾期一日，按</w:t>
      </w:r>
      <w:r>
        <w:rPr>
          <w:rFonts w:hint="eastAsia" w:ascii="宋体" w:hAnsi="宋体" w:cs="宋体"/>
        </w:rPr>
        <w:br w:type="textWrapping"/>
      </w:r>
      <w:r>
        <w:rPr>
          <w:rFonts w:ascii="宋体" w:hAnsi="宋体" w:cs="宋体"/>
        </w:rPr>
        <w:t>2000</w:t>
      </w:r>
      <w:r>
        <w:rPr>
          <w:rFonts w:hint="eastAsia" w:ascii="宋体" w:hAnsi="宋体" w:cs="宋体"/>
        </w:rPr>
        <w:t>元/日向甲方支付违约金，本合同另有约定时除外。</w:t>
      </w:r>
    </w:p>
    <w:p>
      <w:pPr>
        <w:tabs>
          <w:tab w:val="left" w:pos="900"/>
        </w:tabs>
        <w:spacing w:line="360" w:lineRule="auto"/>
        <w:ind w:firstLine="480" w:firstLineChars="200"/>
        <w:rPr>
          <w:rFonts w:ascii="宋体" w:hAnsi="宋体" w:cs="宋体"/>
        </w:rPr>
      </w:pPr>
      <w:r>
        <w:rPr>
          <w:rFonts w:ascii="宋体" w:hAnsi="宋体" w:cs="宋体"/>
        </w:rPr>
        <w:t>3</w:t>
      </w:r>
      <w:r>
        <w:rPr>
          <w:rFonts w:hint="eastAsia" w:ascii="宋体" w:hAnsi="宋体" w:cs="宋体"/>
        </w:rPr>
        <w:t>、乙方存在其他违约行为但未达到甲方行使单方解除条件的，每存在一项/次违约行为，乙方应按</w:t>
      </w:r>
      <w:r>
        <w:rPr>
          <w:rFonts w:ascii="宋体" w:hAnsi="宋体" w:cs="宋体"/>
        </w:rPr>
        <w:t>2000</w:t>
      </w:r>
      <w:r>
        <w:rPr>
          <w:rFonts w:hint="eastAsia" w:ascii="宋体" w:hAnsi="宋体" w:cs="宋体"/>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、若</w:t>
      </w:r>
      <w:r>
        <w:rPr>
          <w:rFonts w:hint="eastAsia" w:ascii="宋体" w:hAnsi="宋体" w:cs="宋体"/>
          <w:spacing w:val="-2"/>
        </w:rPr>
        <w:t>乙方未能按本合同约定供货或通过验收的，视为乙方违约，每逾期一天，按合同总价的</w:t>
      </w:r>
      <w:r>
        <w:rPr>
          <w:rFonts w:hint="eastAsia" w:ascii="宋体" w:hAnsi="宋体" w:cs="宋体"/>
        </w:rPr>
        <w:t>1.5</w:t>
      </w:r>
      <w:r>
        <w:rPr>
          <w:rFonts w:hint="eastAsia" w:ascii="宋体" w:hAnsi="宋体" w:cs="宋体"/>
          <w:spacing w:val="6"/>
        </w:rPr>
        <w:t>‰</w:t>
      </w:r>
      <w:r>
        <w:rPr>
          <w:rFonts w:hint="eastAsia" w:ascii="宋体" w:hAnsi="宋体" w:cs="宋体"/>
          <w:spacing w:val="-2"/>
        </w:rPr>
        <w:t>向甲方计支付违约金，</w:t>
      </w:r>
      <w:r>
        <w:rPr>
          <w:rFonts w:hint="eastAsia" w:ascii="宋体" w:hAnsi="宋体" w:cs="宋体"/>
        </w:rPr>
        <w:t xml:space="preserve">同时因制作及安装逾期引起的相关损失由乙方承担。      </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、乙方提供产品的品牌、规格、型号等与本合同约定不符的，视为乙方违约，甲方有权拒绝验收。乙方应在5天内无偿更换，因此造成逾期交货的，按逾期交货条款承担违约责任。</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提供的产品质量、质保期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、乙方违约导致甲方解除合同的，乙方所有人员必须在3日内撤离施工现场，甲方已支付的款项（如有）需在3日内退还至甲方，由此造成的所有损失均由乙方负责。</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甲方对质量问题实行零容忍，若乙方供应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存在前述约定的情形，乙方除按照本条款承担相应责任外，还应当按照该部分材料设备对应的合同价款的叁倍金额另行向甲方支付惩罚性赔偿（该惩罚性赔偿不足伍万元的，按伍万元计）。</w:t>
      </w:r>
    </w:p>
    <w:p>
      <w:pPr>
        <w:pStyle w:val="15"/>
      </w:pPr>
      <w:r>
        <w:rPr>
          <w:rFonts w:hint="eastAsia"/>
        </w:rPr>
        <w:t xml:space="preserve">  </w:t>
      </w:r>
      <w:r>
        <w:rPr>
          <w:rFonts w:ascii="宋体" w:hAnsi="宋体" w:cs="宋体"/>
          <w:kern w:val="2"/>
          <w:szCs w:val="22"/>
        </w:rPr>
        <w:t xml:space="preserve">  9</w:t>
      </w:r>
      <w:r>
        <w:rPr>
          <w:rFonts w:hint="eastAsia" w:ascii="宋体" w:hAnsi="宋体" w:cs="宋体"/>
          <w:kern w:val="2"/>
          <w:szCs w:val="22"/>
        </w:rPr>
        <w:t>、乙方应向甲方支付的违约金，甲方有权直接在甲方应付未付款中扣除，违约金不足以弥补甲方损失的，甲方可继续向乙方追偿。</w:t>
      </w:r>
    </w:p>
    <w:p>
      <w:pPr>
        <w:pStyle w:val="15"/>
        <w:kinsoku w:val="0"/>
        <w:wordWrap w:val="0"/>
        <w:topLinePunct/>
        <w:autoSpaceDE w:val="0"/>
        <w:rPr>
          <w:rFonts w:ascii="宋体" w:hAnsi="宋体" w:cs="宋体"/>
          <w:b/>
          <w:bCs/>
          <w:szCs w:val="24"/>
        </w:rPr>
      </w:pPr>
      <w:r>
        <w:rPr>
          <w:rFonts w:hint="eastAsia" w:ascii="宋体" w:hAnsi="宋体" w:cs="宋体"/>
          <w:b/>
          <w:bCs/>
          <w:szCs w:val="24"/>
        </w:rPr>
        <w:t>二十、不可抗力</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3、费用承担：</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3.1、人员伤亡由所属单位负责，并承担相应费用；</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3.2、造成乙方工程设备、机械的损失等损失由乙方承担；</w:t>
      </w:r>
    </w:p>
    <w:p>
      <w:pPr>
        <w:pStyle w:val="15"/>
        <w:kinsoku w:val="0"/>
        <w:wordWrap w:val="0"/>
        <w:topLinePunct/>
        <w:autoSpaceDE w:val="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pPr>
        <w:pStyle w:val="15"/>
        <w:numPr>
          <w:ilvl w:val="255"/>
          <w:numId w:val="0"/>
        </w:numPr>
        <w:tabs>
          <w:tab w:val="left" w:pos="0"/>
        </w:tabs>
        <w:kinsoku w:val="0"/>
        <w:wordWrap w:val="0"/>
        <w:topLinePunct/>
        <w:autoSpaceDE w:val="0"/>
        <w:rPr>
          <w:rFonts w:ascii="宋体" w:hAnsi="宋体" w:cs="宋体"/>
          <w:szCs w:val="24"/>
        </w:rPr>
      </w:pPr>
      <w:r>
        <w:rPr>
          <w:rFonts w:hint="eastAsia" w:ascii="宋体" w:hAnsi="宋体" w:cs="宋体"/>
          <w:b/>
          <w:bCs/>
          <w:szCs w:val="24"/>
        </w:rPr>
        <w:t>二十一、送达条款</w:t>
      </w:r>
    </w:p>
    <w:p>
      <w:pPr>
        <w:kinsoku w:val="0"/>
        <w:wordWrap w:val="0"/>
        <w:topLinePunct/>
        <w:autoSpaceDE w:val="0"/>
        <w:spacing w:line="360" w:lineRule="auto"/>
        <w:ind w:firstLine="480" w:firstLineChars="200"/>
        <w:rPr>
          <w:rFonts w:ascii="宋体"/>
        </w:rPr>
      </w:pPr>
      <w:r>
        <w:rPr>
          <w:rFonts w:hint="eastAsia" w:ascii="宋体"/>
        </w:rPr>
        <w:t>甲乙双方明确送达信息如下：</w:t>
      </w:r>
    </w:p>
    <w:p>
      <w:pPr>
        <w:kinsoku w:val="0"/>
        <w:wordWrap w:val="0"/>
        <w:topLinePunct/>
        <w:autoSpaceDE w:val="0"/>
        <w:spacing w:line="360" w:lineRule="auto"/>
        <w:ind w:firstLine="480" w:firstLineChars="200"/>
        <w:rPr>
          <w:rFonts w:ascii="宋体"/>
        </w:rPr>
      </w:pPr>
      <w:r>
        <w:rPr>
          <w:rFonts w:hint="eastAsia" w:ascii="宋体"/>
        </w:rPr>
        <w:t>1、甲方确认的送达信息为：</w:t>
      </w:r>
    </w:p>
    <w:p>
      <w:pPr>
        <w:tabs>
          <w:tab w:val="left" w:pos="1276"/>
        </w:tabs>
        <w:kinsoku w:val="0"/>
        <w:wordWrap w:val="0"/>
        <w:topLinePunct/>
        <w:autoSpaceDE w:val="0"/>
        <w:spacing w:line="360" w:lineRule="auto"/>
        <w:ind w:left="480" w:leftChars="200"/>
        <w:rPr>
          <w:rFonts w:ascii="宋体"/>
        </w:rPr>
      </w:pPr>
      <w:r>
        <w:rPr>
          <w:rFonts w:hint="eastAsia" w:ascii="宋体"/>
        </w:rPr>
        <w:t>送达地址：</w:t>
      </w:r>
      <w:r>
        <w:rPr>
          <w:rFonts w:hint="eastAsia" w:ascii="宋体"/>
          <w:u w:val="single"/>
        </w:rPr>
        <w:t xml:space="preserve">河南省洛阳市栾川县栾川乡湾滩村山水文苑售楼部2楼 </w:t>
      </w:r>
      <w:r>
        <w:rPr>
          <w:rFonts w:hint="eastAsia" w:ascii="宋体"/>
        </w:rPr>
        <w:t>。                联系人：</w:t>
      </w:r>
      <w:r>
        <w:rPr>
          <w:rFonts w:hint="eastAsia" w:ascii="宋体"/>
          <w:u w:val="single"/>
          <w:lang w:val="en-US" w:eastAsia="zh-CN"/>
        </w:rPr>
        <w:t>招采成本部</w:t>
      </w:r>
      <w:r>
        <w:rPr>
          <w:rFonts w:hint="eastAsia" w:ascii="宋体"/>
        </w:rPr>
        <w:t>；联系</w:t>
      </w:r>
      <w:r>
        <w:rPr>
          <w:rFonts w:hint="eastAsia" w:ascii="宋体"/>
          <w:lang w:val="en-US" w:eastAsia="zh-CN"/>
        </w:rPr>
        <w:t>方式</w:t>
      </w:r>
      <w:r>
        <w:rPr>
          <w:rFonts w:hint="eastAsia" w:ascii="宋体"/>
        </w:rPr>
        <w:t xml:space="preserve"> ：</w:t>
      </w:r>
      <w:r>
        <w:rPr>
          <w:rFonts w:hint="eastAsia" w:ascii="宋体"/>
          <w:u w:val="single"/>
          <w:lang w:val="en-US" w:eastAsia="zh-CN"/>
        </w:rPr>
        <w:t>0379-60198086</w:t>
      </w:r>
      <w:r>
        <w:rPr>
          <w:rFonts w:hint="eastAsia" w:ascii="宋体"/>
        </w:rPr>
        <w:t xml:space="preserve">。      </w:t>
      </w:r>
    </w:p>
    <w:p>
      <w:pPr>
        <w:tabs>
          <w:tab w:val="left" w:pos="1276"/>
        </w:tabs>
        <w:kinsoku w:val="0"/>
        <w:wordWrap w:val="0"/>
        <w:topLinePunct/>
        <w:autoSpaceDE w:val="0"/>
        <w:spacing w:line="360" w:lineRule="auto"/>
        <w:ind w:firstLine="480" w:firstLineChars="200"/>
        <w:rPr>
          <w:rFonts w:ascii="宋体"/>
        </w:rPr>
      </w:pPr>
      <w:r>
        <w:rPr>
          <w:rFonts w:ascii="宋体"/>
        </w:rPr>
        <w:t>2</w:t>
      </w:r>
      <w:r>
        <w:rPr>
          <w:rFonts w:hint="eastAsia" w:ascii="宋体"/>
        </w:rPr>
        <w:t>、乙方确认的送达信息为：</w:t>
      </w:r>
    </w:p>
    <w:p>
      <w:pPr>
        <w:kinsoku w:val="0"/>
        <w:wordWrap w:val="0"/>
        <w:topLinePunct/>
        <w:autoSpaceDE w:val="0"/>
        <w:spacing w:line="360" w:lineRule="auto"/>
        <w:ind w:firstLine="480" w:firstLineChars="200"/>
        <w:rPr>
          <w:rFonts w:ascii="宋体"/>
        </w:rPr>
      </w:pPr>
      <w:r>
        <w:rPr>
          <w:rFonts w:hint="eastAsia" w:ascii="宋体"/>
        </w:rPr>
        <w:t>送达地址：</w:t>
      </w:r>
      <w:r>
        <w:rPr>
          <w:rFonts w:hint="eastAsia" w:ascii="宋体"/>
          <w:u w:val="single"/>
        </w:rPr>
        <w:t>洛阳市洛龙区关林西路8号</w:t>
      </w:r>
      <w:r>
        <w:rPr>
          <w:rFonts w:hint="eastAsia" w:ascii="宋体"/>
        </w:rPr>
        <w:t>。</w:t>
      </w:r>
    </w:p>
    <w:p>
      <w:pPr>
        <w:pStyle w:val="15"/>
        <w:kinsoku w:val="0"/>
        <w:wordWrap w:val="0"/>
        <w:topLinePunct/>
        <w:autoSpaceDE w:val="0"/>
        <w:ind w:left="480" w:leftChars="200"/>
        <w:rPr>
          <w:rFonts w:ascii="宋体"/>
          <w:szCs w:val="24"/>
        </w:rPr>
      </w:pPr>
      <w:r>
        <w:rPr>
          <w:rFonts w:hint="eastAsia" w:ascii="宋体"/>
        </w:rPr>
        <w:t>联系人：</w:t>
      </w:r>
      <w:r>
        <w:rPr>
          <w:rFonts w:hint="eastAsia" w:ascii="宋体"/>
          <w:u w:val="single"/>
          <w:lang w:val="en-US" w:eastAsia="zh-CN"/>
        </w:rPr>
        <w:t>产业园工程部</w:t>
      </w:r>
      <w:r>
        <w:rPr>
          <w:rFonts w:hint="eastAsia" w:ascii="宋体"/>
        </w:rPr>
        <w:t>；联系</w:t>
      </w:r>
      <w:r>
        <w:rPr>
          <w:rFonts w:hint="eastAsia" w:ascii="宋体"/>
          <w:lang w:val="en-US" w:eastAsia="zh-CN"/>
        </w:rPr>
        <w:t>方式</w:t>
      </w:r>
      <w:r>
        <w:rPr>
          <w:rFonts w:hint="eastAsia" w:ascii="宋体"/>
        </w:rPr>
        <w:t xml:space="preserve"> ：</w:t>
      </w:r>
      <w:r>
        <w:rPr>
          <w:rFonts w:hint="eastAsia" w:ascii="宋体"/>
          <w:u w:val="single"/>
          <w:lang w:val="en-US" w:eastAsia="zh-CN"/>
        </w:rPr>
        <w:t>0379-</w:t>
      </w:r>
      <w:r>
        <w:rPr>
          <w:rFonts w:hint="eastAsia" w:ascii="宋体" w:hAnsi="宋体" w:eastAsia="宋体" w:cs="宋体"/>
          <w:sz w:val="24"/>
          <w:u w:val="single"/>
          <w:lang w:eastAsia="zh-CN"/>
        </w:rPr>
        <w:t>80882479</w:t>
      </w:r>
      <w:r>
        <w:rPr>
          <w:rFonts w:hint="eastAsia" w:ascii="宋体"/>
        </w:rPr>
        <w:t xml:space="preserve">。 </w:t>
      </w:r>
      <w:r>
        <w:rPr>
          <w:rFonts w:hint="eastAsia" w:ascii="宋体"/>
          <w:szCs w:val="24"/>
        </w:rPr>
        <w:t xml:space="preserve">  </w:t>
      </w:r>
    </w:p>
    <w:p>
      <w:pPr>
        <w:spacing w:line="360" w:lineRule="auto"/>
        <w:ind w:firstLine="468" w:firstLineChars="195"/>
        <w:rPr>
          <w:rFonts w:ascii="宋体"/>
        </w:rPr>
      </w:pPr>
      <w:r>
        <w:rPr>
          <w:rFonts w:hint="eastAsia" w:ascii="宋体"/>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5"/>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Cs w:val="24"/>
        </w:rPr>
        <w:t>二十二、合同解约条款</w:t>
      </w:r>
    </w:p>
    <w:p>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、乙方存在如下任一情况的，甲方有权要求乙方按照合同总价的30%支付违约金，且有权解除本合同，解除通知到达乙方之日生效，该违约金不足以弥补甲方损失，乙方还应继续承担赔偿责任。</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1.1</w:t>
      </w:r>
      <w:r>
        <w:rPr>
          <w:rFonts w:hint="eastAsia" w:ascii="宋体" w:hAnsi="宋体" w:cs="宋体"/>
        </w:rPr>
        <w:t>、本工程不能通过验收的；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、乙方逾期供货连续达5天或累计达10天的；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日以上或累计达7日的；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乙方逾期向甲方提交竣工结算书及完整的竣工结算资料、核对工程价款或其他逾期行为达</w:t>
      </w:r>
      <w:r>
        <w:rPr>
          <w:rFonts w:ascii="宋体" w:hAnsi="宋体" w:cs="宋体"/>
        </w:rPr>
        <w:t>7</w:t>
      </w:r>
      <w:r>
        <w:rPr>
          <w:rFonts w:hint="eastAsia" w:ascii="宋体" w:hAnsi="宋体" w:cs="宋体"/>
        </w:rPr>
        <w:t>日及以上的；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pPr>
        <w:numPr>
          <w:ilvl w:val="255"/>
          <w:numId w:val="0"/>
        </w:numPr>
        <w:tabs>
          <w:tab w:val="left" w:pos="900"/>
        </w:tabs>
        <w:spacing w:line="360" w:lineRule="auto"/>
        <w:ind w:firstLine="480" w:firstLineChars="200"/>
        <w:rPr>
          <w:rFonts w:ascii="宋体" w:hAnsi="宋体" w:cs="宋体"/>
          <w:kern w:val="2"/>
        </w:rPr>
      </w:pPr>
      <w:r>
        <w:rPr>
          <w:rFonts w:ascii="宋体" w:hAnsi="宋体" w:cs="宋体"/>
        </w:rPr>
        <w:t>1.6</w:t>
      </w:r>
      <w:r>
        <w:rPr>
          <w:rFonts w:hint="eastAsia" w:ascii="宋体" w:hAnsi="宋体" w:cs="宋体"/>
        </w:rPr>
        <w:t>、</w:t>
      </w:r>
      <w:r>
        <w:rPr>
          <w:rFonts w:hint="eastAsia" w:ascii="宋体" w:hAnsi="宋体" w:cs="宋体"/>
          <w:kern w:val="2"/>
        </w:rPr>
        <w:t>乙方交付的产品批次不合格率达5%及以上或累计不合格率达10</w:t>
      </w:r>
      <w:r>
        <w:rPr>
          <w:rFonts w:ascii="宋体" w:hAnsi="宋体" w:cs="宋体"/>
          <w:kern w:val="2"/>
        </w:rPr>
        <w:t>%</w:t>
      </w:r>
      <w:r>
        <w:rPr>
          <w:rFonts w:hint="eastAsia" w:ascii="宋体" w:hAnsi="宋体" w:cs="宋体"/>
          <w:kern w:val="2"/>
        </w:rPr>
        <w:t>及以上的；</w:t>
      </w:r>
    </w:p>
    <w:p>
      <w:pPr>
        <w:numPr>
          <w:ilvl w:val="255"/>
          <w:numId w:val="0"/>
        </w:numPr>
        <w:tabs>
          <w:tab w:val="left" w:pos="900"/>
        </w:tabs>
        <w:spacing w:line="360" w:lineRule="auto"/>
        <w:ind w:firstLine="480" w:firstLineChars="200"/>
        <w:rPr>
          <w:rFonts w:ascii="宋体" w:hAnsi="宋体" w:cs="宋体"/>
        </w:rPr>
      </w:pPr>
      <w:r>
        <w:rPr>
          <w:rFonts w:hint="eastAsia" w:ascii="宋体" w:hAnsi="宋体" w:cs="宋体"/>
        </w:rPr>
        <w:t>1.7、本合同签订后，乙方不按本合同约定的价格向甲方供货或有其他违反本合同行为致使合同目的不能实现的；</w:t>
      </w:r>
    </w:p>
    <w:p>
      <w:pPr>
        <w:pStyle w:val="15"/>
        <w:ind w:firstLine="480" w:firstLineChars="200"/>
      </w:pPr>
      <w:r>
        <w:rPr>
          <w:rFonts w:hint="eastAsia" w:ascii="宋体" w:hAnsi="宋体" w:cs="宋体"/>
        </w:rPr>
        <w:t>1.8、乙方提交虚假发票；</w:t>
      </w:r>
    </w:p>
    <w:p>
      <w:pPr>
        <w:numPr>
          <w:ilvl w:val="255"/>
          <w:numId w:val="0"/>
        </w:numPr>
        <w:tabs>
          <w:tab w:val="left" w:pos="900"/>
        </w:tabs>
        <w:spacing w:line="360" w:lineRule="auto"/>
        <w:ind w:firstLine="48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9、乙方擅自把工程分包或转包给其他任何单位的；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10、乙方与甲方工作人员串通、虚构事实或使用其他方式虚报工程量的；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11、甲方或监理方对同一施工问题连续下发三次整改通知书后乙方无作为或整改问题未在整改通知书要求的期限内解决；</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12、乙方购置不符合合同约定的品牌、厂家、产地、材质、工艺、规格、型号等标准的产品或者假冒伪劣产品用于本工程；</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13、乙方存在其他违约行为，经甲方书面通知之日7日内仍未纠正的。</w:t>
      </w:r>
    </w:p>
    <w:p>
      <w:pPr>
        <w:spacing w:line="360" w:lineRule="auto"/>
        <w:ind w:firstLine="480" w:firstLineChars="200"/>
        <w:rPr>
          <w:rFonts w:ascii="宋体" w:hAnsi="宋体" w:cs="宋体"/>
        </w:rPr>
      </w:pPr>
      <w:r>
        <w:rPr>
          <w:rFonts w:hint="eastAsia" w:ascii="宋体" w:hAnsi="宋体" w:cs="宋体"/>
        </w:rPr>
        <w:t>2、合同解除后，对于乙方已供货且质量合格的货物结算70%；对于不合格部分责令整改，整改合格后给予结算70%。若乙方拒接整改或无作为，甲方对不合格部分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5"/>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Cs w:val="24"/>
        </w:rPr>
        <w:t>二十三、争议的解决</w:t>
      </w:r>
    </w:p>
    <w:p>
      <w:pPr>
        <w:kinsoku w:val="0"/>
        <w:wordWrap w:val="0"/>
        <w:topLinePunct/>
        <w:autoSpaceDE w:val="0"/>
        <w:spacing w:line="360" w:lineRule="auto"/>
        <w:ind w:firstLine="512" w:firstLineChars="200"/>
        <w:rPr>
          <w:rFonts w:ascii="宋体" w:hAnsi="宋体" w:cs="宋体"/>
          <w:b/>
        </w:rPr>
      </w:pPr>
      <w:r>
        <w:rPr>
          <w:rFonts w:hint="eastAsia" w:ascii="宋体" w:hAnsi="宋体" w:cs="宋体"/>
          <w:spacing w:val="8"/>
        </w:rPr>
        <w:t>本合同履行过程中发生争议或纠纷的，由当事人双方协商解决。协商不成时，双方同意向合同签约地人民法院提起诉讼。</w:t>
      </w:r>
    </w:p>
    <w:p>
      <w:pPr>
        <w:pStyle w:val="15"/>
        <w:kinsoku w:val="0"/>
        <w:wordWrap w:val="0"/>
        <w:topLinePunct/>
        <w:autoSpaceDE w:val="0"/>
        <w:rPr>
          <w:rFonts w:ascii="宋体" w:hAnsi="宋体" w:cs="宋体"/>
          <w:b/>
          <w:bCs/>
          <w:szCs w:val="24"/>
        </w:rPr>
      </w:pPr>
      <w:r>
        <w:rPr>
          <w:rFonts w:hint="eastAsia" w:ascii="宋体" w:hAnsi="宋体" w:cs="宋体"/>
          <w:b/>
          <w:bCs/>
          <w:szCs w:val="24"/>
        </w:rPr>
        <w:t>二十四、其他</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3、本合同及其补充协议自双方签字并盖章之日起生效。</w:t>
      </w:r>
    </w:p>
    <w:p>
      <w:pPr>
        <w:pStyle w:val="15"/>
        <w:kinsoku w:val="0"/>
        <w:wordWrap w:val="0"/>
        <w:topLinePunct/>
        <w:autoSpaceDE w:val="0"/>
        <w:ind w:firstLine="512" w:firstLineChars="200"/>
        <w:rPr>
          <w:rFonts w:ascii="宋体" w:hAnsi="宋体" w:cs="宋体"/>
          <w:szCs w:val="24"/>
        </w:rPr>
      </w:pPr>
      <w:r>
        <w:rPr>
          <w:rFonts w:hint="eastAsia" w:ascii="宋体" w:hAnsi="宋体" w:cs="宋体"/>
          <w:spacing w:val="8"/>
          <w:szCs w:val="24"/>
        </w:rPr>
        <w:t xml:space="preserve">4、合同签订地点：洛阳市洛龙区开元大道1号开元壹号营销中心3楼。  </w:t>
      </w:r>
      <w:r>
        <w:rPr>
          <w:rFonts w:hint="eastAsia" w:ascii="宋体" w:hAnsi="宋体" w:cs="宋体"/>
          <w:szCs w:val="24"/>
        </w:rPr>
        <w:t xml:space="preserve">  </w:t>
      </w:r>
    </w:p>
    <w:p>
      <w:pPr>
        <w:pStyle w:val="15"/>
        <w:kinsoku w:val="0"/>
        <w:wordWrap w:val="0"/>
        <w:topLinePunct/>
        <w:autoSpaceDE w:val="0"/>
        <w:rPr>
          <w:rFonts w:ascii="宋体" w:hAnsi="宋体" w:cs="宋体"/>
          <w:szCs w:val="24"/>
        </w:rPr>
      </w:pPr>
      <w:r>
        <w:rPr>
          <w:rFonts w:hint="eastAsia" w:ascii="宋体" w:hAnsi="宋体" w:cs="宋体"/>
          <w:b/>
          <w:bCs/>
          <w:szCs w:val="24"/>
        </w:rPr>
        <w:t>二十五、合同附件</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6"/>
        <w:spacing w:line="360" w:lineRule="auto"/>
        <w:ind w:firstLine="480" w:firstLineChars="200"/>
      </w:pPr>
      <w:r>
        <w:rPr>
          <w:rFonts w:hint="eastAsia"/>
        </w:rPr>
        <w:t>2、附件二、</w:t>
      </w:r>
      <w:r>
        <w:rPr>
          <w:rFonts w:hint="eastAsia" w:hAnsi="宋体"/>
          <w:bCs/>
          <w:color w:val="auto"/>
        </w:rPr>
        <w:t>《工程量清单计价表》</w:t>
      </w:r>
      <w:r>
        <w:rPr>
          <w:rFonts w:hint="eastAsia"/>
        </w:rPr>
        <w:t xml:space="preserve"> </w:t>
      </w:r>
    </w:p>
    <w:p>
      <w:pPr>
        <w:pStyle w:val="16"/>
        <w:spacing w:line="360" w:lineRule="auto"/>
        <w:ind w:firstLine="480" w:firstLineChars="200"/>
      </w:pPr>
      <w:r>
        <w:rPr>
          <w:rFonts w:hint="eastAsia"/>
        </w:rPr>
        <w:t>3、附件三、配电箱技术指标及现场验收标准</w:t>
      </w:r>
    </w:p>
    <w:p>
      <w:pPr>
        <w:pStyle w:val="16"/>
        <w:spacing w:line="360" w:lineRule="auto"/>
        <w:ind w:firstLine="480" w:firstLineChars="200"/>
        <w:rPr>
          <w:rFonts w:hAnsi="宋体"/>
          <w:bCs/>
          <w:color w:val="auto"/>
        </w:rPr>
      </w:pPr>
      <w:r>
        <w:rPr>
          <w:rFonts w:hint="eastAsia"/>
        </w:rPr>
        <w:t>4、附件四、《验收单》与《送货单》</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4"/>
          <w14:textFill>
            <w14:solidFill>
              <w14:schemeClr w14:val="tx1"/>
            </w14:solidFill>
          </w14:textFill>
        </w:rPr>
      </w:pPr>
      <w:r>
        <w:rPr>
          <w:rFonts w:hint="eastAsia" w:ascii="宋体" w:hAnsi="宋体" w:cs="宋体"/>
          <w:bCs/>
        </w:rPr>
        <w:t xml:space="preserve">甲方:(盖章)栾川县浩德颐康文旅有限公司    </w:t>
      </w:r>
      <w:r>
        <w:rPr>
          <w:rFonts w:hint="eastAsia" w:ascii="宋体" w:hAnsi="宋体" w:cs="宋体"/>
          <w:bCs/>
          <w:lang w:val="en-US" w:eastAsia="zh-CN"/>
        </w:rPr>
        <w:t xml:space="preserve">        </w:t>
      </w:r>
      <w:r>
        <w:rPr>
          <w:rFonts w:hint="eastAsia" w:ascii="宋体" w:hAnsi="宋体" w:cs="宋体"/>
          <w:bCs/>
        </w:rPr>
        <w:t>乙方:(盖章)</w:t>
      </w:r>
      <w:r>
        <w:rPr>
          <w:rFonts w:hint="eastAsia" w:ascii="宋体" w:hAnsi="宋体" w:cs="宋体"/>
          <w:color w:val="000000" w:themeColor="text1"/>
          <w:szCs w:val="24"/>
          <w14:textFill>
            <w14:solidFill>
              <w14:schemeClr w14:val="tx1"/>
            </w14:solidFill>
          </w14:textFill>
        </w:rPr>
        <w:t>中浩德电子商务产业园</w:t>
      </w:r>
    </w:p>
    <w:p>
      <w:pPr>
        <w:pStyle w:val="2"/>
        <w:rPr>
          <w:rFonts w:ascii="宋体" w:hAnsi="宋体" w:cs="宋体"/>
          <w:bCs/>
        </w:rPr>
      </w:pPr>
      <w:r>
        <w:rPr>
          <w:rFonts w:hint="eastAsia" w:hAnsi="宋体" w:cs="宋体"/>
          <w:color w:val="000000" w:themeColor="text1"/>
          <w:szCs w:val="24"/>
          <w:lang w:val="en-US" w:eastAsia="zh-CN"/>
          <w14:textFill>
            <w14:solidFill>
              <w14:schemeClr w14:val="tx1"/>
            </w14:solidFill>
          </w14:textFill>
        </w:rPr>
        <w:t xml:space="preserve">                                                  </w:t>
      </w:r>
      <w:r>
        <w:rPr>
          <w:rFonts w:hint="eastAsia" w:hAnsi="宋体" w:cs="宋体"/>
          <w:b w:val="0"/>
          <w:bCs/>
          <w:color w:val="000000" w:themeColor="text1"/>
          <w:szCs w:val="24"/>
          <w:lang w:val="en-US" w:eastAsia="zh-CN"/>
          <w14:textFill>
            <w14:solidFill>
              <w14:schemeClr w14:val="tx1"/>
            </w14:solidFill>
          </w14:textFill>
        </w:rPr>
        <w:t xml:space="preserve">  </w:t>
      </w:r>
      <w:r>
        <w:rPr>
          <w:rFonts w:hint="eastAsia" w:ascii="宋体" w:hAnsi="宋体" w:cs="宋体"/>
          <w:b w:val="0"/>
          <w:bCs/>
          <w:color w:val="000000" w:themeColor="text1"/>
          <w:szCs w:val="24"/>
          <w14:textFill>
            <w14:solidFill>
              <w14:schemeClr w14:val="tx1"/>
            </w14:solidFill>
          </w14:textFill>
        </w:rPr>
        <w:t>（洛阳）</w:t>
      </w:r>
      <w:r>
        <w:rPr>
          <w:rFonts w:hint="eastAsia" w:hAnsi="宋体" w:cs="宋体"/>
          <w:b w:val="0"/>
          <w:bCs/>
          <w:color w:val="000000" w:themeColor="text1"/>
          <w:szCs w:val="24"/>
          <w:lang w:val="en-US" w:eastAsia="zh-CN"/>
          <w14:textFill>
            <w14:solidFill>
              <w14:schemeClr w14:val="tx1"/>
            </w14:solidFill>
          </w14:textFill>
        </w:rPr>
        <w:t>有限公司</w:t>
      </w:r>
    </w:p>
    <w:p>
      <w:pPr>
        <w:kinsoku w:val="0"/>
        <w:wordWrap w:val="0"/>
        <w:topLinePunct/>
        <w:autoSpaceDE w:val="0"/>
        <w:spacing w:line="360" w:lineRule="auto"/>
        <w:rPr>
          <w:rFonts w:ascii="宋体" w:hAnsi="宋体" w:cs="宋体"/>
          <w:bCs/>
        </w:rPr>
      </w:pPr>
      <w:r>
        <w:rPr>
          <w:rFonts w:hint="eastAsia" w:ascii="宋体" w:hAnsi="宋体" w:cs="宋体"/>
          <w:bCs/>
        </w:rPr>
        <w:t xml:space="preserve">法定代表人：                            </w:t>
      </w:r>
      <w:r>
        <w:rPr>
          <w:rFonts w:hint="eastAsia" w:ascii="宋体" w:hAnsi="宋体" w:cs="宋体"/>
          <w:bCs/>
          <w:lang w:val="en-US" w:eastAsia="zh-CN"/>
        </w:rPr>
        <w:t xml:space="preserve">        </w:t>
      </w:r>
      <w:r>
        <w:rPr>
          <w:rFonts w:hint="eastAsia" w:ascii="宋体" w:hAnsi="宋体" w:cs="宋体"/>
          <w:bCs/>
        </w:rPr>
        <w:t xml:space="preserve"> 法定代表人：</w:t>
      </w:r>
    </w:p>
    <w:p>
      <w:pPr>
        <w:kinsoku w:val="0"/>
        <w:wordWrap w:val="0"/>
        <w:topLinePunct/>
        <w:autoSpaceDE w:val="0"/>
        <w:spacing w:line="360" w:lineRule="auto"/>
        <w:rPr>
          <w:rFonts w:ascii="宋体" w:hAnsi="宋体" w:cs="宋体"/>
          <w:bCs/>
        </w:rPr>
      </w:pPr>
      <w:r>
        <w:rPr>
          <w:rFonts w:hint="eastAsia" w:ascii="宋体" w:hAnsi="宋体" w:cs="宋体"/>
          <w:bCs/>
        </w:rPr>
        <w:t xml:space="preserve">委托代理人：                           </w:t>
      </w:r>
      <w:r>
        <w:rPr>
          <w:rFonts w:hint="eastAsia" w:ascii="宋体" w:hAnsi="宋体" w:cs="宋体"/>
          <w:bCs/>
          <w:lang w:val="en-US" w:eastAsia="zh-CN"/>
        </w:rPr>
        <w:t xml:space="preserve">          </w:t>
      </w:r>
      <w:r>
        <w:rPr>
          <w:rFonts w:hint="eastAsia" w:ascii="宋体" w:hAnsi="宋体" w:cs="宋体"/>
          <w:bCs/>
        </w:rPr>
        <w:t>委托代理人：</w:t>
      </w:r>
    </w:p>
    <w:p>
      <w:pPr>
        <w:kinsoku w:val="0"/>
        <w:wordWrap w:val="0"/>
        <w:topLinePunct/>
        <w:autoSpaceDE w:val="0"/>
        <w:spacing w:line="360" w:lineRule="auto"/>
        <w:rPr>
          <w:rFonts w:ascii="宋体" w:hAnsi="宋体" w:cs="宋体"/>
          <w:bCs/>
        </w:rPr>
      </w:pPr>
      <w:r>
        <w:rPr>
          <w:rFonts w:hint="eastAsia" w:ascii="宋体" w:hAnsi="宋体" w:cs="宋体"/>
          <w:bCs/>
        </w:rPr>
        <w:t xml:space="preserve">纳税人识别号：91410 324MA 9FJUR UXE     </w:t>
      </w:r>
      <w:r>
        <w:rPr>
          <w:rFonts w:ascii="宋体" w:hAnsi="宋体" w:cs="宋体"/>
          <w:bCs/>
        </w:rPr>
        <w:t xml:space="preserve"> </w:t>
      </w:r>
      <w:r>
        <w:rPr>
          <w:rFonts w:hint="eastAsia" w:ascii="宋体" w:hAnsi="宋体" w:cs="宋体"/>
          <w:bCs/>
          <w:lang w:val="en-US" w:eastAsia="zh-CN"/>
        </w:rPr>
        <w:t xml:space="preserve">        </w:t>
      </w:r>
      <w:r>
        <w:rPr>
          <w:rFonts w:hint="eastAsia" w:ascii="宋体" w:hAnsi="宋体" w:cs="宋体"/>
          <w:bCs/>
        </w:rPr>
        <w:t xml:space="preserve">纳税人识别号：91410307MA3XDL7PX6 </w:t>
      </w:r>
    </w:p>
    <w:p>
      <w:pPr>
        <w:kinsoku w:val="0"/>
        <w:wordWrap w:val="0"/>
        <w:topLinePunct/>
        <w:autoSpaceDE w:val="0"/>
        <w:spacing w:line="360" w:lineRule="auto"/>
        <w:rPr>
          <w:rFonts w:hint="default" w:eastAsia="宋体"/>
          <w:lang w:val="en-US" w:eastAsia="zh-CN"/>
        </w:rPr>
      </w:pPr>
      <w:r>
        <w:rPr>
          <w:rFonts w:hint="eastAsia" w:ascii="宋体" w:hAnsi="宋体" w:cs="宋体"/>
          <w:bCs/>
        </w:rPr>
        <w:t>开户行：河南栾川农村商业银行股份有限公司</w:t>
      </w:r>
      <w:r>
        <w:rPr>
          <w:rFonts w:hint="eastAsia" w:ascii="宋体" w:hAnsi="宋体" w:eastAsia="宋体" w:cs="宋体"/>
          <w:b w:val="0"/>
          <w:bCs/>
          <w:position w:val="0"/>
          <w:sz w:val="24"/>
          <w:szCs w:val="24"/>
          <w:lang w:val="en-US" w:eastAsia="zh-CN" w:bidi="ar-SA"/>
        </w:rPr>
        <w:t>君山支行</w:t>
      </w:r>
      <w:r>
        <w:rPr>
          <w:rFonts w:ascii="宋体" w:hAnsi="宋体" w:cs="宋体"/>
          <w:bCs/>
        </w:rPr>
        <w:t xml:space="preserve"> </w:t>
      </w:r>
      <w:r>
        <w:rPr>
          <w:rFonts w:hint="eastAsia" w:ascii="宋体" w:hAnsi="宋体" w:cs="宋体"/>
          <w:bCs/>
        </w:rPr>
        <w:t>开户行：</w:t>
      </w:r>
      <w:r>
        <w:rPr>
          <w:rFonts w:hint="eastAsia" w:ascii="宋体" w:hAnsi="宋体" w:cs="宋体"/>
          <w:kern w:val="0"/>
          <w:sz w:val="24"/>
        </w:rPr>
        <w:t>洛阳农商行李楼支行</w:t>
      </w:r>
      <w:r>
        <w:rPr>
          <w:rFonts w:ascii="宋体" w:hAnsi="宋体" w:cs="宋体"/>
          <w:bCs/>
        </w:rPr>
        <w:t xml:space="preserve"> </w:t>
      </w:r>
      <w:r>
        <w:rPr>
          <w:rFonts w:hint="eastAsia" w:hAnsi="宋体" w:cs="宋体"/>
          <w:bCs/>
          <w:lang w:val="en-US" w:eastAsia="zh-CN"/>
        </w:rPr>
        <w:t xml:space="preserve">      </w:t>
      </w:r>
    </w:p>
    <w:p>
      <w:pPr>
        <w:kinsoku w:val="0"/>
        <w:wordWrap w:val="0"/>
        <w:topLinePunct/>
        <w:autoSpaceDE w:val="0"/>
        <w:spacing w:line="360" w:lineRule="auto"/>
        <w:rPr>
          <w:rFonts w:ascii="宋体" w:hAnsi="宋体" w:cs="宋体"/>
          <w:bCs/>
        </w:rPr>
      </w:pPr>
      <w:r>
        <w:rPr>
          <w:rFonts w:hint="eastAsia" w:ascii="宋体" w:hAnsi="宋体" w:cs="宋体"/>
          <w:bCs/>
        </w:rPr>
        <w:t xml:space="preserve">账号：66616011400000260              </w:t>
      </w:r>
      <w:r>
        <w:rPr>
          <w:rFonts w:hint="eastAsia" w:ascii="宋体" w:hAnsi="宋体" w:cs="宋体"/>
          <w:bCs/>
          <w:lang w:val="en-US" w:eastAsia="zh-CN"/>
        </w:rPr>
        <w:t xml:space="preserve">      </w:t>
      </w:r>
      <w:r>
        <w:rPr>
          <w:rFonts w:hint="eastAsia" w:ascii="宋体" w:hAnsi="宋体" w:cs="宋体"/>
          <w:bCs/>
        </w:rPr>
        <w:t xml:space="preserve"> </w:t>
      </w:r>
      <w:r>
        <w:rPr>
          <w:rFonts w:hint="eastAsia" w:ascii="宋体" w:hAnsi="宋体" w:cs="宋体"/>
          <w:bCs/>
          <w:lang w:val="en-US" w:eastAsia="zh-CN"/>
        </w:rPr>
        <w:t xml:space="preserve">     </w:t>
      </w:r>
      <w:r>
        <w:rPr>
          <w:rFonts w:hint="eastAsia" w:ascii="宋体" w:hAnsi="宋体" w:cs="宋体"/>
          <w:bCs/>
        </w:rPr>
        <w:t xml:space="preserve"> 账号：</w:t>
      </w:r>
      <w:r>
        <w:rPr>
          <w:rFonts w:hint="eastAsia" w:ascii="宋体" w:hAnsi="宋体" w:cs="宋体"/>
          <w:kern w:val="0"/>
          <w:sz w:val="24"/>
        </w:rPr>
        <w:t>67006011700000110</w:t>
      </w:r>
      <w:r>
        <w:rPr>
          <w:rFonts w:hint="eastAsia" w:ascii="宋体" w:hAnsi="宋体" w:cs="宋体"/>
          <w:bCs/>
        </w:rPr>
        <w:t xml:space="preserve"> </w:t>
      </w:r>
    </w:p>
    <w:p>
      <w:pPr>
        <w:tabs>
          <w:tab w:val="left" w:pos="4465"/>
        </w:tabs>
        <w:spacing w:line="360" w:lineRule="auto"/>
        <w:rPr>
          <w:rFonts w:ascii="宋体" w:hAnsi="宋体" w:cs="宋体"/>
          <w:b/>
        </w:rPr>
      </w:pPr>
      <w:r>
        <w:rPr>
          <w:rFonts w:hint="eastAsia" w:ascii="宋体" w:hAnsi="宋体" w:cs="宋体"/>
          <w:bCs/>
        </w:rPr>
        <w:t>签订日期：</w:t>
      </w:r>
      <w:r>
        <w:rPr>
          <w:rFonts w:hint="eastAsia" w:ascii="宋体" w:hAnsi="宋体" w:cs="宋体"/>
          <w:bCs/>
          <w:u w:val="single"/>
          <w:lang w:val="en-US" w:eastAsia="zh-CN"/>
        </w:rPr>
        <w:t>2022</w:t>
      </w:r>
      <w:r>
        <w:rPr>
          <w:rFonts w:hint="eastAsia" w:ascii="宋体" w:hAnsi="宋体" w:cs="宋体"/>
          <w:bCs/>
        </w:rPr>
        <w:t>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 xml:space="preserve">日                 </w:t>
      </w:r>
      <w:r>
        <w:rPr>
          <w:rFonts w:hint="eastAsia" w:ascii="宋体" w:hAnsi="宋体" w:cs="宋体"/>
          <w:bCs/>
          <w:lang w:val="en-US" w:eastAsia="zh-CN"/>
        </w:rPr>
        <w:t xml:space="preserve">      </w:t>
      </w:r>
      <w:r>
        <w:rPr>
          <w:rFonts w:hint="eastAsia" w:ascii="宋体" w:hAnsi="宋体" w:cs="宋体"/>
          <w:bCs/>
        </w:rPr>
        <w:t>签订日期：</w:t>
      </w:r>
      <w:r>
        <w:rPr>
          <w:rFonts w:hint="eastAsia" w:ascii="宋体" w:hAnsi="宋体" w:cs="宋体"/>
          <w:bCs/>
          <w:u w:val="single"/>
          <w:lang w:val="en-US" w:eastAsia="zh-CN"/>
        </w:rPr>
        <w:t>2022</w:t>
      </w:r>
      <w:r>
        <w:rPr>
          <w:rFonts w:hint="eastAsia" w:ascii="宋体" w:hAnsi="宋体" w:cs="宋体"/>
          <w:bCs/>
        </w:rPr>
        <w:t>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rPr>
        <w:t xml:space="preserve">  日</w:t>
      </w:r>
    </w:p>
    <w:p>
      <w:pPr>
        <w:tabs>
          <w:tab w:val="left" w:pos="4465"/>
        </w:tabs>
        <w:spacing w:line="360" w:lineRule="auto"/>
        <w:rPr>
          <w:rFonts w:hint="eastAsia" w:ascii="宋体" w:hAnsi="宋体" w:cs="宋体"/>
          <w:b/>
        </w:rPr>
      </w:pPr>
    </w:p>
    <w:p>
      <w:pPr>
        <w:tabs>
          <w:tab w:val="left" w:pos="4465"/>
        </w:tabs>
        <w:spacing w:line="360" w:lineRule="auto"/>
        <w:rPr>
          <w:rFonts w:hint="eastAsia" w:ascii="宋体" w:hAnsi="宋体" w:cs="宋体"/>
          <w:b/>
        </w:rPr>
      </w:pPr>
    </w:p>
    <w:p>
      <w:pPr>
        <w:tabs>
          <w:tab w:val="left" w:pos="4465"/>
        </w:tabs>
        <w:spacing w:line="360" w:lineRule="auto"/>
        <w:rPr>
          <w:rFonts w:hint="eastAsia" w:ascii="宋体" w:hAnsi="宋体" w:cs="宋体"/>
          <w:b/>
        </w:rPr>
      </w:pPr>
    </w:p>
    <w:p>
      <w:pPr>
        <w:tabs>
          <w:tab w:val="left" w:pos="4465"/>
        </w:tabs>
        <w:spacing w:line="360" w:lineRule="auto"/>
        <w:rPr>
          <w:rFonts w:hint="eastAsia" w:ascii="宋体" w:hAnsi="宋体" w:cs="宋体"/>
          <w:b/>
        </w:rPr>
      </w:pPr>
    </w:p>
    <w:p>
      <w:pPr>
        <w:tabs>
          <w:tab w:val="left" w:pos="4465"/>
        </w:tabs>
        <w:spacing w:line="360" w:lineRule="auto"/>
        <w:rPr>
          <w:rFonts w:hint="eastAsia" w:ascii="宋体" w:hAnsi="宋体" w:cs="宋体"/>
          <w:b/>
        </w:rPr>
      </w:pPr>
    </w:p>
    <w:p>
      <w:pPr>
        <w:tabs>
          <w:tab w:val="left" w:pos="4465"/>
        </w:tabs>
        <w:spacing w:line="360" w:lineRule="auto"/>
        <w:rPr>
          <w:rFonts w:hint="eastAsia" w:ascii="宋体" w:hAnsi="宋体" w:cs="宋体"/>
          <w:b/>
        </w:rPr>
      </w:pPr>
    </w:p>
    <w:p>
      <w:pPr>
        <w:tabs>
          <w:tab w:val="left" w:pos="4465"/>
        </w:tabs>
        <w:spacing w:line="360" w:lineRule="auto"/>
        <w:rPr>
          <w:rFonts w:ascii="宋体" w:hAnsi="宋体" w:cs="宋体"/>
          <w:b/>
        </w:rPr>
      </w:pPr>
      <w:r>
        <w:rPr>
          <w:rFonts w:hint="eastAsia" w:ascii="宋体" w:hAnsi="宋体" w:cs="宋体"/>
          <w:b/>
        </w:rPr>
        <w:t>附件一</w:t>
      </w:r>
    </w:p>
    <w:p>
      <w:pPr>
        <w:tabs>
          <w:tab w:val="left" w:pos="4465"/>
        </w:tabs>
        <w:spacing w:line="360" w:lineRule="auto"/>
        <w:jc w:val="center"/>
        <w:rPr>
          <w:rFonts w:ascii="宋体" w:hAnsi="宋体"/>
          <w:b/>
          <w:bCs/>
          <w:lang w:val="zh-CN"/>
        </w:rPr>
      </w:pPr>
      <w:r>
        <w:rPr>
          <w:rFonts w:hint="eastAsia" w:ascii="宋体" w:hAnsi="宋体"/>
          <w:b/>
          <w:bCs/>
          <w:lang w:val="zh-CN"/>
        </w:rPr>
        <w:t>廉政合作协议</w:t>
      </w:r>
    </w:p>
    <w:p>
      <w:pPr>
        <w:spacing w:line="360" w:lineRule="auto"/>
        <w:rPr>
          <w:rFonts w:ascii="宋体" w:hAnsi="宋体"/>
          <w:b/>
        </w:rPr>
      </w:pPr>
      <w:r>
        <w:rPr>
          <w:rFonts w:hint="eastAsia" w:ascii="宋体" w:hAnsi="宋体"/>
          <w:b/>
        </w:rPr>
        <w:t>甲方：栾川县浩德颐康文旅有限公司</w:t>
      </w:r>
    </w:p>
    <w:p>
      <w:pPr>
        <w:spacing w:line="360" w:lineRule="auto"/>
        <w:rPr>
          <w:rFonts w:ascii="宋体" w:hAnsi="宋体"/>
          <w:b/>
        </w:rPr>
      </w:pPr>
      <w:r>
        <w:rPr>
          <w:rFonts w:hint="eastAsia" w:ascii="宋体" w:hAnsi="宋体"/>
          <w:b/>
        </w:rPr>
        <w:t>乙方：中浩德电子商务产业园（洛阳）</w:t>
      </w:r>
      <w:r>
        <w:rPr>
          <w:rFonts w:hint="eastAsia" w:ascii="宋体" w:hAnsi="宋体"/>
          <w:b/>
          <w:lang w:val="en-US" w:eastAsia="zh-CN"/>
        </w:rPr>
        <w:t>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89965" cy="989965"/>
            <wp:effectExtent l="0" t="0" r="635" b="635"/>
            <wp:wrapNone/>
            <wp:docPr id="10" name="图片 10"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9965" cy="98996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11.其它违反法律或者甲方公司相关制度的行为。</w:t>
      </w:r>
    </w:p>
    <w:p>
      <w:pPr>
        <w:autoSpaceDN w:val="0"/>
        <w:spacing w:line="360" w:lineRule="auto"/>
        <w:ind w:firstLine="480" w:firstLineChars="200"/>
        <w:rPr>
          <w:rFonts w:ascii="宋体" w:hAnsi="宋体"/>
        </w:rPr>
      </w:pPr>
      <w:r>
        <w:rPr>
          <w:rFonts w:hint="eastAsia" w:ascii="宋体" w:hAnsi="宋体"/>
        </w:rPr>
        <w:t>甲方：栾川县浩德颐康文旅有限公司    乙方：中浩德电子商务产业园（洛阳）</w:t>
      </w:r>
      <w:r>
        <w:rPr>
          <w:rFonts w:hint="eastAsia" w:ascii="宋体" w:hAnsi="宋体"/>
          <w:lang w:val="en-US" w:eastAsia="zh-CN"/>
        </w:rPr>
        <w:t>有限公司</w:t>
      </w:r>
    </w:p>
    <w:p>
      <w:pPr>
        <w:autoSpaceDN w:val="0"/>
        <w:spacing w:line="360" w:lineRule="auto"/>
        <w:ind w:firstLine="480" w:firstLineChars="200"/>
        <w:rPr>
          <w:rFonts w:ascii="宋体" w:hAnsi="宋体"/>
          <w:szCs w:val="32"/>
        </w:rPr>
      </w:pPr>
      <w:r>
        <w:rPr>
          <w:rFonts w:hint="eastAsia" w:ascii="宋体" w:hAnsi="宋体"/>
        </w:rPr>
        <w:t>签署日期：</w:t>
      </w:r>
      <w:r>
        <w:rPr>
          <w:rFonts w:hint="eastAsia" w:ascii="宋体" w:hAnsi="宋体" w:cs="宋体"/>
          <w:bCs/>
          <w:u w:val="single"/>
          <w:lang w:val="en-US" w:eastAsia="zh-CN"/>
        </w:rPr>
        <w:t>2022</w:t>
      </w:r>
      <w:r>
        <w:rPr>
          <w:rFonts w:hint="eastAsia" w:ascii="宋体" w:hAnsi="宋体" w:cs="宋体"/>
          <w:bCs/>
        </w:rPr>
        <w:t>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r>
        <w:rPr>
          <w:rFonts w:hint="eastAsia" w:ascii="宋体" w:hAnsi="宋体"/>
        </w:rPr>
        <w:t xml:space="preserve">           </w:t>
      </w:r>
      <w:r>
        <w:rPr>
          <w:rFonts w:hint="eastAsia" w:ascii="宋体" w:hAnsi="宋体"/>
          <w:lang w:val="en-US" w:eastAsia="zh-CN"/>
        </w:rPr>
        <w:t xml:space="preserve">  </w:t>
      </w:r>
      <w:r>
        <w:rPr>
          <w:rFonts w:hint="eastAsia" w:ascii="宋体" w:hAnsi="宋体"/>
        </w:rPr>
        <w:t>签署日期：</w:t>
      </w:r>
      <w:r>
        <w:rPr>
          <w:rFonts w:hint="eastAsia" w:ascii="宋体" w:hAnsi="宋体" w:cs="宋体"/>
          <w:bCs/>
          <w:u w:val="single"/>
          <w:lang w:val="en-US" w:eastAsia="zh-CN"/>
        </w:rPr>
        <w:t>2022</w:t>
      </w:r>
      <w:r>
        <w:rPr>
          <w:rFonts w:hint="eastAsia" w:ascii="宋体" w:hAnsi="宋体" w:cs="宋体"/>
          <w:bCs/>
        </w:rPr>
        <w:t>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p>
    <w:p>
      <w:pPr>
        <w:pStyle w:val="2"/>
        <w:spacing w:line="360" w:lineRule="auto"/>
        <w:jc w:val="center"/>
        <w:rPr>
          <w:rFonts w:hAnsi="宋体" w:cs="宋体"/>
          <w:bCs/>
          <w:szCs w:val="24"/>
        </w:rPr>
      </w:pPr>
      <w:r>
        <w:rPr>
          <w:rFonts w:hint="eastAsia" w:hAnsi="宋体" w:cs="宋体"/>
          <w:bCs/>
          <w:szCs w:val="24"/>
        </w:rPr>
        <w:t>《工程量清单计价表》</w:t>
      </w:r>
    </w:p>
    <w:tbl>
      <w:tblPr>
        <w:tblStyle w:val="29"/>
        <w:tblW w:w="10737" w:type="dxa"/>
        <w:tblInd w:w="93" w:type="dxa"/>
        <w:tblLayout w:type="fixed"/>
        <w:tblCellMar>
          <w:top w:w="0" w:type="dxa"/>
          <w:left w:w="108" w:type="dxa"/>
          <w:bottom w:w="0" w:type="dxa"/>
          <w:right w:w="108" w:type="dxa"/>
        </w:tblCellMar>
      </w:tblPr>
      <w:tblGrid>
        <w:gridCol w:w="516"/>
        <w:gridCol w:w="1016"/>
        <w:gridCol w:w="2331"/>
        <w:gridCol w:w="816"/>
        <w:gridCol w:w="2316"/>
        <w:gridCol w:w="419"/>
        <w:gridCol w:w="616"/>
        <w:gridCol w:w="1316"/>
        <w:gridCol w:w="1391"/>
      </w:tblGrid>
      <w:tr>
        <w:tblPrEx>
          <w:tblCellMar>
            <w:top w:w="0" w:type="dxa"/>
            <w:left w:w="108" w:type="dxa"/>
            <w:bottom w:w="0" w:type="dxa"/>
            <w:right w:w="108" w:type="dxa"/>
          </w:tblCellMar>
        </w:tblPrEx>
        <w:trPr>
          <w:trHeight w:val="65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图号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箱柜编号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箱柜类别</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规格</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数量</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单价（元/台）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小计（元）</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￥581.34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￥16,277.52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￥626.32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￥2,505.28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￥2,714.90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￥5,429.80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￥1,406.12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￥1,406.12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￥2,113.74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￥4,227.48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-1AL-11 -1AL-21-1AL-31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￥427.06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￥1,281.18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￥24,015.60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￥3,690.48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￥1,269.24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￥8,414.16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￥2,510.32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￥7,530.96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￥1,497.10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￥1,497.10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￥4,002.12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￥4,002.12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 xml:space="preserve">-1APZ12/13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￥2,574.08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￥5,148.16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-1AL-11 -1AL-21 -1AL-31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￥419.14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￥1,257.42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￥643.08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￥3,858.48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￥1,269.24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￥24,015.60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￥2,510.32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￥7,530.96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￥8,414.16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￥1,497.10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￥1,497.10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￥2,487.68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￥2,487.68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￥2,574.08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￥5,148.16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￥450.34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￥900.68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￥16,010.40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￥1,406.12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￥1,406.12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-2AL-11 -2AL-21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￥18,297.60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-2APZ12 -2APZ13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￥423.82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￥847.64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￥16,010.40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￥2,441.48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￥2,441.48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￥2,315.28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￥4,630.56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￥16,010.40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￥1,381.16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￥20,584.80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￥18,297.60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-2AL-11 -2AL-21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￥458.26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￥916.52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￥18,297.60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￥2,510.32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￥5,020.64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￥2,047.58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￥4,095.16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￥1,458.46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-2APZ12 -2APZ13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￥4,205.48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￥655.40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￥1,310.80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￥386.56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￥773.12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 xml:space="preserve">AL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￥29,733.60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￥1,725.66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￥3,451.32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￥1,840.58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￥3,337.34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￥3,337.34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￥3,156.98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￥3,156.98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￥3,015.96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￥6,031.92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-2AP11 -2AP12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￥2,691.22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￥5,382.44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-2APE11 -2APE12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￥3,019.28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￥6,038.56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￥423.82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￥847.64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￥18,297.60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￥3,108.44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￥3,108.44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￥2,271.28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￥4,542.56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-1AL-11 -1AL-21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￥423.82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￥847.64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￥18,297.60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PZ30-20（436*260*90）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￥2,460.32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APDT</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￥2,804.72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￥5,609.44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￥1,445.90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￥3,108.44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￥3,108.44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-1APZ12 -1APZ13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￥2,271.28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￥4,542.56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￥655.40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￥655.40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￥627.56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￥627.56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￥391.24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￥391.24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￥373.30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￥373.30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PZ30-8（204*210*90）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￥59,467.20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￥1,822.52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￥1,822.52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￥1,853.84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￥3,707.68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￥3,156.98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￥6,313.96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￥3,139.56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￥6,279.12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JAT-DT2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￥3,230.80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￥3,230.80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￥2,481.62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￥2,481.62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-1AP11 -1AP12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￥2,731.60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￥5,463.20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-2APE11 -2APE12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￥2,973.08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￥5,946.16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￥672.94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￥672.94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￥646.42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￥646.42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￥391.24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￥391.24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￥435.32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￥435.32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1AL-WY1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￥466.40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￥466.40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￥571.80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￥29,161.80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￥3,623.52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￥1,840.58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￥3,156.98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￥6,313.96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￥2,638.28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￥5,276.56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￥2,400.52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￥2,400.52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￥2,397.48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￥2,397.48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-1APE11 -1APE12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￥3,019.28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￥6,038.56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￥675.92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￥1,351.84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￥386.56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￥773.12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￥3,623.52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￥1,840.58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￥3,156.98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￥6,313.96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￥3,136.52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￥6,273.04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-1AP11 -1AP12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￥2,228.94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￥4,457.88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-1APE11 -1APE12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￥2,973.08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￥5,946.16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￥655.40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￥1,310.80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9AL1/2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￥494.16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￥988.32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￥586.96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￥30,521.92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￥3,623.52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￥1,840.58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￥3,078.64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￥6,157.28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￥3,199.62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￥6,399.24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-1AP11 -1AP12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￥2,272.94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￥4,545.88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-1APE11 -1APE12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￥2,712.06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￥5,424.12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-1AL-WY1/2/3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￥529.74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￥1,589.22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1AL-WY1/2/3/4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￥529.74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￥2,118.96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2AL-WY1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￥529.74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￥529.74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￥640.82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￥640.82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PZ30-24（508*260*90）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￥631.86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￥631.86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￥404.10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￥404.10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PZ30-12（282*260*90）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￥435.32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￥435.32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￥586.96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￥14,087.04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￥571.40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￥13,142.20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￥3,623.52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￥1,840.58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￥3,681.16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JALE1/2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￥3,153.94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￥6,307.88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JAT-XDT1/2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￥3,136.52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￥6,273.04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-1AT-XF1/2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￥2,561.76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￥5,123.52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-1AT-XPW1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￥2,909.16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￥2,909.16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￥3,656.70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￥3,656.70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￥3,700.70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￥3,700.70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20#楼</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-1APE11 -1APE12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￥4,334.68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￥8,669.36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￥427.48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￥427.48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PZ30-18（400*260*90）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￥461.92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￥461.92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￥440.74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￥440.74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￥454.00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￥454.00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￥414.22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PZ30-15（346*260*90）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￥427.48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￥427.48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-1AT4-SF1/2/3/4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￥2,195.28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￥8,781.12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-1AT7-SF1/2/3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￥2,195.28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￥6,585.84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-1AT8-SF1/2/3/4/5/6/7/8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￥2,195.28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￥17,562.24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-1AT9-SF1/2/3/4/5/6/7/8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￥2,195.28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￥17,562.24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￥2,257.04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￥24,827.44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￥1,338.50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￥52,201.50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￥2,205.30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￥13,231.80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水泵房 -1AT1-SHB</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￥3,731.74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￥3,731.74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-1ALE1、5 -1ALE6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￥1,726.18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￥5,178.54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-1ALE2、4 -1ALE8 -1ALE9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￥1,738.68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￥6,954.72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189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￥1,738.68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￥1,738.68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￥1,751.16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￥1,751.16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ALGL</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户箱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PZ30-18明</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￥666.90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￥666.90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AL-AF</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 嵌墙暗装</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￥3,441.82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￥3,441.82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AL-XF</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 嵌墙暗装</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￥3,288.54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￥3,288.54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-1AT1-RD</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￥3,365.36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￥3,365.36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-1AT1-PY1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￥3,246.64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￥3,246.64</w:t>
            </w:r>
          </w:p>
        </w:tc>
      </w:tr>
      <w:tr>
        <w:tblPrEx>
          <w:tblCellMar>
            <w:top w:w="0" w:type="dxa"/>
            <w:left w:w="108" w:type="dxa"/>
            <w:bottom w:w="0" w:type="dxa"/>
            <w:right w:w="108" w:type="dxa"/>
          </w:tblCellMar>
        </w:tblPrEx>
        <w:trPr>
          <w:trHeight w:val="130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-1AT5-PY1 -1AT6-PY2 -1AT7-PY1 -1AT9-PY2-1AT9-PY1 -1AT8-PY2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￥2,872.82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￥17,236.92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-1AT2-PY1 -1AT8-PY1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￥3,183.68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￥6,367.36</w:t>
            </w:r>
          </w:p>
        </w:tc>
      </w:tr>
      <w:tr>
        <w:tblPrEx>
          <w:tblCellMar>
            <w:top w:w="0" w:type="dxa"/>
            <w:left w:w="108" w:type="dxa"/>
            <w:bottom w:w="0" w:type="dxa"/>
            <w:right w:w="108" w:type="dxa"/>
          </w:tblCellMar>
        </w:tblPrEx>
        <w:trPr>
          <w:trHeight w:val="65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-1AT2-PY2  -1AT3-PY2 -1AT4-PY2 -1AT6-PY1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￥2,405.46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￥12,027.30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199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-1AT2-PY3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￥3,802.10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￥3,802.10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-1AT7-PY2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￥4,073.12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￥4,073.12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-1AT3-PY1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￥3,543.36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￥3,543.36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-1AT1-PW -1AT2-PW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￥3,878.54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￥7,757.08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-1AT3-PW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￥3,878.54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￥3,878.54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-1AT4-PW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￥3,335.52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￥3,335.52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-1AT5-PW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￥3,297.08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￥3,297.08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-1AT6-PW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￥4,241.06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￥4,241.06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-1AT7-PW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￥3,335.52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￥3,335.52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-1AT8-PW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￥5,008.92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￥5,008.92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-1AT9-PW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800*900*200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￥5,575.64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￥5,575.64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-1APEZ91/92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1000*900*200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￥8,819.56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￥17,639.12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-1ALZ</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700*1500*400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￥8,689.84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￥8,689.84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APGLF</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700*1500*400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￥12,130.66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￥12,130.66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LA00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700*500*2100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￥15,188.24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￥15,188.24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-1APEZ11 -1APEZ12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￥2,972.90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￥5,945.80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-1APEZ21 -1APEZ22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￥3,950.66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￥7,901.32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-1APEZ31 -1APEZ32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￥3,300.24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￥6,600.48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-1APEZ41 -1APEZ42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￥5,640.04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￥11,280.08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-1APEZ51 -1APEZ52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￥2,796.84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￥5,593.68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-1APEZ61 -1APEZ62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￥3,289.98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￥6,579.96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-1APEZ71 -1APEZ72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￥5,208.54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￥10,417.08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-1APEZ81 -1APEZ82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1000*900*200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￥8,690.82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￥17,381.64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变电所 -1AT1-SHB</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￥3,731.74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￥7,463.48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-1AL81 -1AL91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￥1,393.72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￥2,787.44</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ACPWE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￥1,614.62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￥1,614.62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ALE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￥1,781.32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￥1,781.32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-1ALE81 -1ALE91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￥2,469.30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￥4,938.60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ACGS</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￥911.62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￥3,646.48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ACJF1,ACJF3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￥2,050.44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￥4,100.88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229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ACJF2,ACJF4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￥2,050.44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￥4,100.88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ACJFE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￥1,398.08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￥1,398.08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ACPF1~ACPF4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￥2,035.34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￥8,141.36</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ACPFE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￥790.60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￥790.60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ACPW</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500*600*200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￥1,685.00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￥6,740.00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AT1~4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￥2,446.08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￥9,784.32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￥3,254.82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￥3,254.82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AP</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600*800*200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￥3,254.82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￥3,254.82</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ATE</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500*700*200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￥2,099.08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￥2,099.08</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TX</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￥541.20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￥2,164.80</w:t>
            </w:r>
          </w:p>
        </w:tc>
      </w:tr>
      <w:tr>
        <w:tblPrEx>
          <w:tblCellMar>
            <w:top w:w="0" w:type="dxa"/>
            <w:left w:w="108" w:type="dxa"/>
            <w:bottom w:w="0" w:type="dxa"/>
            <w:right w:w="108" w:type="dxa"/>
          </w:tblCellMar>
        </w:tblPrEx>
        <w:trPr>
          <w:trHeight w:val="33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239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人防地库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XD</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配电箱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400*500*200</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￥621.42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0"/>
                <w:szCs w:val="20"/>
              </w:rPr>
            </w:pPr>
            <w:r>
              <w:rPr>
                <w:rFonts w:hint="eastAsia" w:ascii="宋体" w:hAnsi="宋体" w:cs="宋体"/>
                <w:color w:val="000000"/>
                <w:sz w:val="20"/>
                <w:szCs w:val="20"/>
                <w:lang w:bidi="ar"/>
              </w:rPr>
              <w:t>￥2,485.68</w:t>
            </w:r>
          </w:p>
        </w:tc>
      </w:tr>
      <w:tr>
        <w:tblPrEx>
          <w:tblCellMar>
            <w:top w:w="0" w:type="dxa"/>
            <w:left w:w="108" w:type="dxa"/>
            <w:bottom w:w="0" w:type="dxa"/>
            <w:right w:w="108" w:type="dxa"/>
          </w:tblCellMar>
        </w:tblPrEx>
        <w:trPr>
          <w:trHeight w:val="344" w:hRule="atLeast"/>
        </w:trPr>
        <w:tc>
          <w:tcPr>
            <w:tcW w:w="6995" w:type="dxa"/>
            <w:gridSpan w:val="5"/>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宋体" w:hAnsi="宋体" w:cs="宋体"/>
                <w:color w:val="000000"/>
                <w:sz w:val="20"/>
                <w:szCs w:val="20"/>
              </w:rPr>
            </w:pPr>
            <w:r>
              <w:rPr>
                <w:rFonts w:hint="eastAsia" w:ascii="宋体" w:hAnsi="宋体" w:cs="宋体"/>
                <w:color w:val="000000"/>
                <w:sz w:val="20"/>
                <w:szCs w:val="20"/>
                <w:lang w:bidi="ar"/>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宋体" w:hAnsi="宋体" w:cs="宋体"/>
                <w:color w:val="000000"/>
                <w:sz w:val="20"/>
                <w:szCs w:val="20"/>
              </w:rPr>
            </w:pPr>
            <w:r>
              <w:rPr>
                <w:rFonts w:hint="eastAsia" w:ascii="宋体" w:hAnsi="宋体" w:cs="宋体"/>
                <w:color w:val="000000"/>
                <w:sz w:val="20"/>
                <w:szCs w:val="20"/>
                <w:lang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宋体" w:hAnsi="宋体" w:cs="宋体"/>
                <w:color w:val="000000"/>
                <w:sz w:val="20"/>
                <w:szCs w:val="20"/>
              </w:rPr>
            </w:pPr>
            <w:r>
              <w:rPr>
                <w:rFonts w:hint="eastAsia" w:ascii="宋体" w:hAnsi="宋体" w:cs="宋体"/>
                <w:color w:val="000000"/>
                <w:sz w:val="20"/>
                <w:szCs w:val="20"/>
                <w:lang w:bidi="ar"/>
              </w:rPr>
              <w:t>1202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宋体" w:hAnsi="宋体" w:cs="宋体"/>
                <w:color w:val="000000"/>
                <w:sz w:val="20"/>
                <w:szCs w:val="20"/>
              </w:rPr>
            </w:pPr>
            <w:r>
              <w:rPr>
                <w:rFonts w:hint="eastAsia" w:ascii="宋体" w:hAnsi="宋体" w:cs="宋体"/>
                <w:color w:val="000000"/>
                <w:sz w:val="20"/>
                <w:szCs w:val="20"/>
                <w:lang w:bidi="ar"/>
              </w:rPr>
              <w:t>￥1,319,996</w:t>
            </w:r>
          </w:p>
        </w:tc>
      </w:tr>
    </w:tbl>
    <w:p>
      <w:pPr>
        <w:pStyle w:val="2"/>
        <w:spacing w:line="360" w:lineRule="auto"/>
        <w:jc w:val="both"/>
        <w:rPr>
          <w:rFonts w:hAnsi="宋体" w:cs="宋体"/>
          <w:bCs/>
          <w:sz w:val="18"/>
          <w:szCs w:val="18"/>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jc w:val="both"/>
        <w:rPr>
          <w:rFonts w:hAnsi="宋体" w:cs="宋体"/>
          <w:bCs/>
          <w:szCs w:val="24"/>
        </w:rPr>
      </w:pPr>
    </w:p>
    <w:p>
      <w:pPr>
        <w:pStyle w:val="2"/>
        <w:spacing w:line="360" w:lineRule="auto"/>
      </w:pPr>
      <w:r>
        <w:rPr>
          <w:rFonts w:hint="eastAsia"/>
        </w:rPr>
        <w:t>附件三</w:t>
      </w:r>
    </w:p>
    <w:p>
      <w:pPr>
        <w:pStyle w:val="2"/>
        <w:spacing w:line="360" w:lineRule="auto"/>
        <w:jc w:val="center"/>
      </w:pPr>
      <w:r>
        <w:rPr>
          <w:rFonts w:hint="eastAsia"/>
        </w:rPr>
        <w:t>配电箱技术指标及现场验收标准</w:t>
      </w:r>
    </w:p>
    <w:p>
      <w:pPr>
        <w:spacing w:line="580" w:lineRule="exact"/>
        <w:rPr>
          <w:rFonts w:ascii="宋体" w:hAnsi="宋体" w:cs="宋体"/>
          <w:b/>
        </w:rPr>
      </w:pPr>
      <w:r>
        <w:rPr>
          <w:rFonts w:hint="eastAsia" w:ascii="宋体" w:hAnsi="宋体" w:cs="宋体"/>
          <w:b/>
        </w:rPr>
        <w:t>一、货物技术指标：</w:t>
      </w:r>
    </w:p>
    <w:p>
      <w:pPr>
        <w:spacing w:line="580" w:lineRule="exact"/>
        <w:rPr>
          <w:rFonts w:ascii="宋体" w:hAnsi="宋体" w:cs="宋体"/>
          <w:bCs/>
        </w:rPr>
      </w:pPr>
      <w:r>
        <w:rPr>
          <w:rFonts w:hint="eastAsia" w:ascii="宋体" w:hAnsi="宋体" w:cs="宋体"/>
          <w:bCs/>
        </w:rPr>
        <w:t xml:space="preserve"> 1、箱体要求：</w:t>
      </w:r>
    </w:p>
    <w:p>
      <w:pPr>
        <w:spacing w:line="360" w:lineRule="auto"/>
        <w:ind w:firstLine="480" w:firstLineChars="200"/>
        <w:rPr>
          <w:rFonts w:ascii="宋体" w:hAnsi="宋体" w:cs="宋体"/>
          <w:szCs w:val="28"/>
        </w:rPr>
      </w:pPr>
      <w:r>
        <w:rPr>
          <w:rFonts w:hint="eastAsia" w:ascii="宋体" w:hAnsi="宋体" w:cs="宋体"/>
          <w:bCs/>
        </w:rPr>
        <w:t xml:space="preserve"> （1）配电箱（柜）的外涂采用静电喷涂方式颜色根据甲方要求，</w:t>
      </w:r>
      <w:r>
        <w:rPr>
          <w:rFonts w:hint="eastAsia" w:cs="宋体" w:asciiTheme="minorEastAsia" w:hAnsiTheme="minorEastAsia" w:eastAsiaTheme="minorEastAsia"/>
          <w:bCs/>
        </w:rPr>
        <w:t>且喷涂厚度满足行业标准。</w:t>
      </w:r>
      <w:r>
        <w:rPr>
          <w:rFonts w:hint="eastAsia" w:ascii="宋体" w:hAnsi="宋体" w:cs="宋体"/>
          <w:szCs w:val="28"/>
        </w:rPr>
        <w:t>表面应平整、干净、无凹坑；箱体内使用的有镀层的零部件，应保证无剥落、半点、漏镀、生锈等不良现象。</w:t>
      </w:r>
    </w:p>
    <w:p>
      <w:pPr>
        <w:spacing w:line="360" w:lineRule="auto"/>
        <w:ind w:firstLine="480" w:firstLineChars="200"/>
        <w:rPr>
          <w:rFonts w:ascii="宋体" w:hAnsi="宋体" w:cs="宋体"/>
          <w:szCs w:val="28"/>
        </w:rPr>
      </w:pPr>
      <w:r>
        <w:rPr>
          <w:rFonts w:hint="eastAsia" w:ascii="宋体" w:hAnsi="宋体" w:cs="宋体"/>
          <w:szCs w:val="28"/>
        </w:rPr>
        <w:t xml:space="preserve"> （2）配电箱（柜）箱体选用钢板厚度：配电箱箱体材料采用国产优质冷轧钢板，厚度标准符合有关规定,箱体宽度大于500mm，小于800mm的，箱钢板厚度不低于1.2mm，箱体宽度大于等于800mm的，钢板厚度不低于1.5mm。</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s="宋体"/>
          <w:szCs w:val="28"/>
        </w:rPr>
      </w:pPr>
      <w:r>
        <w:rPr>
          <w:rFonts w:hint="eastAsia" w:ascii="宋体" w:hAnsi="宋体" w:cs="宋体"/>
          <w:szCs w:val="28"/>
        </w:rPr>
        <w:t>明装配电箱钢板厚度裸板1.2mm（允许在国标范围内有误差--正负0.07mm）；</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s="宋体"/>
          <w:szCs w:val="28"/>
          <w:lang w:eastAsia="zh-CN"/>
        </w:rPr>
      </w:pPr>
      <w:r>
        <w:rPr>
          <w:rFonts w:hint="eastAsia" w:ascii="宋体" w:hAnsi="宋体" w:cs="宋体"/>
          <w:szCs w:val="28"/>
        </w:rPr>
        <w:t>户箱钢板厚度裸板1.0mm（允许在国标范围内有误差--正负0.05mm）</w:t>
      </w:r>
      <w:r>
        <w:rPr>
          <w:rFonts w:hint="eastAsia" w:ascii="宋体" w:hAnsi="宋体" w:cs="宋体"/>
          <w:szCs w:val="28"/>
          <w:lang w:eastAsia="zh-CN"/>
        </w:rPr>
        <w:t>；</w:t>
      </w:r>
    </w:p>
    <w:p>
      <w:pPr>
        <w:pStyle w:val="2"/>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color w:val="auto"/>
          <w:lang w:eastAsia="zh-CN"/>
        </w:rPr>
      </w:pPr>
      <w:r>
        <w:rPr>
          <w:rFonts w:hint="eastAsia"/>
          <w:b w:val="0"/>
          <w:bCs/>
          <w:color w:val="auto"/>
          <w:lang w:eastAsia="zh-CN"/>
        </w:rPr>
        <w:t>明装配电箱（柜）箱体、箱门需提高钢板厚度，符合相关规范要求，保证正常使用。</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s="宋体"/>
          <w:szCs w:val="28"/>
        </w:rPr>
      </w:pPr>
      <w:r>
        <w:rPr>
          <w:rFonts w:hint="eastAsia" w:ascii="宋体" w:hAnsi="宋体" w:cs="宋体"/>
          <w:color w:val="auto"/>
          <w:szCs w:val="28"/>
        </w:rPr>
        <w:t>在非落地式配电箱背面</w:t>
      </w:r>
      <w:r>
        <w:rPr>
          <w:rFonts w:hint="eastAsia" w:ascii="宋体" w:hAnsi="宋体" w:cs="宋体"/>
          <w:bCs/>
          <w:color w:val="auto"/>
        </w:rPr>
        <w:t>设置四角设置挂耳</w:t>
      </w:r>
      <w:r>
        <w:rPr>
          <w:rFonts w:hint="eastAsia" w:ascii="宋体" w:hAnsi="宋体" w:cs="宋体"/>
          <w:color w:val="auto"/>
          <w:szCs w:val="28"/>
        </w:rPr>
        <w:t>，箱</w:t>
      </w:r>
      <w:r>
        <w:rPr>
          <w:rFonts w:hint="eastAsia" w:ascii="宋体" w:hAnsi="宋体" w:cs="宋体"/>
          <w:szCs w:val="28"/>
        </w:rPr>
        <w:t>（柜）内部元器件揭发与装配布置合理、进出线预留洞口数量、大小、形状及箱（柜）的安装方式必须符合国际、图集、设计图纸具体参数的要求（相应图纸由我方提供）。</w:t>
      </w:r>
    </w:p>
    <w:p>
      <w:pPr>
        <w:spacing w:line="360" w:lineRule="auto"/>
        <w:ind w:firstLine="480" w:firstLineChars="200"/>
        <w:rPr>
          <w:rFonts w:ascii="宋体" w:hAnsi="宋体" w:cs="宋体"/>
          <w:szCs w:val="28"/>
        </w:rPr>
      </w:pPr>
      <w:r>
        <w:rPr>
          <w:rFonts w:hint="eastAsia" w:ascii="宋体" w:hAnsi="宋体" w:cs="宋体"/>
          <w:szCs w:val="28"/>
        </w:rPr>
        <w:t xml:space="preserve"> （3）配电箱（柜）的铭牌和电路图：每台配电箱（柜）铭牌须采用金属铭牌（不含户箱），铭牌中至少有产品名称、型号、厂家名称、主要技术参数、出场编号、生产日期等五项。箱、柜必须附有主电路图、系统图、原理图、二次控制图等，电路图中各参数要求与实物相一致。</w:t>
      </w:r>
    </w:p>
    <w:p>
      <w:pPr>
        <w:pStyle w:val="4"/>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（4）配电箱长、宽，垂直度及水平度应符合标准，内边缘及开口处应平整光滑无毛刺，无裂口，应提供出线口及进线口。</w:t>
      </w:r>
    </w:p>
    <w:p>
      <w:pPr>
        <w:pStyle w:val="4"/>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（5）配电箱的盘面（门）应关闭严密，门与类似部件至少能开启90°,箱的盘面边侧应装嵌入式能开门关门的拉手，配电箱应安装门锁。</w:t>
      </w:r>
    </w:p>
    <w:p>
      <w:pPr>
        <w:pStyle w:val="4"/>
        <w:spacing w:line="360" w:lineRule="auto"/>
        <w:ind w:firstLine="480" w:firstLineChars="200"/>
      </w:pPr>
      <w:r>
        <w:rPr>
          <w:rFonts w:hint="eastAsia" w:asciiTheme="minorEastAsia" w:hAnsiTheme="minorEastAsia" w:eastAsiaTheme="minorEastAsia" w:cstheme="minorEastAsia"/>
          <w:sz w:val="24"/>
          <w:szCs w:val="24"/>
        </w:rPr>
        <w:t>（6）二层板要求镀锌并有可靠接地，安装板后部留有足够盘线空间，箱体、箱门做可靠按地。</w:t>
      </w:r>
    </w:p>
    <w:p>
      <w:pPr>
        <w:spacing w:line="360" w:lineRule="auto"/>
        <w:rPr>
          <w:rFonts w:ascii="宋体" w:hAnsi="宋体" w:cs="宋体"/>
          <w:szCs w:val="28"/>
        </w:rPr>
      </w:pPr>
      <w:r>
        <w:rPr>
          <w:rFonts w:hint="eastAsia" w:ascii="宋体" w:hAnsi="宋体" w:cs="宋体"/>
          <w:szCs w:val="28"/>
        </w:rPr>
        <w:t xml:space="preserve"> 2、电器原件要求：</w:t>
      </w:r>
    </w:p>
    <w:p>
      <w:pPr>
        <w:spacing w:line="360" w:lineRule="auto"/>
        <w:rPr>
          <w:rFonts w:ascii="宋体" w:hAnsi="宋体" w:cs="宋体"/>
          <w:bCs/>
        </w:rPr>
      </w:pPr>
      <w:r>
        <w:rPr>
          <w:rFonts w:hint="eastAsia" w:ascii="宋体" w:hAnsi="宋体" w:cs="宋体"/>
          <w:bCs/>
        </w:rPr>
        <w:t xml:space="preserve"> （1）箱（柜）内的电气元器件选用：所有元器件应严格按照我方提供的图纸进行选配，图纸上未注明的辅助性元器件应选用取得生产许可证的厂家的合格产品。所有产品的元器件均应保证能满足产品性能的要求，厂家并应提供元器件的供应商资质、规格型号、断路器分段能力、漏电断路器的证明文件。</w:t>
      </w:r>
    </w:p>
    <w:p>
      <w:pPr>
        <w:spacing w:line="580" w:lineRule="exact"/>
        <w:rPr>
          <w:rFonts w:ascii="宋体" w:hAnsi="宋体" w:cs="宋体"/>
          <w:bCs/>
        </w:rPr>
      </w:pPr>
      <w:r>
        <w:rPr>
          <w:rFonts w:hint="eastAsia" w:ascii="宋体" w:hAnsi="宋体" w:cs="宋体"/>
          <w:bCs/>
        </w:rPr>
        <w:t xml:space="preserve"> （2）</w:t>
      </w:r>
      <w:r>
        <w:rPr>
          <w:rFonts w:hint="eastAsia" w:ascii="宋体" w:hAnsi="宋体" w:cs="宋体"/>
          <w:bCs/>
          <w:color w:val="auto"/>
        </w:rPr>
        <w:t>配电箱</w:t>
      </w:r>
      <w:r>
        <w:rPr>
          <w:rFonts w:hint="eastAsia" w:ascii="宋体" w:hAnsi="宋体" w:cs="宋体"/>
          <w:bCs/>
          <w:color w:val="auto"/>
          <w:lang w:val="en-US" w:eastAsia="zh-CN"/>
        </w:rPr>
        <w:t>主要</w:t>
      </w:r>
      <w:r>
        <w:rPr>
          <w:rFonts w:hint="eastAsia" w:ascii="宋体" w:hAnsi="宋体" w:cs="宋体"/>
          <w:bCs/>
          <w:color w:val="auto"/>
        </w:rPr>
        <w:t>电器元件选用德力西</w:t>
      </w:r>
      <w:r>
        <w:rPr>
          <w:rFonts w:hint="eastAsia" w:ascii="宋体" w:hAnsi="宋体" w:cs="宋体"/>
          <w:bCs/>
        </w:rPr>
        <w:t>。</w:t>
      </w:r>
    </w:p>
    <w:p>
      <w:pPr>
        <w:spacing w:line="580" w:lineRule="exact"/>
        <w:rPr>
          <w:rFonts w:ascii="宋体" w:hAnsi="宋体" w:cs="宋体"/>
          <w:bCs/>
        </w:rPr>
      </w:pPr>
      <w:r>
        <w:rPr>
          <w:rFonts w:hint="eastAsia" w:ascii="宋体" w:hAnsi="宋体" w:cs="宋体"/>
          <w:bCs/>
        </w:rPr>
        <w:t xml:space="preserve"> （3）</w:t>
      </w:r>
      <w:r>
        <w:rPr>
          <w:rFonts w:hint="eastAsia" w:ascii="宋体" w:hAnsi="宋体" w:cs="宋体"/>
          <w:bCs/>
          <w:color w:val="auto"/>
        </w:rPr>
        <w:t>配电箱总开关到分开关要用铜</w:t>
      </w:r>
      <w:r>
        <w:rPr>
          <w:rFonts w:hint="eastAsia" w:ascii="宋体" w:hAnsi="宋体" w:cs="宋体"/>
          <w:bCs/>
          <w:color w:val="auto"/>
          <w:lang w:val="en-US" w:eastAsia="zh-CN"/>
        </w:rPr>
        <w:t>质母线连接</w:t>
      </w:r>
      <w:r>
        <w:rPr>
          <w:rFonts w:hint="eastAsia" w:ascii="宋体" w:hAnsi="宋体" w:cs="宋体"/>
          <w:bCs/>
          <w:color w:val="auto"/>
        </w:rPr>
        <w:t>并符合规范验收要求</w:t>
      </w:r>
      <w:r>
        <w:rPr>
          <w:rFonts w:hint="eastAsia" w:ascii="宋体" w:hAnsi="宋体" w:cs="宋体"/>
          <w:bCs/>
        </w:rPr>
        <w:t>；总开关的出线导线截面符合相关规范要求。</w:t>
      </w:r>
    </w:p>
    <w:p>
      <w:pPr>
        <w:spacing w:line="580" w:lineRule="exact"/>
        <w:rPr>
          <w:rFonts w:ascii="宋体" w:hAnsi="宋体" w:cs="宋体"/>
          <w:bCs/>
        </w:rPr>
      </w:pPr>
      <w:r>
        <w:rPr>
          <w:rFonts w:hint="eastAsia" w:ascii="宋体" w:hAnsi="宋体" w:cs="宋体"/>
          <w:bCs/>
        </w:rPr>
        <w:t xml:space="preserve"> （4）绝缘导线的配线要求：绝缘导线应根据图纸中该回路所带断路器额定电流选用。但电流回路不得小于2.5mm²，绝缘等级符合GB50303-</w:t>
      </w:r>
      <w:r>
        <w:rPr>
          <w:rFonts w:hint="eastAsia" w:ascii="宋体" w:hAnsi="宋体" w:cs="宋体"/>
          <w:bCs/>
          <w:lang w:val="en-US" w:eastAsia="zh-CN"/>
        </w:rPr>
        <w:t>2019</w:t>
      </w:r>
      <w:r>
        <w:rPr>
          <w:rFonts w:hint="eastAsia" w:ascii="宋体" w:hAnsi="宋体" w:cs="宋体"/>
          <w:bCs/>
        </w:rPr>
        <w:t>的要求。绝缘导线的连接应采用符合JB2436标准的冷压铜质接线端子进行连接，并要求预留外进线的固定用紧固件，导线布设是不得紧贴带电部件和尖锐边角处，同一回路导线穿过金属孔洞时所有相线和中性线应从同一孔穿过，并要求在穿孔部位加上光滑的衬套。同一端子不上应超过二根导线，应采用过渡端子进行连接，导线连接要求牢固可靠。端子上的螺丝钉应配置齐全，同时预留适量备用端子孔。导线的两端要求有清晰、牢固的打印编号，编号应与所提供的电路原理、控制图一致。</w:t>
      </w:r>
    </w:p>
    <w:p>
      <w:pPr>
        <w:spacing w:line="580" w:lineRule="exact"/>
        <w:rPr>
          <w:rFonts w:ascii="宋体" w:hAnsi="宋体" w:cs="宋体"/>
          <w:bCs/>
        </w:rPr>
      </w:pPr>
      <w:r>
        <w:rPr>
          <w:rFonts w:hint="eastAsia" w:ascii="宋体" w:hAnsi="宋体" w:cs="宋体"/>
          <w:bCs/>
        </w:rPr>
        <w:t xml:space="preserve"> （5）电气连锁的要求：本次合同中的双电源供电的配电箱，要求进行电气联动，电气联动装置北许动作灵敏可靠，部分断路器采用分励脱扣，其相应的接线应接至接线端子，并有明确标记。</w:t>
      </w:r>
    </w:p>
    <w:p>
      <w:pPr>
        <w:spacing w:line="580" w:lineRule="exact"/>
        <w:rPr>
          <w:rFonts w:ascii="宋体" w:hAnsi="宋体" w:cs="宋体"/>
          <w:bCs/>
        </w:rPr>
      </w:pPr>
      <w:r>
        <w:rPr>
          <w:rFonts w:hint="eastAsia" w:ascii="宋体" w:hAnsi="宋体" w:cs="宋体"/>
          <w:bCs/>
        </w:rPr>
        <w:t xml:space="preserve"> （6）配电箱的防护要求：配电箱均要求能在三级污染条件下运行，即配电箱柜的防护等级达到IP3X。所有箱体的钢板、型钢必须在喷涂前进行除油、除锈、磷化处理，其金属件均应有防腐蚀能力。</w:t>
      </w:r>
    </w:p>
    <w:p>
      <w:pPr>
        <w:numPr>
          <w:ilvl w:val="0"/>
          <w:numId w:val="3"/>
        </w:numPr>
        <w:spacing w:line="580" w:lineRule="exact"/>
        <w:rPr>
          <w:rFonts w:ascii="宋体" w:hAnsi="宋体" w:cs="宋体"/>
          <w:bCs/>
        </w:rPr>
      </w:pPr>
      <w:r>
        <w:rPr>
          <w:rFonts w:hint="eastAsia" w:ascii="宋体" w:hAnsi="宋体" w:cs="宋体"/>
          <w:bCs/>
        </w:rPr>
        <w:t>配电箱柜的试验要求：配电箱必须按照GB50171-2012和相关国家规范、标准进行各种电器性能的检、试验并由厂家将各检、试验报告提供给甲方、监理。设备进场后按照电气装置安装工程电气设备交接试验标准（GB50150）进行交接试验，试验合格后方可接受。</w:t>
      </w:r>
    </w:p>
    <w:p>
      <w:pPr>
        <w:numPr>
          <w:ilvl w:val="0"/>
          <w:numId w:val="3"/>
        </w:numPr>
        <w:spacing w:line="580" w:lineRule="exact"/>
        <w:rPr>
          <w:rFonts w:ascii="宋体" w:hAnsi="宋体" w:cs="宋体"/>
          <w:bCs/>
        </w:rPr>
      </w:pPr>
      <w:r>
        <w:rPr>
          <w:rFonts w:hint="eastAsia" w:ascii="宋体" w:hAnsi="宋体" w:cs="宋体"/>
          <w:bCs/>
        </w:rPr>
        <w:t>配电箱采用二层包装，内层为塑料保护罩，外层用纸箱包装。</w:t>
      </w:r>
    </w:p>
    <w:p>
      <w:pPr>
        <w:spacing w:line="580" w:lineRule="exact"/>
        <w:rPr>
          <w:rFonts w:ascii="宋体" w:hAnsi="宋体" w:cs="宋体"/>
          <w:b/>
        </w:rPr>
      </w:pPr>
      <w:r>
        <w:rPr>
          <w:rFonts w:hint="eastAsia" w:ascii="宋体" w:hAnsi="宋体" w:cs="宋体"/>
          <w:b/>
        </w:rPr>
        <w:t>二、品牌定位及质量等级</w:t>
      </w:r>
    </w:p>
    <w:p>
      <w:pPr>
        <w:spacing w:line="580" w:lineRule="exact"/>
        <w:ind w:firstLine="420"/>
        <w:rPr>
          <w:rFonts w:ascii="宋体" w:hAnsi="宋体" w:cs="宋体"/>
        </w:rPr>
      </w:pPr>
      <w:r>
        <w:rPr>
          <w:rFonts w:hint="eastAsia" w:ascii="宋体" w:hAnsi="宋体" w:cs="宋体"/>
        </w:rPr>
        <w:t>质量等级：合格品</w:t>
      </w:r>
    </w:p>
    <w:p>
      <w:pPr>
        <w:spacing w:line="580" w:lineRule="exact"/>
        <w:rPr>
          <w:rFonts w:ascii="宋体" w:hAnsi="宋体" w:cs="宋体"/>
          <w:b/>
        </w:rPr>
      </w:pPr>
      <w:r>
        <w:rPr>
          <w:rFonts w:hint="eastAsia" w:ascii="宋体" w:hAnsi="宋体" w:cs="宋体"/>
          <w:b/>
        </w:rPr>
        <w:t>三、现场验收标准</w:t>
      </w:r>
    </w:p>
    <w:p>
      <w:pPr>
        <w:spacing w:line="580" w:lineRule="exact"/>
        <w:ind w:firstLine="420"/>
        <w:rPr>
          <w:rFonts w:ascii="宋体" w:hAnsi="宋体" w:cs="宋体"/>
        </w:rPr>
      </w:pPr>
      <w:r>
        <w:rPr>
          <w:rFonts w:hint="eastAsia" w:ascii="宋体" w:hAnsi="宋体" w:cs="宋体"/>
        </w:rPr>
        <w:t>1、按样板验收。</w:t>
      </w:r>
    </w:p>
    <w:p>
      <w:pPr>
        <w:spacing w:line="580" w:lineRule="exact"/>
        <w:ind w:firstLine="420"/>
        <w:rPr>
          <w:rFonts w:ascii="宋体" w:hAnsi="宋体" w:cs="宋体"/>
        </w:rPr>
      </w:pPr>
      <w:r>
        <w:rPr>
          <w:rFonts w:hint="eastAsia" w:ascii="宋体" w:hAnsi="宋体" w:cs="宋体"/>
        </w:rPr>
        <w:t>2、外观质量要求：产品外观应平整光滑、色泽均匀、表面喷塑层牢固，不应有明显的流疤、划痕、麻坑、脱落等缺陷。</w:t>
      </w:r>
    </w:p>
    <w:p>
      <w:pPr>
        <w:spacing w:line="580" w:lineRule="exact"/>
        <w:ind w:firstLine="420"/>
        <w:rPr>
          <w:rFonts w:ascii="宋体" w:hAnsi="宋体" w:cs="宋体"/>
        </w:rPr>
      </w:pPr>
      <w:r>
        <w:rPr>
          <w:rFonts w:hint="eastAsia" w:ascii="宋体" w:hAnsi="宋体" w:cs="宋体"/>
        </w:rPr>
        <w:t>3、配电箱合格证、CCC认证齐全，出场试验、检测报告齐全。</w:t>
      </w:r>
    </w:p>
    <w:p>
      <w:pPr>
        <w:spacing w:line="580" w:lineRule="exact"/>
        <w:ind w:firstLine="420"/>
        <w:rPr>
          <w:rFonts w:ascii="宋体" w:hAnsi="宋体" w:cs="宋体"/>
        </w:rPr>
      </w:pPr>
      <w:r>
        <w:rPr>
          <w:rFonts w:hint="eastAsia" w:ascii="宋体" w:hAnsi="宋体" w:cs="宋体"/>
        </w:rPr>
        <w:t>4、配电箱、柜必须有金属制产品铭牌，铭牌用金属钉铆接在箱、柜门外左上侧或中下。</w:t>
      </w:r>
    </w:p>
    <w:p>
      <w:pPr>
        <w:spacing w:line="580" w:lineRule="exact"/>
        <w:ind w:firstLine="420"/>
        <w:rPr>
          <w:rFonts w:ascii="宋体" w:hAnsi="宋体" w:cs="宋体"/>
        </w:rPr>
      </w:pPr>
      <w:r>
        <w:rPr>
          <w:rFonts w:hint="eastAsia" w:ascii="宋体" w:hAnsi="宋体" w:cs="宋体"/>
        </w:rPr>
        <w:t>5、配电箱、柜内必须有配电系统图及原理图，图采用机打，塑封，贴箱、柜门内左上侧，并且图固定牢固、美观。</w:t>
      </w:r>
    </w:p>
    <w:p>
      <w:pPr>
        <w:spacing w:line="580" w:lineRule="exact"/>
        <w:ind w:firstLine="420"/>
        <w:rPr>
          <w:rFonts w:ascii="宋体" w:hAnsi="宋体" w:cs="宋体"/>
        </w:rPr>
      </w:pPr>
      <w:r>
        <w:rPr>
          <w:rFonts w:hint="eastAsia" w:ascii="宋体" w:hAnsi="宋体" w:cs="宋体"/>
        </w:rPr>
        <w:t>6、元器件安装牢固，内部排放整齐，内部线路压线牢固无松动，箱内无油污及粉尘污染。</w:t>
      </w:r>
    </w:p>
    <w:p>
      <w:pPr>
        <w:spacing w:line="580" w:lineRule="exact"/>
        <w:ind w:firstLine="420"/>
        <w:rPr>
          <w:rFonts w:ascii="宋体" w:hAnsi="宋体" w:cs="宋体"/>
        </w:rPr>
      </w:pPr>
      <w:r>
        <w:rPr>
          <w:rFonts w:hint="eastAsia" w:ascii="宋体" w:hAnsi="宋体" w:cs="宋体"/>
        </w:rPr>
        <w:t>7、配电箱、柜内配线规格、线色符合相色及相序要求，从总断路器下口配出各路导线必须考虑可独立拆卸、检修。</w:t>
      </w:r>
    </w:p>
    <w:p>
      <w:pPr>
        <w:spacing w:line="580" w:lineRule="exact"/>
        <w:ind w:firstLine="420"/>
        <w:rPr>
          <w:rFonts w:ascii="宋体" w:hAnsi="宋体" w:cs="宋体"/>
        </w:rPr>
      </w:pPr>
      <w:r>
        <w:rPr>
          <w:rFonts w:hint="eastAsia" w:ascii="宋体" w:hAnsi="宋体" w:cs="宋体"/>
        </w:rPr>
        <w:t>8、配电箱、柜内配电支路电源线不能串接，并且一个端子上压接导线最多不能超过两根</w:t>
      </w:r>
    </w:p>
    <w:p>
      <w:pPr>
        <w:spacing w:line="580" w:lineRule="exact"/>
        <w:ind w:firstLine="420"/>
        <w:rPr>
          <w:rFonts w:ascii="宋体" w:hAnsi="宋体" w:cs="宋体"/>
        </w:rPr>
      </w:pPr>
      <w:r>
        <w:rPr>
          <w:rFonts w:hint="eastAsia" w:ascii="宋体" w:hAnsi="宋体" w:cs="宋体"/>
        </w:rPr>
        <w:t>9、未尽事宜依据国家有关设计、施工验收规范及相关标准执行。</w:t>
      </w:r>
    </w:p>
    <w:p>
      <w:pPr>
        <w:spacing w:line="413" w:lineRule="atLeast"/>
        <w:rPr>
          <w:rFonts w:ascii="宋体" w:hAnsi="宋体" w:cs="宋体"/>
          <w:b/>
          <w:bCs/>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附件四</w:t>
      </w:r>
    </w:p>
    <w:p>
      <w:pPr>
        <w:pStyle w:val="2"/>
        <w:jc w:val="center"/>
      </w:pPr>
      <w:r>
        <w:rPr>
          <w:rFonts w:hint="eastAsia"/>
        </w:rPr>
        <w:t>《验收单》</w:t>
      </w:r>
    </w:p>
    <w:p>
      <w:pPr>
        <w:spacing w:line="413" w:lineRule="atLeast"/>
        <w:rPr>
          <w:rFonts w:ascii="宋体" w:hAnsi="宋体" w:cs="宋体"/>
          <w:b/>
        </w:rPr>
      </w:pPr>
      <w:r>
        <w:rPr>
          <w:rFonts w:hint="eastAsia" w:ascii="宋体" w:hAnsi="宋体" w:cs="宋体"/>
        </w:rPr>
        <w:t>项目名称：</w:t>
      </w:r>
    </w:p>
    <w:p>
      <w:pPr>
        <w:spacing w:line="413" w:lineRule="atLeast"/>
        <w:rPr>
          <w:rFonts w:ascii="宋体" w:hAnsi="宋体" w:cs="宋体"/>
        </w:rPr>
      </w:pPr>
      <w:r>
        <w:rPr>
          <w:rFonts w:hint="eastAsia" w:ascii="宋体" w:hAnsi="宋体" w:cs="宋体"/>
        </w:rPr>
        <w:t>合同名称：</w:t>
      </w:r>
    </w:p>
    <w:p>
      <w:pPr>
        <w:spacing w:line="413" w:lineRule="atLeast"/>
        <w:rPr>
          <w:rFonts w:ascii="宋体" w:hAnsi="宋体" w:cs="宋体"/>
        </w:rPr>
      </w:pPr>
      <w:r>
        <w:rPr>
          <w:rFonts w:hint="eastAsia" w:ascii="宋体" w:hAnsi="宋体" w:cs="宋体"/>
        </w:rPr>
        <w:t>合同编号：</w:t>
      </w:r>
    </w:p>
    <w:p>
      <w:pPr>
        <w:spacing w:line="413" w:lineRule="atLeast"/>
        <w:rPr>
          <w:rFonts w:ascii="宋体" w:hAnsi="宋体" w:cs="宋体"/>
        </w:rPr>
      </w:pPr>
      <w:r>
        <w:rPr>
          <w:rFonts w:hint="eastAsia" w:ascii="宋体" w:hAnsi="宋体" w:cs="宋体"/>
        </w:rPr>
        <w:t>供应商名称：</w:t>
      </w:r>
    </w:p>
    <w:tbl>
      <w:tblPr>
        <w:tblStyle w:val="29"/>
        <w:tblW w:w="9600"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5"/>
        <w:gridCol w:w="126"/>
        <w:gridCol w:w="1629"/>
        <w:gridCol w:w="109"/>
        <w:gridCol w:w="1041"/>
        <w:gridCol w:w="435"/>
        <w:gridCol w:w="849"/>
        <w:gridCol w:w="753"/>
        <w:gridCol w:w="178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600" w:type="dxa"/>
            <w:gridSpan w:val="10"/>
          </w:tcPr>
          <w:p>
            <w:pPr>
              <w:spacing w:line="413" w:lineRule="atLeast"/>
              <w:rPr>
                <w:rFonts w:ascii="宋体" w:hAnsi="宋体" w:cs="宋体"/>
              </w:rPr>
            </w:pPr>
            <w:r>
              <w:rPr>
                <w:rFonts w:hint="eastAsia" w:ascii="宋体" w:hAnsi="宋体" w:cs="宋体"/>
              </w:rPr>
              <w:t>施工单位与监理公司对进场材料的质量、数量验收结果如下：</w:t>
            </w:r>
          </w:p>
          <w:p>
            <w:pPr>
              <w:pStyle w:val="2"/>
              <w:ind w:firstLine="480"/>
              <w:rPr>
                <w:rFonts w:hAnsi="宋体" w:cs="宋体"/>
                <w:szCs w:val="24"/>
              </w:rPr>
            </w:pPr>
          </w:p>
          <w:p>
            <w:pPr>
              <w:pStyle w:val="2"/>
              <w:ind w:firstLine="480"/>
              <w:rPr>
                <w:rFonts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7" w:type="dxa"/>
          </w:tcPr>
          <w:p>
            <w:pPr>
              <w:jc w:val="center"/>
              <w:rPr>
                <w:rFonts w:ascii="宋体" w:hAnsi="宋体" w:cs="宋体"/>
              </w:rPr>
            </w:pPr>
            <w:r>
              <w:rPr>
                <w:rFonts w:hint="eastAsia" w:ascii="宋体" w:hAnsi="宋体" w:cs="宋体"/>
              </w:rPr>
              <w:t>楼号</w:t>
            </w:r>
          </w:p>
        </w:tc>
        <w:tc>
          <w:tcPr>
            <w:tcW w:w="2425" w:type="dxa"/>
          </w:tcPr>
          <w:p>
            <w:pPr>
              <w:spacing w:line="500" w:lineRule="exact"/>
              <w:jc w:val="center"/>
              <w:rPr>
                <w:rFonts w:ascii="宋体" w:hAnsi="宋体" w:cs="宋体"/>
              </w:rPr>
            </w:pPr>
            <w:r>
              <w:rPr>
                <w:rFonts w:hint="eastAsia" w:ascii="宋体" w:hAnsi="宋体" w:cs="宋体"/>
              </w:rPr>
              <w:t>材 料 名 称</w:t>
            </w:r>
          </w:p>
        </w:tc>
        <w:tc>
          <w:tcPr>
            <w:tcW w:w="1755" w:type="dxa"/>
            <w:gridSpan w:val="2"/>
          </w:tcPr>
          <w:p>
            <w:pPr>
              <w:spacing w:line="500" w:lineRule="exact"/>
              <w:jc w:val="center"/>
              <w:rPr>
                <w:rFonts w:ascii="宋体" w:hAnsi="宋体" w:cs="宋体"/>
              </w:rPr>
            </w:pPr>
            <w:r>
              <w:rPr>
                <w:rFonts w:hint="eastAsia" w:ascii="宋体" w:hAnsi="宋体" w:cs="宋体"/>
              </w:rPr>
              <w:t>规格/型号</w:t>
            </w:r>
          </w:p>
        </w:tc>
        <w:tc>
          <w:tcPr>
            <w:tcW w:w="1585" w:type="dxa"/>
            <w:gridSpan w:val="3"/>
          </w:tcPr>
          <w:p>
            <w:pPr>
              <w:spacing w:line="500" w:lineRule="exact"/>
              <w:jc w:val="center"/>
              <w:rPr>
                <w:rFonts w:ascii="宋体" w:hAnsi="宋体" w:cs="宋体"/>
              </w:rPr>
            </w:pPr>
            <w:r>
              <w:rPr>
                <w:rFonts w:hint="eastAsia" w:ascii="宋体" w:hAnsi="宋体" w:cs="宋体"/>
              </w:rPr>
              <w:t>质量评价</w:t>
            </w:r>
          </w:p>
        </w:tc>
        <w:tc>
          <w:tcPr>
            <w:tcW w:w="1602" w:type="dxa"/>
            <w:gridSpan w:val="2"/>
            <w:vAlign w:val="center"/>
          </w:tcPr>
          <w:p>
            <w:pPr>
              <w:jc w:val="center"/>
              <w:rPr>
                <w:rFonts w:ascii="宋体" w:hAnsi="宋体" w:cs="宋体"/>
              </w:rPr>
            </w:pPr>
            <w:r>
              <w:rPr>
                <w:rFonts w:hint="eastAsia" w:ascii="宋体" w:hAnsi="宋体" w:cs="宋体"/>
              </w:rPr>
              <w:t>数量（单位）</w:t>
            </w:r>
          </w:p>
        </w:tc>
        <w:tc>
          <w:tcPr>
            <w:tcW w:w="1786" w:type="dxa"/>
          </w:tcPr>
          <w:p>
            <w:pPr>
              <w:spacing w:line="500" w:lineRule="exact"/>
              <w:jc w:val="center"/>
              <w:rPr>
                <w:rFonts w:ascii="宋体" w:hAnsi="宋体" w:cs="宋体"/>
              </w:rPr>
            </w:pPr>
            <w:r>
              <w:rPr>
                <w:rFonts w:hint="eastAsia" w:ascii="宋体" w:hAnsi="宋体" w:cs="宋体"/>
              </w:rPr>
              <w:t>备       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rPr>
            </w:pPr>
          </w:p>
        </w:tc>
        <w:tc>
          <w:tcPr>
            <w:tcW w:w="2425" w:type="dxa"/>
          </w:tcPr>
          <w:p>
            <w:pPr>
              <w:spacing w:line="413" w:lineRule="atLeast"/>
              <w:rPr>
                <w:rFonts w:ascii="宋体" w:hAnsi="宋体" w:cs="宋体"/>
              </w:rPr>
            </w:pPr>
          </w:p>
        </w:tc>
        <w:tc>
          <w:tcPr>
            <w:tcW w:w="1755" w:type="dxa"/>
            <w:gridSpan w:val="2"/>
          </w:tcPr>
          <w:p>
            <w:pPr>
              <w:spacing w:line="413" w:lineRule="atLeast"/>
              <w:rPr>
                <w:rFonts w:ascii="宋体" w:hAnsi="宋体" w:cs="宋体"/>
              </w:rPr>
            </w:pPr>
          </w:p>
        </w:tc>
        <w:tc>
          <w:tcPr>
            <w:tcW w:w="1585" w:type="dxa"/>
            <w:gridSpan w:val="3"/>
          </w:tcPr>
          <w:p>
            <w:pPr>
              <w:spacing w:line="413" w:lineRule="atLeast"/>
              <w:rPr>
                <w:rFonts w:ascii="宋体" w:hAnsi="宋体" w:cs="宋体"/>
              </w:rPr>
            </w:pPr>
          </w:p>
        </w:tc>
        <w:tc>
          <w:tcPr>
            <w:tcW w:w="1602" w:type="dxa"/>
            <w:gridSpan w:val="2"/>
          </w:tcPr>
          <w:p>
            <w:pPr>
              <w:spacing w:line="413" w:lineRule="atLeast"/>
              <w:rPr>
                <w:rFonts w:ascii="宋体" w:hAnsi="宋体" w:cs="宋体"/>
              </w:rPr>
            </w:pPr>
          </w:p>
        </w:tc>
        <w:tc>
          <w:tcPr>
            <w:tcW w:w="1786" w:type="dxa"/>
          </w:tcPr>
          <w:p>
            <w:pPr>
              <w:spacing w:line="413" w:lineRule="atLeast"/>
              <w:rPr>
                <w:rFonts w:ascii="宋体" w:hAnsi="宋体" w:cs="宋体"/>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rPr>
            </w:pPr>
          </w:p>
        </w:tc>
        <w:tc>
          <w:tcPr>
            <w:tcW w:w="2425" w:type="dxa"/>
          </w:tcPr>
          <w:p>
            <w:pPr>
              <w:spacing w:line="413" w:lineRule="atLeast"/>
              <w:rPr>
                <w:rFonts w:ascii="宋体" w:hAnsi="宋体" w:cs="宋体"/>
              </w:rPr>
            </w:pPr>
          </w:p>
        </w:tc>
        <w:tc>
          <w:tcPr>
            <w:tcW w:w="1755" w:type="dxa"/>
            <w:gridSpan w:val="2"/>
          </w:tcPr>
          <w:p>
            <w:pPr>
              <w:spacing w:line="413" w:lineRule="atLeast"/>
              <w:rPr>
                <w:rFonts w:ascii="宋体" w:hAnsi="宋体" w:cs="宋体"/>
              </w:rPr>
            </w:pPr>
          </w:p>
        </w:tc>
        <w:tc>
          <w:tcPr>
            <w:tcW w:w="1585" w:type="dxa"/>
            <w:gridSpan w:val="3"/>
          </w:tcPr>
          <w:p>
            <w:pPr>
              <w:spacing w:line="413" w:lineRule="atLeast"/>
              <w:rPr>
                <w:rFonts w:ascii="宋体" w:hAnsi="宋体" w:cs="宋体"/>
              </w:rPr>
            </w:pPr>
          </w:p>
        </w:tc>
        <w:tc>
          <w:tcPr>
            <w:tcW w:w="1602" w:type="dxa"/>
            <w:gridSpan w:val="2"/>
          </w:tcPr>
          <w:p>
            <w:pPr>
              <w:spacing w:line="413" w:lineRule="atLeast"/>
              <w:rPr>
                <w:rFonts w:ascii="宋体" w:hAnsi="宋体" w:cs="宋体"/>
              </w:rPr>
            </w:pPr>
          </w:p>
        </w:tc>
        <w:tc>
          <w:tcPr>
            <w:tcW w:w="1786" w:type="dxa"/>
          </w:tcPr>
          <w:p>
            <w:pPr>
              <w:spacing w:line="413" w:lineRule="atLeast"/>
              <w:rPr>
                <w:rFonts w:ascii="宋体" w:hAnsi="宋体" w:cs="宋体"/>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rPr>
            </w:pPr>
          </w:p>
        </w:tc>
        <w:tc>
          <w:tcPr>
            <w:tcW w:w="2425" w:type="dxa"/>
          </w:tcPr>
          <w:p>
            <w:pPr>
              <w:spacing w:line="413" w:lineRule="atLeast"/>
              <w:rPr>
                <w:rFonts w:ascii="宋体" w:hAnsi="宋体" w:cs="宋体"/>
              </w:rPr>
            </w:pPr>
          </w:p>
        </w:tc>
        <w:tc>
          <w:tcPr>
            <w:tcW w:w="1755" w:type="dxa"/>
            <w:gridSpan w:val="2"/>
          </w:tcPr>
          <w:p>
            <w:pPr>
              <w:spacing w:line="413" w:lineRule="atLeast"/>
              <w:rPr>
                <w:rFonts w:ascii="宋体" w:hAnsi="宋体" w:cs="宋体"/>
              </w:rPr>
            </w:pPr>
          </w:p>
        </w:tc>
        <w:tc>
          <w:tcPr>
            <w:tcW w:w="1585" w:type="dxa"/>
            <w:gridSpan w:val="3"/>
          </w:tcPr>
          <w:p>
            <w:pPr>
              <w:spacing w:line="413" w:lineRule="atLeast"/>
              <w:rPr>
                <w:rFonts w:ascii="宋体" w:hAnsi="宋体" w:cs="宋体"/>
              </w:rPr>
            </w:pPr>
          </w:p>
        </w:tc>
        <w:tc>
          <w:tcPr>
            <w:tcW w:w="1602" w:type="dxa"/>
            <w:gridSpan w:val="2"/>
          </w:tcPr>
          <w:p>
            <w:pPr>
              <w:spacing w:line="413" w:lineRule="atLeast"/>
              <w:rPr>
                <w:rFonts w:ascii="宋体" w:hAnsi="宋体" w:cs="宋体"/>
              </w:rPr>
            </w:pPr>
          </w:p>
        </w:tc>
        <w:tc>
          <w:tcPr>
            <w:tcW w:w="1786" w:type="dxa"/>
          </w:tcPr>
          <w:p>
            <w:pPr>
              <w:spacing w:line="413" w:lineRule="atLeast"/>
              <w:rPr>
                <w:rFonts w:ascii="宋体" w:hAnsi="宋体" w:cs="宋体"/>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rPr>
            </w:pPr>
          </w:p>
        </w:tc>
        <w:tc>
          <w:tcPr>
            <w:tcW w:w="2425" w:type="dxa"/>
          </w:tcPr>
          <w:p>
            <w:pPr>
              <w:spacing w:line="413" w:lineRule="atLeast"/>
              <w:rPr>
                <w:rFonts w:ascii="宋体" w:hAnsi="宋体" w:cs="宋体"/>
              </w:rPr>
            </w:pPr>
          </w:p>
        </w:tc>
        <w:tc>
          <w:tcPr>
            <w:tcW w:w="1755" w:type="dxa"/>
            <w:gridSpan w:val="2"/>
          </w:tcPr>
          <w:p>
            <w:pPr>
              <w:spacing w:line="413" w:lineRule="atLeast"/>
              <w:rPr>
                <w:rFonts w:ascii="宋体" w:hAnsi="宋体" w:cs="宋体"/>
              </w:rPr>
            </w:pPr>
          </w:p>
        </w:tc>
        <w:tc>
          <w:tcPr>
            <w:tcW w:w="1585" w:type="dxa"/>
            <w:gridSpan w:val="3"/>
          </w:tcPr>
          <w:p>
            <w:pPr>
              <w:spacing w:line="413" w:lineRule="atLeast"/>
              <w:rPr>
                <w:rFonts w:ascii="宋体" w:hAnsi="宋体" w:cs="宋体"/>
              </w:rPr>
            </w:pPr>
          </w:p>
        </w:tc>
        <w:tc>
          <w:tcPr>
            <w:tcW w:w="1602" w:type="dxa"/>
            <w:gridSpan w:val="2"/>
          </w:tcPr>
          <w:p>
            <w:pPr>
              <w:spacing w:line="413" w:lineRule="atLeast"/>
              <w:rPr>
                <w:rFonts w:ascii="宋体" w:hAnsi="宋体" w:cs="宋体"/>
              </w:rPr>
            </w:pPr>
          </w:p>
        </w:tc>
        <w:tc>
          <w:tcPr>
            <w:tcW w:w="1786" w:type="dxa"/>
          </w:tcPr>
          <w:p>
            <w:pPr>
              <w:spacing w:line="413" w:lineRule="atLeast"/>
              <w:rPr>
                <w:rFonts w:ascii="宋体" w:hAnsi="宋体" w:cs="宋体"/>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600" w:type="dxa"/>
            <w:gridSpan w:val="10"/>
          </w:tcPr>
          <w:p>
            <w:pPr>
              <w:spacing w:line="413" w:lineRule="atLeast"/>
              <w:rPr>
                <w:rFonts w:ascii="宋体" w:hAnsi="宋体" w:cs="宋体"/>
              </w:rPr>
            </w:pPr>
            <w:r>
              <w:rPr>
                <w:rFonts w:hint="eastAsia" w:ascii="宋体" w:hAnsi="宋体" w:cs="宋体"/>
              </w:rPr>
              <w:t>注：1、出厂合格证齐全；2、表观合格（与样品一致）；3、材料厚度合格；4、元器件品牌与合同约定一致。</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0" w:type="dxa"/>
            <w:gridSpan w:val="10"/>
          </w:tcPr>
          <w:p>
            <w:pPr>
              <w:spacing w:line="413" w:lineRule="atLeast"/>
              <w:rPr>
                <w:rFonts w:ascii="宋体" w:hAnsi="宋体" w:cs="宋体"/>
              </w:rPr>
            </w:pPr>
            <w:r>
              <w:rPr>
                <w:rFonts w:hint="eastAsia" w:ascii="宋体" w:hAnsi="宋体" w:cs="宋体"/>
              </w:rPr>
              <w:t>有关各方责任工程师对进场材料的质量验收结果如下：</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98" w:type="dxa"/>
            <w:gridSpan w:val="3"/>
          </w:tcPr>
          <w:p>
            <w:pPr>
              <w:spacing w:line="400" w:lineRule="exact"/>
              <w:rPr>
                <w:rFonts w:ascii="宋体" w:hAnsi="宋体" w:cs="宋体"/>
              </w:rPr>
            </w:pPr>
            <w:r>
              <w:rPr>
                <w:rFonts w:hint="eastAsia" w:ascii="宋体" w:hAnsi="宋体" w:cs="宋体"/>
              </w:rPr>
              <w:t>有关各方责任工程师</w:t>
            </w:r>
          </w:p>
        </w:tc>
        <w:tc>
          <w:tcPr>
            <w:tcW w:w="2779" w:type="dxa"/>
            <w:gridSpan w:val="3"/>
          </w:tcPr>
          <w:p>
            <w:pPr>
              <w:spacing w:line="400" w:lineRule="exact"/>
              <w:jc w:val="center"/>
              <w:rPr>
                <w:rFonts w:ascii="宋体" w:hAnsi="宋体" w:cs="宋体"/>
              </w:rPr>
            </w:pPr>
            <w:r>
              <w:rPr>
                <w:rFonts w:hint="eastAsia" w:ascii="宋体" w:hAnsi="宋体" w:cs="宋体"/>
              </w:rPr>
              <w:t>质 量 验 收 结 果</w:t>
            </w:r>
          </w:p>
        </w:tc>
        <w:tc>
          <w:tcPr>
            <w:tcW w:w="1284" w:type="dxa"/>
            <w:gridSpan w:val="2"/>
          </w:tcPr>
          <w:p>
            <w:pPr>
              <w:spacing w:line="400" w:lineRule="exact"/>
              <w:jc w:val="center"/>
              <w:rPr>
                <w:rFonts w:ascii="宋体" w:hAnsi="宋体" w:cs="宋体"/>
              </w:rPr>
            </w:pPr>
            <w:r>
              <w:rPr>
                <w:rFonts w:hint="eastAsia" w:ascii="宋体" w:hAnsi="宋体" w:cs="宋体"/>
              </w:rPr>
              <w:t>签   名</w:t>
            </w:r>
          </w:p>
        </w:tc>
        <w:tc>
          <w:tcPr>
            <w:tcW w:w="2539" w:type="dxa"/>
            <w:gridSpan w:val="2"/>
          </w:tcPr>
          <w:p>
            <w:pPr>
              <w:spacing w:line="400" w:lineRule="exact"/>
              <w:ind w:firstLine="480" w:firstLineChars="200"/>
              <w:rPr>
                <w:rFonts w:ascii="宋体" w:hAnsi="宋体" w:cs="宋体"/>
              </w:rPr>
            </w:pPr>
            <w:r>
              <w:rPr>
                <w:rFonts w:hint="eastAsia" w:ascii="宋体" w:hAnsi="宋体" w:cs="宋体"/>
              </w:rPr>
              <w:t>日     期</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b/>
              </w:rPr>
            </w:pPr>
            <w:r>
              <w:rPr>
                <w:rFonts w:hint="eastAsia" w:ascii="宋体" w:hAnsi="宋体" w:cs="宋体"/>
              </w:rPr>
              <w:t>施工单位责任人</w:t>
            </w:r>
          </w:p>
        </w:tc>
        <w:tc>
          <w:tcPr>
            <w:tcW w:w="2779" w:type="dxa"/>
            <w:gridSpan w:val="3"/>
          </w:tcPr>
          <w:p>
            <w:pPr>
              <w:spacing w:line="160" w:lineRule="atLeast"/>
              <w:rPr>
                <w:rFonts w:ascii="宋体" w:hAnsi="宋体" w:cs="宋体"/>
                <w:b/>
              </w:rPr>
            </w:pPr>
          </w:p>
        </w:tc>
        <w:tc>
          <w:tcPr>
            <w:tcW w:w="1284" w:type="dxa"/>
            <w:gridSpan w:val="2"/>
          </w:tcPr>
          <w:p>
            <w:pPr>
              <w:spacing w:line="160" w:lineRule="atLeast"/>
              <w:rPr>
                <w:rFonts w:ascii="宋体" w:hAnsi="宋体" w:cs="宋体"/>
                <w:b/>
              </w:rPr>
            </w:pPr>
          </w:p>
        </w:tc>
        <w:tc>
          <w:tcPr>
            <w:tcW w:w="2539" w:type="dxa"/>
            <w:gridSpan w:val="2"/>
          </w:tcPr>
          <w:p>
            <w:pPr>
              <w:spacing w:line="160" w:lineRule="atLeast"/>
              <w:ind w:firstLine="720" w:firstLineChars="300"/>
              <w:rPr>
                <w:rFonts w:ascii="宋体" w:hAnsi="宋体" w:cs="宋体"/>
              </w:rPr>
            </w:pPr>
            <w:r>
              <w:rPr>
                <w:rFonts w:hint="eastAsia" w:ascii="宋体" w:hAnsi="宋体" w:cs="宋体"/>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rPr>
            </w:pPr>
            <w:r>
              <w:rPr>
                <w:rFonts w:hint="eastAsia" w:ascii="宋体" w:hAnsi="宋体" w:cs="宋体"/>
              </w:rPr>
              <w:t>监理工程师</w:t>
            </w:r>
          </w:p>
        </w:tc>
        <w:tc>
          <w:tcPr>
            <w:tcW w:w="2779" w:type="dxa"/>
            <w:gridSpan w:val="3"/>
          </w:tcPr>
          <w:p>
            <w:pPr>
              <w:spacing w:line="160" w:lineRule="atLeast"/>
              <w:rPr>
                <w:rFonts w:ascii="宋体" w:hAnsi="宋体" w:cs="宋体"/>
                <w:b/>
              </w:rPr>
            </w:pPr>
          </w:p>
        </w:tc>
        <w:tc>
          <w:tcPr>
            <w:tcW w:w="1284" w:type="dxa"/>
            <w:gridSpan w:val="2"/>
          </w:tcPr>
          <w:p>
            <w:pPr>
              <w:spacing w:line="160" w:lineRule="atLeast"/>
              <w:rPr>
                <w:rFonts w:ascii="宋体" w:hAnsi="宋体" w:cs="宋体"/>
                <w:b/>
              </w:rPr>
            </w:pPr>
          </w:p>
        </w:tc>
        <w:tc>
          <w:tcPr>
            <w:tcW w:w="2539" w:type="dxa"/>
            <w:gridSpan w:val="2"/>
          </w:tcPr>
          <w:p>
            <w:pPr>
              <w:spacing w:line="160" w:lineRule="atLeast"/>
              <w:ind w:firstLine="720" w:firstLineChars="300"/>
              <w:rPr>
                <w:rFonts w:ascii="宋体" w:hAnsi="宋体" w:cs="宋体"/>
              </w:rPr>
            </w:pPr>
            <w:r>
              <w:rPr>
                <w:rFonts w:hint="eastAsia" w:ascii="宋体" w:hAnsi="宋体" w:cs="宋体"/>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rPr>
            </w:pPr>
            <w:r>
              <w:rPr>
                <w:rFonts w:hint="eastAsia" w:ascii="宋体" w:hAnsi="宋体" w:cs="宋体"/>
              </w:rPr>
              <w:t>甲方现场工程师</w:t>
            </w:r>
          </w:p>
        </w:tc>
        <w:tc>
          <w:tcPr>
            <w:tcW w:w="2779" w:type="dxa"/>
            <w:gridSpan w:val="3"/>
          </w:tcPr>
          <w:p>
            <w:pPr>
              <w:spacing w:line="160" w:lineRule="atLeast"/>
              <w:rPr>
                <w:rFonts w:ascii="宋体" w:hAnsi="宋体" w:cs="宋体"/>
                <w:b/>
              </w:rPr>
            </w:pPr>
          </w:p>
        </w:tc>
        <w:tc>
          <w:tcPr>
            <w:tcW w:w="1284" w:type="dxa"/>
            <w:gridSpan w:val="2"/>
          </w:tcPr>
          <w:p>
            <w:pPr>
              <w:spacing w:line="160" w:lineRule="atLeast"/>
              <w:rPr>
                <w:rFonts w:ascii="宋体" w:hAnsi="宋体" w:cs="宋体"/>
                <w:b/>
              </w:rPr>
            </w:pPr>
          </w:p>
        </w:tc>
        <w:tc>
          <w:tcPr>
            <w:tcW w:w="2539" w:type="dxa"/>
            <w:gridSpan w:val="2"/>
          </w:tcPr>
          <w:p>
            <w:pPr>
              <w:spacing w:line="160" w:lineRule="atLeast"/>
              <w:ind w:firstLine="720" w:firstLineChars="300"/>
              <w:rPr>
                <w:rFonts w:ascii="宋体" w:hAnsi="宋体" w:cs="宋体"/>
              </w:rPr>
            </w:pPr>
            <w:r>
              <w:rPr>
                <w:rFonts w:hint="eastAsia" w:ascii="宋体" w:hAnsi="宋体" w:cs="宋体"/>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rPr>
            </w:pPr>
            <w:r>
              <w:rPr>
                <w:rFonts w:hint="eastAsia" w:ascii="宋体" w:hAnsi="宋体" w:cs="宋体"/>
              </w:rPr>
              <w:t>甲方招采工程师（仅首批）</w:t>
            </w:r>
          </w:p>
        </w:tc>
        <w:tc>
          <w:tcPr>
            <w:tcW w:w="2779" w:type="dxa"/>
            <w:gridSpan w:val="3"/>
          </w:tcPr>
          <w:p>
            <w:pPr>
              <w:spacing w:line="160" w:lineRule="atLeast"/>
              <w:rPr>
                <w:rFonts w:ascii="宋体" w:hAnsi="宋体" w:cs="宋体"/>
                <w:b/>
              </w:rPr>
            </w:pPr>
          </w:p>
        </w:tc>
        <w:tc>
          <w:tcPr>
            <w:tcW w:w="1284" w:type="dxa"/>
            <w:gridSpan w:val="2"/>
          </w:tcPr>
          <w:p>
            <w:pPr>
              <w:spacing w:line="160" w:lineRule="atLeast"/>
              <w:rPr>
                <w:rFonts w:ascii="宋体" w:hAnsi="宋体" w:cs="宋体"/>
                <w:b/>
              </w:rPr>
            </w:pPr>
          </w:p>
        </w:tc>
        <w:tc>
          <w:tcPr>
            <w:tcW w:w="2539" w:type="dxa"/>
            <w:gridSpan w:val="2"/>
          </w:tcPr>
          <w:p>
            <w:pPr>
              <w:spacing w:line="160" w:lineRule="atLeast"/>
              <w:ind w:firstLine="720" w:firstLineChars="300"/>
              <w:rPr>
                <w:rFonts w:ascii="宋体" w:hAnsi="宋体" w:cs="宋体"/>
              </w:rPr>
            </w:pPr>
            <w:r>
              <w:rPr>
                <w:rFonts w:hint="eastAsia" w:ascii="宋体" w:hAnsi="宋体" w:cs="宋体"/>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736" w:type="dxa"/>
            <w:gridSpan w:val="5"/>
          </w:tcPr>
          <w:p>
            <w:pPr>
              <w:spacing w:line="413" w:lineRule="atLeast"/>
              <w:rPr>
                <w:rFonts w:ascii="宋体" w:hAnsi="宋体" w:cs="宋体"/>
              </w:rPr>
            </w:pPr>
            <w:r>
              <w:rPr>
                <w:rFonts w:hint="eastAsia" w:ascii="宋体" w:hAnsi="宋体" w:cs="宋体"/>
              </w:rPr>
              <w:t>施工单位项目专用章：</w:t>
            </w:r>
          </w:p>
        </w:tc>
        <w:tc>
          <w:tcPr>
            <w:tcW w:w="4864" w:type="dxa"/>
            <w:gridSpan w:val="5"/>
          </w:tcPr>
          <w:p>
            <w:pPr>
              <w:spacing w:line="413" w:lineRule="atLeast"/>
              <w:rPr>
                <w:rFonts w:ascii="宋体" w:hAnsi="宋体" w:cs="宋体"/>
              </w:rPr>
            </w:pPr>
            <w:r>
              <w:rPr>
                <w:rFonts w:hint="eastAsia" w:ascii="宋体" w:hAnsi="宋体" w:cs="宋体"/>
              </w:rPr>
              <w:t>监理公司项目专用章∶</w:t>
            </w:r>
          </w:p>
          <w:p>
            <w:pPr>
              <w:spacing w:line="413" w:lineRule="atLeast"/>
              <w:rPr>
                <w:rFonts w:ascii="宋体" w:hAnsi="宋体" w:cs="宋体"/>
              </w:rPr>
            </w:pPr>
          </w:p>
          <w:p>
            <w:pPr>
              <w:spacing w:line="413" w:lineRule="atLeast"/>
              <w:rPr>
                <w:rFonts w:ascii="宋体" w:hAnsi="宋体" w:cs="宋体"/>
              </w:rPr>
            </w:pPr>
          </w:p>
          <w:p>
            <w:pPr>
              <w:spacing w:line="413" w:lineRule="atLeast"/>
              <w:rPr>
                <w:rFonts w:ascii="宋体" w:hAnsi="宋体" w:cs="宋体"/>
              </w:rPr>
            </w:pPr>
          </w:p>
          <w:p>
            <w:pPr>
              <w:spacing w:line="413" w:lineRule="atLeast"/>
              <w:rPr>
                <w:rFonts w:ascii="宋体" w:hAnsi="宋体" w:cs="宋体"/>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00" w:type="dxa"/>
            <w:gridSpan w:val="10"/>
          </w:tcPr>
          <w:p>
            <w:pPr>
              <w:spacing w:line="440" w:lineRule="exact"/>
              <w:rPr>
                <w:rFonts w:ascii="宋体" w:hAnsi="宋体" w:cs="宋体"/>
              </w:rPr>
            </w:pPr>
            <w:r>
              <w:rPr>
                <w:rFonts w:hint="eastAsia" w:ascii="宋体" w:hAnsi="宋体" w:cs="宋体"/>
              </w:rPr>
              <w:t>注: 1、质量验收结果必须以“质量合格”或“质量不合格”字样填写，不得含糊其辞。</w:t>
            </w:r>
          </w:p>
          <w:p>
            <w:pPr>
              <w:rPr>
                <w:rFonts w:ascii="宋体" w:hAnsi="宋体" w:cs="宋体"/>
              </w:rPr>
            </w:pPr>
            <w:r>
              <w:rPr>
                <w:rFonts w:hint="eastAsia" w:ascii="宋体" w:hAnsi="宋体" w:cs="宋体"/>
              </w:rPr>
              <w:t xml:space="preserve">    2、招采第一批次验收参加，以后不再参与。</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600" w:type="dxa"/>
            <w:gridSpan w:val="10"/>
          </w:tcPr>
          <w:p>
            <w:pPr>
              <w:spacing w:line="440" w:lineRule="exact"/>
              <w:rPr>
                <w:rFonts w:ascii="宋体" w:hAnsi="宋体" w:cs="宋体"/>
              </w:rPr>
            </w:pPr>
            <w:r>
              <w:rPr>
                <w:rFonts w:hint="eastAsia" w:ascii="宋体" w:hAnsi="宋体" w:cs="宋体"/>
              </w:rPr>
              <w:t>注: 质量验收结果必须以“质量合格”或“质量不合格”字样填写，不得含糊其辞。</w:t>
            </w:r>
          </w:p>
          <w:p>
            <w:pPr>
              <w:rPr>
                <w:rFonts w:ascii="宋体" w:hAnsi="宋体" w:cs="宋体"/>
              </w:rPr>
            </w:pPr>
            <w:r>
              <w:rPr>
                <w:rFonts w:hint="eastAsia" w:ascii="宋体" w:hAnsi="宋体" w:cs="宋体"/>
              </w:rPr>
              <w:t xml:space="preserve">    </w:t>
            </w:r>
          </w:p>
        </w:tc>
      </w:tr>
    </w:tbl>
    <w:p>
      <w:pPr>
        <w:pStyle w:val="2"/>
        <w:jc w:val="center"/>
        <w:rPr>
          <w:rFonts w:hAnsi="宋体" w:cs="宋体"/>
          <w:szCs w:val="24"/>
        </w:rPr>
      </w:pPr>
      <w:r>
        <w:rPr>
          <w:rFonts w:hint="eastAsia"/>
        </w:rPr>
        <w:t>《送货单》</w:t>
      </w:r>
    </w:p>
    <w:p>
      <w:pPr>
        <w:pStyle w:val="2"/>
        <w:ind w:firstLine="480"/>
        <w:rPr>
          <w:rFonts w:hAnsi="宋体" w:cs="宋体"/>
          <w:szCs w:val="24"/>
        </w:rPr>
      </w:pPr>
    </w:p>
    <w:p>
      <w:pPr>
        <w:pStyle w:val="2"/>
        <w:ind w:firstLine="480"/>
        <w:rPr>
          <w:rFonts w:hAnsi="宋体" w:cs="宋体"/>
          <w:szCs w:val="24"/>
        </w:rPr>
      </w:pPr>
    </w:p>
    <w:p>
      <w:pPr>
        <w:tabs>
          <w:tab w:val="center" w:pos="6529"/>
          <w:tab w:val="left" w:pos="7987"/>
        </w:tabs>
        <w:rPr>
          <w:rFonts w:ascii="宋体" w:hAnsi="宋体" w:cs="宋体"/>
          <w:b/>
          <w:sz w:val="28"/>
          <w:szCs w:val="28"/>
        </w:rPr>
      </w:pPr>
      <w:r>
        <w:rPr>
          <w:rFonts w:hint="eastAsia" w:ascii="宋体" w:hAnsi="宋体" w:cs="宋体"/>
          <w:b/>
          <w:sz w:val="28"/>
          <w:szCs w:val="28"/>
        </w:rPr>
        <w:t>送  货  单</w:t>
      </w:r>
    </w:p>
    <w:p>
      <w:pPr>
        <w:rPr>
          <w:rFonts w:ascii="宋体" w:hAnsi="宋体" w:cs="宋体"/>
        </w:rPr>
      </w:pPr>
      <w:r>
        <w:rPr>
          <w:rFonts w:ascii="宋体" w:hAnsi="宋体" w:cs="宋体"/>
          <w:b/>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15240</wp:posOffset>
                </wp:positionV>
                <wp:extent cx="60579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8pt;margin-top:1.2pt;height:0pt;width:477pt;z-index:251660288;mso-width-relative:page;mso-height-relative:page;" filled="f" stroked="t" coordsize="21600,21600" o:gfxdata="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AtyitQAAAAGAQAADwAAAAAAAAABACAAAAAiAAAAZHJzL2Rvd25yZXYueG1sUEsBAhQAFAAAAAgA&#10;h07iQJ83PiPwAQAA5wMAAA4AAAAAAAAAAQAgAAAAIwEAAGRycy9lMm9Eb2MueG1sUEsFBgAAAAAG&#10;AAYAWQEAAIUFAAAAAA==&#10;">
                <v:fill on="f" focussize="0,0"/>
                <v:stroke weight="3pt" color="#000000" linestyle="thinThin" joinstyle="round"/>
                <v:imagedata o:title=""/>
                <o:lock v:ext="edit" aspectratio="f"/>
              </v:line>
            </w:pict>
          </mc:Fallback>
        </mc:AlternateContent>
      </w:r>
      <w:r>
        <w:rPr>
          <w:rFonts w:hint="eastAsia" w:ascii="宋体" w:hAnsi="宋体" w:cs="宋体"/>
        </w:rPr>
        <w:t xml:space="preserve">                                                                  </w:t>
      </w:r>
    </w:p>
    <w:p>
      <w:pPr>
        <w:rPr>
          <w:rFonts w:ascii="宋体" w:hAnsi="宋体" w:cs="宋体"/>
        </w:rPr>
      </w:pPr>
      <w:r>
        <w:rPr>
          <w:rFonts w:hint="eastAsia" w:ascii="宋体" w:hAnsi="宋体" w:cs="宋体"/>
        </w:rPr>
        <w:t>收货单位：                                          送货时间：    年   月   日</w:t>
      </w:r>
    </w:p>
    <w:tbl>
      <w:tblPr>
        <w:tblStyle w:val="29"/>
        <w:tblW w:w="928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7"/>
        <w:gridCol w:w="575"/>
        <w:gridCol w:w="575"/>
        <w:gridCol w:w="606"/>
        <w:gridCol w:w="370"/>
        <w:gridCol w:w="354"/>
        <w:gridCol w:w="355"/>
        <w:gridCol w:w="354"/>
        <w:gridCol w:w="355"/>
        <w:gridCol w:w="354"/>
        <w:gridCol w:w="362"/>
        <w:gridCol w:w="347"/>
        <w:gridCol w:w="35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restart"/>
            <w:vAlign w:val="center"/>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序号</w:t>
            </w:r>
          </w:p>
        </w:tc>
        <w:tc>
          <w:tcPr>
            <w:tcW w:w="2607" w:type="dxa"/>
            <w:vMerge w:val="restart"/>
            <w:vAlign w:val="center"/>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名称及规格</w:t>
            </w:r>
          </w:p>
        </w:tc>
        <w:tc>
          <w:tcPr>
            <w:tcW w:w="575" w:type="dxa"/>
            <w:vMerge w:val="restart"/>
            <w:vAlign w:val="center"/>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单位</w:t>
            </w:r>
          </w:p>
        </w:tc>
        <w:tc>
          <w:tcPr>
            <w:tcW w:w="575" w:type="dxa"/>
            <w:vMerge w:val="restart"/>
            <w:vAlign w:val="center"/>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数量</w:t>
            </w:r>
          </w:p>
        </w:tc>
        <w:tc>
          <w:tcPr>
            <w:tcW w:w="606" w:type="dxa"/>
            <w:vMerge w:val="restart"/>
            <w:vAlign w:val="center"/>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单价</w:t>
            </w:r>
          </w:p>
        </w:tc>
        <w:tc>
          <w:tcPr>
            <w:tcW w:w="3205" w:type="dxa"/>
            <w:gridSpan w:val="9"/>
            <w:vAlign w:val="center"/>
          </w:tcPr>
          <w:p>
            <w:pPr>
              <w:spacing w:line="360" w:lineRule="auto"/>
              <w:jc w:val="center"/>
              <w:rPr>
                <w:rFonts w:ascii="宋体" w:hAnsi="宋体" w:cs="宋体"/>
                <w:b/>
              </w:rPr>
            </w:pPr>
            <w:r>
              <w:rPr>
                <w:rFonts w:hint="eastAsia" w:ascii="宋体" w:hAnsi="宋体" w:cs="宋体"/>
                <w:b/>
              </w:rPr>
              <w:t>金额</w:t>
            </w:r>
          </w:p>
        </w:tc>
        <w:tc>
          <w:tcPr>
            <w:tcW w:w="646" w:type="dxa"/>
            <w:vMerge w:val="restart"/>
          </w:tcPr>
          <w:p>
            <w:pPr>
              <w:spacing w:line="360" w:lineRule="auto"/>
              <w:jc w:val="center"/>
              <w:rPr>
                <w:rFonts w:ascii="宋体" w:hAnsi="宋体" w:cs="宋体"/>
                <w:b/>
              </w:rPr>
            </w:pPr>
          </w:p>
          <w:p>
            <w:pPr>
              <w:spacing w:line="360" w:lineRule="auto"/>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continue"/>
            <w:vAlign w:val="center"/>
          </w:tcPr>
          <w:p>
            <w:pPr>
              <w:rPr>
                <w:rFonts w:ascii="宋体" w:hAnsi="宋体" w:cs="宋体"/>
              </w:rPr>
            </w:pPr>
          </w:p>
        </w:tc>
        <w:tc>
          <w:tcPr>
            <w:tcW w:w="2607" w:type="dxa"/>
            <w:vMerge w:val="continue"/>
            <w:vAlign w:val="center"/>
          </w:tcPr>
          <w:p>
            <w:pPr>
              <w:rPr>
                <w:rFonts w:ascii="宋体" w:hAnsi="宋体" w:cs="宋体"/>
              </w:rPr>
            </w:pPr>
          </w:p>
        </w:tc>
        <w:tc>
          <w:tcPr>
            <w:tcW w:w="575" w:type="dxa"/>
            <w:vMerge w:val="continue"/>
            <w:vAlign w:val="center"/>
          </w:tcPr>
          <w:p>
            <w:pPr>
              <w:rPr>
                <w:rFonts w:ascii="宋体" w:hAnsi="宋体" w:cs="宋体"/>
              </w:rPr>
            </w:pPr>
          </w:p>
        </w:tc>
        <w:tc>
          <w:tcPr>
            <w:tcW w:w="575" w:type="dxa"/>
            <w:vMerge w:val="continue"/>
            <w:vAlign w:val="center"/>
          </w:tcPr>
          <w:p>
            <w:pPr>
              <w:rPr>
                <w:rFonts w:ascii="宋体" w:hAnsi="宋体" w:cs="宋体"/>
              </w:rPr>
            </w:pPr>
          </w:p>
        </w:tc>
        <w:tc>
          <w:tcPr>
            <w:tcW w:w="606" w:type="dxa"/>
            <w:vMerge w:val="continue"/>
            <w:vAlign w:val="center"/>
          </w:tcPr>
          <w:p>
            <w:pPr>
              <w:rPr>
                <w:rFonts w:ascii="宋体" w:hAnsi="宋体" w:cs="宋体"/>
              </w:rPr>
            </w:pPr>
          </w:p>
        </w:tc>
        <w:tc>
          <w:tcPr>
            <w:tcW w:w="370" w:type="dxa"/>
            <w:vAlign w:val="center"/>
          </w:tcPr>
          <w:p>
            <w:pPr>
              <w:tabs>
                <w:tab w:val="left" w:pos="279"/>
              </w:tabs>
              <w:spacing w:line="360" w:lineRule="auto"/>
              <w:jc w:val="center"/>
              <w:rPr>
                <w:rFonts w:ascii="宋体" w:hAnsi="宋体" w:cs="宋体"/>
                <w:b/>
              </w:rPr>
            </w:pPr>
            <w:r>
              <w:rPr>
                <w:rFonts w:hint="eastAsia" w:ascii="宋体" w:hAnsi="宋体" w:cs="宋体"/>
                <w:b/>
              </w:rPr>
              <w:t>百</w:t>
            </w:r>
          </w:p>
        </w:tc>
        <w:tc>
          <w:tcPr>
            <w:tcW w:w="354" w:type="dxa"/>
            <w:vAlign w:val="center"/>
          </w:tcPr>
          <w:p>
            <w:pPr>
              <w:tabs>
                <w:tab w:val="left" w:pos="279"/>
              </w:tabs>
              <w:spacing w:line="360" w:lineRule="auto"/>
              <w:jc w:val="center"/>
              <w:rPr>
                <w:rFonts w:ascii="宋体" w:hAnsi="宋体" w:cs="宋体"/>
                <w:b/>
              </w:rPr>
            </w:pPr>
            <w:r>
              <w:rPr>
                <w:rFonts w:hint="eastAsia" w:ascii="宋体" w:hAnsi="宋体" w:cs="宋体"/>
                <w:b/>
              </w:rPr>
              <w:t>十</w:t>
            </w:r>
          </w:p>
        </w:tc>
        <w:tc>
          <w:tcPr>
            <w:tcW w:w="355" w:type="dxa"/>
            <w:vAlign w:val="center"/>
          </w:tcPr>
          <w:p>
            <w:pPr>
              <w:tabs>
                <w:tab w:val="left" w:pos="279"/>
              </w:tabs>
              <w:spacing w:line="360" w:lineRule="auto"/>
              <w:jc w:val="center"/>
              <w:rPr>
                <w:rFonts w:ascii="宋体" w:hAnsi="宋体" w:cs="宋体"/>
                <w:b/>
              </w:rPr>
            </w:pPr>
            <w:r>
              <w:rPr>
                <w:rFonts w:hint="eastAsia" w:ascii="宋体" w:hAnsi="宋体" w:cs="宋体"/>
                <w:b/>
              </w:rPr>
              <w:t>万</w:t>
            </w:r>
          </w:p>
        </w:tc>
        <w:tc>
          <w:tcPr>
            <w:tcW w:w="354" w:type="dxa"/>
            <w:vAlign w:val="center"/>
          </w:tcPr>
          <w:p>
            <w:pPr>
              <w:tabs>
                <w:tab w:val="left" w:pos="279"/>
              </w:tabs>
              <w:spacing w:line="360" w:lineRule="auto"/>
              <w:jc w:val="center"/>
              <w:rPr>
                <w:rFonts w:ascii="宋体" w:hAnsi="宋体" w:cs="宋体"/>
                <w:b/>
              </w:rPr>
            </w:pPr>
            <w:r>
              <w:rPr>
                <w:rFonts w:hint="eastAsia" w:ascii="宋体" w:hAnsi="宋体" w:cs="宋体"/>
                <w:b/>
              </w:rPr>
              <w:t>千</w:t>
            </w:r>
          </w:p>
        </w:tc>
        <w:tc>
          <w:tcPr>
            <w:tcW w:w="355" w:type="dxa"/>
            <w:vAlign w:val="center"/>
          </w:tcPr>
          <w:p>
            <w:pPr>
              <w:tabs>
                <w:tab w:val="left" w:pos="279"/>
              </w:tabs>
              <w:spacing w:line="360" w:lineRule="auto"/>
              <w:jc w:val="center"/>
              <w:rPr>
                <w:rFonts w:ascii="宋体" w:hAnsi="宋体" w:cs="宋体"/>
                <w:b/>
              </w:rPr>
            </w:pPr>
            <w:r>
              <w:rPr>
                <w:rFonts w:hint="eastAsia" w:ascii="宋体" w:hAnsi="宋体" w:cs="宋体"/>
                <w:b/>
              </w:rPr>
              <w:t>百</w:t>
            </w:r>
          </w:p>
        </w:tc>
        <w:tc>
          <w:tcPr>
            <w:tcW w:w="354" w:type="dxa"/>
            <w:vAlign w:val="center"/>
          </w:tcPr>
          <w:p>
            <w:pPr>
              <w:tabs>
                <w:tab w:val="left" w:pos="279"/>
              </w:tabs>
              <w:spacing w:line="360" w:lineRule="auto"/>
              <w:jc w:val="center"/>
              <w:rPr>
                <w:rFonts w:ascii="宋体" w:hAnsi="宋体" w:cs="宋体"/>
                <w:b/>
              </w:rPr>
            </w:pPr>
            <w:r>
              <w:rPr>
                <w:rFonts w:hint="eastAsia" w:ascii="宋体" w:hAnsi="宋体" w:cs="宋体"/>
                <w:b/>
              </w:rPr>
              <w:t>十</w:t>
            </w:r>
          </w:p>
        </w:tc>
        <w:tc>
          <w:tcPr>
            <w:tcW w:w="362" w:type="dxa"/>
            <w:vAlign w:val="center"/>
          </w:tcPr>
          <w:p>
            <w:pPr>
              <w:tabs>
                <w:tab w:val="left" w:pos="279"/>
              </w:tabs>
              <w:spacing w:line="360" w:lineRule="auto"/>
              <w:jc w:val="center"/>
              <w:rPr>
                <w:rFonts w:ascii="宋体" w:hAnsi="宋体" w:cs="宋体"/>
                <w:b/>
              </w:rPr>
            </w:pPr>
            <w:r>
              <w:rPr>
                <w:rFonts w:hint="eastAsia" w:ascii="宋体" w:hAnsi="宋体" w:cs="宋体"/>
                <w:b/>
              </w:rPr>
              <w:t>元</w:t>
            </w:r>
          </w:p>
        </w:tc>
        <w:tc>
          <w:tcPr>
            <w:tcW w:w="347" w:type="dxa"/>
            <w:vAlign w:val="center"/>
          </w:tcPr>
          <w:p>
            <w:pPr>
              <w:tabs>
                <w:tab w:val="left" w:pos="279"/>
              </w:tabs>
              <w:spacing w:line="360" w:lineRule="auto"/>
              <w:jc w:val="center"/>
              <w:rPr>
                <w:rFonts w:ascii="宋体" w:hAnsi="宋体" w:cs="宋体"/>
                <w:b/>
              </w:rPr>
            </w:pPr>
            <w:r>
              <w:rPr>
                <w:rFonts w:hint="eastAsia" w:ascii="宋体" w:hAnsi="宋体" w:cs="宋体"/>
                <w:b/>
              </w:rPr>
              <w:t>角</w:t>
            </w:r>
          </w:p>
        </w:tc>
        <w:tc>
          <w:tcPr>
            <w:tcW w:w="354" w:type="dxa"/>
            <w:vAlign w:val="center"/>
          </w:tcPr>
          <w:p>
            <w:pPr>
              <w:tabs>
                <w:tab w:val="left" w:pos="279"/>
              </w:tabs>
              <w:spacing w:line="360" w:lineRule="auto"/>
              <w:jc w:val="center"/>
              <w:rPr>
                <w:rFonts w:ascii="宋体" w:hAnsi="宋体" w:cs="宋体"/>
                <w:b/>
              </w:rPr>
            </w:pPr>
            <w:r>
              <w:rPr>
                <w:rFonts w:hint="eastAsia" w:ascii="宋体" w:hAnsi="宋体" w:cs="宋体"/>
                <w:b/>
              </w:rPr>
              <w:t>分</w:t>
            </w: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vAlign w:val="center"/>
          </w:tcPr>
          <w:p>
            <w:pPr>
              <w:spacing w:line="360" w:lineRule="auto"/>
              <w:jc w:val="center"/>
              <w:rPr>
                <w:rFonts w:ascii="宋体" w:hAnsi="宋体" w:cs="宋体"/>
              </w:rPr>
            </w:pPr>
            <w:r>
              <w:rPr>
                <w:rFonts w:hint="eastAsia" w:ascii="宋体" w:hAnsi="宋体" w:cs="宋体"/>
              </w:rPr>
              <w:t>1</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646" w:type="dxa"/>
            <w:vMerge w:val="restart"/>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2</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3</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4</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5</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6</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ascii="宋体" w:hAnsi="宋体" w:cs="宋体"/>
              </w:rPr>
            </w:pPr>
            <w:r>
              <w:rPr>
                <w:rFonts w:hint="eastAsia" w:ascii="宋体" w:hAnsi="宋体" w:cs="宋体"/>
              </w:rPr>
              <w:t>7</w:t>
            </w:r>
          </w:p>
        </w:tc>
        <w:tc>
          <w:tcPr>
            <w:tcW w:w="2607" w:type="dxa"/>
            <w:vAlign w:val="center"/>
          </w:tcPr>
          <w:p>
            <w:pPr>
              <w:jc w:val="center"/>
              <w:rPr>
                <w:rFonts w:ascii="宋体" w:hAnsi="宋体" w:cs="宋体"/>
                <w:bCs/>
              </w:rPr>
            </w:pPr>
          </w:p>
        </w:tc>
        <w:tc>
          <w:tcPr>
            <w:tcW w:w="575" w:type="dxa"/>
          </w:tcPr>
          <w:p>
            <w:pPr>
              <w:jc w:val="center"/>
              <w:rPr>
                <w:rFonts w:ascii="宋体" w:hAnsi="宋体" w:cs="宋体"/>
                <w:bCs/>
              </w:rPr>
            </w:pPr>
          </w:p>
        </w:tc>
        <w:tc>
          <w:tcPr>
            <w:tcW w:w="575" w:type="dxa"/>
            <w:vAlign w:val="center"/>
          </w:tcPr>
          <w:p>
            <w:pPr>
              <w:jc w:val="center"/>
              <w:rPr>
                <w:rFonts w:ascii="宋体" w:hAnsi="宋体" w:cs="宋体"/>
                <w:bCs/>
              </w:rPr>
            </w:pPr>
          </w:p>
        </w:tc>
        <w:tc>
          <w:tcPr>
            <w:tcW w:w="606" w:type="dxa"/>
          </w:tcPr>
          <w:p>
            <w:pPr>
              <w:spacing w:line="360" w:lineRule="auto"/>
              <w:jc w:val="center"/>
              <w:rPr>
                <w:rFonts w:ascii="宋体" w:hAnsi="宋体" w:cs="宋体"/>
              </w:rPr>
            </w:pPr>
          </w:p>
        </w:tc>
        <w:tc>
          <w:tcPr>
            <w:tcW w:w="370"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55" w:type="dxa"/>
          </w:tcPr>
          <w:p>
            <w:pPr>
              <w:spacing w:line="360" w:lineRule="auto"/>
              <w:jc w:val="center"/>
              <w:rPr>
                <w:rFonts w:ascii="宋体" w:hAnsi="宋体" w:cs="宋体"/>
              </w:rPr>
            </w:pPr>
          </w:p>
        </w:tc>
        <w:tc>
          <w:tcPr>
            <w:tcW w:w="354" w:type="dxa"/>
          </w:tcPr>
          <w:p>
            <w:pPr>
              <w:spacing w:line="360" w:lineRule="auto"/>
              <w:jc w:val="center"/>
              <w:rPr>
                <w:rFonts w:ascii="宋体" w:hAnsi="宋体" w:cs="宋体"/>
              </w:rPr>
            </w:pPr>
          </w:p>
        </w:tc>
        <w:tc>
          <w:tcPr>
            <w:tcW w:w="362" w:type="dxa"/>
          </w:tcPr>
          <w:p>
            <w:pPr>
              <w:spacing w:line="360" w:lineRule="auto"/>
              <w:jc w:val="center"/>
              <w:rPr>
                <w:rFonts w:ascii="宋体" w:hAnsi="宋体" w:cs="宋体"/>
              </w:rPr>
            </w:pPr>
          </w:p>
        </w:tc>
        <w:tc>
          <w:tcPr>
            <w:tcW w:w="347" w:type="dxa"/>
          </w:tcPr>
          <w:p>
            <w:pPr>
              <w:spacing w:line="360" w:lineRule="auto"/>
              <w:jc w:val="center"/>
              <w:rPr>
                <w:rFonts w:ascii="宋体" w:hAnsi="宋体" w:cs="宋体"/>
              </w:rPr>
            </w:pPr>
          </w:p>
        </w:tc>
        <w:tc>
          <w:tcPr>
            <w:tcW w:w="354" w:type="dxa"/>
          </w:tcPr>
          <w:p>
            <w:pPr>
              <w:spacing w:line="360" w:lineRule="auto"/>
              <w:rPr>
                <w:rFonts w:ascii="宋体" w:hAnsi="宋体" w:cs="宋体"/>
              </w:rPr>
            </w:pPr>
          </w:p>
        </w:tc>
        <w:tc>
          <w:tcPr>
            <w:tcW w:w="646"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68" w:type="dxa"/>
          </w:tcPr>
          <w:p>
            <w:pPr>
              <w:spacing w:line="360" w:lineRule="auto"/>
              <w:ind w:firstLine="241" w:firstLineChars="100"/>
              <w:rPr>
                <w:rFonts w:ascii="宋体" w:hAnsi="宋体" w:cs="宋体"/>
                <w:b/>
              </w:rPr>
            </w:pPr>
            <w:r>
              <w:rPr>
                <w:rFonts w:hint="eastAsia" w:ascii="宋体" w:hAnsi="宋体" w:cs="宋体"/>
                <w:b/>
              </w:rPr>
              <w:t>合计</w:t>
            </w:r>
          </w:p>
        </w:tc>
        <w:tc>
          <w:tcPr>
            <w:tcW w:w="7568" w:type="dxa"/>
            <w:gridSpan w:val="13"/>
            <w:vAlign w:val="center"/>
          </w:tcPr>
          <w:p>
            <w:pPr>
              <w:spacing w:line="360" w:lineRule="auto"/>
              <w:ind w:firstLine="120" w:firstLineChars="50"/>
              <w:rPr>
                <w:rFonts w:ascii="宋体" w:hAnsi="宋体" w:cs="宋体"/>
              </w:rPr>
            </w:pPr>
            <w:r>
              <w:rPr>
                <w:rFonts w:hint="eastAsia" w:ascii="宋体" w:hAnsi="宋体" w:cs="宋体"/>
              </w:rPr>
              <w:t xml:space="preserve">    拾       万      仟      佰      拾      元     角     分  ¥： </w:t>
            </w:r>
          </w:p>
        </w:tc>
        <w:tc>
          <w:tcPr>
            <w:tcW w:w="646" w:type="dxa"/>
            <w:vMerge w:val="continue"/>
          </w:tcPr>
          <w:p>
            <w:pPr>
              <w:rPr>
                <w:rFonts w:ascii="宋体" w:hAnsi="宋体" w:cs="宋体"/>
              </w:rPr>
            </w:pPr>
          </w:p>
        </w:tc>
      </w:tr>
    </w:tbl>
    <w:p>
      <w:pPr>
        <w:rPr>
          <w:rFonts w:ascii="宋体" w:hAnsi="宋体" w:cs="宋体"/>
        </w:rPr>
      </w:pPr>
    </w:p>
    <w:p>
      <w:pPr>
        <w:ind w:firstLine="480" w:firstLineChars="200"/>
        <w:rPr>
          <w:rFonts w:ascii="宋体" w:hAnsi="宋体" w:cs="宋体"/>
        </w:rPr>
      </w:pPr>
      <w:r>
        <w:rPr>
          <w:rFonts w:hint="eastAsia" w:ascii="宋体" w:hAnsi="宋体" w:cs="宋体"/>
        </w:rPr>
        <w:t xml:space="preserve">送货人：                               监理单位：           </w:t>
      </w: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 xml:space="preserve">    收货单位及收货人：                      建设单位：</w:t>
      </w:r>
    </w:p>
    <w:p>
      <w:pPr>
        <w:rPr>
          <w:rFonts w:ascii="宋体" w:hAnsi="宋体" w:cs="宋体"/>
        </w:rPr>
      </w:pPr>
    </w:p>
    <w:p>
      <w:pPr>
        <w:pStyle w:val="2"/>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3684C"/>
    <w:multiLevelType w:val="singleLevel"/>
    <w:tmpl w:val="DBB3684C"/>
    <w:lvl w:ilvl="0" w:tentative="0">
      <w:start w:val="2"/>
      <w:numFmt w:val="chineseCounting"/>
      <w:suff w:val="nothing"/>
      <w:lvlText w:val="%1、"/>
      <w:lvlJc w:val="left"/>
      <w:rPr>
        <w:rFonts w:hint="eastAsia"/>
      </w:rPr>
    </w:lvl>
  </w:abstractNum>
  <w:abstractNum w:abstractNumId="1">
    <w:nsid w:val="0000000B"/>
    <w:multiLevelType w:val="singleLevel"/>
    <w:tmpl w:val="0000000B"/>
    <w:lvl w:ilvl="0" w:tentative="0">
      <w:start w:val="7"/>
      <w:numFmt w:val="decimal"/>
      <w:suff w:val="nothing"/>
      <w:lvlText w:val="（%1）"/>
      <w:lvlJc w:val="left"/>
    </w:lvl>
  </w:abstractNum>
  <w:abstractNum w:abstractNumId="2">
    <w:nsid w:val="23C57743"/>
    <w:multiLevelType w:val="singleLevel"/>
    <w:tmpl w:val="23C57743"/>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s>
  <w:rsids>
    <w:rsidRoot w:val="00172A27"/>
    <w:rsid w:val="0000035C"/>
    <w:rsid w:val="00002BE7"/>
    <w:rsid w:val="00021848"/>
    <w:rsid w:val="00025903"/>
    <w:rsid w:val="000275AF"/>
    <w:rsid w:val="00030FE2"/>
    <w:rsid w:val="00043F00"/>
    <w:rsid w:val="00046A7A"/>
    <w:rsid w:val="00050DBC"/>
    <w:rsid w:val="00051C86"/>
    <w:rsid w:val="000567A6"/>
    <w:rsid w:val="000611C0"/>
    <w:rsid w:val="00072CB7"/>
    <w:rsid w:val="00083843"/>
    <w:rsid w:val="0008617E"/>
    <w:rsid w:val="0009200B"/>
    <w:rsid w:val="000923E1"/>
    <w:rsid w:val="00092AB5"/>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16E0A"/>
    <w:rsid w:val="001217DD"/>
    <w:rsid w:val="00122280"/>
    <w:rsid w:val="0012416B"/>
    <w:rsid w:val="001242E6"/>
    <w:rsid w:val="00125518"/>
    <w:rsid w:val="00130D9F"/>
    <w:rsid w:val="00130DD2"/>
    <w:rsid w:val="00132F41"/>
    <w:rsid w:val="00134067"/>
    <w:rsid w:val="001361EE"/>
    <w:rsid w:val="0013744C"/>
    <w:rsid w:val="001423E5"/>
    <w:rsid w:val="001428AF"/>
    <w:rsid w:val="00144414"/>
    <w:rsid w:val="00155131"/>
    <w:rsid w:val="0016637A"/>
    <w:rsid w:val="00166CD7"/>
    <w:rsid w:val="00167FF2"/>
    <w:rsid w:val="001729AD"/>
    <w:rsid w:val="00172A27"/>
    <w:rsid w:val="00173D8E"/>
    <w:rsid w:val="001741C1"/>
    <w:rsid w:val="00174CA7"/>
    <w:rsid w:val="00182C92"/>
    <w:rsid w:val="00183072"/>
    <w:rsid w:val="00186FC7"/>
    <w:rsid w:val="0018724A"/>
    <w:rsid w:val="00192D78"/>
    <w:rsid w:val="001A1020"/>
    <w:rsid w:val="001B04D6"/>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D6DBB"/>
    <w:rsid w:val="002E0377"/>
    <w:rsid w:val="002E7D24"/>
    <w:rsid w:val="002F3135"/>
    <w:rsid w:val="002F5C6D"/>
    <w:rsid w:val="00301C1C"/>
    <w:rsid w:val="00304B8D"/>
    <w:rsid w:val="00306F54"/>
    <w:rsid w:val="00325389"/>
    <w:rsid w:val="003265F8"/>
    <w:rsid w:val="00331FA0"/>
    <w:rsid w:val="00333FDE"/>
    <w:rsid w:val="00337A7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118D"/>
    <w:rsid w:val="003B29D1"/>
    <w:rsid w:val="003B4A6E"/>
    <w:rsid w:val="003B64C7"/>
    <w:rsid w:val="003D0997"/>
    <w:rsid w:val="003D347D"/>
    <w:rsid w:val="003D4E85"/>
    <w:rsid w:val="003E313B"/>
    <w:rsid w:val="003E559B"/>
    <w:rsid w:val="003E6046"/>
    <w:rsid w:val="003F6B54"/>
    <w:rsid w:val="003F72C2"/>
    <w:rsid w:val="00407C69"/>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C50B2"/>
    <w:rsid w:val="004D2B0E"/>
    <w:rsid w:val="004E049F"/>
    <w:rsid w:val="00506E77"/>
    <w:rsid w:val="005279C1"/>
    <w:rsid w:val="005310EA"/>
    <w:rsid w:val="005325F7"/>
    <w:rsid w:val="00540A8B"/>
    <w:rsid w:val="00540C18"/>
    <w:rsid w:val="00541C9F"/>
    <w:rsid w:val="00544D6C"/>
    <w:rsid w:val="00564D78"/>
    <w:rsid w:val="00576A88"/>
    <w:rsid w:val="00592F14"/>
    <w:rsid w:val="00597FAF"/>
    <w:rsid w:val="005A49E5"/>
    <w:rsid w:val="005B1F55"/>
    <w:rsid w:val="005B28B2"/>
    <w:rsid w:val="005B4654"/>
    <w:rsid w:val="005B4C45"/>
    <w:rsid w:val="005B6697"/>
    <w:rsid w:val="005B7B79"/>
    <w:rsid w:val="005C1868"/>
    <w:rsid w:val="005C7A15"/>
    <w:rsid w:val="005C7CE1"/>
    <w:rsid w:val="005D0FB3"/>
    <w:rsid w:val="005D1DE5"/>
    <w:rsid w:val="005D7D45"/>
    <w:rsid w:val="005E0AF9"/>
    <w:rsid w:val="005F6503"/>
    <w:rsid w:val="005F6C0C"/>
    <w:rsid w:val="00603C08"/>
    <w:rsid w:val="00615BAD"/>
    <w:rsid w:val="0062797F"/>
    <w:rsid w:val="006304BD"/>
    <w:rsid w:val="006336EB"/>
    <w:rsid w:val="00633958"/>
    <w:rsid w:val="006341B1"/>
    <w:rsid w:val="00637B1E"/>
    <w:rsid w:val="00645D7B"/>
    <w:rsid w:val="006463D2"/>
    <w:rsid w:val="00646512"/>
    <w:rsid w:val="00656C64"/>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5837"/>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3864"/>
    <w:rsid w:val="008C7742"/>
    <w:rsid w:val="008D366E"/>
    <w:rsid w:val="008D514B"/>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E32C0"/>
    <w:rsid w:val="00AE67DB"/>
    <w:rsid w:val="00AF0279"/>
    <w:rsid w:val="00B02368"/>
    <w:rsid w:val="00B04871"/>
    <w:rsid w:val="00B04DC8"/>
    <w:rsid w:val="00B052ED"/>
    <w:rsid w:val="00B0548B"/>
    <w:rsid w:val="00B05C6B"/>
    <w:rsid w:val="00B11531"/>
    <w:rsid w:val="00B249E1"/>
    <w:rsid w:val="00B308B5"/>
    <w:rsid w:val="00B359A9"/>
    <w:rsid w:val="00B36893"/>
    <w:rsid w:val="00B404ED"/>
    <w:rsid w:val="00B41AAE"/>
    <w:rsid w:val="00B51CE8"/>
    <w:rsid w:val="00B52591"/>
    <w:rsid w:val="00B535D0"/>
    <w:rsid w:val="00B5738E"/>
    <w:rsid w:val="00B65F43"/>
    <w:rsid w:val="00B71604"/>
    <w:rsid w:val="00B742BC"/>
    <w:rsid w:val="00B76360"/>
    <w:rsid w:val="00B77787"/>
    <w:rsid w:val="00B778D2"/>
    <w:rsid w:val="00B91515"/>
    <w:rsid w:val="00B92C33"/>
    <w:rsid w:val="00B94596"/>
    <w:rsid w:val="00B94774"/>
    <w:rsid w:val="00B94A6B"/>
    <w:rsid w:val="00BA7273"/>
    <w:rsid w:val="00BB00E7"/>
    <w:rsid w:val="00BB1793"/>
    <w:rsid w:val="00BB21B2"/>
    <w:rsid w:val="00BB27E0"/>
    <w:rsid w:val="00BB48BF"/>
    <w:rsid w:val="00BC3D70"/>
    <w:rsid w:val="00BC7D25"/>
    <w:rsid w:val="00BD225A"/>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02D58"/>
    <w:rsid w:val="00D11473"/>
    <w:rsid w:val="00D155CA"/>
    <w:rsid w:val="00D21AF2"/>
    <w:rsid w:val="00D26A74"/>
    <w:rsid w:val="00D26BCE"/>
    <w:rsid w:val="00D32861"/>
    <w:rsid w:val="00D33A1B"/>
    <w:rsid w:val="00D44BBA"/>
    <w:rsid w:val="00D45C4C"/>
    <w:rsid w:val="00D546FF"/>
    <w:rsid w:val="00D549FE"/>
    <w:rsid w:val="00D55597"/>
    <w:rsid w:val="00D60E20"/>
    <w:rsid w:val="00D70072"/>
    <w:rsid w:val="00D7223C"/>
    <w:rsid w:val="00D73DA2"/>
    <w:rsid w:val="00D93EDE"/>
    <w:rsid w:val="00D93FE2"/>
    <w:rsid w:val="00D951D4"/>
    <w:rsid w:val="00D97604"/>
    <w:rsid w:val="00DA187C"/>
    <w:rsid w:val="00DC2228"/>
    <w:rsid w:val="00DC79A6"/>
    <w:rsid w:val="00DF4F31"/>
    <w:rsid w:val="00DF5E78"/>
    <w:rsid w:val="00E0179F"/>
    <w:rsid w:val="00E02914"/>
    <w:rsid w:val="00E03D05"/>
    <w:rsid w:val="00E05363"/>
    <w:rsid w:val="00E137D5"/>
    <w:rsid w:val="00E137E5"/>
    <w:rsid w:val="00E15660"/>
    <w:rsid w:val="00E16AE5"/>
    <w:rsid w:val="00E20DEF"/>
    <w:rsid w:val="00E25FDB"/>
    <w:rsid w:val="00E27868"/>
    <w:rsid w:val="00E27F74"/>
    <w:rsid w:val="00E30CC3"/>
    <w:rsid w:val="00E37BC7"/>
    <w:rsid w:val="00E41BF1"/>
    <w:rsid w:val="00E43B80"/>
    <w:rsid w:val="00E60F98"/>
    <w:rsid w:val="00E62D5D"/>
    <w:rsid w:val="00E73F56"/>
    <w:rsid w:val="00E74E95"/>
    <w:rsid w:val="00E800D5"/>
    <w:rsid w:val="00E81557"/>
    <w:rsid w:val="00E82524"/>
    <w:rsid w:val="00E83E6B"/>
    <w:rsid w:val="00E84D33"/>
    <w:rsid w:val="00E94509"/>
    <w:rsid w:val="00EA341C"/>
    <w:rsid w:val="00EB1C17"/>
    <w:rsid w:val="00EB36A5"/>
    <w:rsid w:val="00EB4956"/>
    <w:rsid w:val="00EB5EC2"/>
    <w:rsid w:val="00EC17D5"/>
    <w:rsid w:val="00EC5C1B"/>
    <w:rsid w:val="00ED046E"/>
    <w:rsid w:val="00ED0806"/>
    <w:rsid w:val="00ED667A"/>
    <w:rsid w:val="00EE7838"/>
    <w:rsid w:val="00EF16FF"/>
    <w:rsid w:val="00EF1AB2"/>
    <w:rsid w:val="00F01FAA"/>
    <w:rsid w:val="00F04757"/>
    <w:rsid w:val="00F0513C"/>
    <w:rsid w:val="00F12739"/>
    <w:rsid w:val="00F261D3"/>
    <w:rsid w:val="00F26F22"/>
    <w:rsid w:val="00F30D0E"/>
    <w:rsid w:val="00F32A15"/>
    <w:rsid w:val="00F37369"/>
    <w:rsid w:val="00F42E6A"/>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2EA0"/>
    <w:rsid w:val="00FC3DAD"/>
    <w:rsid w:val="00FD08CC"/>
    <w:rsid w:val="00FD3CB5"/>
    <w:rsid w:val="00FD657D"/>
    <w:rsid w:val="00FE421F"/>
    <w:rsid w:val="00FE5033"/>
    <w:rsid w:val="00FE5D3D"/>
    <w:rsid w:val="00FF1469"/>
    <w:rsid w:val="00FF1E7E"/>
    <w:rsid w:val="00FF37F1"/>
    <w:rsid w:val="01A20C00"/>
    <w:rsid w:val="01EA636A"/>
    <w:rsid w:val="02AD1871"/>
    <w:rsid w:val="02E76086"/>
    <w:rsid w:val="03190CB5"/>
    <w:rsid w:val="03333456"/>
    <w:rsid w:val="037E0C14"/>
    <w:rsid w:val="03C20996"/>
    <w:rsid w:val="03CB2B44"/>
    <w:rsid w:val="03D35490"/>
    <w:rsid w:val="03F67248"/>
    <w:rsid w:val="04561AEE"/>
    <w:rsid w:val="04673CA2"/>
    <w:rsid w:val="048276A3"/>
    <w:rsid w:val="04EE6171"/>
    <w:rsid w:val="053E0EA6"/>
    <w:rsid w:val="05704BE1"/>
    <w:rsid w:val="059705B7"/>
    <w:rsid w:val="062260D2"/>
    <w:rsid w:val="06304C93"/>
    <w:rsid w:val="065B7836"/>
    <w:rsid w:val="06E11AE9"/>
    <w:rsid w:val="06F655E9"/>
    <w:rsid w:val="074E7FA8"/>
    <w:rsid w:val="07726BE5"/>
    <w:rsid w:val="086757FA"/>
    <w:rsid w:val="08C43471"/>
    <w:rsid w:val="08D37B58"/>
    <w:rsid w:val="09187C60"/>
    <w:rsid w:val="09242161"/>
    <w:rsid w:val="098B21E0"/>
    <w:rsid w:val="09EA5159"/>
    <w:rsid w:val="0A5D3B7D"/>
    <w:rsid w:val="0A8E2B46"/>
    <w:rsid w:val="0AF575D4"/>
    <w:rsid w:val="0B1701D0"/>
    <w:rsid w:val="0CB67574"/>
    <w:rsid w:val="0CD520F0"/>
    <w:rsid w:val="0D145C9C"/>
    <w:rsid w:val="0D7B004F"/>
    <w:rsid w:val="0D874BBF"/>
    <w:rsid w:val="0DBC505E"/>
    <w:rsid w:val="0E080AC3"/>
    <w:rsid w:val="0E453C3F"/>
    <w:rsid w:val="0E924011"/>
    <w:rsid w:val="0F174794"/>
    <w:rsid w:val="0FA22032"/>
    <w:rsid w:val="0FCB77DB"/>
    <w:rsid w:val="103F71AA"/>
    <w:rsid w:val="10B770C7"/>
    <w:rsid w:val="1112548E"/>
    <w:rsid w:val="111B2530"/>
    <w:rsid w:val="11507645"/>
    <w:rsid w:val="118539B9"/>
    <w:rsid w:val="11E832EB"/>
    <w:rsid w:val="123A0C48"/>
    <w:rsid w:val="128C532C"/>
    <w:rsid w:val="12966D0A"/>
    <w:rsid w:val="13021765"/>
    <w:rsid w:val="134D151F"/>
    <w:rsid w:val="13543FC7"/>
    <w:rsid w:val="1384217A"/>
    <w:rsid w:val="148F227B"/>
    <w:rsid w:val="1494463F"/>
    <w:rsid w:val="14F74BCE"/>
    <w:rsid w:val="1537321C"/>
    <w:rsid w:val="154408B7"/>
    <w:rsid w:val="15681628"/>
    <w:rsid w:val="1582093B"/>
    <w:rsid w:val="15B760E0"/>
    <w:rsid w:val="16342268"/>
    <w:rsid w:val="16466479"/>
    <w:rsid w:val="165247B2"/>
    <w:rsid w:val="16924BAE"/>
    <w:rsid w:val="16BC3FA7"/>
    <w:rsid w:val="16F577B5"/>
    <w:rsid w:val="172855E4"/>
    <w:rsid w:val="1752258F"/>
    <w:rsid w:val="17601E8D"/>
    <w:rsid w:val="17901863"/>
    <w:rsid w:val="17A32DEB"/>
    <w:rsid w:val="17C90AA4"/>
    <w:rsid w:val="17D97D03"/>
    <w:rsid w:val="183B1275"/>
    <w:rsid w:val="18A77D1E"/>
    <w:rsid w:val="18AB1114"/>
    <w:rsid w:val="18F03E0E"/>
    <w:rsid w:val="18F15E8B"/>
    <w:rsid w:val="19031D93"/>
    <w:rsid w:val="194F6D87"/>
    <w:rsid w:val="19731F61"/>
    <w:rsid w:val="1A9D7141"/>
    <w:rsid w:val="1B327166"/>
    <w:rsid w:val="1B414091"/>
    <w:rsid w:val="1B5E7755"/>
    <w:rsid w:val="1B882A24"/>
    <w:rsid w:val="1BCD0437"/>
    <w:rsid w:val="1BEF65FF"/>
    <w:rsid w:val="1BFE4EDD"/>
    <w:rsid w:val="1C244C98"/>
    <w:rsid w:val="1C6C7C4F"/>
    <w:rsid w:val="1CA53161"/>
    <w:rsid w:val="1D1C01BC"/>
    <w:rsid w:val="1D27570C"/>
    <w:rsid w:val="1DB20597"/>
    <w:rsid w:val="1E0B76EF"/>
    <w:rsid w:val="1E0E5D11"/>
    <w:rsid w:val="1EDD3086"/>
    <w:rsid w:val="1EFF04FC"/>
    <w:rsid w:val="1F1C595D"/>
    <w:rsid w:val="1F486752"/>
    <w:rsid w:val="201A6B92"/>
    <w:rsid w:val="2066105E"/>
    <w:rsid w:val="208539D6"/>
    <w:rsid w:val="20AE6A88"/>
    <w:rsid w:val="21B21619"/>
    <w:rsid w:val="22085B48"/>
    <w:rsid w:val="221C5C74"/>
    <w:rsid w:val="224653AD"/>
    <w:rsid w:val="22620445"/>
    <w:rsid w:val="22AF4D3A"/>
    <w:rsid w:val="230D5E2F"/>
    <w:rsid w:val="231C7242"/>
    <w:rsid w:val="23492A98"/>
    <w:rsid w:val="234A6FAE"/>
    <w:rsid w:val="23DC1B5F"/>
    <w:rsid w:val="247110D0"/>
    <w:rsid w:val="249E5066"/>
    <w:rsid w:val="24C41786"/>
    <w:rsid w:val="24F30356"/>
    <w:rsid w:val="259F1096"/>
    <w:rsid w:val="25D52D09"/>
    <w:rsid w:val="26492DAF"/>
    <w:rsid w:val="264A1001"/>
    <w:rsid w:val="26926794"/>
    <w:rsid w:val="26F15741"/>
    <w:rsid w:val="26F947D6"/>
    <w:rsid w:val="276A7481"/>
    <w:rsid w:val="279462AC"/>
    <w:rsid w:val="27FA75AC"/>
    <w:rsid w:val="28507E53"/>
    <w:rsid w:val="28D15A0A"/>
    <w:rsid w:val="292E6483"/>
    <w:rsid w:val="298C36DF"/>
    <w:rsid w:val="299B17F6"/>
    <w:rsid w:val="29B212A6"/>
    <w:rsid w:val="29C83C47"/>
    <w:rsid w:val="2A6C52BE"/>
    <w:rsid w:val="2A8A1440"/>
    <w:rsid w:val="2AA1765E"/>
    <w:rsid w:val="2AA75428"/>
    <w:rsid w:val="2AFF0727"/>
    <w:rsid w:val="2B0D4C92"/>
    <w:rsid w:val="2B4F0E68"/>
    <w:rsid w:val="2B7408CF"/>
    <w:rsid w:val="2BA270B9"/>
    <w:rsid w:val="2BAF1907"/>
    <w:rsid w:val="2BDF21EC"/>
    <w:rsid w:val="2BF81500"/>
    <w:rsid w:val="2C913D05"/>
    <w:rsid w:val="2CC32023"/>
    <w:rsid w:val="2D0B7011"/>
    <w:rsid w:val="2D1759B5"/>
    <w:rsid w:val="2D727090"/>
    <w:rsid w:val="2D84336C"/>
    <w:rsid w:val="2E091017"/>
    <w:rsid w:val="2E0F48DF"/>
    <w:rsid w:val="2E783D90"/>
    <w:rsid w:val="2E84707B"/>
    <w:rsid w:val="2EEB0F50"/>
    <w:rsid w:val="2EFC30B5"/>
    <w:rsid w:val="2F2B399A"/>
    <w:rsid w:val="300E1F23"/>
    <w:rsid w:val="30134D12"/>
    <w:rsid w:val="301E6EDA"/>
    <w:rsid w:val="305331A8"/>
    <w:rsid w:val="307849BD"/>
    <w:rsid w:val="30E42053"/>
    <w:rsid w:val="31244B45"/>
    <w:rsid w:val="31EC628D"/>
    <w:rsid w:val="329D2AA9"/>
    <w:rsid w:val="32B01DAA"/>
    <w:rsid w:val="332901F1"/>
    <w:rsid w:val="341B3FDD"/>
    <w:rsid w:val="356E45E1"/>
    <w:rsid w:val="35BD613B"/>
    <w:rsid w:val="35EA010B"/>
    <w:rsid w:val="3652289D"/>
    <w:rsid w:val="36982B94"/>
    <w:rsid w:val="36A076EF"/>
    <w:rsid w:val="36FD3E6E"/>
    <w:rsid w:val="372B398F"/>
    <w:rsid w:val="37506D11"/>
    <w:rsid w:val="375A4E1C"/>
    <w:rsid w:val="37945479"/>
    <w:rsid w:val="37A874F5"/>
    <w:rsid w:val="37BD53AB"/>
    <w:rsid w:val="37F320DA"/>
    <w:rsid w:val="38AE1A66"/>
    <w:rsid w:val="38CC1D4A"/>
    <w:rsid w:val="38F01235"/>
    <w:rsid w:val="38FA2D9F"/>
    <w:rsid w:val="39074B30"/>
    <w:rsid w:val="39186D3D"/>
    <w:rsid w:val="3928137D"/>
    <w:rsid w:val="394324FE"/>
    <w:rsid w:val="39842625"/>
    <w:rsid w:val="39916AF0"/>
    <w:rsid w:val="3A150609"/>
    <w:rsid w:val="3AA60379"/>
    <w:rsid w:val="3AEF3517"/>
    <w:rsid w:val="3B781D15"/>
    <w:rsid w:val="3BA8226E"/>
    <w:rsid w:val="3BF515B8"/>
    <w:rsid w:val="3C6B2C92"/>
    <w:rsid w:val="3CBC3E83"/>
    <w:rsid w:val="3CE93077"/>
    <w:rsid w:val="3D057BD9"/>
    <w:rsid w:val="3D4847C9"/>
    <w:rsid w:val="3E0003DF"/>
    <w:rsid w:val="3E422B1E"/>
    <w:rsid w:val="3EAB3353"/>
    <w:rsid w:val="3EAE44AF"/>
    <w:rsid w:val="3EE43F28"/>
    <w:rsid w:val="3F0F205A"/>
    <w:rsid w:val="3F500C93"/>
    <w:rsid w:val="3FA369E3"/>
    <w:rsid w:val="403D52DB"/>
    <w:rsid w:val="406D5BC1"/>
    <w:rsid w:val="41091C64"/>
    <w:rsid w:val="42152611"/>
    <w:rsid w:val="422E56BF"/>
    <w:rsid w:val="4250579A"/>
    <w:rsid w:val="426E3E72"/>
    <w:rsid w:val="42721EDF"/>
    <w:rsid w:val="42982C9D"/>
    <w:rsid w:val="42F9198D"/>
    <w:rsid w:val="43721740"/>
    <w:rsid w:val="43866F99"/>
    <w:rsid w:val="43AA2C88"/>
    <w:rsid w:val="43D50677"/>
    <w:rsid w:val="43EE526A"/>
    <w:rsid w:val="443D361B"/>
    <w:rsid w:val="44873D87"/>
    <w:rsid w:val="44AF08E0"/>
    <w:rsid w:val="44C965F0"/>
    <w:rsid w:val="44D768DC"/>
    <w:rsid w:val="44FD328B"/>
    <w:rsid w:val="45553485"/>
    <w:rsid w:val="45594965"/>
    <w:rsid w:val="45DE130F"/>
    <w:rsid w:val="46574DF8"/>
    <w:rsid w:val="46935C55"/>
    <w:rsid w:val="47190850"/>
    <w:rsid w:val="473D564F"/>
    <w:rsid w:val="47EF335F"/>
    <w:rsid w:val="481976C9"/>
    <w:rsid w:val="483E7E42"/>
    <w:rsid w:val="48B16866"/>
    <w:rsid w:val="48BA1BBF"/>
    <w:rsid w:val="48E2351F"/>
    <w:rsid w:val="48EC3D42"/>
    <w:rsid w:val="491F5EC6"/>
    <w:rsid w:val="49D7437C"/>
    <w:rsid w:val="49D97023"/>
    <w:rsid w:val="4A525E27"/>
    <w:rsid w:val="4ADA20A4"/>
    <w:rsid w:val="4AFC64BF"/>
    <w:rsid w:val="4B0A2524"/>
    <w:rsid w:val="4B182BCD"/>
    <w:rsid w:val="4B271062"/>
    <w:rsid w:val="4B427C4A"/>
    <w:rsid w:val="4B4D164B"/>
    <w:rsid w:val="4B8B5553"/>
    <w:rsid w:val="4B8D5369"/>
    <w:rsid w:val="4BDE7972"/>
    <w:rsid w:val="4C327CBE"/>
    <w:rsid w:val="4C7118E6"/>
    <w:rsid w:val="4CD66A0B"/>
    <w:rsid w:val="4D067CE2"/>
    <w:rsid w:val="4D4E28D6"/>
    <w:rsid w:val="4D583754"/>
    <w:rsid w:val="4DD274B4"/>
    <w:rsid w:val="4DE63C83"/>
    <w:rsid w:val="4E050DF2"/>
    <w:rsid w:val="4E0C6BB2"/>
    <w:rsid w:val="4E6475BB"/>
    <w:rsid w:val="4E8C7803"/>
    <w:rsid w:val="4E8E49EF"/>
    <w:rsid w:val="4F1F09CE"/>
    <w:rsid w:val="4FB721B2"/>
    <w:rsid w:val="50096F88"/>
    <w:rsid w:val="5050435B"/>
    <w:rsid w:val="50845C84"/>
    <w:rsid w:val="50874A7C"/>
    <w:rsid w:val="50DB0924"/>
    <w:rsid w:val="51106AD1"/>
    <w:rsid w:val="51346B59"/>
    <w:rsid w:val="51497574"/>
    <w:rsid w:val="515A3F70"/>
    <w:rsid w:val="51B7207F"/>
    <w:rsid w:val="52205562"/>
    <w:rsid w:val="5235360D"/>
    <w:rsid w:val="537227A1"/>
    <w:rsid w:val="538C6484"/>
    <w:rsid w:val="547444B5"/>
    <w:rsid w:val="54E3171B"/>
    <w:rsid w:val="553E6B49"/>
    <w:rsid w:val="555962BC"/>
    <w:rsid w:val="55782047"/>
    <w:rsid w:val="559C0A1B"/>
    <w:rsid w:val="559F4616"/>
    <w:rsid w:val="565A5F04"/>
    <w:rsid w:val="567A473C"/>
    <w:rsid w:val="567E247E"/>
    <w:rsid w:val="56C34335"/>
    <w:rsid w:val="56DE4CCA"/>
    <w:rsid w:val="57A23F4A"/>
    <w:rsid w:val="57B40121"/>
    <w:rsid w:val="57EC1669"/>
    <w:rsid w:val="57EF2F07"/>
    <w:rsid w:val="580A7E63"/>
    <w:rsid w:val="581D5CC6"/>
    <w:rsid w:val="58354DBE"/>
    <w:rsid w:val="586E6522"/>
    <w:rsid w:val="587343DE"/>
    <w:rsid w:val="58DF4D2A"/>
    <w:rsid w:val="592134B6"/>
    <w:rsid w:val="59BC506B"/>
    <w:rsid w:val="5AFD593B"/>
    <w:rsid w:val="5B1E7D8B"/>
    <w:rsid w:val="5B843CB1"/>
    <w:rsid w:val="5C9069F9"/>
    <w:rsid w:val="5CA4354B"/>
    <w:rsid w:val="5CD4417F"/>
    <w:rsid w:val="5D485594"/>
    <w:rsid w:val="5E580404"/>
    <w:rsid w:val="5E9B490D"/>
    <w:rsid w:val="5EC24ED2"/>
    <w:rsid w:val="5FE377F5"/>
    <w:rsid w:val="60002155"/>
    <w:rsid w:val="601C57A4"/>
    <w:rsid w:val="60327BCF"/>
    <w:rsid w:val="608172C7"/>
    <w:rsid w:val="60BF5B6D"/>
    <w:rsid w:val="610101A9"/>
    <w:rsid w:val="61191464"/>
    <w:rsid w:val="617E77D6"/>
    <w:rsid w:val="618E61D0"/>
    <w:rsid w:val="62257C51"/>
    <w:rsid w:val="627B5AC3"/>
    <w:rsid w:val="62C70D09"/>
    <w:rsid w:val="62EF64B1"/>
    <w:rsid w:val="635050CE"/>
    <w:rsid w:val="63747933"/>
    <w:rsid w:val="639F1538"/>
    <w:rsid w:val="63BD7347"/>
    <w:rsid w:val="63E41B0D"/>
    <w:rsid w:val="64836EB1"/>
    <w:rsid w:val="65461C16"/>
    <w:rsid w:val="65CD4500"/>
    <w:rsid w:val="65D268BF"/>
    <w:rsid w:val="660F1A4C"/>
    <w:rsid w:val="66326DE1"/>
    <w:rsid w:val="665F2972"/>
    <w:rsid w:val="66B772E6"/>
    <w:rsid w:val="66FE6CC3"/>
    <w:rsid w:val="67642FCA"/>
    <w:rsid w:val="6782385A"/>
    <w:rsid w:val="678E0047"/>
    <w:rsid w:val="6841155D"/>
    <w:rsid w:val="68FC6AAF"/>
    <w:rsid w:val="69313380"/>
    <w:rsid w:val="695D6586"/>
    <w:rsid w:val="698C4A5A"/>
    <w:rsid w:val="699670DE"/>
    <w:rsid w:val="69D57320"/>
    <w:rsid w:val="6A1A4DFA"/>
    <w:rsid w:val="6A2838E9"/>
    <w:rsid w:val="6A4B6246"/>
    <w:rsid w:val="6A9216E1"/>
    <w:rsid w:val="6AB51A92"/>
    <w:rsid w:val="6ADA23BF"/>
    <w:rsid w:val="6B1443F1"/>
    <w:rsid w:val="6B2F38EF"/>
    <w:rsid w:val="6B6A6A4F"/>
    <w:rsid w:val="6B833C3B"/>
    <w:rsid w:val="6B991FAA"/>
    <w:rsid w:val="6BFA3EFD"/>
    <w:rsid w:val="6C3B62C3"/>
    <w:rsid w:val="6C542574"/>
    <w:rsid w:val="6C975BF0"/>
    <w:rsid w:val="6D57712D"/>
    <w:rsid w:val="6DD8026E"/>
    <w:rsid w:val="6E050C0B"/>
    <w:rsid w:val="6E625D89"/>
    <w:rsid w:val="6ED41D46"/>
    <w:rsid w:val="6F8844A9"/>
    <w:rsid w:val="6FD809F9"/>
    <w:rsid w:val="6FF3138F"/>
    <w:rsid w:val="6FF313AA"/>
    <w:rsid w:val="70952446"/>
    <w:rsid w:val="70B7060E"/>
    <w:rsid w:val="71AF7537"/>
    <w:rsid w:val="721B5D0C"/>
    <w:rsid w:val="72881F4D"/>
    <w:rsid w:val="72A360A1"/>
    <w:rsid w:val="72AC7F1B"/>
    <w:rsid w:val="72CF70DB"/>
    <w:rsid w:val="72FD37B7"/>
    <w:rsid w:val="732B0E40"/>
    <w:rsid w:val="73C179F6"/>
    <w:rsid w:val="74955EF0"/>
    <w:rsid w:val="75703482"/>
    <w:rsid w:val="75752846"/>
    <w:rsid w:val="75E97B12"/>
    <w:rsid w:val="760F67F7"/>
    <w:rsid w:val="76A2766B"/>
    <w:rsid w:val="776B2153"/>
    <w:rsid w:val="77BA09E4"/>
    <w:rsid w:val="77ED79B1"/>
    <w:rsid w:val="784A7FBA"/>
    <w:rsid w:val="784B5AE0"/>
    <w:rsid w:val="78C50356"/>
    <w:rsid w:val="79A6738D"/>
    <w:rsid w:val="7A03422D"/>
    <w:rsid w:val="7A0B5527"/>
    <w:rsid w:val="7A0C1531"/>
    <w:rsid w:val="7A3507F6"/>
    <w:rsid w:val="7A74131E"/>
    <w:rsid w:val="7AE71DD7"/>
    <w:rsid w:val="7B276391"/>
    <w:rsid w:val="7B4A7A82"/>
    <w:rsid w:val="7BCB1412"/>
    <w:rsid w:val="7D115F5C"/>
    <w:rsid w:val="7D2A10FD"/>
    <w:rsid w:val="7D307323"/>
    <w:rsid w:val="7D8F646F"/>
    <w:rsid w:val="7DB639FC"/>
    <w:rsid w:val="7DCC1471"/>
    <w:rsid w:val="7DDA4FD0"/>
    <w:rsid w:val="7DEE78D1"/>
    <w:rsid w:val="7E1C10CC"/>
    <w:rsid w:val="7E4D4360"/>
    <w:rsid w:val="7E6C6061"/>
    <w:rsid w:val="7F0D3AEF"/>
    <w:rsid w:val="7F395CC9"/>
    <w:rsid w:val="7F9D5C28"/>
    <w:rsid w:val="7FB957B9"/>
    <w:rsid w:val="7FC761E1"/>
    <w:rsid w:val="7FD5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36"/>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7"/>
    <w:qFormat/>
    <w:uiPriority w:val="9"/>
    <w:pPr>
      <w:keepNext/>
      <w:spacing w:before="240" w:after="60"/>
      <w:outlineLvl w:val="1"/>
    </w:pPr>
    <w:rPr>
      <w:rFonts w:ascii="Cambria" w:hAnsi="Cambria"/>
      <w:b/>
      <w:bCs/>
      <w:i/>
      <w:iCs/>
      <w:sz w:val="28"/>
      <w:szCs w:val="28"/>
    </w:rPr>
  </w:style>
  <w:style w:type="paragraph" w:styleId="6">
    <w:name w:val="heading 3"/>
    <w:basedOn w:val="1"/>
    <w:next w:val="1"/>
    <w:link w:val="38"/>
    <w:qFormat/>
    <w:uiPriority w:val="9"/>
    <w:pPr>
      <w:keepNext/>
      <w:spacing w:before="240" w:after="60"/>
      <w:outlineLvl w:val="2"/>
    </w:pPr>
    <w:rPr>
      <w:rFonts w:ascii="Cambria" w:hAnsi="Cambria"/>
      <w:b/>
      <w:bCs/>
      <w:sz w:val="26"/>
      <w:szCs w:val="26"/>
    </w:rPr>
  </w:style>
  <w:style w:type="paragraph" w:styleId="7">
    <w:name w:val="heading 4"/>
    <w:basedOn w:val="1"/>
    <w:next w:val="1"/>
    <w:link w:val="39"/>
    <w:qFormat/>
    <w:uiPriority w:val="9"/>
    <w:pPr>
      <w:keepNext/>
      <w:spacing w:before="240" w:after="60"/>
      <w:outlineLvl w:val="3"/>
    </w:pPr>
    <w:rPr>
      <w:b/>
      <w:bCs/>
      <w:sz w:val="28"/>
      <w:szCs w:val="28"/>
    </w:rPr>
  </w:style>
  <w:style w:type="paragraph" w:styleId="8">
    <w:name w:val="heading 5"/>
    <w:basedOn w:val="1"/>
    <w:next w:val="1"/>
    <w:link w:val="40"/>
    <w:qFormat/>
    <w:uiPriority w:val="9"/>
    <w:pPr>
      <w:spacing w:before="240" w:after="60"/>
      <w:outlineLvl w:val="4"/>
    </w:pPr>
    <w:rPr>
      <w:b/>
      <w:bCs/>
      <w:i/>
      <w:iCs/>
      <w:sz w:val="26"/>
      <w:szCs w:val="26"/>
    </w:rPr>
  </w:style>
  <w:style w:type="paragraph" w:styleId="9">
    <w:name w:val="heading 6"/>
    <w:basedOn w:val="1"/>
    <w:next w:val="1"/>
    <w:link w:val="41"/>
    <w:qFormat/>
    <w:uiPriority w:val="9"/>
    <w:pPr>
      <w:spacing w:before="240" w:after="60"/>
      <w:outlineLvl w:val="5"/>
    </w:pPr>
    <w:rPr>
      <w:b/>
      <w:bCs/>
      <w:sz w:val="20"/>
      <w:szCs w:val="20"/>
    </w:rPr>
  </w:style>
  <w:style w:type="paragraph" w:styleId="10">
    <w:name w:val="heading 7"/>
    <w:basedOn w:val="1"/>
    <w:next w:val="1"/>
    <w:link w:val="42"/>
    <w:qFormat/>
    <w:uiPriority w:val="9"/>
    <w:pPr>
      <w:spacing w:before="240" w:after="60"/>
      <w:outlineLvl w:val="6"/>
    </w:pPr>
  </w:style>
  <w:style w:type="paragraph" w:styleId="11">
    <w:name w:val="heading 8"/>
    <w:basedOn w:val="1"/>
    <w:next w:val="1"/>
    <w:link w:val="43"/>
    <w:qFormat/>
    <w:uiPriority w:val="9"/>
    <w:pPr>
      <w:spacing w:before="240" w:after="60"/>
      <w:outlineLvl w:val="7"/>
    </w:pPr>
    <w:rPr>
      <w:i/>
      <w:iCs/>
    </w:rPr>
  </w:style>
  <w:style w:type="paragraph" w:styleId="12">
    <w:name w:val="heading 9"/>
    <w:basedOn w:val="1"/>
    <w:next w:val="1"/>
    <w:link w:val="44"/>
    <w:qFormat/>
    <w:uiPriority w:val="9"/>
    <w:pPr>
      <w:spacing w:before="240" w:after="60"/>
      <w:outlineLvl w:val="8"/>
    </w:pPr>
    <w:rPr>
      <w:rFonts w:ascii="Cambria" w:hAnsi="Cambria"/>
      <w:sz w:val="20"/>
      <w:szCs w:val="20"/>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sz w:val="28"/>
      <w:szCs w:val="20"/>
    </w:rPr>
  </w:style>
  <w:style w:type="paragraph" w:styleId="13">
    <w:name w:val="Normal Indent"/>
    <w:basedOn w:val="1"/>
    <w:link w:val="45"/>
    <w:qFormat/>
    <w:uiPriority w:val="0"/>
    <w:pPr>
      <w:widowControl w:val="0"/>
      <w:ind w:firstLine="420"/>
      <w:jc w:val="both"/>
    </w:pPr>
    <w:rPr>
      <w:kern w:val="2"/>
      <w:sz w:val="28"/>
      <w:szCs w:val="20"/>
    </w:rPr>
  </w:style>
  <w:style w:type="paragraph" w:styleId="14">
    <w:name w:val="annotation text"/>
    <w:basedOn w:val="1"/>
    <w:next w:val="13"/>
    <w:link w:val="46"/>
    <w:unhideWhenUsed/>
    <w:qFormat/>
    <w:uiPriority w:val="0"/>
    <w:rPr>
      <w:kern w:val="2"/>
      <w:sz w:val="21"/>
      <w:szCs w:val="20"/>
    </w:rPr>
  </w:style>
  <w:style w:type="paragraph" w:styleId="15">
    <w:name w:val="Body Text"/>
    <w:basedOn w:val="1"/>
    <w:next w:val="16"/>
    <w:qFormat/>
    <w:uiPriority w:val="0"/>
    <w:pPr>
      <w:spacing w:line="360" w:lineRule="auto"/>
    </w:pPr>
    <w:rPr>
      <w:szCs w:val="20"/>
    </w:rPr>
  </w:style>
  <w:style w:type="paragraph" w:customStyle="1" w:styleId="16">
    <w:name w:val="Default"/>
    <w:next w:val="1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大标题"/>
    <w:basedOn w:val="1"/>
    <w:next w:val="18"/>
    <w:qFormat/>
    <w:uiPriority w:val="0"/>
    <w:pPr>
      <w:jc w:val="center"/>
    </w:pPr>
    <w:rPr>
      <w:rFonts w:ascii="Arial" w:hAnsi="Arial"/>
      <w:b/>
      <w:sz w:val="28"/>
    </w:rPr>
  </w:style>
  <w:style w:type="paragraph" w:styleId="18">
    <w:name w:val="Body Text First Indent 2"/>
    <w:basedOn w:val="19"/>
    <w:next w:val="15"/>
    <w:semiHidden/>
    <w:unhideWhenUsed/>
    <w:qFormat/>
    <w:uiPriority w:val="99"/>
    <w:pPr>
      <w:spacing w:after="120"/>
      <w:ind w:left="420" w:leftChars="200" w:firstLine="420" w:firstLineChars="200"/>
    </w:pPr>
    <w:rPr>
      <w:rFonts w:ascii="Calibri"/>
      <w:sz w:val="24"/>
      <w:szCs w:val="22"/>
    </w:rPr>
  </w:style>
  <w:style w:type="paragraph" w:styleId="19">
    <w:name w:val="Body Text Indent"/>
    <w:basedOn w:val="1"/>
    <w:next w:val="15"/>
    <w:qFormat/>
    <w:uiPriority w:val="99"/>
    <w:pPr>
      <w:ind w:firstLine="645"/>
    </w:pPr>
    <w:rPr>
      <w:rFonts w:ascii="宋体"/>
      <w:sz w:val="32"/>
      <w:szCs w:val="20"/>
    </w:rPr>
  </w:style>
  <w:style w:type="paragraph" w:styleId="20">
    <w:name w:val="Balloon Text"/>
    <w:basedOn w:val="1"/>
    <w:link w:val="47"/>
    <w:qFormat/>
    <w:uiPriority w:val="0"/>
    <w:rPr>
      <w:kern w:val="2"/>
      <w:sz w:val="18"/>
      <w:szCs w:val="18"/>
    </w:rPr>
  </w:style>
  <w:style w:type="paragraph" w:styleId="21">
    <w:name w:val="footer"/>
    <w:basedOn w:val="1"/>
    <w:link w:val="48"/>
    <w:qFormat/>
    <w:uiPriority w:val="99"/>
    <w:pPr>
      <w:tabs>
        <w:tab w:val="center" w:pos="4153"/>
        <w:tab w:val="right" w:pos="8306"/>
      </w:tabs>
      <w:snapToGrid w:val="0"/>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qFormat/>
    <w:uiPriority w:val="0"/>
  </w:style>
  <w:style w:type="paragraph" w:styleId="24">
    <w:name w:val="Subtitle"/>
    <w:basedOn w:val="1"/>
    <w:next w:val="1"/>
    <w:link w:val="49"/>
    <w:qFormat/>
    <w:uiPriority w:val="11"/>
    <w:pPr>
      <w:spacing w:after="60"/>
      <w:jc w:val="center"/>
      <w:outlineLvl w:val="1"/>
    </w:pPr>
    <w:rPr>
      <w:rFonts w:ascii="Cambria" w:hAnsi="Cambria"/>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26">
    <w:name w:val="Normal (Web)"/>
    <w:basedOn w:val="1"/>
    <w:qFormat/>
    <w:uiPriority w:val="0"/>
    <w:pPr>
      <w:spacing w:before="100" w:beforeAutospacing="1" w:after="100" w:afterAutospacing="1"/>
    </w:pPr>
  </w:style>
  <w:style w:type="paragraph" w:styleId="27">
    <w:name w:val="Title"/>
    <w:basedOn w:val="1"/>
    <w:next w:val="1"/>
    <w:link w:val="50"/>
    <w:qFormat/>
    <w:uiPriority w:val="10"/>
    <w:pPr>
      <w:spacing w:before="240" w:after="60"/>
      <w:jc w:val="center"/>
      <w:outlineLvl w:val="0"/>
    </w:pPr>
    <w:rPr>
      <w:rFonts w:ascii="Cambria" w:hAnsi="Cambria"/>
      <w:b/>
      <w:bCs/>
      <w:kern w:val="28"/>
      <w:sz w:val="32"/>
      <w:szCs w:val="32"/>
    </w:rPr>
  </w:style>
  <w:style w:type="paragraph" w:styleId="28">
    <w:name w:val="annotation subject"/>
    <w:basedOn w:val="14"/>
    <w:next w:val="14"/>
    <w:link w:val="51"/>
    <w:qFormat/>
    <w:uiPriority w:val="0"/>
    <w:rPr>
      <w:b/>
      <w:bCs/>
    </w:r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rFonts w:ascii="Calibri" w:hAnsi="Calibri"/>
      <w:b/>
      <w:i/>
      <w:iCs/>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字符"/>
    <w:link w:val="3"/>
    <w:qFormat/>
    <w:uiPriority w:val="9"/>
    <w:rPr>
      <w:rFonts w:ascii="Cambria" w:hAnsi="Cambria" w:eastAsia="宋体"/>
      <w:b/>
      <w:bCs/>
      <w:kern w:val="32"/>
      <w:sz w:val="32"/>
      <w:szCs w:val="32"/>
    </w:rPr>
  </w:style>
  <w:style w:type="character" w:customStyle="1" w:styleId="37">
    <w:name w:val="标题 2 字符"/>
    <w:link w:val="5"/>
    <w:semiHidden/>
    <w:qFormat/>
    <w:uiPriority w:val="9"/>
    <w:rPr>
      <w:rFonts w:ascii="Cambria" w:hAnsi="Cambria" w:eastAsia="宋体"/>
      <w:b/>
      <w:bCs/>
      <w:i/>
      <w:iCs/>
      <w:sz w:val="28"/>
      <w:szCs w:val="28"/>
    </w:rPr>
  </w:style>
  <w:style w:type="character" w:customStyle="1" w:styleId="38">
    <w:name w:val="标题 3 字符"/>
    <w:link w:val="6"/>
    <w:qFormat/>
    <w:uiPriority w:val="9"/>
    <w:rPr>
      <w:rFonts w:ascii="Cambria" w:hAnsi="Cambria" w:eastAsia="宋体"/>
      <w:b/>
      <w:bCs/>
      <w:sz w:val="26"/>
      <w:szCs w:val="26"/>
    </w:rPr>
  </w:style>
  <w:style w:type="character" w:customStyle="1" w:styleId="39">
    <w:name w:val="标题 4 字符"/>
    <w:link w:val="7"/>
    <w:semiHidden/>
    <w:qFormat/>
    <w:uiPriority w:val="9"/>
    <w:rPr>
      <w:b/>
      <w:bCs/>
      <w:sz w:val="28"/>
      <w:szCs w:val="28"/>
    </w:rPr>
  </w:style>
  <w:style w:type="character" w:customStyle="1" w:styleId="40">
    <w:name w:val="标题 5 字符"/>
    <w:link w:val="8"/>
    <w:semiHidden/>
    <w:qFormat/>
    <w:uiPriority w:val="9"/>
    <w:rPr>
      <w:b/>
      <w:bCs/>
      <w:i/>
      <w:iCs/>
      <w:sz w:val="26"/>
      <w:szCs w:val="26"/>
    </w:rPr>
  </w:style>
  <w:style w:type="character" w:customStyle="1" w:styleId="41">
    <w:name w:val="标题 6 字符"/>
    <w:link w:val="9"/>
    <w:semiHidden/>
    <w:qFormat/>
    <w:uiPriority w:val="9"/>
    <w:rPr>
      <w:b/>
      <w:bCs/>
    </w:rPr>
  </w:style>
  <w:style w:type="character" w:customStyle="1" w:styleId="42">
    <w:name w:val="标题 7 字符"/>
    <w:link w:val="10"/>
    <w:semiHidden/>
    <w:qFormat/>
    <w:uiPriority w:val="9"/>
    <w:rPr>
      <w:sz w:val="24"/>
      <w:szCs w:val="24"/>
    </w:rPr>
  </w:style>
  <w:style w:type="character" w:customStyle="1" w:styleId="43">
    <w:name w:val="标题 8 字符"/>
    <w:link w:val="11"/>
    <w:semiHidden/>
    <w:qFormat/>
    <w:uiPriority w:val="9"/>
    <w:rPr>
      <w:i/>
      <w:iCs/>
      <w:sz w:val="24"/>
      <w:szCs w:val="24"/>
    </w:rPr>
  </w:style>
  <w:style w:type="character" w:customStyle="1" w:styleId="44">
    <w:name w:val="标题 9 字符"/>
    <w:link w:val="12"/>
    <w:semiHidden/>
    <w:qFormat/>
    <w:uiPriority w:val="9"/>
    <w:rPr>
      <w:rFonts w:ascii="Cambria" w:hAnsi="Cambria" w:eastAsia="宋体"/>
    </w:rPr>
  </w:style>
  <w:style w:type="character" w:customStyle="1" w:styleId="45">
    <w:name w:val="正文缩进 字符"/>
    <w:link w:val="13"/>
    <w:qFormat/>
    <w:uiPriority w:val="0"/>
    <w:rPr>
      <w:kern w:val="2"/>
      <w:sz w:val="28"/>
    </w:rPr>
  </w:style>
  <w:style w:type="character" w:customStyle="1" w:styleId="46">
    <w:name w:val="批注文字 字符"/>
    <w:link w:val="14"/>
    <w:qFormat/>
    <w:uiPriority w:val="0"/>
    <w:rPr>
      <w:kern w:val="2"/>
      <w:sz w:val="21"/>
    </w:rPr>
  </w:style>
  <w:style w:type="character" w:customStyle="1" w:styleId="47">
    <w:name w:val="批注框文本 字符"/>
    <w:link w:val="20"/>
    <w:qFormat/>
    <w:uiPriority w:val="0"/>
    <w:rPr>
      <w:kern w:val="2"/>
      <w:sz w:val="18"/>
      <w:szCs w:val="18"/>
    </w:rPr>
  </w:style>
  <w:style w:type="character" w:customStyle="1" w:styleId="48">
    <w:name w:val="页脚 字符"/>
    <w:link w:val="21"/>
    <w:qFormat/>
    <w:uiPriority w:val="99"/>
    <w:rPr>
      <w:sz w:val="18"/>
      <w:szCs w:val="24"/>
    </w:rPr>
  </w:style>
  <w:style w:type="character" w:customStyle="1" w:styleId="49">
    <w:name w:val="副标题 字符"/>
    <w:link w:val="24"/>
    <w:qFormat/>
    <w:uiPriority w:val="11"/>
    <w:rPr>
      <w:rFonts w:ascii="Cambria" w:hAnsi="Cambria" w:eastAsia="宋体"/>
      <w:sz w:val="24"/>
      <w:szCs w:val="24"/>
    </w:rPr>
  </w:style>
  <w:style w:type="character" w:customStyle="1" w:styleId="50">
    <w:name w:val="标题 字符"/>
    <w:link w:val="27"/>
    <w:qFormat/>
    <w:uiPriority w:val="10"/>
    <w:rPr>
      <w:rFonts w:ascii="Cambria" w:hAnsi="Cambria" w:eastAsia="宋体"/>
      <w:b/>
      <w:bCs/>
      <w:kern w:val="28"/>
      <w:sz w:val="32"/>
      <w:szCs w:val="32"/>
    </w:rPr>
  </w:style>
  <w:style w:type="character" w:customStyle="1" w:styleId="51">
    <w:name w:val="批注主题 字符"/>
    <w:link w:val="28"/>
    <w:qFormat/>
    <w:uiPriority w:val="0"/>
    <w:rPr>
      <w:b/>
      <w:bCs/>
      <w:kern w:val="2"/>
      <w:sz w:val="21"/>
    </w:rPr>
  </w:style>
  <w:style w:type="character" w:customStyle="1" w:styleId="52">
    <w:name w:val="font41"/>
    <w:qFormat/>
    <w:uiPriority w:val="0"/>
    <w:rPr>
      <w:rFonts w:hint="eastAsia" w:ascii="宋体" w:hAnsi="宋体" w:eastAsia="宋体" w:cs="宋体"/>
      <w:color w:val="000000"/>
      <w:sz w:val="22"/>
      <w:szCs w:val="22"/>
      <w:u w:val="none"/>
    </w:rPr>
  </w:style>
  <w:style w:type="character" w:customStyle="1" w:styleId="53">
    <w:name w:val="_Style 44"/>
    <w:qFormat/>
    <w:uiPriority w:val="32"/>
    <w:rPr>
      <w:b/>
      <w:sz w:val="24"/>
      <w:u w:val="single"/>
    </w:rPr>
  </w:style>
  <w:style w:type="character" w:customStyle="1" w:styleId="54">
    <w:name w:val="_Style 45"/>
    <w:qFormat/>
    <w:uiPriority w:val="33"/>
    <w:rPr>
      <w:rFonts w:ascii="Cambria" w:hAnsi="Cambria" w:eastAsia="宋体"/>
      <w:b/>
      <w:i/>
      <w:sz w:val="24"/>
      <w:szCs w:val="24"/>
    </w:rPr>
  </w:style>
  <w:style w:type="character" w:customStyle="1" w:styleId="55">
    <w:name w:val="引用 字符"/>
    <w:link w:val="56"/>
    <w:qFormat/>
    <w:uiPriority w:val="29"/>
    <w:rPr>
      <w:i/>
      <w:sz w:val="24"/>
      <w:szCs w:val="24"/>
    </w:rPr>
  </w:style>
  <w:style w:type="paragraph" w:styleId="56">
    <w:name w:val="Quote"/>
    <w:basedOn w:val="1"/>
    <w:next w:val="1"/>
    <w:link w:val="55"/>
    <w:qFormat/>
    <w:uiPriority w:val="29"/>
    <w:rPr>
      <w:i/>
    </w:rPr>
  </w:style>
  <w:style w:type="character" w:customStyle="1" w:styleId="57">
    <w:name w:val="明显引用 字符"/>
    <w:link w:val="58"/>
    <w:qFormat/>
    <w:uiPriority w:val="30"/>
    <w:rPr>
      <w:b/>
      <w:i/>
      <w:sz w:val="24"/>
    </w:rPr>
  </w:style>
  <w:style w:type="paragraph" w:styleId="58">
    <w:name w:val="Intense Quote"/>
    <w:basedOn w:val="1"/>
    <w:next w:val="1"/>
    <w:link w:val="57"/>
    <w:qFormat/>
    <w:uiPriority w:val="30"/>
    <w:pPr>
      <w:ind w:left="720" w:right="720"/>
    </w:pPr>
    <w:rPr>
      <w:b/>
      <w:i/>
      <w:szCs w:val="20"/>
    </w:rPr>
  </w:style>
  <w:style w:type="character" w:customStyle="1" w:styleId="59">
    <w:name w:val="_Style 50"/>
    <w:qFormat/>
    <w:uiPriority w:val="31"/>
    <w:rPr>
      <w:sz w:val="24"/>
      <w:szCs w:val="24"/>
      <w:u w:val="single"/>
    </w:rPr>
  </w:style>
  <w:style w:type="character" w:customStyle="1" w:styleId="60">
    <w:name w:val="_Style 51"/>
    <w:qFormat/>
    <w:uiPriority w:val="21"/>
    <w:rPr>
      <w:b/>
      <w:i/>
      <w:sz w:val="24"/>
      <w:szCs w:val="24"/>
      <w:u w:val="single"/>
    </w:rPr>
  </w:style>
  <w:style w:type="character" w:customStyle="1" w:styleId="61">
    <w:name w:val="font31"/>
    <w:qFormat/>
    <w:uiPriority w:val="0"/>
    <w:rPr>
      <w:rFonts w:hint="eastAsia" w:ascii="宋体" w:hAnsi="宋体" w:eastAsia="宋体" w:cs="宋体"/>
      <w:color w:val="000000"/>
      <w:sz w:val="36"/>
      <w:szCs w:val="36"/>
      <w:u w:val="none"/>
    </w:rPr>
  </w:style>
  <w:style w:type="character" w:customStyle="1" w:styleId="62">
    <w:name w:val="_Style 53"/>
    <w:qFormat/>
    <w:uiPriority w:val="19"/>
    <w:rPr>
      <w:i/>
      <w:color w:val="5A5A5A"/>
    </w:rPr>
  </w:style>
  <w:style w:type="character" w:customStyle="1" w:styleId="63">
    <w:name w:val="font11"/>
    <w:qFormat/>
    <w:uiPriority w:val="0"/>
    <w:rPr>
      <w:rFonts w:hint="eastAsia" w:ascii="宋体" w:hAnsi="宋体" w:eastAsia="宋体" w:cs="宋体"/>
      <w:color w:val="000000"/>
      <w:sz w:val="40"/>
      <w:szCs w:val="40"/>
      <w:u w:val="none"/>
    </w:rPr>
  </w:style>
  <w:style w:type="paragraph" w:customStyle="1" w:styleId="64">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5">
    <w:name w:val="_Style 2"/>
    <w:basedOn w:val="3"/>
    <w:next w:val="1"/>
    <w:qFormat/>
    <w:uiPriority w:val="0"/>
    <w:pPr>
      <w:spacing w:before="480" w:after="0" w:line="276" w:lineRule="auto"/>
      <w:jc w:val="center"/>
      <w:outlineLvl w:val="9"/>
    </w:pPr>
    <w:rPr>
      <w:kern w:val="0"/>
      <w:sz w:val="36"/>
      <w:szCs w:val="28"/>
    </w:rPr>
  </w:style>
  <w:style w:type="paragraph" w:styleId="66">
    <w:name w:val="List Paragraph"/>
    <w:basedOn w:val="1"/>
    <w:qFormat/>
    <w:uiPriority w:val="34"/>
    <w:pPr>
      <w:ind w:left="720"/>
      <w:contextualSpacing/>
    </w:pPr>
  </w:style>
  <w:style w:type="paragraph" w:styleId="67">
    <w:name w:val="No Spacing"/>
    <w:basedOn w:val="1"/>
    <w:qFormat/>
    <w:uiPriority w:val="1"/>
    <w:rPr>
      <w:szCs w:val="32"/>
    </w:rPr>
  </w:style>
  <w:style w:type="paragraph" w:customStyle="1" w:styleId="68">
    <w:name w:val="_Style 60"/>
    <w:basedOn w:val="3"/>
    <w:next w:val="1"/>
    <w:qFormat/>
    <w:uiPriority w:val="39"/>
    <w:pPr>
      <w:outlineLvl w:val="9"/>
    </w:pPr>
  </w:style>
  <w:style w:type="paragraph" w:customStyle="1" w:styleId="69">
    <w:name w:val="修订1"/>
    <w:hidden/>
    <w:semiHidden/>
    <w:qFormat/>
    <w:uiPriority w:val="99"/>
    <w:rPr>
      <w:rFonts w:ascii="Times New Roman" w:hAnsi="Times New Roman" w:eastAsia="宋体" w:cs="Times New Roman"/>
      <w:sz w:val="24"/>
      <w:szCs w:val="24"/>
      <w:lang w:val="en-US" w:eastAsia="zh-CN" w:bidi="ar-SA"/>
    </w:rPr>
  </w:style>
  <w:style w:type="paragraph" w:customStyle="1" w:styleId="70">
    <w:name w:val="无间隔1"/>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datastoreItem>
</file>

<file path=docProps/app.xml><?xml version="1.0" encoding="utf-8"?>
<Properties xmlns="http://schemas.openxmlformats.org/officeDocument/2006/extended-properties" xmlns:vt="http://schemas.openxmlformats.org/officeDocument/2006/docPropsVTypes">
  <Template>Normal</Template>
  <Pages>30</Pages>
  <Words>18597</Words>
  <Characters>27455</Characters>
  <Lines>221</Lines>
  <Paragraphs>62</Paragraphs>
  <TotalTime>1</TotalTime>
  <ScaleCrop>false</ScaleCrop>
  <LinksUpToDate>false</LinksUpToDate>
  <CharactersWithSpaces>28284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2022-05-09T03:50:20Z</dcterms:modified>
  <dc:title>5#、6#、7#土方开挖补充协议</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6E26F26AF52D4068A4BE1DD9E3CD36CD</vt:lpwstr>
  </property>
</Properties>
</file>