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52"/>
          <w:szCs w:val="52"/>
          <w:highlight w:val="none"/>
          <w:lang w:eastAsia="zh-CN"/>
        </w:rPr>
      </w:pPr>
    </w:p>
    <w:p>
      <w:pPr>
        <w:spacing w:line="360" w:lineRule="auto"/>
        <w:jc w:val="center"/>
        <w:rPr>
          <w:rFonts w:ascii="宋体" w:hAnsi="宋体" w:cs="宋体"/>
          <w:color w:val="auto"/>
          <w:sz w:val="44"/>
          <w:szCs w:val="44"/>
          <w:highlight w:val="none"/>
        </w:rPr>
      </w:pPr>
      <w:r>
        <w:rPr>
          <w:rFonts w:hint="eastAsia" w:ascii="宋体" w:hAnsi="宋体" w:cs="宋体"/>
          <w:b/>
          <w:bCs/>
          <w:color w:val="auto"/>
          <w:sz w:val="44"/>
          <w:szCs w:val="44"/>
          <w:highlight w:val="none"/>
          <w:lang w:eastAsia="zh-CN"/>
        </w:rPr>
        <w:t>栾川山水文苑项目S1地块车库出入口、人防出入口顶棚及采光井施工工程施工工程</w:t>
      </w:r>
      <w:r>
        <w:rPr>
          <w:rFonts w:hint="eastAsia" w:ascii="宋体" w:hAnsi="宋体" w:cs="宋体"/>
          <w:b/>
          <w:bCs/>
          <w:color w:val="auto"/>
          <w:sz w:val="44"/>
          <w:szCs w:val="44"/>
          <w:highlight w:val="none"/>
        </w:rPr>
        <w:t>合同</w:t>
      </w:r>
    </w:p>
    <w:p>
      <w:pPr>
        <w:spacing w:line="360" w:lineRule="auto"/>
        <w:rPr>
          <w:rFonts w:ascii="宋体" w:hAnsi="宋体" w:cs="宋体"/>
          <w:color w:val="auto"/>
          <w:sz w:val="28"/>
          <w:szCs w:val="32"/>
          <w:highlight w:val="none"/>
        </w:rPr>
      </w:pPr>
    </w:p>
    <w:p>
      <w:pPr>
        <w:spacing w:line="360" w:lineRule="auto"/>
        <w:rPr>
          <w:rFonts w:ascii="宋体" w:hAnsi="宋体" w:cs="宋体"/>
          <w:color w:val="auto"/>
          <w:sz w:val="28"/>
          <w:szCs w:val="32"/>
          <w:highlight w:val="none"/>
        </w:rPr>
      </w:pPr>
    </w:p>
    <w:p>
      <w:pPr>
        <w:pStyle w:val="2"/>
      </w:pPr>
    </w:p>
    <w:p>
      <w:pPr>
        <w:spacing w:line="360" w:lineRule="auto"/>
        <w:rPr>
          <w:rFonts w:ascii="宋体" w:hAnsi="宋体" w:cs="宋体"/>
          <w:color w:val="auto"/>
          <w:sz w:val="28"/>
          <w:szCs w:val="32"/>
          <w:highlight w:val="none"/>
        </w:rPr>
      </w:pPr>
    </w:p>
    <w:p>
      <w:pPr>
        <w:pStyle w:val="2"/>
        <w:rPr>
          <w:rFonts w:ascii="宋体" w:hAnsi="宋体" w:cs="宋体"/>
          <w:color w:val="auto"/>
          <w:sz w:val="28"/>
          <w:szCs w:val="32"/>
          <w:highlight w:val="none"/>
        </w:rPr>
      </w:pPr>
    </w:p>
    <w:p>
      <w:pPr>
        <w:pStyle w:val="2"/>
        <w:rPr>
          <w:rFonts w:ascii="宋体" w:hAnsi="宋体" w:cs="宋体"/>
          <w:color w:val="auto"/>
          <w:sz w:val="28"/>
          <w:szCs w:val="32"/>
          <w:highlight w:val="none"/>
        </w:rPr>
      </w:pPr>
    </w:p>
    <w:p>
      <w:pPr>
        <w:pStyle w:val="2"/>
        <w:rPr>
          <w:rFonts w:ascii="宋体" w:hAnsi="宋体" w:cs="宋体"/>
          <w:color w:val="auto"/>
          <w:sz w:val="28"/>
          <w:szCs w:val="32"/>
          <w:highlight w:val="none"/>
        </w:rPr>
      </w:pPr>
    </w:p>
    <w:p>
      <w:pPr>
        <w:pStyle w:val="2"/>
        <w:ind w:firstLine="420"/>
        <w:rPr>
          <w:color w:val="auto"/>
          <w:highlight w:val="none"/>
        </w:rPr>
      </w:pPr>
    </w:p>
    <w:p>
      <w:pPr>
        <w:pStyle w:val="2"/>
        <w:ind w:firstLine="420"/>
        <w:rPr>
          <w:color w:val="auto"/>
          <w:highlight w:val="none"/>
        </w:rPr>
      </w:pPr>
    </w:p>
    <w:p>
      <w:pPr>
        <w:spacing w:line="360" w:lineRule="auto"/>
        <w:rPr>
          <w:rFonts w:ascii="宋体" w:hAnsi="宋体" w:cs="宋体"/>
          <w:color w:val="auto"/>
          <w:sz w:val="28"/>
          <w:szCs w:val="32"/>
          <w:highlight w:val="none"/>
        </w:rPr>
      </w:pPr>
    </w:p>
    <w:p>
      <w:pPr>
        <w:spacing w:line="360" w:lineRule="auto"/>
        <w:rPr>
          <w:rFonts w:ascii="宋体" w:hAnsi="宋体" w:cs="宋体"/>
          <w:color w:val="auto"/>
          <w:sz w:val="28"/>
          <w:szCs w:val="32"/>
          <w:highlight w:val="none"/>
        </w:rPr>
      </w:pPr>
    </w:p>
    <w:p>
      <w:pPr>
        <w:autoSpaceDN w:val="0"/>
        <w:spacing w:line="360" w:lineRule="auto"/>
        <w:ind w:firstLine="840" w:firstLineChars="280"/>
        <w:rPr>
          <w:rFonts w:hint="eastAsia" w:ascii="宋体" w:hAnsi="宋体"/>
          <w:color w:val="auto"/>
          <w:sz w:val="30"/>
          <w:szCs w:val="30"/>
          <w:highlight w:val="none"/>
          <w:u w:val="single"/>
        </w:rPr>
      </w:pPr>
      <w:r>
        <w:rPr>
          <w:rFonts w:hint="eastAsia" w:ascii="宋体" w:hAnsi="宋体"/>
          <w:color w:val="auto"/>
          <w:sz w:val="30"/>
          <w:szCs w:val="30"/>
          <w:highlight w:val="none"/>
        </w:rPr>
        <w:t xml:space="preserve">            成本代码：</w:t>
      </w:r>
      <w:r>
        <w:rPr>
          <w:rFonts w:hint="eastAsia" w:ascii="宋体" w:hAnsi="宋体"/>
          <w:color w:val="auto"/>
          <w:sz w:val="30"/>
          <w:szCs w:val="30"/>
          <w:highlight w:val="none"/>
          <w:u w:val="single"/>
        </w:rPr>
        <w:t xml:space="preserve">   041301       </w:t>
      </w:r>
    </w:p>
    <w:p>
      <w:pPr>
        <w:autoSpaceDN w:val="0"/>
        <w:spacing w:line="360" w:lineRule="auto"/>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rPr>
        <w:t xml:space="preserve">  LCS1-JP-052   </w:t>
      </w:r>
    </w:p>
    <w:p>
      <w:pPr>
        <w:autoSpaceDN w:val="0"/>
        <w:spacing w:line="360" w:lineRule="auto"/>
        <w:ind w:firstLine="840" w:firstLineChars="280"/>
        <w:rPr>
          <w:rFonts w:ascii="宋体" w:hAnsi="宋体"/>
          <w:color w:val="auto"/>
          <w:sz w:val="30"/>
          <w:szCs w:val="30"/>
          <w:highlight w:val="none"/>
        </w:rPr>
      </w:pPr>
    </w:p>
    <w:p>
      <w:pPr>
        <w:pStyle w:val="2"/>
        <w:ind w:firstLine="600"/>
        <w:rPr>
          <w:rFonts w:ascii="宋体" w:hAnsi="宋体"/>
          <w:color w:val="auto"/>
          <w:sz w:val="30"/>
          <w:szCs w:val="30"/>
          <w:highlight w:val="none"/>
        </w:rPr>
      </w:pPr>
    </w:p>
    <w:p>
      <w:pPr>
        <w:pStyle w:val="2"/>
        <w:ind w:firstLine="600"/>
        <w:rPr>
          <w:rFonts w:ascii="宋体" w:hAnsi="宋体"/>
          <w:color w:val="auto"/>
          <w:sz w:val="30"/>
          <w:szCs w:val="30"/>
          <w:highlight w:val="none"/>
        </w:rPr>
      </w:pPr>
    </w:p>
    <w:p>
      <w:pPr>
        <w:pStyle w:val="2"/>
        <w:autoSpaceDN w:val="0"/>
        <w:spacing w:line="360" w:lineRule="auto"/>
        <w:ind w:firstLine="843" w:firstLineChars="280"/>
        <w:rPr>
          <w:rFonts w:ascii="宋体" w:hAnsi="宋体"/>
          <w:color w:val="auto"/>
          <w:sz w:val="30"/>
          <w:szCs w:val="30"/>
          <w:highlight w:val="none"/>
        </w:rPr>
      </w:pPr>
    </w:p>
    <w:p>
      <w:pPr>
        <w:pStyle w:val="19"/>
        <w:rPr>
          <w:color w:val="auto"/>
          <w:highlight w:val="none"/>
        </w:rPr>
      </w:pPr>
    </w:p>
    <w:p>
      <w:pPr>
        <w:ind w:firstLine="1506" w:firstLineChars="500"/>
        <w:jc w:val="left"/>
        <w:rPr>
          <w:rFonts w:hint="eastAsia" w:ascii="宋体" w:hAnsi="宋体"/>
          <w:b/>
          <w:color w:val="auto"/>
          <w:kern w:val="0"/>
          <w:sz w:val="30"/>
          <w:szCs w:val="30"/>
          <w:highlight w:val="none"/>
          <w:u w:val="single"/>
        </w:rPr>
      </w:pPr>
      <w:r>
        <w:rPr>
          <w:rFonts w:hint="eastAsia" w:ascii="宋体" w:hAnsi="宋体"/>
          <w:b/>
          <w:color w:val="auto"/>
          <w:kern w:val="0"/>
          <w:sz w:val="30"/>
          <w:szCs w:val="30"/>
          <w:highlight w:val="none"/>
        </w:rPr>
        <w:t>发 包 人：</w:t>
      </w:r>
      <w:r>
        <w:rPr>
          <w:rFonts w:hint="eastAsia" w:ascii="宋体" w:hAnsi="宋体"/>
          <w:b/>
          <w:color w:val="auto"/>
          <w:kern w:val="0"/>
          <w:sz w:val="30"/>
          <w:szCs w:val="30"/>
          <w:highlight w:val="none"/>
          <w:u w:val="single"/>
        </w:rPr>
        <w:t xml:space="preserve">   </w:t>
      </w:r>
      <w:r>
        <w:rPr>
          <w:rFonts w:hint="eastAsia" w:ascii="宋体" w:hAnsi="宋体"/>
          <w:color w:val="auto"/>
          <w:sz w:val="30"/>
          <w:szCs w:val="30"/>
          <w:highlight w:val="none"/>
          <w:u w:val="single"/>
        </w:rPr>
        <w:t>栾川县浩德颐康文旅有限公司</w:t>
      </w:r>
      <w:r>
        <w:rPr>
          <w:rFonts w:hint="eastAsia" w:ascii="宋体" w:hAnsi="宋体"/>
          <w:b/>
          <w:color w:val="auto"/>
          <w:kern w:val="0"/>
          <w:sz w:val="30"/>
          <w:szCs w:val="30"/>
          <w:highlight w:val="none"/>
          <w:u w:val="single"/>
        </w:rPr>
        <w:t xml:space="preserve"> </w:t>
      </w:r>
    </w:p>
    <w:p>
      <w:pPr>
        <w:ind w:firstLine="1506" w:firstLineChars="500"/>
        <w:jc w:val="left"/>
        <w:rPr>
          <w:rFonts w:ascii="宋体" w:hAnsi="宋体"/>
          <w:b/>
          <w:color w:val="auto"/>
          <w:kern w:val="0"/>
          <w:sz w:val="30"/>
          <w:szCs w:val="30"/>
          <w:highlight w:val="none"/>
          <w:u w:val="single"/>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rPr>
        <w:t xml:space="preserve">   </w:t>
      </w:r>
      <w:r>
        <w:rPr>
          <w:rFonts w:hint="eastAsia" w:ascii="宋体" w:hAnsi="宋体"/>
          <w:color w:val="auto"/>
          <w:sz w:val="30"/>
          <w:szCs w:val="30"/>
          <w:highlight w:val="none"/>
          <w:u w:val="single"/>
        </w:rPr>
        <w:t>河南星欧钢结构</w:t>
      </w:r>
      <w:r>
        <w:rPr>
          <w:rFonts w:hint="eastAsia" w:ascii="宋体" w:hAnsi="宋体"/>
          <w:color w:val="auto"/>
          <w:sz w:val="30"/>
          <w:szCs w:val="30"/>
          <w:highlight w:val="none"/>
          <w:u w:val="single"/>
          <w:lang w:val="en-US" w:eastAsia="zh-CN"/>
        </w:rPr>
        <w:t>工程有限公司</w:t>
      </w:r>
      <w:r>
        <w:rPr>
          <w:rFonts w:hint="eastAsia" w:ascii="宋体" w:hAnsi="宋体"/>
          <w:color w:val="auto"/>
          <w:sz w:val="30"/>
          <w:szCs w:val="30"/>
          <w:highlight w:val="none"/>
          <w:u w:val="single"/>
        </w:rPr>
        <w:t xml:space="preserve"> </w:t>
      </w:r>
    </w:p>
    <w:p>
      <w:pPr>
        <w:ind w:firstLine="1506" w:firstLineChars="500"/>
        <w:jc w:val="left"/>
        <w:rPr>
          <w:rFonts w:ascii="宋体" w:hAnsi="宋体" w:cs="宋体"/>
          <w:color w:val="auto"/>
          <w:highlight w:val="none"/>
          <w:u w:val="singl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rPr>
        <w:t xml:space="preserve"> </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u w:val="single"/>
          <w:lang w:val="en-US" w:eastAsia="zh-CN"/>
        </w:rPr>
        <w:t>2022</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rPr>
        <w:t>年</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u w:val="single"/>
          <w:lang w:eastAsia="zh-CN"/>
        </w:rPr>
        <w:t xml:space="preserve"> </w:t>
      </w:r>
      <w:r>
        <w:rPr>
          <w:rFonts w:hint="eastAsia" w:ascii="宋体" w:hAnsi="宋体"/>
          <w:b w:val="0"/>
          <w:bCs/>
          <w:color w:val="auto"/>
          <w:kern w:val="0"/>
          <w:sz w:val="30"/>
          <w:szCs w:val="30"/>
          <w:highlight w:val="none"/>
          <w:u w:val="single"/>
          <w:lang w:val="en-US" w:eastAsia="zh-CN"/>
        </w:rPr>
        <w:t>10</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rPr>
        <w:t>月</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u w:val="single"/>
          <w:lang w:eastAsia="zh-CN"/>
        </w:rPr>
        <w:t xml:space="preserve"> </w:t>
      </w:r>
      <w:r>
        <w:rPr>
          <w:rFonts w:hint="eastAsia" w:ascii="宋体" w:hAnsi="宋体"/>
          <w:b w:val="0"/>
          <w:bCs/>
          <w:color w:val="auto"/>
          <w:kern w:val="0"/>
          <w:sz w:val="30"/>
          <w:szCs w:val="30"/>
          <w:highlight w:val="none"/>
          <w:u w:val="single"/>
        </w:rPr>
        <w:t xml:space="preserve"> </w:t>
      </w:r>
      <w:r>
        <w:rPr>
          <w:rFonts w:hint="eastAsia" w:ascii="宋体" w:hAnsi="宋体"/>
          <w:b w:val="0"/>
          <w:bCs/>
          <w:color w:val="auto"/>
          <w:kern w:val="0"/>
          <w:sz w:val="30"/>
          <w:szCs w:val="30"/>
          <w:highlight w:val="none"/>
        </w:rPr>
        <w:t>日</w:t>
      </w:r>
    </w:p>
    <w:p>
      <w:pPr>
        <w:autoSpaceDN w:val="0"/>
        <w:spacing w:line="360" w:lineRule="auto"/>
        <w:rPr>
          <w:rFonts w:hint="eastAsia" w:ascii="宋体" w:hAnsi="宋体" w:cs="宋体"/>
          <w:color w:val="auto"/>
          <w:sz w:val="24"/>
          <w:szCs w:val="24"/>
          <w:highlight w:val="none"/>
          <w:u w:val="single"/>
        </w:rPr>
      </w:pPr>
      <w:r>
        <w:rPr>
          <w:rFonts w:hint="eastAsia" w:ascii="宋体" w:hAnsi="宋体" w:cs="宋体"/>
          <w:b/>
          <w:bCs/>
          <w:color w:val="auto"/>
          <w:sz w:val="24"/>
          <w:szCs w:val="24"/>
          <w:highlight w:val="none"/>
        </w:rPr>
        <w:t>发包人</w:t>
      </w:r>
      <w:r>
        <w:rPr>
          <w:rFonts w:hint="eastAsia" w:ascii="宋体" w:hAnsi="宋体" w:cs="宋体"/>
          <w:color w:val="auto"/>
          <w:sz w:val="24"/>
          <w:szCs w:val="24"/>
          <w:highlight w:val="none"/>
        </w:rPr>
        <w:t>（以下简称甲方）：</w:t>
      </w:r>
      <w:r>
        <w:rPr>
          <w:rFonts w:hint="eastAsia" w:ascii="宋体" w:hAnsi="宋体" w:cs="宋体"/>
          <w:color w:val="auto"/>
          <w:sz w:val="24"/>
          <w:szCs w:val="24"/>
          <w:highlight w:val="none"/>
          <w:u w:val="single"/>
        </w:rPr>
        <w:t xml:space="preserve"> 栾川县浩德颐康文旅有限公司    </w:t>
      </w:r>
    </w:p>
    <w:p>
      <w:pPr>
        <w:autoSpaceDN w:val="0"/>
        <w:spacing w:line="360" w:lineRule="auto"/>
        <w:rPr>
          <w:rFonts w:ascii="宋体" w:hAnsi="宋体" w:cs="宋体"/>
          <w:color w:val="auto"/>
          <w:sz w:val="24"/>
          <w:szCs w:val="24"/>
          <w:highlight w:val="none"/>
          <w:u w:val="single"/>
        </w:rPr>
      </w:pPr>
      <w:r>
        <w:rPr>
          <w:rFonts w:hint="eastAsia" w:ascii="宋体" w:hAnsi="宋体" w:cs="宋体"/>
          <w:b/>
          <w:bCs/>
          <w:color w:val="auto"/>
          <w:sz w:val="24"/>
          <w:szCs w:val="24"/>
          <w:highlight w:val="none"/>
        </w:rPr>
        <w:t>统一社会信用代码</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91410 324MA 9FJUR UXE              </w:t>
      </w:r>
    </w:p>
    <w:p>
      <w:pPr>
        <w:pStyle w:val="2"/>
        <w:ind w:firstLine="0" w:firstLineChars="0"/>
        <w:rPr>
          <w:rFonts w:ascii="宋体" w:hAnsi="宋体" w:cs="宋体"/>
          <w:color w:val="auto"/>
          <w:sz w:val="24"/>
          <w:szCs w:val="24"/>
          <w:highlight w:val="none"/>
          <w:u w:val="single"/>
        </w:rPr>
      </w:pPr>
      <w:r>
        <w:rPr>
          <w:rFonts w:hint="eastAsia" w:ascii="宋体" w:hAnsi="宋体" w:cs="宋体"/>
          <w:b/>
          <w:bCs/>
          <w:color w:val="auto"/>
          <w:sz w:val="24"/>
          <w:szCs w:val="24"/>
          <w:highlight w:val="none"/>
        </w:rPr>
        <w:t>承包人</w:t>
      </w:r>
      <w:r>
        <w:rPr>
          <w:rFonts w:hint="eastAsia" w:ascii="宋体" w:hAnsi="宋体" w:cs="宋体"/>
          <w:color w:val="auto"/>
          <w:sz w:val="24"/>
          <w:szCs w:val="24"/>
          <w:highlight w:val="none"/>
        </w:rPr>
        <w:t>（以下简称乙方）：</w:t>
      </w:r>
      <w:r>
        <w:rPr>
          <w:rFonts w:hint="eastAsia" w:ascii="宋体" w:hAnsi="宋体" w:eastAsia="宋体" w:cs="宋体"/>
          <w:b w:val="0"/>
          <w:color w:val="auto"/>
          <w:kern w:val="2"/>
          <w:position w:val="0"/>
          <w:sz w:val="24"/>
          <w:szCs w:val="24"/>
          <w:highlight w:val="none"/>
          <w:u w:val="single"/>
          <w:lang w:val="en-US" w:eastAsia="zh-CN" w:bidi="ar-SA"/>
        </w:rPr>
        <w:t>河南星欧钢结构工程有限公司</w:t>
      </w:r>
      <w:r>
        <w:rPr>
          <w:rFonts w:hint="eastAsia" w:ascii="宋体" w:hAnsi="宋体" w:eastAsia="宋体" w:cs="Times New Roman"/>
          <w:b w:val="0"/>
          <w:color w:val="auto"/>
          <w:kern w:val="2"/>
          <w:position w:val="0"/>
          <w:sz w:val="30"/>
          <w:szCs w:val="30"/>
          <w:highlight w:val="none"/>
          <w:u w:val="single"/>
          <w:lang w:val="en-US" w:eastAsia="zh-CN" w:bidi="ar-SA"/>
        </w:rPr>
        <w:t xml:space="preserve">   </w:t>
      </w:r>
    </w:p>
    <w:p>
      <w:pPr>
        <w:autoSpaceDN w:val="0"/>
        <w:spacing w:line="360" w:lineRule="auto"/>
        <w:rPr>
          <w:rFonts w:ascii="宋体" w:hAnsi="宋体" w:cs="宋体"/>
          <w:color w:val="auto"/>
          <w:sz w:val="24"/>
          <w:szCs w:val="24"/>
          <w:highlight w:val="none"/>
          <w:u w:val="single"/>
        </w:rPr>
      </w:pPr>
      <w:r>
        <w:rPr>
          <w:rFonts w:hint="eastAsia" w:ascii="宋体" w:hAnsi="宋体" w:cs="宋体"/>
          <w:b/>
          <w:bCs/>
          <w:color w:val="auto"/>
          <w:sz w:val="24"/>
          <w:szCs w:val="24"/>
          <w:highlight w:val="none"/>
        </w:rPr>
        <w:t>统一社会信用代码</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91410300MA9FU6NR43</w:t>
      </w:r>
      <w:r>
        <w:rPr>
          <w:rFonts w:hint="eastAsia" w:ascii="宋体" w:hAnsi="宋体" w:cs="宋体"/>
          <w:color w:val="auto"/>
          <w:sz w:val="24"/>
          <w:szCs w:val="24"/>
          <w:highlight w:val="none"/>
          <w:u w:val="single"/>
        </w:rPr>
        <w:t xml:space="preserve">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栾川山水文苑项目S1地块车库出入口、人防出入口顶棚及采光井施工工程施工</w:t>
      </w:r>
      <w:r>
        <w:rPr>
          <w:rFonts w:hint="eastAsia" w:ascii="宋体" w:hAnsi="宋体" w:cs="宋体"/>
          <w:color w:val="auto"/>
          <w:sz w:val="24"/>
          <w:szCs w:val="24"/>
          <w:highlight w:val="none"/>
        </w:rPr>
        <w:t>事项协商一致，订立本合同。</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1、工程名称：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栾川山水文苑项目S1地块车库出入口、人防出入口顶棚及采光井施工工程施工工程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72" w:firstLineChars="197"/>
        <w:rPr>
          <w:rFonts w:ascii="宋体" w:hAnsi="宋体" w:cs="宋体"/>
          <w:color w:val="auto"/>
          <w:sz w:val="24"/>
          <w:szCs w:val="24"/>
          <w:highlight w:val="none"/>
        </w:rPr>
      </w:pPr>
      <w:r>
        <w:rPr>
          <w:rFonts w:hint="eastAsia" w:ascii="宋体" w:hAnsi="宋体" w:cs="宋体"/>
          <w:color w:val="auto"/>
          <w:sz w:val="24"/>
          <w:szCs w:val="24"/>
          <w:highlight w:val="none"/>
        </w:rPr>
        <w:t>2、工程规模：</w:t>
      </w:r>
      <w:r>
        <w:rPr>
          <w:rFonts w:hint="eastAsia" w:ascii="宋体" w:hAnsi="宋体" w:cs="宋体"/>
          <w:color w:val="auto"/>
          <w:sz w:val="24"/>
          <w:szCs w:val="24"/>
          <w:highlight w:val="none"/>
          <w:u w:val="none"/>
        </w:rPr>
        <w:t xml:space="preserve">  </w:t>
      </w:r>
      <w:r>
        <w:rPr>
          <w:rFonts w:hint="eastAsia" w:cs="宋体" w:asciiTheme="minorEastAsia" w:hAnsiTheme="minorEastAsia" w:eastAsiaTheme="minorEastAsia"/>
          <w:color w:val="auto"/>
          <w:szCs w:val="24"/>
          <w:highlight w:val="none"/>
          <w:u w:val="single"/>
          <w:lang w:eastAsia="zh-CN"/>
        </w:rPr>
        <w:t>S1地块</w:t>
      </w:r>
      <w:r>
        <w:rPr>
          <w:rFonts w:hint="eastAsia" w:cs="宋体" w:asciiTheme="minorEastAsia" w:hAnsiTheme="minorEastAsia" w:eastAsiaTheme="minorEastAsia"/>
          <w:color w:val="auto"/>
          <w:szCs w:val="24"/>
          <w:highlight w:val="none"/>
          <w:u w:val="single"/>
          <w:lang w:val="en-US" w:eastAsia="zh-CN"/>
        </w:rPr>
        <w:t>车库出入口、人防出入口顶棚及采光井</w:t>
      </w:r>
      <w:r>
        <w:rPr>
          <w:rFonts w:hint="eastAsia" w:cs="宋体" w:asciiTheme="minorEastAsia" w:hAnsiTheme="minorEastAsia" w:eastAsiaTheme="minorEastAsia"/>
          <w:color w:val="auto"/>
          <w:szCs w:val="24"/>
          <w:highlight w:val="none"/>
          <w:u w:val="single"/>
          <w:lang w:eastAsia="zh-CN"/>
        </w:rPr>
        <w:t>施工</w:t>
      </w:r>
      <w:r>
        <w:rPr>
          <w:rFonts w:hint="eastAsia" w:ascii="宋体" w:hAnsi="宋体" w:cs="宋体"/>
          <w:color w:val="auto"/>
          <w:sz w:val="24"/>
          <w:szCs w:val="24"/>
          <w:highlight w:val="none"/>
          <w:u w:val="single"/>
          <w:lang w:val="en-US" w:eastAsia="zh-CN"/>
        </w:rPr>
        <w:t>工程</w:t>
      </w:r>
      <w:r>
        <w:rPr>
          <w:rFonts w:hint="eastAsia" w:ascii="宋体" w:hAnsi="宋体" w:cs="宋体"/>
          <w:color w:val="auto"/>
          <w:sz w:val="24"/>
          <w:szCs w:val="24"/>
          <w:highlight w:val="none"/>
          <w:u w:val="single"/>
        </w:rPr>
        <w:t xml:space="preserve">               </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3、工程地点：</w:t>
      </w:r>
      <w:r>
        <w:rPr>
          <w:rFonts w:hint="eastAsia" w:ascii="宋体" w:hAnsi="宋体" w:cs="宋体"/>
          <w:color w:val="auto"/>
          <w:sz w:val="24"/>
          <w:szCs w:val="24"/>
          <w:highlight w:val="none"/>
          <w:u w:val="single"/>
        </w:rPr>
        <w:t xml:space="preserve">  洛阳市栾川县湾滩大桥西北山水文苑项目</w:t>
      </w:r>
      <w:r>
        <w:rPr>
          <w:rFonts w:hint="eastAsia" w:ascii="宋体" w:hAnsi="宋体" w:cs="宋体"/>
          <w:color w:val="auto"/>
          <w:sz w:val="24"/>
          <w:szCs w:val="24"/>
          <w:highlight w:val="none"/>
          <w:u w:val="single"/>
          <w:lang w:val="en-US" w:eastAsia="zh-CN"/>
        </w:rPr>
        <w:t>s1地块</w:t>
      </w:r>
      <w:r>
        <w:rPr>
          <w:rFonts w:hint="eastAsia" w:ascii="宋体" w:hAnsi="宋体" w:cs="宋体"/>
          <w:color w:val="auto"/>
          <w:sz w:val="24"/>
          <w:szCs w:val="24"/>
          <w:highlight w:val="none"/>
          <w:u w:val="single"/>
        </w:rPr>
        <w:t xml:space="preserve">  </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二、承包范围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1、承包范围：</w:t>
      </w:r>
      <w:r>
        <w:rPr>
          <w:rFonts w:hint="eastAsia" w:cs="宋体" w:asciiTheme="minorEastAsia" w:hAnsiTheme="minorEastAsia" w:eastAsiaTheme="minorEastAsia"/>
          <w:color w:val="auto"/>
          <w:szCs w:val="24"/>
          <w:highlight w:val="none"/>
          <w:lang w:eastAsia="zh-CN"/>
        </w:rPr>
        <w:t>栾川山水文苑项目S1地块</w:t>
      </w:r>
      <w:r>
        <w:rPr>
          <w:rFonts w:hint="eastAsia" w:cs="宋体" w:asciiTheme="minorEastAsia" w:hAnsiTheme="minorEastAsia" w:eastAsiaTheme="minorEastAsia"/>
          <w:color w:val="auto"/>
          <w:szCs w:val="24"/>
          <w:highlight w:val="none"/>
          <w:lang w:val="en-US" w:eastAsia="zh-CN"/>
        </w:rPr>
        <w:t>车库出入口、人防出入口顶棚及采光井</w:t>
      </w:r>
      <w:r>
        <w:rPr>
          <w:rFonts w:hint="eastAsia" w:cs="宋体" w:asciiTheme="minorEastAsia" w:hAnsiTheme="minorEastAsia" w:eastAsiaTheme="minorEastAsia"/>
          <w:color w:val="auto"/>
          <w:szCs w:val="24"/>
          <w:highlight w:val="none"/>
          <w:lang w:eastAsia="zh-CN"/>
        </w:rPr>
        <w:t>施工工程</w:t>
      </w:r>
      <w:r>
        <w:rPr>
          <w:rFonts w:hint="eastAsia" w:ascii="宋体" w:hAnsi="宋体" w:cs="宋体"/>
          <w:color w:val="auto"/>
          <w:sz w:val="24"/>
          <w:szCs w:val="24"/>
          <w:highlight w:val="none"/>
        </w:rPr>
        <w:t>图纸所示工程。内容包括但不限于各区域</w:t>
      </w:r>
      <w:r>
        <w:rPr>
          <w:rFonts w:hint="eastAsia" w:ascii="宋体" w:hAnsi="宋体" w:cs="宋体"/>
          <w:color w:val="auto"/>
          <w:sz w:val="24"/>
          <w:szCs w:val="24"/>
          <w:highlight w:val="none"/>
          <w:lang w:val="en-US" w:eastAsia="zh-CN"/>
        </w:rPr>
        <w:t>车库出入口的钢构及玻璃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人防出入口钢构及玻璃、采光井顶棚及百叶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泄爆口顶棚及百叶</w:t>
      </w:r>
      <w:r>
        <w:rPr>
          <w:rFonts w:hint="eastAsia" w:ascii="宋体" w:hAnsi="宋体" w:cs="宋体"/>
          <w:color w:val="auto"/>
          <w:sz w:val="24"/>
          <w:szCs w:val="24"/>
          <w:highlight w:val="none"/>
        </w:rPr>
        <w:t>等。详见</w:t>
      </w:r>
      <w:r>
        <w:rPr>
          <w:rFonts w:hint="eastAsia" w:ascii="宋体" w:hAnsi="宋体" w:cs="宋体"/>
          <w:color w:val="auto"/>
          <w:sz w:val="24"/>
          <w:szCs w:val="24"/>
          <w:highlight w:val="none"/>
          <w:lang w:eastAsia="zh-CN"/>
        </w:rPr>
        <w:t>附件四</w:t>
      </w:r>
      <w:r>
        <w:rPr>
          <w:rFonts w:hint="eastAsia" w:ascii="宋体" w:hAnsi="宋体" w:cs="宋体"/>
          <w:color w:val="auto"/>
          <w:sz w:val="24"/>
          <w:szCs w:val="24"/>
          <w:highlight w:val="none"/>
        </w:rPr>
        <w:t>《工程量清单计价表》</w:t>
      </w:r>
      <w:r>
        <w:rPr>
          <w:rFonts w:hint="eastAsia" w:ascii="宋体" w:hAnsi="宋体" w:cs="宋体"/>
          <w:color w:val="auto"/>
          <w:sz w:val="24"/>
          <w:szCs w:val="24"/>
          <w:highlight w:val="none"/>
          <w:lang w:val="en-US" w:eastAsia="zh-CN"/>
        </w:rPr>
        <w:t>及招标图纸2022.6.20版本</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、乙方须按甲方的要求，提供报建相关的资料，并配合甲方进行报建的相关工作，如因非甲方原因影响甲方报建及验收的进度，由此增加的费用由乙方负责。</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三、承包方式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1、承包方式：</w:t>
      </w:r>
      <w:r>
        <w:rPr>
          <w:rFonts w:hint="eastAsia" w:ascii="宋体" w:hAnsi="宋体" w:cs="宋体"/>
          <w:color w:val="auto"/>
          <w:sz w:val="24"/>
          <w:szCs w:val="24"/>
          <w:highlight w:val="none"/>
          <w:lang w:eastAsia="zh-CN"/>
        </w:rPr>
        <w:t>含税</w:t>
      </w:r>
      <w:r>
        <w:rPr>
          <w:rFonts w:hint="eastAsia" w:ascii="宋体" w:hAnsi="宋体" w:cs="宋体"/>
          <w:color w:val="auto"/>
          <w:sz w:val="24"/>
          <w:szCs w:val="24"/>
          <w:highlight w:val="none"/>
        </w:rPr>
        <w:t>固定总价包干。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2、乙方包工包料（不包括甲供材及甲分包）、包质量、包工期、包安全文明、包售后服务、包市场风险、包税金、包交工资料及竣工验收等。</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四、合同工期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计划开工日期：</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日，具体开工时间以甲方发出的书面通知为准。</w:t>
      </w:r>
    </w:p>
    <w:p>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2、合同总工期：</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yellow"/>
          <w:u w:val="single"/>
          <w:lang w:val="en-US" w:eastAsia="zh-CN"/>
        </w:rPr>
        <w:t xml:space="preserve"> 25</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日历</w:t>
      </w:r>
      <w:r>
        <w:rPr>
          <w:rFonts w:hint="eastAsia" w:asciiTheme="minorEastAsia" w:hAnsiTheme="minorEastAsia" w:eastAsiaTheme="minorEastAsia"/>
          <w:color w:val="auto"/>
          <w:highlight w:val="none"/>
        </w:rPr>
        <w:t>天。</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节点工期要求：甲方有权根据现场工程的实际进展情况，酌情调整相关节点（提前或延后），乙方同意无条件接受且不要求工期补偿/赔偿。乙方应按甲方现场管理代表下发的施工指令组织施工；如因甲方原因造成工期延误，乙方可经甲方现场工程师及监理确认后调整或顺延工期但不得要求工期补偿/赔偿；</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五、合同价款及计价方式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1、本合同含税固定总价为¥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500000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伍拾万元</w:t>
      </w:r>
      <w:r>
        <w:rPr>
          <w:rFonts w:hint="eastAsia" w:ascii="宋体" w:hAnsi="宋体" w:cs="宋体"/>
          <w:color w:val="auto"/>
          <w:sz w:val="24"/>
          <w:szCs w:val="24"/>
          <w:highlight w:val="none"/>
        </w:rPr>
        <w:t>（以下简称“合同总价”）。其中不含税金额为¥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485436.89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肆拾捌万伍仟肆佰叁拾陆元捌角玖分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），增值税税金为¥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14563.11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壹万肆仟伍佰陆拾叁元壹角壹分</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%。详见</w:t>
      </w:r>
      <w:r>
        <w:rPr>
          <w:rFonts w:hint="eastAsia" w:ascii="宋体" w:hAnsi="宋体" w:cs="宋体"/>
          <w:color w:val="auto"/>
          <w:sz w:val="24"/>
          <w:szCs w:val="24"/>
          <w:highlight w:val="none"/>
          <w:lang w:eastAsia="zh-CN"/>
        </w:rPr>
        <w:t>附件四</w:t>
      </w:r>
      <w:r>
        <w:rPr>
          <w:rFonts w:hint="eastAsia" w:ascii="宋体" w:hAnsi="宋体" w:cs="宋体"/>
          <w:color w:val="auto"/>
          <w:sz w:val="24"/>
          <w:szCs w:val="24"/>
          <w:highlight w:val="none"/>
        </w:rPr>
        <w:t>《工程量清单计价表》。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2、增值税税率说明：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2.1、合同价增值税税率按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3、计价方式：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3.1、计价方式：采用含税固定总价包干。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3.2、图纸内容一次性包干，且</w:t>
      </w:r>
      <w:r>
        <w:rPr>
          <w:rFonts w:hint="eastAsia" w:ascii="宋体" w:hAnsi="宋体" w:cs="宋体"/>
          <w:color w:val="auto"/>
          <w:sz w:val="24"/>
          <w:szCs w:val="24"/>
          <w:highlight w:val="none"/>
          <w:lang w:val="en-US" w:eastAsia="zh-CN"/>
        </w:rPr>
        <w:t>即使</w:t>
      </w:r>
      <w:r>
        <w:rPr>
          <w:rFonts w:hint="eastAsia" w:ascii="宋体" w:hAnsi="宋体" w:cs="宋体"/>
          <w:color w:val="auto"/>
          <w:sz w:val="24"/>
          <w:szCs w:val="24"/>
          <w:highlight w:val="none"/>
        </w:rPr>
        <w:t>施工图或报价清单中没有说明但在施工过程中为完成本项工程必须完成的所有工作，</w:t>
      </w:r>
      <w:r>
        <w:rPr>
          <w:rFonts w:hint="eastAsia" w:ascii="宋体" w:hAnsi="宋体" w:cs="宋体"/>
          <w:color w:val="auto"/>
          <w:sz w:val="24"/>
          <w:szCs w:val="24"/>
          <w:highlight w:val="none"/>
          <w:lang w:val="en-US" w:eastAsia="zh-CN"/>
        </w:rPr>
        <w:t>均应被</w:t>
      </w:r>
      <w:r>
        <w:rPr>
          <w:rFonts w:hint="eastAsia" w:ascii="宋体" w:hAnsi="宋体" w:cs="宋体"/>
          <w:color w:val="auto"/>
          <w:sz w:val="24"/>
          <w:szCs w:val="24"/>
          <w:highlight w:val="none"/>
        </w:rPr>
        <w:t>视为已经包含在清单包干价中，不得另增加费用。除合同约定可调整之外的所有内容均不再随任何因素的调整而调整，不管乙方投标报价时清单中是否有漏项、缺项，均视为乙方已综合考虑在其他项目的报价内，结算时不做任何调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合同固定总价的内容包括但不限于：人工费、材料费（包括材料损耗、材料加工费、材料检验试验费）、甲供材保管费、设备费、机械使用费、合同工期内的赶工费、施工水电费（不含甲分包水电费，费用自行协商）、规费、管理费、措施费、利润、税金、加班费、农民工工伤保险费、建筑施工人身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环境保护、文明施工(含扬尘治理，含施工现场为达到环保主管部门要求所需要的各项措施费用)、安全施工、临时设施等，技术措施费、垂直运输费、超高增加费、成品保护费、现场勘察费、垃圾外运费、工程完工验收前精保洁及移交、交叉施工降效费及配合费、设备/材料的安全保管、石材结晶等其他费用。此费用不随材料市场价格波动、工资、物价、费率的变动或的政府颁发的任何调价文件而发生变化；材料风险费不再调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价格已充分考虑上述因素并考虑在价格中。合同价格视为由工程开工至完成竣工验收并符合交付使用标准的一切费用，甲方将不会就现场状况作出任何变更签证或增加工程款，但是，由于甲方改变工程范围或工作量的设计变更除外。乙方为完成本合同规定的工作所需施工组织中的所有费用均已包含在本合同价格内，不再另外计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3.5、施工过程中经甲方认可的实际施工方案仅作为甲方对乙方技术方案的肯定，不作为计价依据，甲方不接受乙方重新组价或者调价的要求。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本项目由乙方对施工图纸进行深化，乙方应在保证招标图纸的装饰效果（面层材料不属于深化范围）的情况下进行深化。乙方对图纸进行深化时应结合施工现场实际情况并充分考虑基层做法的可实施性（可实施性指：质量达到国家最新质量标准</w:t>
      </w:r>
      <w:r>
        <w:rPr>
          <w:rFonts w:hint="eastAsia" w:ascii="宋体" w:hAnsi="宋体" w:cs="宋体"/>
          <w:color w:val="auto"/>
          <w:sz w:val="24"/>
          <w:szCs w:val="24"/>
          <w:highlight w:val="none"/>
          <w:lang w:val="en-US" w:eastAsia="zh-CN"/>
        </w:rPr>
        <w:t>合格等级</w:t>
      </w:r>
      <w:r>
        <w:rPr>
          <w:rFonts w:hint="eastAsia" w:ascii="宋体" w:hAnsi="宋体" w:cs="宋体"/>
          <w:color w:val="auto"/>
          <w:sz w:val="24"/>
          <w:szCs w:val="24"/>
          <w:highlight w:val="none"/>
        </w:rPr>
        <w:t>及甲方的要求，其装饰效果达到设计部门的要求，能一次性通过整体验收合格）。乙方在报价时应考虑基层施工所需的费用，不再另计，乙方的报价必须考虑深化后的施工图纸基层做法，不因施工过程中对图纸的深化、做法的不同而增加基层施工的费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3.7、土建工程的总承包施工单位是按合同约定的施工范围及交楼标准施工，工程质量必须符合国家有关规定验收标准，在交楼时如发现不满足的由总承包施工单位负责整改到满足规范要求为止。如建筑工程规范与装修的规范标准有差异时（即总承包施工单位负责完成的项目达到建筑工程规范标准而达不到装修标准要求时），则由乙方负责将施工面完善至符合装修要求，并已在价格中综合考虑此部分费用。</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六、付款方式</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1、本工程无预付款，钢架完成（若因甲方原因分期施工的分期支付），经甲方及监理验收合格后，7个工作日内支付已完成工程量价款的80%；</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2、全部工程施工完成，经甲方及监理验收合格后，7个工作日支付至已完工程量价款的80%；</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3、乙方配合甲方办理结算完成后，付至结算总价的95％；</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4、剩余金额（即结算款的5%）作为质保金，质保期2年（自甲方、监理及相关部门验收合格并投入使用之日起计算）。</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5、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5%，乙方应在收到甲方补足通知之日起3日内予以补足。在质保期满后，并且乙方已提供齐全的付款资料（付款资料包括但不限于：乙方的付款申请、甲方或甲方的项目物业出具的保修满意证明）之次日起15个工作日内，在扣除质保期间发生的由甲方支付/承担的有关维修费用（如有）后，将剩余款项（若有）支付给乙方，质保金</w:t>
      </w:r>
      <w:r>
        <w:rPr>
          <w:rFonts w:hint="eastAsia" w:asciiTheme="minorEastAsia" w:hAnsiTheme="minorEastAsia" w:eastAsiaTheme="minorEastAsia"/>
        </w:rPr>
        <w:t>在任何情况下均</w:t>
      </w:r>
      <w:r>
        <w:rPr>
          <w:rFonts w:hint="eastAsia" w:asciiTheme="minorEastAsia" w:hAnsiTheme="minorEastAsia" w:eastAsiaTheme="minorEastAsia"/>
          <w:color w:val="auto"/>
          <w:highlight w:val="none"/>
          <w:lang w:val="en-US" w:eastAsia="zh-CN"/>
        </w:rPr>
        <w:t>不计利息。质保金不足以支付有关维修费用的，乙方须继续赔偿甲方因此受到的损失。</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6、每次付款前，乙方应按甲方要求出具合法有效的增值税专用发票。但是，当甲方向乙方累计支付款项至本合同结算值的95％时，乙方须向甲方开具结算金额100％的合法有效的发票，否则甲方除扣留质保金外，还有权拒绝支付该批次工程款。乙方应在开票之后5个工作日内将发票送达甲方，甲方签收发票的日期为发票的送达日期。</w:t>
      </w:r>
    </w:p>
    <w:p>
      <w:pPr>
        <w:snapToGrid w:val="0"/>
        <w:spacing w:line="360" w:lineRule="auto"/>
        <w:ind w:firstLine="470" w:firstLineChars="196"/>
        <w:jc w:val="lef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7、工程款按节点支付时，不再支付变更及签证款项，即变更及签证部分付款在结算后支付。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、对发票不合规的约定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、其它税务风险的合同约定，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9.1</w:t>
      </w:r>
      <w:r>
        <w:rPr>
          <w:rFonts w:hint="eastAsia" w:ascii="宋体" w:hAnsi="宋体" w:cs="宋体"/>
          <w:color w:val="auto"/>
          <w:sz w:val="24"/>
          <w:szCs w:val="24"/>
          <w:highlight w:val="none"/>
        </w:rPr>
        <w:t>1、如果甲方丢失增值税专用发票联和抵扣联，乙方应向甲方提供专用发票记账联复印件，并加盖乙方发票专用章。</w:t>
      </w:r>
    </w:p>
    <w:p>
      <w:pPr>
        <w:spacing w:line="360" w:lineRule="auto"/>
        <w:ind w:firstLine="480" w:firstLineChars="200"/>
        <w:rPr>
          <w:rFonts w:hint="eastAsia"/>
          <w:color w:val="auto"/>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2、如果获得开具的汇总专用发票，则乙方应提供其防伪税控系统开具的《销售货物或者提供应税劳务清单》，并加盖发票专用章。</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、履约保证金</w:t>
      </w:r>
    </w:p>
    <w:p>
      <w:pPr>
        <w:numPr>
          <w:ilvl w:val="0"/>
          <w:numId w:val="0"/>
        </w:numPr>
        <w:spacing w:line="360" w:lineRule="auto"/>
        <w:ind w:firstLine="420" w:firstLineChars="175"/>
        <w:rPr>
          <w:rFonts w:ascii="宋体" w:hAnsi="宋体" w:cs="宋体"/>
          <w:bCs/>
          <w:color w:val="auto"/>
          <w:sz w:val="24"/>
          <w:szCs w:val="24"/>
          <w:highlight w:val="none"/>
        </w:rPr>
      </w:pPr>
      <w:r>
        <w:rPr>
          <w:rFonts w:hint="eastAsia" w:ascii="宋体" w:hAnsi="宋体" w:cs="宋体"/>
          <w:bCs/>
          <w:color w:val="auto"/>
          <w:sz w:val="24"/>
          <w:szCs w:val="24"/>
          <w:highlight w:val="none"/>
        </w:rPr>
        <w:t>1、履约保证金共计¥</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20000</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（人民币大写</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贰万元</w:t>
      </w:r>
      <w:r>
        <w:rPr>
          <w:rFonts w:hint="eastAsia" w:ascii="宋体" w:hAnsi="宋体" w:cs="宋体"/>
          <w:bCs/>
          <w:color w:val="auto"/>
          <w:sz w:val="24"/>
          <w:szCs w:val="24"/>
          <w:highlight w:val="none"/>
        </w:rPr>
        <w:t>整）。履约保证金为工期、质量等方面的履约保证金。乙方在工程工期、工程质量等方面兑现投标书的承诺，在工程全部验收合格后7日内退还</w:t>
      </w:r>
      <w:r>
        <w:rPr>
          <w:rFonts w:hint="eastAsia" w:ascii="宋体" w:hAnsi="宋体" w:cs="宋体"/>
          <w:bCs/>
          <w:color w:val="auto"/>
          <w:sz w:val="24"/>
          <w:szCs w:val="24"/>
          <w:highlight w:val="none"/>
          <w:lang w:val="en-US" w:eastAsia="zh-CN"/>
        </w:rPr>
        <w:t>剩余</w:t>
      </w:r>
      <w:r>
        <w:rPr>
          <w:rFonts w:hint="eastAsia" w:ascii="宋体" w:hAnsi="宋体" w:cs="宋体"/>
          <w:bCs/>
          <w:color w:val="auto"/>
          <w:sz w:val="24"/>
          <w:szCs w:val="24"/>
          <w:highlight w:val="none"/>
        </w:rPr>
        <w:t>履约保证金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若有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，履约保证金</w:t>
      </w:r>
      <w:r>
        <w:rPr>
          <w:rFonts w:hint="eastAsia" w:asciiTheme="minorEastAsia" w:hAnsiTheme="minorEastAsia" w:eastAsiaTheme="minorEastAsia"/>
        </w:rPr>
        <w:t>在任何情况下均</w:t>
      </w:r>
      <w:r>
        <w:rPr>
          <w:rFonts w:hint="eastAsia" w:ascii="宋体" w:hAnsi="宋体" w:cs="宋体"/>
          <w:bCs/>
          <w:color w:val="auto"/>
          <w:sz w:val="24"/>
          <w:szCs w:val="24"/>
          <w:highlight w:val="none"/>
        </w:rPr>
        <w:t>不计利息。</w:t>
      </w:r>
    </w:p>
    <w:p>
      <w:pPr>
        <w:numPr>
          <w:ilvl w:val="0"/>
          <w:numId w:val="0"/>
        </w:numPr>
        <w:spacing w:line="360" w:lineRule="auto"/>
        <w:ind w:firstLine="420" w:firstLineChars="175"/>
        <w:rPr>
          <w:rFonts w:ascii="宋体" w:hAnsi="宋体" w:cs="宋体"/>
          <w:bCs/>
          <w:color w:val="auto"/>
          <w:sz w:val="24"/>
          <w:szCs w:val="24"/>
          <w:highlight w:val="none"/>
        </w:rPr>
      </w:pPr>
      <w:r>
        <w:rPr>
          <w:rFonts w:hint="eastAsia" w:ascii="宋体" w:hAnsi="宋体" w:cs="宋体"/>
          <w:bCs/>
          <w:color w:val="auto"/>
          <w:sz w:val="24"/>
          <w:szCs w:val="24"/>
          <w:highlight w:val="none"/>
        </w:rPr>
        <w:t>2、凡在工期、工程质量、安全文明施工等要求中，任何一项要求没有达到本合同约定，甲方有权按比例或全额扣除乙方履约保证金，乙方应在</w:t>
      </w:r>
      <w:r>
        <w:rPr>
          <w:rFonts w:ascii="宋体" w:hAnsi="宋体" w:cs="宋体"/>
          <w:bCs/>
          <w:color w:val="auto"/>
          <w:sz w:val="24"/>
          <w:szCs w:val="24"/>
          <w:highlight w:val="none"/>
        </w:rPr>
        <w:t>7</w:t>
      </w:r>
      <w:r>
        <w:rPr>
          <w:rFonts w:hint="eastAsia" w:ascii="宋体" w:hAnsi="宋体" w:cs="宋体"/>
          <w:bCs/>
          <w:color w:val="auto"/>
          <w:sz w:val="24"/>
          <w:szCs w:val="24"/>
          <w:highlight w:val="none"/>
        </w:rPr>
        <w:t xml:space="preserve">日内予以补足，否则，甲方有权在应付款项中暂时扣除用于补足履约保证金。 </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、甲方现场移交标准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1、本工程移交界面为工地现状条件，且乙方已充分踏勘现场，对工地现状条件下施工所需的措施费等相关费用已综合考虑在固定合同总价内。</w:t>
      </w:r>
    </w:p>
    <w:p>
      <w:pPr>
        <w:pStyle w:val="16"/>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2、甲方</w:t>
      </w:r>
      <w:r>
        <w:rPr>
          <w:rFonts w:hint="eastAsia"/>
          <w:lang w:eastAsia="zh-CN"/>
        </w:rPr>
        <w:t>负责协调</w:t>
      </w:r>
      <w:r>
        <w:rPr>
          <w:rFonts w:hint="eastAsia" w:ascii="宋体" w:hAnsi="宋体" w:cs="宋体"/>
          <w:color w:val="auto"/>
          <w:sz w:val="24"/>
          <w:szCs w:val="24"/>
          <w:highlight w:val="none"/>
        </w:rPr>
        <w:t>施工现场堆放材料的场地，乙方自行解决施工及管理人员住宿办公场所，费用</w:t>
      </w:r>
      <w:r>
        <w:rPr>
          <w:rFonts w:hint="eastAsia" w:ascii="宋体" w:hAnsi="宋体" w:cs="宋体"/>
          <w:color w:val="auto"/>
          <w:sz w:val="24"/>
          <w:szCs w:val="24"/>
          <w:highlight w:val="none"/>
          <w:lang w:eastAsia="zh-CN"/>
        </w:rPr>
        <w:t>由乙方自行承担</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3、甲方提供现有的垂直运输设备，乙方务必在垂直运输设备拆除之前完成作业。</w:t>
      </w:r>
      <w:r>
        <w:rPr>
          <w:rFonts w:hint="eastAsia" w:ascii="宋体" w:hAnsi="宋体" w:cs="宋体"/>
          <w:color w:val="auto"/>
          <w:sz w:val="24"/>
          <w:szCs w:val="24"/>
          <w:highlight w:val="none"/>
          <w:lang w:eastAsia="zh-CN"/>
        </w:rPr>
        <w:t>否则产生的费用由乙方自行承担。</w:t>
      </w:r>
    </w:p>
    <w:p>
      <w:pPr>
        <w:pStyle w:val="16"/>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甲方</w:t>
      </w:r>
      <w:r>
        <w:rPr>
          <w:rFonts w:hint="eastAsia"/>
          <w:lang w:eastAsia="zh-CN"/>
        </w:rPr>
        <w:t>协调</w:t>
      </w:r>
      <w:r>
        <w:rPr>
          <w:rFonts w:hint="eastAsia" w:ascii="宋体" w:hAnsi="宋体" w:cs="宋体"/>
          <w:color w:val="auto"/>
          <w:sz w:val="24"/>
          <w:szCs w:val="24"/>
          <w:highlight w:val="none"/>
          <w:lang w:val="en-US" w:eastAsia="zh-CN"/>
        </w:rPr>
        <w:t>水源电源接驳点，接驳工作及接驳费用由乙方承担。乙方在施工中水、电费直接向总包单位协商缴纳。</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、材料的供应</w:t>
      </w:r>
    </w:p>
    <w:p>
      <w:pPr>
        <w:pStyle w:val="16"/>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1、由乙方自行选择供货商进行采购的材料：由乙方</w:t>
      </w:r>
      <w:r>
        <w:rPr>
          <w:rFonts w:hint="eastAsia" w:ascii="宋体" w:hAnsi="宋体" w:cs="宋体"/>
          <w:color w:val="auto"/>
          <w:sz w:val="24"/>
          <w:szCs w:val="24"/>
          <w:highlight w:val="none"/>
          <w:lang w:val="en-US" w:eastAsia="zh-CN"/>
        </w:rPr>
        <w:t>在</w:t>
      </w:r>
      <w:r>
        <w:rPr>
          <w:rFonts w:hint="eastAsia"/>
          <w:lang w:eastAsia="zh-CN"/>
        </w:rPr>
        <w:t>合同签订后</w:t>
      </w:r>
      <w:r>
        <w:rPr>
          <w:rFonts w:hint="eastAsia"/>
          <w:lang w:val="en-US" w:eastAsia="zh-CN"/>
        </w:rPr>
        <w:t>10日内</w:t>
      </w:r>
      <w:r>
        <w:rPr>
          <w:rFonts w:hint="eastAsia" w:ascii="宋体" w:hAnsi="宋体" w:cs="宋体"/>
          <w:color w:val="auto"/>
          <w:sz w:val="24"/>
          <w:szCs w:val="24"/>
          <w:highlight w:val="none"/>
        </w:rPr>
        <w:t>按照甲方确认的设计图纸</w:t>
      </w:r>
      <w:r>
        <w:rPr>
          <w:rFonts w:hint="eastAsia" w:ascii="宋体" w:hAnsi="宋体" w:cs="宋体"/>
          <w:color w:val="auto"/>
          <w:sz w:val="24"/>
          <w:szCs w:val="24"/>
          <w:highlight w:val="none"/>
          <w:lang w:eastAsia="zh-CN"/>
        </w:rPr>
        <w:t>及定标封样</w:t>
      </w:r>
      <w:r>
        <w:rPr>
          <w:rFonts w:hint="eastAsia" w:ascii="宋体" w:hAnsi="宋体" w:cs="宋体"/>
          <w:color w:val="auto"/>
          <w:sz w:val="24"/>
          <w:szCs w:val="24"/>
          <w:highlight w:val="none"/>
        </w:rPr>
        <w:t>要求注明的颜色、质量、质感、规格、品牌等送实物样品（所有饰面材料）</w:t>
      </w:r>
      <w:r>
        <w:rPr>
          <w:rFonts w:hint="eastAsia"/>
          <w:lang w:eastAsia="zh-CN"/>
        </w:rPr>
        <w:t>及相关厂家资质、资料</w:t>
      </w:r>
      <w:r>
        <w:rPr>
          <w:rFonts w:hint="eastAsia" w:ascii="宋体" w:hAnsi="宋体" w:cs="宋体"/>
          <w:color w:val="auto"/>
          <w:sz w:val="24"/>
          <w:szCs w:val="24"/>
          <w:highlight w:val="none"/>
        </w:rPr>
        <w:t>供甲方确认，经甲方、监理确认后，作为</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实物样板封存甲方，</w:t>
      </w:r>
      <w:r>
        <w:rPr>
          <w:rFonts w:hint="eastAsia"/>
          <w:lang w:eastAsia="zh-CN"/>
        </w:rPr>
        <w:t>乙方应按</w:t>
      </w:r>
      <w:r>
        <w:rPr>
          <w:rFonts w:hint="eastAsia" w:ascii="宋体" w:hAnsi="宋体" w:cs="宋体"/>
          <w:color w:val="auto"/>
          <w:sz w:val="24"/>
          <w:szCs w:val="24"/>
          <w:highlight w:val="none"/>
        </w:rPr>
        <w:t>甲方确认的</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实物样板自行采购。</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2、材料在进场前必须先经甲方认可后方能进场。甲方有权自主决定是否改为甲供材料，乙方对此不能有任何异议；</w:t>
      </w:r>
      <w:r>
        <w:rPr>
          <w:rFonts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3、乙方所使用的材料必须保证合格证书等资料齐全，保证材料通过</w:t>
      </w:r>
      <w:r>
        <w:rPr>
          <w:rFonts w:hint="eastAsia"/>
          <w:lang w:eastAsia="zh-CN"/>
        </w:rPr>
        <w:t>质监站</w:t>
      </w:r>
      <w:r>
        <w:rPr>
          <w:rFonts w:hint="eastAsia" w:ascii="宋体" w:hAnsi="宋体" w:cs="宋体"/>
          <w:color w:val="auto"/>
          <w:sz w:val="24"/>
          <w:szCs w:val="24"/>
          <w:highlight w:val="none"/>
        </w:rPr>
        <w:t>等主管部门的检验检测并承担相关费用且提交相应检测报告，因材料不合格造成费用</w:t>
      </w:r>
      <w:r>
        <w:rPr>
          <w:rFonts w:hint="eastAsia"/>
          <w:lang w:eastAsia="zh-CN"/>
        </w:rPr>
        <w:t>及其他</w:t>
      </w:r>
      <w:r>
        <w:rPr>
          <w:rFonts w:hint="eastAsia" w:ascii="宋体" w:hAnsi="宋体" w:cs="宋体"/>
          <w:color w:val="auto"/>
          <w:sz w:val="24"/>
          <w:szCs w:val="24"/>
          <w:highlight w:val="none"/>
        </w:rPr>
        <w:t>等损失均由乙方承担。同时，乙方采购材料必须符合国家、河南省及洛阳市的环保标准，选用板材必须达到E1级环保级别及达到洛阳市环保主管部门的标准。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5、本工程承包范围内使用的全部设备、材料及产品必须满足合格品规定，符合洛阳市</w:t>
      </w:r>
      <w:r>
        <w:rPr>
          <w:rFonts w:hint="eastAsia" w:ascii="宋体" w:hAnsi="宋体" w:cs="宋体"/>
          <w:color w:val="auto"/>
          <w:sz w:val="24"/>
          <w:szCs w:val="24"/>
          <w:highlight w:val="none"/>
          <w:lang w:val="en-US" w:eastAsia="zh-CN"/>
        </w:rPr>
        <w:t>栾川县</w:t>
      </w:r>
      <w:r>
        <w:rPr>
          <w:rFonts w:hint="eastAsia" w:ascii="宋体" w:hAnsi="宋体" w:cs="宋体"/>
          <w:color w:val="auto"/>
          <w:sz w:val="24"/>
          <w:szCs w:val="24"/>
          <w:highlight w:val="none"/>
        </w:rPr>
        <w:t>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全部经济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、甲方供应的材料设备：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.1、甲方供应材料设备是指由甲方直接和厂家或材料设备供应商签订供货合同并支付合同货款，其材料设备由乙方负责安装。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6.2、</w:t>
      </w:r>
      <w:r>
        <w:rPr>
          <w:rFonts w:hint="eastAsia" w:ascii="宋体" w:hAnsi="宋体" w:cs="宋体"/>
          <w:color w:val="auto"/>
          <w:sz w:val="24"/>
          <w:szCs w:val="24"/>
          <w:highlight w:val="none"/>
        </w:rPr>
        <w:t>甲方供应材料设备运到现场后，乙方应安排适当通道及卸货位置，并由乙方负责卸货及在到货后的 2 小时内组织验收。乙方应建立完备的验收接收材料手续制度并严格执行。材料运到施工现场而乙方逾期未验收，材料运到现场之日即视为乙方已验收合格并接收甲方供材。材料的保管责任及风险自材料运到施工现场之日起转移至乙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、乙方应在收到施工图纸（包括部分图纸）之日起7天内编制甲方供材料设备的计划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考虑材料加工及运输周期</w:t>
      </w:r>
      <w:r>
        <w:rPr>
          <w:rFonts w:hint="eastAsia" w:ascii="宋体" w:hAnsi="宋体" w:cs="宋体"/>
          <w:color w:val="auto"/>
          <w:sz w:val="24"/>
          <w:szCs w:val="24"/>
          <w:highlight w:val="none"/>
          <w:lang w:eastAsia="zh-CN"/>
        </w:rPr>
        <w:t>，批次供货等问题</w:t>
      </w:r>
      <w:r>
        <w:rPr>
          <w:rFonts w:hint="eastAsia" w:ascii="宋体" w:hAnsi="宋体" w:cs="宋体"/>
          <w:color w:val="auto"/>
          <w:sz w:val="24"/>
          <w:szCs w:val="24"/>
          <w:highlight w:val="none"/>
        </w:rPr>
        <w:t>），包括但不限于数量、规格、到货时间、到货地点等并报甲方审核，乙方不及时上报或上报信息有误的，由乙方负责补足或者更换。由于设计变更引起甲方供应或三方合同范围内的材料、设备数量、规格的变化，乙方应在收到变更通知7天内书面通知甲方。施工过程中进行</w:t>
      </w:r>
      <w:r>
        <w:rPr>
          <w:rFonts w:hint="eastAsia" w:ascii="宋体" w:hAnsi="宋体" w:cs="宋体"/>
          <w:color w:val="auto"/>
          <w:sz w:val="24"/>
          <w:szCs w:val="24"/>
          <w:highlight w:val="none"/>
          <w:lang w:eastAsia="zh-CN"/>
        </w:rPr>
        <w:t>甲供材料设备</w:t>
      </w:r>
      <w:r>
        <w:rPr>
          <w:rFonts w:hint="eastAsia" w:ascii="宋体" w:hAnsi="宋体" w:cs="宋体"/>
          <w:color w:val="auto"/>
          <w:sz w:val="24"/>
          <w:szCs w:val="24"/>
          <w:highlight w:val="none"/>
        </w:rPr>
        <w:t>动态控制。若由此引起的供应超量、工期延误等责任由乙方承担。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材料设备量由按照合同规定的工程量和此后设计变更引起的调整工程量套用工程所在地定额规定或招标文件有关甲方供材料设备损耗率说明计算包干使用，损耗率没有规定的，双方在现场作样板实测确定。属乙方超额订购或使用的材料设备用量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材料品牌约定详见附件三《材料品牌表》。</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rPr>
        <w:t>、工程质量标准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1、施工质量标准：合格。全部工程（包括材料、工艺等）应符合合同约定、设计图纸及现行的国家相关行业及工程所在地的技术规范及质量验收评定标准：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1.1、按照有关验收规范和国家标准执行，工程质量为合格。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、不合格工程不予验收和结算，且乙方应赔偿甲方因此造成的一切损失。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2、工程质量控制要求：所有装修装饰工程必须达到设计图纸和国家现行施工规范的技术要求。工程质量达不到要求的应予以免费返工，直到达到要求为止，若由此而造成的损失和工程逾期的，由乙方负责。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3、工程质量必须符合设计图纸及相应设计文件的要求，验收标准执行现行国家质量验收及施工规范和地方行政管理部门制定的规范文件。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4、工程材料与设备应符合国家质量标准和环保标准，按照设计图纸及施工规范、验收规范组织进货，且应“三证”齐全。材料进场后，甲方有权按规定分批号进行抽检，复检合格经甲方认可后方可使用。   </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rPr>
        <w:t>5、乙方在施工现场组织施工时应做好现场成品保护工作，禁止私自拆除或破坏现有成品。如必须拆除或改变需书面报请甲方同意。</w:t>
      </w:r>
      <w:r>
        <w:rPr>
          <w:rFonts w:hint="eastAsia" w:ascii="宋体" w:hAnsi="宋体" w:cs="宋体"/>
          <w:color w:val="auto"/>
          <w:sz w:val="24"/>
          <w:szCs w:val="24"/>
          <w:highlight w:val="none"/>
          <w:lang w:eastAsia="zh-CN"/>
        </w:rPr>
        <w:t>成品保护需满足</w:t>
      </w:r>
      <w:r>
        <w:rPr>
          <w:rFonts w:hint="eastAsia" w:ascii="宋体" w:hAnsi="宋体" w:cs="宋体"/>
          <w:b w:val="0"/>
          <w:bCs w:val="0"/>
          <w:color w:val="auto"/>
          <w:sz w:val="24"/>
          <w:szCs w:val="24"/>
          <w:highlight w:val="none"/>
          <w:lang w:eastAsia="zh-CN"/>
        </w:rPr>
        <w:t>附件六</w:t>
      </w:r>
      <w:r>
        <w:rPr>
          <w:rFonts w:hint="eastAsia" w:ascii="宋体" w:hAnsi="宋体" w:cs="宋体"/>
          <w:b w:val="0"/>
          <w:bCs w:val="0"/>
          <w:color w:val="auto"/>
          <w:sz w:val="24"/>
          <w:szCs w:val="28"/>
          <w:highlight w:val="none"/>
        </w:rPr>
        <w:t>《成品保护标准》</w:t>
      </w:r>
      <w:r>
        <w:rPr>
          <w:rFonts w:hint="eastAsia" w:ascii="宋体" w:hAnsi="宋体" w:cs="宋体"/>
          <w:b w:val="0"/>
          <w:bCs w:val="0"/>
          <w:color w:val="auto"/>
          <w:sz w:val="24"/>
          <w:szCs w:val="28"/>
          <w:highlight w:val="none"/>
          <w:lang w:eastAsia="zh-CN"/>
        </w:rPr>
        <w:t>中对应的要求。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6、如果发生以下情形，甲方有权要求整改，情节严重的甲方有权解除合同，由此造成的损失乙方承担：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6.1、不按合同约定的要求施工；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6.2、违反正常施工程序、施工工艺进行野蛮施工；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6.3、施工质量、安全、环保等达不到有关要求；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6.4、施工材料不符合本合同规定的品牌或材质的。</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7、施工厂区每项工序需做到工完料清。</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8、工程质量同时需满足《中浩德地产集团工程精细化手册1.0工艺标准》中对应的要求。</w:t>
      </w:r>
    </w:p>
    <w:p>
      <w:pPr>
        <w:spacing w:line="309" w:lineRule="exact"/>
        <w:ind w:left="493"/>
        <w:rPr>
          <w:rFonts w:ascii="宋体" w:hAnsi="宋体" w:eastAsia="宋体" w:cs="宋体"/>
          <w:color w:val="auto"/>
          <w:sz w:val="23"/>
          <w:szCs w:val="23"/>
        </w:rPr>
      </w:pPr>
      <w:r>
        <w:rPr>
          <w:rFonts w:hint="eastAsia" w:ascii="宋体" w:hAnsi="宋体" w:cs="宋体"/>
          <w:color w:val="auto"/>
          <w:sz w:val="24"/>
          <w:szCs w:val="24"/>
          <w:highlight w:val="none"/>
          <w:lang w:val="en-US" w:eastAsia="zh-CN"/>
        </w:rPr>
        <w:t>9、</w:t>
      </w:r>
      <w:r>
        <w:rPr>
          <w:rFonts w:ascii="宋体" w:hAnsi="宋体" w:eastAsia="宋体" w:cs="宋体"/>
          <w:color w:val="auto"/>
          <w:spacing w:val="7"/>
          <w:position w:val="1"/>
          <w:sz w:val="23"/>
          <w:szCs w:val="23"/>
        </w:rPr>
        <w:t>技术标准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Cs w:val="24"/>
          <w:lang w:val="en-US" w:eastAsia="zh-CN"/>
        </w:rPr>
        <w:t>钢构、玻璃、镀锌钢管、</w:t>
      </w:r>
      <w:r>
        <w:rPr>
          <w:rFonts w:hint="eastAsia" w:ascii="宋体" w:hAnsi="宋体" w:cs="宋体"/>
          <w:bCs/>
          <w:color w:val="auto"/>
          <w:szCs w:val="24"/>
        </w:rPr>
        <w:t>铝</w:t>
      </w:r>
      <w:r>
        <w:rPr>
          <w:rFonts w:hint="eastAsia" w:ascii="宋体" w:hAnsi="宋体" w:cs="宋体"/>
          <w:bCs/>
          <w:color w:val="auto"/>
          <w:szCs w:val="24"/>
          <w:lang w:val="en-US" w:eastAsia="zh-CN"/>
        </w:rPr>
        <w:t>材等</w:t>
      </w:r>
      <w:r>
        <w:rPr>
          <w:rFonts w:hint="eastAsia" w:ascii="宋体" w:hAnsi="宋体" w:cs="宋体"/>
          <w:bCs/>
          <w:color w:val="auto"/>
          <w:szCs w:val="24"/>
        </w:rPr>
        <w:t>的质量满足国家或相关行业的强制性质量标准；无强制性标准的应以样品或双方约定的标准为准（包括图纸、样品）等，图纸及样品必须经双</w:t>
      </w:r>
      <w:r>
        <w:rPr>
          <w:rFonts w:hint="eastAsia" w:ascii="宋体" w:hAnsi="宋体" w:cs="宋体"/>
          <w:color w:val="auto"/>
          <w:sz w:val="24"/>
          <w:szCs w:val="24"/>
          <w:highlight w:val="none"/>
        </w:rPr>
        <w:t>方签认并妥善封存，并具有国家认可机构出具的与每批</w:t>
      </w:r>
      <w:r>
        <w:rPr>
          <w:rFonts w:hint="eastAsia" w:ascii="宋体" w:hAnsi="宋体" w:cs="宋体"/>
          <w:color w:val="auto"/>
          <w:sz w:val="24"/>
          <w:szCs w:val="24"/>
          <w:highlight w:val="none"/>
          <w:lang w:val="en-US" w:eastAsia="zh-CN"/>
        </w:rPr>
        <w:t>钢</w:t>
      </w:r>
      <w:r>
        <w:rPr>
          <w:rFonts w:hint="eastAsia" w:ascii="宋体" w:hAnsi="宋体" w:cs="宋体"/>
          <w:color w:val="auto"/>
          <w:sz w:val="24"/>
          <w:szCs w:val="24"/>
          <w:highlight w:val="none"/>
        </w:rPr>
        <w:t>材、铝板相对应有效期限内的有效质量检验合格报告。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技术规范及</w:t>
      </w:r>
      <w:r>
        <w:rPr>
          <w:rFonts w:hint="eastAsia" w:ascii="宋体" w:hAnsi="宋体" w:cs="宋体"/>
          <w:color w:val="auto"/>
          <w:sz w:val="24"/>
          <w:szCs w:val="24"/>
          <w:highlight w:val="none"/>
        </w:rPr>
        <w:t>质量要求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本次工程内容执行国家现行相关工程建设法律、法规、强制性标准及相关技术规范</w:t>
      </w:r>
      <w:r>
        <w:rPr>
          <w:rFonts w:hint="eastAsia" w:ascii="宋体" w:hAnsi="宋体" w:cs="宋体"/>
          <w:color w:val="auto"/>
          <w:sz w:val="24"/>
          <w:szCs w:val="24"/>
          <w:highlight w:val="none"/>
          <w:lang w:eastAsia="zh-CN"/>
        </w:rPr>
        <w:t>及浩德地产相关工艺工法。</w:t>
      </w:r>
    </w:p>
    <w:p>
      <w:pPr>
        <w:spacing w:before="185" w:line="311" w:lineRule="exact"/>
        <w:ind w:left="506"/>
        <w:rPr>
          <w:rFonts w:ascii="宋体" w:hAnsi="宋体" w:eastAsia="宋体" w:cs="宋体"/>
          <w:color w:val="auto"/>
          <w:sz w:val="23"/>
          <w:szCs w:val="23"/>
        </w:rPr>
      </w:pPr>
      <w:r>
        <w:rPr>
          <w:rFonts w:ascii="宋体" w:hAnsi="宋体" w:eastAsia="宋体" w:cs="宋体"/>
          <w:color w:val="auto"/>
          <w:spacing w:val="8"/>
          <w:position w:val="1"/>
          <w:sz w:val="23"/>
          <w:szCs w:val="23"/>
        </w:rPr>
        <w:t>1．国家现行的有关规范、法规及行业标准</w:t>
      </w:r>
      <w:r>
        <w:rPr>
          <w:rFonts w:ascii="宋体" w:hAnsi="宋体" w:eastAsia="宋体" w:cs="宋体"/>
          <w:color w:val="auto"/>
          <w:spacing w:val="5"/>
          <w:position w:val="1"/>
          <w:sz w:val="23"/>
          <w:szCs w:val="23"/>
        </w:rPr>
        <w:t>；</w:t>
      </w:r>
    </w:p>
    <w:p>
      <w:pPr>
        <w:spacing w:before="157" w:line="311" w:lineRule="exact"/>
        <w:ind w:left="491"/>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8"/>
          <w:position w:val="1"/>
          <w:sz w:val="23"/>
          <w:szCs w:val="23"/>
        </w:rPr>
        <w:t>应采用的主要设计、施工、检验、评定标准。</w:t>
      </w:r>
    </w:p>
    <w:p>
      <w:pPr>
        <w:spacing w:before="157" w:line="228" w:lineRule="auto"/>
        <w:ind w:left="500"/>
        <w:rPr>
          <w:rFonts w:ascii="宋体" w:hAnsi="宋体" w:eastAsia="宋体" w:cs="宋体"/>
          <w:color w:val="auto"/>
          <w:sz w:val="23"/>
          <w:szCs w:val="23"/>
        </w:rPr>
      </w:pPr>
      <w:r>
        <w:rPr>
          <w:rFonts w:ascii="宋体" w:hAnsi="宋体" w:eastAsia="宋体" w:cs="宋体"/>
          <w:color w:val="auto"/>
          <w:spacing w:val="14"/>
          <w:sz w:val="23"/>
          <w:szCs w:val="23"/>
        </w:rPr>
        <w:t>(</w:t>
      </w:r>
      <w:r>
        <w:rPr>
          <w:rFonts w:ascii="宋体" w:hAnsi="宋体" w:eastAsia="宋体" w:cs="宋体"/>
          <w:color w:val="auto"/>
          <w:spacing w:val="7"/>
          <w:sz w:val="23"/>
          <w:szCs w:val="23"/>
        </w:rPr>
        <w:t>1) 《建筑工程施工质量验收统一标准》</w:t>
      </w:r>
      <w:r>
        <w:rPr>
          <w:rFonts w:ascii="宋体" w:hAnsi="宋体" w:eastAsia="宋体" w:cs="宋体"/>
          <w:color w:val="auto"/>
          <w:sz w:val="23"/>
          <w:szCs w:val="23"/>
        </w:rPr>
        <w:t>GB</w:t>
      </w:r>
      <w:r>
        <w:rPr>
          <w:rFonts w:ascii="宋体" w:hAnsi="宋体" w:eastAsia="宋体" w:cs="宋体"/>
          <w:color w:val="auto"/>
          <w:spacing w:val="7"/>
          <w:sz w:val="23"/>
          <w:szCs w:val="23"/>
        </w:rPr>
        <w:t>50300-2013</w:t>
      </w:r>
    </w:p>
    <w:p>
      <w:pPr>
        <w:spacing w:before="184" w:line="228" w:lineRule="auto"/>
        <w:ind w:left="500"/>
        <w:rPr>
          <w:rFonts w:ascii="宋体" w:hAnsi="宋体" w:eastAsia="宋体" w:cs="宋体"/>
          <w:color w:val="auto"/>
          <w:sz w:val="23"/>
          <w:szCs w:val="23"/>
        </w:rPr>
      </w:pPr>
      <w:r>
        <w:rPr>
          <w:rFonts w:ascii="宋体" w:hAnsi="宋体" w:eastAsia="宋体" w:cs="宋体"/>
          <w:color w:val="auto"/>
          <w:spacing w:val="7"/>
          <w:sz w:val="23"/>
          <w:szCs w:val="23"/>
        </w:rPr>
        <w:t>(2) 《建筑工程质量验收规范》</w:t>
      </w:r>
      <w:r>
        <w:rPr>
          <w:rFonts w:ascii="宋体" w:hAnsi="宋体" w:eastAsia="宋体" w:cs="宋体"/>
          <w:color w:val="auto"/>
          <w:sz w:val="23"/>
          <w:szCs w:val="23"/>
        </w:rPr>
        <w:t>GB</w:t>
      </w:r>
      <w:r>
        <w:rPr>
          <w:rFonts w:ascii="宋体" w:hAnsi="宋体" w:eastAsia="宋体" w:cs="宋体"/>
          <w:color w:val="auto"/>
          <w:spacing w:val="7"/>
          <w:sz w:val="23"/>
          <w:szCs w:val="23"/>
        </w:rPr>
        <w:t>50210-201</w:t>
      </w:r>
      <w:r>
        <w:rPr>
          <w:rFonts w:ascii="宋体" w:hAnsi="宋体" w:eastAsia="宋体" w:cs="宋体"/>
          <w:color w:val="auto"/>
          <w:spacing w:val="2"/>
          <w:sz w:val="23"/>
          <w:szCs w:val="23"/>
        </w:rPr>
        <w:t>8</w:t>
      </w:r>
    </w:p>
    <w:p>
      <w:pPr>
        <w:spacing w:before="184" w:line="228" w:lineRule="auto"/>
        <w:ind w:left="500"/>
        <w:rPr>
          <w:rFonts w:ascii="宋体" w:hAnsi="宋体" w:eastAsia="宋体" w:cs="宋体"/>
          <w:color w:val="auto"/>
          <w:spacing w:val="7"/>
          <w:sz w:val="23"/>
          <w:szCs w:val="23"/>
        </w:rPr>
      </w:pPr>
      <w:r>
        <w:rPr>
          <w:rFonts w:hint="eastAsia" w:ascii="宋体" w:hAnsi="宋体" w:eastAsia="宋体" w:cs="宋体"/>
          <w:color w:val="auto"/>
          <w:spacing w:val="7"/>
          <w:sz w:val="23"/>
          <w:szCs w:val="23"/>
        </w:rPr>
        <w:t xml:space="preserve">(3) 《住宅装饰装修工程施工规范》GB50327-2001 </w:t>
      </w:r>
    </w:p>
    <w:p>
      <w:pPr>
        <w:spacing w:before="185" w:line="309" w:lineRule="exact"/>
        <w:ind w:left="493"/>
        <w:rPr>
          <w:rFonts w:ascii="宋体" w:hAnsi="宋体" w:eastAsia="宋体" w:cs="宋体"/>
          <w:color w:val="auto"/>
          <w:sz w:val="23"/>
          <w:szCs w:val="23"/>
        </w:rPr>
      </w:pPr>
      <w:r>
        <w:rPr>
          <w:rFonts w:ascii="宋体" w:hAnsi="宋体" w:eastAsia="宋体" w:cs="宋体"/>
          <w:color w:val="auto"/>
          <w:spacing w:val="16"/>
          <w:position w:val="1"/>
          <w:sz w:val="23"/>
          <w:szCs w:val="23"/>
        </w:rPr>
        <w:t>3</w:t>
      </w:r>
      <w:r>
        <w:rPr>
          <w:rFonts w:ascii="宋体" w:hAnsi="宋体" w:eastAsia="宋体" w:cs="宋体"/>
          <w:color w:val="auto"/>
          <w:spacing w:val="12"/>
          <w:position w:val="1"/>
          <w:sz w:val="23"/>
          <w:szCs w:val="23"/>
        </w:rPr>
        <w:t>．</w:t>
      </w:r>
      <w:r>
        <w:rPr>
          <w:rFonts w:ascii="宋体" w:hAnsi="宋体" w:eastAsia="宋体" w:cs="宋体"/>
          <w:color w:val="auto"/>
          <w:spacing w:val="8"/>
          <w:position w:val="1"/>
          <w:sz w:val="23"/>
          <w:szCs w:val="23"/>
        </w:rPr>
        <w:t>其它施工及验收规范、质量检验评定标准：</w:t>
      </w:r>
    </w:p>
    <w:p>
      <w:pPr>
        <w:spacing w:before="184" w:line="228" w:lineRule="auto"/>
        <w:ind w:firstLine="516" w:firstLineChars="200"/>
        <w:rPr>
          <w:rFonts w:ascii="宋体" w:hAnsi="宋体" w:eastAsia="宋体" w:cs="宋体"/>
          <w:color w:val="auto"/>
          <w:sz w:val="23"/>
          <w:szCs w:val="23"/>
        </w:rPr>
      </w:pPr>
      <w:r>
        <w:rPr>
          <w:rFonts w:ascii="宋体" w:hAnsi="宋体" w:eastAsia="宋体" w:cs="宋体"/>
          <w:color w:val="auto"/>
          <w:spacing w:val="14"/>
          <w:sz w:val="23"/>
          <w:szCs w:val="23"/>
        </w:rPr>
        <w:t>(</w:t>
      </w:r>
      <w:r>
        <w:rPr>
          <w:rFonts w:hint="eastAsia" w:ascii="宋体" w:hAnsi="宋体" w:cs="宋体"/>
          <w:color w:val="auto"/>
          <w:spacing w:val="9"/>
          <w:sz w:val="23"/>
          <w:szCs w:val="23"/>
          <w:lang w:val="en-US" w:eastAsia="zh-CN"/>
        </w:rPr>
        <w:t>1</w:t>
      </w:r>
      <w:r>
        <w:rPr>
          <w:rFonts w:ascii="宋体" w:hAnsi="宋体" w:eastAsia="宋体" w:cs="宋体"/>
          <w:color w:val="auto"/>
          <w:spacing w:val="7"/>
          <w:sz w:val="23"/>
          <w:szCs w:val="23"/>
        </w:rPr>
        <w:t>) 《钢结构工程施工质量验收规范》</w:t>
      </w:r>
      <w:r>
        <w:rPr>
          <w:rFonts w:ascii="宋体" w:hAnsi="宋体" w:eastAsia="宋体" w:cs="宋体"/>
          <w:color w:val="auto"/>
          <w:sz w:val="23"/>
          <w:szCs w:val="23"/>
        </w:rPr>
        <w:t>GB</w:t>
      </w:r>
      <w:r>
        <w:rPr>
          <w:rFonts w:ascii="宋体" w:hAnsi="宋体" w:eastAsia="宋体" w:cs="宋体"/>
          <w:color w:val="auto"/>
          <w:spacing w:val="7"/>
          <w:sz w:val="23"/>
          <w:szCs w:val="23"/>
        </w:rPr>
        <w:t>50205—2020</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）《建筑幕墙》 GBT21086-2007</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）《玻璃幕墙工程技术规范》 JGJ102-2003</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）《金属与石材幕墙工程技术规范》 JGJ133-2001</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）《建筑玻璃应用技术规范》 JGJ113-2022</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）《建筑幕墙工程技术规范》 DBJ08-56-2012</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）《钢结构工程施工质量验收规范》GB50205—2001</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）《建筑电气工程施工质量验收规范》GB50303—2015</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）《河南省工程建设标准设计》12YJ</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0</w:t>
      </w:r>
      <w:r>
        <w:rPr>
          <w:rFonts w:hint="eastAsia" w:ascii="宋体" w:hAnsi="宋体" w:cs="宋体"/>
          <w:color w:val="auto"/>
          <w:szCs w:val="24"/>
          <w:highlight w:val="none"/>
        </w:rPr>
        <w:t>）《建筑施工安全检查标准》JGJ59-2011</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）《施工现场临时用电安全技术规范》JGJ46-2005</w:t>
      </w:r>
    </w:p>
    <w:p>
      <w:pPr>
        <w:pStyle w:val="2"/>
        <w:ind w:firstLine="480" w:firstLineChars="200"/>
        <w:rPr>
          <w:rFonts w:hint="eastAsia" w:eastAsia="宋体"/>
          <w:color w:val="auto"/>
          <w:lang w:val="en-US" w:eastAsia="zh-CN"/>
        </w:rPr>
      </w:pPr>
      <w:r>
        <w:rPr>
          <w:rFonts w:hint="eastAsia" w:hAnsi="宋体" w:cs="宋体"/>
          <w:b w:val="0"/>
          <w:bCs/>
          <w:color w:val="auto"/>
          <w:szCs w:val="24"/>
          <w:highlight w:val="yellow"/>
        </w:rPr>
        <w:t>4、中浩德地产集团相关工艺工法标准化要求</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、现场安全文明施工及管理要求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2、乙方及乙方派驻施工现场的项目经理须向甲方签订安全责任书，对工程质量、安全做出相应承诺和确定目标值。若上述目标不能达到，应向甲方支付违约金2000元并向甲方给予经济补偿和承担相应的法律责任。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4、乙方应加强对职工的教育。施工现场严禁出现饮酒、打架斗殴、赌博和其它违法违章现象，每发现一次，</w:t>
      </w:r>
      <w:r>
        <w:rPr>
          <w:rFonts w:hint="eastAsia" w:ascii="宋体" w:hAnsi="宋体" w:cs="宋体"/>
          <w:color w:val="auto"/>
          <w:szCs w:val="24"/>
        </w:rPr>
        <w:t>乙方应</w:t>
      </w:r>
      <w:r>
        <w:rPr>
          <w:rFonts w:hint="eastAsia" w:ascii="宋体" w:hAnsi="宋体" w:cs="宋体"/>
          <w:color w:val="auto"/>
          <w:szCs w:val="24"/>
          <w:highlight w:val="yellow"/>
        </w:rPr>
        <w:t>按</w:t>
      </w:r>
      <w:r>
        <w:rPr>
          <w:rFonts w:hint="eastAsia" w:ascii="宋体" w:hAnsi="宋体"/>
          <w:color w:val="auto"/>
          <w:highlight w:val="yellow"/>
        </w:rPr>
        <w:t>5</w:t>
      </w:r>
      <w:r>
        <w:rPr>
          <w:rFonts w:ascii="宋体" w:hAnsi="宋体"/>
          <w:color w:val="auto"/>
          <w:highlight w:val="yellow"/>
        </w:rPr>
        <w:t>000</w:t>
      </w:r>
      <w:r>
        <w:rPr>
          <w:rFonts w:hint="eastAsia" w:ascii="宋体" w:hAnsi="宋体"/>
          <w:color w:val="auto"/>
          <w:highlight w:val="yellow"/>
        </w:rPr>
        <w:t>元/次向甲方支付违约金</w:t>
      </w:r>
      <w:r>
        <w:rPr>
          <w:rFonts w:hint="eastAsia" w:ascii="宋体" w:hAnsi="宋体" w:cs="宋体"/>
          <w:color w:val="auto"/>
          <w:szCs w:val="24"/>
          <w:highlight w:val="yellow"/>
        </w:rPr>
        <w:t>。</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pPr>
        <w:pStyle w:val="16"/>
        <w:rPr>
          <w:rFonts w:ascii="宋体" w:hAnsi="宋体" w:cs="宋体"/>
          <w:color w:val="auto"/>
          <w:sz w:val="24"/>
          <w:szCs w:val="24"/>
          <w:highlight w:val="none"/>
        </w:rPr>
      </w:pPr>
      <w:r>
        <w:rPr>
          <w:rFonts w:hint="eastAsia" w:ascii="宋体" w:hAnsi="宋体" w:cs="宋体"/>
          <w:color w:val="auto"/>
          <w:sz w:val="24"/>
          <w:szCs w:val="24"/>
          <w:highlight w:val="none"/>
        </w:rPr>
        <w:t>6、乙方需遵守甲方、监理及总包单位的相关安全规程制度，否则按相关制度进行处罚。</w:t>
      </w:r>
      <w:r>
        <w:rPr>
          <w:rFonts w:hint="eastAsia"/>
          <w:lang w:eastAsia="zh-CN"/>
        </w:rPr>
        <w:t>相关制度如有重复</w:t>
      </w:r>
      <w:r>
        <w:rPr>
          <w:rFonts w:hint="eastAsia"/>
          <w:lang w:val="en-US" w:eastAsia="zh-CN"/>
        </w:rPr>
        <w:t>/冲突，按较重的违约条款执行。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7、乙方在施工中要服从甲方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监理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总包单位</w:t>
      </w:r>
      <w:r>
        <w:rPr>
          <w:rFonts w:hint="eastAsia" w:ascii="宋体" w:hAnsi="宋体" w:cs="宋体"/>
          <w:color w:val="auto"/>
          <w:sz w:val="24"/>
          <w:szCs w:val="24"/>
          <w:highlight w:val="none"/>
        </w:rPr>
        <w:t>的统一指挥，做好防尘防噪措施，各项措施和管理达到示范工程标准。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8、乙方应保证施工现场的卫生标准、噪音标准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扬尘治理</w:t>
      </w:r>
      <w:r>
        <w:rPr>
          <w:rFonts w:hint="eastAsia" w:ascii="宋体" w:hAnsi="宋体" w:cs="宋体"/>
          <w:color w:val="auto"/>
          <w:sz w:val="24"/>
          <w:szCs w:val="24"/>
          <w:highlight w:val="none"/>
        </w:rPr>
        <w:t>等指标满足国家、地方的有关规定。施工中因乙方违反规定造成的损失和发生的费用（若主管部门罚款）均由乙方承担。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9、施工过程中如发生扰民或民扰，由乙方与甲方协调解决，费用乙方承担。</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Cs w:val="24"/>
          <w:highlight w:val="yellow"/>
        </w:rPr>
        <w:t>10、安全文明施工及管理需满足《浩德地产安全文明措施标准化手册2022》中对应的要求。</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、验收及移交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1、按照国家标准设计要求装饰装修工程质量标准和甲方的要求进行验收。如工程质量达不到约定条件，乙方应按甲方和监理的要求返工、修改，并承担因此导致返工、修改的费用。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1.1、甲方可委托任何设计单位、政府有关质量监督部门或其他单位对施工质量进行检查及对工程质量进行监督，乙方应予积极配合。</w:t>
      </w:r>
    </w:p>
    <w:p>
      <w:pPr>
        <w:pStyle w:val="16"/>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1.2、甲方有权利随时对本合同范围内产品的生产过程及到场产品进行检查，乙方应予以积极配合，如甲方</w:t>
      </w:r>
      <w:r>
        <w:rPr>
          <w:rFonts w:hint="eastAsia"/>
          <w:lang w:eastAsia="zh-CN"/>
        </w:rPr>
        <w:t>根据相关工艺工法及国家规范标准</w:t>
      </w:r>
      <w:r>
        <w:rPr>
          <w:rFonts w:hint="eastAsia" w:ascii="宋体" w:hAnsi="宋体" w:cs="宋体"/>
          <w:color w:val="auto"/>
          <w:sz w:val="24"/>
          <w:szCs w:val="24"/>
          <w:highlight w:val="none"/>
        </w:rPr>
        <w:t>认定产品的用料、工艺及产品质量不合格，乙方应立即按照合同质量要求重新生产，且工期不予顺延。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1.3、本工程的质量监督验收单位为：甲方、监理方。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1.5、隐蔽工程由乙方书面通知甲方、监理，由甲方 、监理相关工程技术人员到现场检查验收，经验收合格后并履行隐蔽工程签证手续，乙方可将该部位隐蔽。</w:t>
      </w:r>
      <w:r>
        <w:rPr>
          <w:rFonts w:hint="eastAsia" w:ascii="宋体" w:hAnsi="宋体" w:cs="宋体"/>
          <w:color w:val="auto"/>
          <w:sz w:val="24"/>
          <w:szCs w:val="24"/>
          <w:highlight w:val="none"/>
          <w:lang w:val="en-US" w:eastAsia="zh-CN"/>
        </w:rPr>
        <w:t>未经甲方监理验收私自进行隐蔽，甲方有权要求进行破坏性检查，同时乙方承担2000元/次的违约。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工程竣工后，乙方通过自检认为具备条件时，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1.7、验收中如发现不合格需返工或修补的部分，乙方应及时进行整改并在规定期限内完成。经验收合格后再进行移交，由此发生的费用及产生的责任由乙方承担；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1.9、工程验收合格后，乙方负责按工程竣工资料归档要求，提交满足相关建筑工程质量监督部门对技术资料的要求的竣工资料，把有关资料送交甲方。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1.11、办理竣工验收、合格证、检测费用等由乙方自行承担。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2、工程的移交：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验收确认合格</w:t>
      </w:r>
      <w:r>
        <w:rPr>
          <w:rFonts w:hint="eastAsia" w:ascii="宋体" w:hAnsi="宋体" w:cs="宋体"/>
          <w:color w:val="auto"/>
          <w:sz w:val="24"/>
          <w:szCs w:val="24"/>
          <w:highlight w:val="none"/>
        </w:rPr>
        <w:t>前所有安保责任均由乙方承担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成品保护及维修费用均有乙方承担</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2.2、本工程竣工验收合格之日起3天内由双方负责人共同洽谈交接事宜并办理移交手续。工程自移交第二日起，全部由甲方负责管理。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乙方应在竣工验收合格之日起2天内撤出全部施工人员、机械设备和剩余材料，并将所有承包及管理范围内的工程清理干净，如乙方不能及时拆除或清理，甲方有权另派人拆除并清理，造成的费用及责任均由乙方承担，由此所发生的全部费用均从乙方的款项中无条件扣除。乙方遗留的物品视为乙方放弃所有权，甲方有权自行处置。若出售或处理乙方遗留的物品，由此支出的费用由乙方承担，甲方出售乙方遗留物品所得款项在扣除必要费用后可返还乙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2.4、工程在未移交甲方之前，乙方承担维护及管理责任；如甲方提前使用，因使用损坏发生的修理费用由甲方承担。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工程竣工验收并达到合同验收要求，乙方不得因自身的经济纠纷或其它任何原因（含甲方延期付款等）而拒绝交付工程。如乙方拒绝移交工程的，自应当移交工程之日起，乙方每日需向甲方按照合同总价0.5‰承担违约责任。</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、变更签证</w:t>
      </w:r>
    </w:p>
    <w:p>
      <w:pPr>
        <w:spacing w:line="360" w:lineRule="auto"/>
        <w:ind w:left="2" w:firstLine="538"/>
        <w:rPr>
          <w:rFonts w:ascii="宋体" w:hAnsi="宋体"/>
          <w:color w:val="auto"/>
          <w:kern w:val="0"/>
          <w:sz w:val="24"/>
          <w:szCs w:val="20"/>
          <w:highlight w:val="none"/>
        </w:rPr>
      </w:pPr>
      <w:r>
        <w:rPr>
          <w:rFonts w:hint="eastAsia" w:ascii="宋体" w:hAnsi="宋体"/>
          <w:color w:val="auto"/>
          <w:kern w:val="0"/>
          <w:sz w:val="24"/>
          <w:szCs w:val="20"/>
          <w:highlight w:val="none"/>
        </w:rPr>
        <w:t>1、乙方应严格按照经甲方核审签认的施工图纸施工，不得随意变更；若确须变更，应按程序报甲方书面同意后，方可变更施工，否则造成的一切后果及责任均由乙方负责。</w:t>
      </w:r>
    </w:p>
    <w:p>
      <w:pPr>
        <w:spacing w:line="360" w:lineRule="auto"/>
        <w:ind w:left="2" w:firstLine="538"/>
        <w:rPr>
          <w:rFonts w:ascii="宋体" w:hAnsi="宋体"/>
          <w:color w:val="auto"/>
          <w:kern w:val="0"/>
          <w:sz w:val="24"/>
          <w:szCs w:val="20"/>
          <w:highlight w:val="none"/>
        </w:rPr>
      </w:pPr>
      <w:r>
        <w:rPr>
          <w:rFonts w:hint="eastAsia" w:ascii="宋体" w:hAnsi="宋体"/>
          <w:color w:val="auto"/>
          <w:kern w:val="0"/>
          <w:sz w:val="24"/>
          <w:szCs w:val="20"/>
          <w:highlight w:val="none"/>
        </w:rPr>
        <w:t>2、施工过程中，若甲方需要增减项目或变更项目应提前以书面形式通知乙方，乙方承诺满足甲方的需求。</w:t>
      </w:r>
    </w:p>
    <w:p>
      <w:pPr>
        <w:spacing w:line="360" w:lineRule="auto"/>
        <w:ind w:left="2" w:firstLine="538"/>
        <w:rPr>
          <w:rFonts w:hint="eastAsia" w:ascii="宋体" w:hAnsi="宋体"/>
          <w:color w:val="auto"/>
          <w:kern w:val="0"/>
          <w:sz w:val="24"/>
          <w:szCs w:val="20"/>
          <w:highlight w:val="none"/>
        </w:rPr>
      </w:pPr>
      <w:r>
        <w:rPr>
          <w:rFonts w:hint="eastAsia" w:ascii="宋体" w:hAnsi="宋体"/>
          <w:color w:val="auto"/>
          <w:kern w:val="0"/>
          <w:sz w:val="24"/>
          <w:szCs w:val="20"/>
          <w:highlight w:val="none"/>
        </w:rPr>
        <w:t>3、变更、签证的计价原则：本合同执行期间，合同固定总价不因任何因素而作调整。若因甲方设计原因引起的设计变更，由甲方出具设计变更单。因设计变更引起部分分项工程子目的增加，该子项目的综合单价在合同中（即</w:t>
      </w:r>
      <w:r>
        <w:rPr>
          <w:rFonts w:hint="eastAsia" w:ascii="宋体" w:hAnsi="宋体"/>
          <w:color w:val="auto"/>
          <w:kern w:val="0"/>
          <w:sz w:val="24"/>
          <w:szCs w:val="20"/>
          <w:highlight w:val="none"/>
          <w:lang w:eastAsia="zh-CN"/>
        </w:rPr>
        <w:t>附件四</w:t>
      </w:r>
      <w:r>
        <w:rPr>
          <w:rFonts w:hint="eastAsia" w:ascii="宋体" w:hAnsi="宋体"/>
          <w:color w:val="auto"/>
          <w:kern w:val="0"/>
          <w:sz w:val="24"/>
          <w:szCs w:val="20"/>
          <w:highlight w:val="none"/>
        </w:rPr>
        <w:t>《工程量清单计价表》）有相同子目的执行相同子目的单价，合同中（即</w:t>
      </w:r>
      <w:r>
        <w:rPr>
          <w:rFonts w:hint="eastAsia" w:ascii="宋体" w:hAnsi="宋体"/>
          <w:color w:val="auto"/>
          <w:kern w:val="0"/>
          <w:sz w:val="24"/>
          <w:szCs w:val="20"/>
          <w:highlight w:val="none"/>
          <w:lang w:eastAsia="zh-CN"/>
        </w:rPr>
        <w:t>附件四</w:t>
      </w:r>
      <w:r>
        <w:rPr>
          <w:rFonts w:hint="eastAsia" w:ascii="宋体" w:hAnsi="宋体"/>
          <w:color w:val="auto"/>
          <w:kern w:val="0"/>
          <w:sz w:val="24"/>
          <w:szCs w:val="20"/>
          <w:highlight w:val="none"/>
        </w:rPr>
        <w:t>《工程量清单计价表》）中有相近子目的按相近子目执行，若合同中（即</w:t>
      </w:r>
      <w:r>
        <w:rPr>
          <w:rFonts w:hint="eastAsia" w:ascii="宋体" w:hAnsi="宋体"/>
          <w:color w:val="auto"/>
          <w:kern w:val="0"/>
          <w:sz w:val="24"/>
          <w:szCs w:val="20"/>
          <w:highlight w:val="none"/>
          <w:lang w:eastAsia="zh-CN"/>
        </w:rPr>
        <w:t>附件四</w:t>
      </w:r>
      <w:r>
        <w:rPr>
          <w:rFonts w:hint="eastAsia" w:ascii="宋体" w:hAnsi="宋体"/>
          <w:color w:val="auto"/>
          <w:kern w:val="0"/>
          <w:sz w:val="24"/>
          <w:szCs w:val="20"/>
          <w:highlight w:val="none"/>
        </w:rPr>
        <w:t>《工程量清单计价表》）无适用或类似于变更、签证工程综合单价的，按照《河南省建设工程工程量清单综合单价》（2016版）相关分册及配套的取费文件执行，材料按照施工时间同期的《河南省建设工程造价信息洛阳专刊》中的平均价格调整差价。实际施工发生主材用料变更，则只调整综合单价中主材费的价差及相应的税金，并参与总价优惠</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15</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%，其余一切有关费用不得调整。</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、结算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1、结算依据：甲方审核签认的施工设计方案、甲方认可的变更签证、施工合同、补充协议、招标、投标文件等。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2、工程完工后，乙方应及时提交结算资料，配合甲方办理竣工结算，竣工结算总价＝合同固定总价±变更、签证造价-应扣费用。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3、乙方结算资料在报送甲方时一次性报送完整，在甲方结算审价过程中，不再接受增加任何结算资料（图纸、签证变更单、价格凭证等），送审的结算书中若有遗漏项目均作为让利给甲方，不再作增加调整。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4、乙方报送结算书应诚实准确，若最终审减额超过结算金额的5%，则需要乙方向甲方支付超出部分费用的3%作为违约金，且审减金额在结算报告中一次扣除。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5、若甲方需在本合同约定的标的或工作量以外委托乙方完成一定的工作量，应以正式书面形式将具体工作范围、价款、完成时间、付款方式等主要内容通知乙方。若无正式书面委托，甲方不予结算。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6、办理竣工验收、合格证、检测费用等由承包方自行承担。</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十五、质保期</w:t>
      </w:r>
    </w:p>
    <w:p>
      <w:pPr>
        <w:numPr>
          <w:ilvl w:val="0"/>
          <w:numId w:val="0"/>
        </w:num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1、本工程的保修期为2年，自甲方、监理及相关部门验收合格并投入使用之日起计算。</w:t>
      </w:r>
    </w:p>
    <w:p>
      <w:pPr>
        <w:numPr>
          <w:ilvl w:val="0"/>
          <w:numId w:val="0"/>
        </w:num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2、保修期内若有施工质量问题、用料问题等，乙方必须在接到通知后的 24 个小时内派员维修并在24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保修金不足以支付的，甲方有权向乙方追偿。</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十六、双方责任与义务</w:t>
      </w:r>
    </w:p>
    <w:p>
      <w:pPr>
        <w:tabs>
          <w:tab w:val="left" w:pos="120"/>
        </w:tabs>
        <w:spacing w:line="360" w:lineRule="auto"/>
        <w:ind w:firstLine="218" w:firstLineChars="91"/>
        <w:rPr>
          <w:rFonts w:ascii="宋体" w:hAnsi="宋体" w:cs="宋体"/>
          <w:color w:val="auto"/>
          <w:sz w:val="24"/>
          <w:szCs w:val="24"/>
          <w:highlight w:val="none"/>
        </w:rPr>
      </w:pPr>
      <w:r>
        <w:rPr>
          <w:rFonts w:hint="eastAsia" w:ascii="宋体" w:hAnsi="宋体" w:cs="宋体"/>
          <w:color w:val="auto"/>
          <w:szCs w:val="24"/>
          <w:highlight w:val="none"/>
        </w:rPr>
        <w:tab/>
      </w:r>
      <w:r>
        <w:rPr>
          <w:rFonts w:hint="eastAsia" w:ascii="宋体" w:hAnsi="宋体" w:cs="宋体"/>
          <w:color w:val="auto"/>
          <w:sz w:val="24"/>
          <w:szCs w:val="24"/>
          <w:highlight w:val="none"/>
        </w:rPr>
        <w:t>1、甲方的责任与义务</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1.2甲方委派</w:t>
      </w:r>
      <w:r>
        <w:rPr>
          <w:rFonts w:hint="eastAsia" w:ascii="宋体" w:hAnsi="宋体" w:cs="宋体"/>
          <w:color w:val="auto"/>
          <w:sz w:val="24"/>
          <w:szCs w:val="24"/>
          <w:highlight w:val="none"/>
          <w:u w:val="single"/>
        </w:rPr>
        <w:t xml:space="preserve">   </w:t>
      </w:r>
      <w:r>
        <w:rPr>
          <w:rFonts w:hint="eastAsia" w:ascii="宋体" w:hAnsi="宋体"/>
          <w:snapToGrid w:val="0"/>
          <w:kern w:val="0"/>
          <w:highlight w:val="none"/>
          <w:u w:val="single"/>
          <w:lang w:val="en-US" w:eastAsia="zh-CN"/>
        </w:rPr>
        <w:t>胡涛</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为现场代表（身份证号码：</w:t>
      </w:r>
      <w:r>
        <w:rPr>
          <w:rFonts w:hint="eastAsia" w:ascii="宋体" w:hAnsi="宋体" w:cs="宋体"/>
          <w:color w:val="auto"/>
          <w:sz w:val="24"/>
          <w:szCs w:val="24"/>
          <w:highlight w:val="none"/>
          <w:u w:val="single"/>
        </w:rPr>
        <w:t xml:space="preserve"> </w:t>
      </w:r>
      <w:r>
        <w:rPr>
          <w:rFonts w:hint="eastAsia" w:ascii="宋体" w:hAnsi="宋体" w:cs="宋体"/>
          <w:szCs w:val="24"/>
          <w:highlight w:val="none"/>
          <w:u w:val="single"/>
          <w:lang w:val="en-US" w:eastAsia="zh-CN"/>
        </w:rPr>
        <w:t>410523198310287575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ascii="宋体" w:hAnsi="宋体"/>
          <w:snapToGrid w:val="0"/>
          <w:kern w:val="0"/>
          <w:highlight w:val="none"/>
          <w:u w:val="single"/>
        </w:rPr>
        <w:t>1</w:t>
      </w:r>
      <w:r>
        <w:rPr>
          <w:rFonts w:hint="eastAsia" w:ascii="宋体" w:hAnsi="宋体"/>
          <w:snapToGrid w:val="0"/>
          <w:kern w:val="0"/>
          <w:highlight w:val="none"/>
          <w:u w:val="single"/>
          <w:lang w:val="en-US" w:eastAsia="zh-CN"/>
        </w:rPr>
        <w:t>5537157567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，监督、检查产品、工程的质量，协调工作中发生的有关事宜；并参与产品、工程的初验、验收和签证工作。如现场代表变更则需及时通知乙方。</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1.3甲方应提供乙方所需工程建筑图、说明书、建筑平面图、变更图及有关技术文件等作为乙方产品设计和施工的有效依据。</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1.4甲方协调乙方与土建单位施工配合问题，并督促工程进度。</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1.5签定合同时，甲方向乙方提供建筑施工图、变更通知及相关材料电子版1套。</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1.6甲方应及时按合同要求给乙方拨付工程款、组织工程竣工验收并按合同规定办理竣工结算。</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1.7甲方指定的分格或要求应在乙方生产前7日内以书面形式通知乙方，乙方开始生产后甲方如要求变更尺寸和分格，因此新增的费用由甲方承担。</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1.8进场材料及施工成品、半成品达不到标准要求，甲方有权责令乙方调换。</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 乙方责任与义务</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2.2乙方委派</w:t>
      </w:r>
      <w:r>
        <w:rPr>
          <w:rFonts w:hint="eastAsia" w:ascii="宋体" w:hAnsi="宋体" w:cs="宋体"/>
          <w:color w:val="auto"/>
          <w:sz w:val="24"/>
          <w:szCs w:val="24"/>
          <w:highlight w:val="none"/>
          <w:u w:val="single"/>
        </w:rPr>
        <w:t xml:space="preserve">    </w:t>
      </w:r>
      <w:r>
        <w:rPr>
          <w:rFonts w:hint="eastAsia" w:ascii="宋体" w:hAnsi="宋体" w:cs="宋体"/>
          <w:color w:val="FF0000"/>
          <w:sz w:val="24"/>
          <w:szCs w:val="24"/>
          <w:highlight w:val="yellow"/>
          <w:u w:val="single"/>
        </w:rPr>
        <w:t xml:space="preserve"> </w:t>
      </w:r>
      <w:r>
        <w:rPr>
          <w:rFonts w:hint="eastAsia" w:ascii="宋体" w:hAnsi="宋体" w:cs="宋体"/>
          <w:color w:val="FF0000"/>
          <w:sz w:val="24"/>
          <w:szCs w:val="24"/>
          <w:highlight w:val="yellow"/>
          <w:u w:val="single"/>
          <w:lang w:val="en-US" w:eastAsia="zh-CN"/>
        </w:rPr>
        <w:t>付平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为现场代表（身份证号码：</w:t>
      </w:r>
      <w:r>
        <w:rPr>
          <w:rFonts w:hint="eastAsia" w:ascii="宋体" w:hAnsi="宋体" w:cs="宋体"/>
          <w:color w:val="auto"/>
          <w:sz w:val="24"/>
          <w:szCs w:val="24"/>
          <w:highlight w:val="none"/>
          <w:u w:val="single"/>
        </w:rPr>
        <w:t xml:space="preserve">  </w:t>
      </w:r>
      <w:r>
        <w:rPr>
          <w:rFonts w:hint="eastAsia" w:ascii="宋体" w:hAnsi="宋体" w:cs="宋体"/>
          <w:color w:val="FF0000"/>
          <w:sz w:val="24"/>
          <w:szCs w:val="24"/>
          <w:highlight w:val="yellow"/>
          <w:u w:val="single"/>
          <w:lang w:val="en-US" w:eastAsia="zh-CN"/>
        </w:rPr>
        <w:t>412328197403034372</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FF0000"/>
          <w:sz w:val="24"/>
          <w:szCs w:val="24"/>
          <w:highlight w:val="yellow"/>
          <w:u w:val="single"/>
          <w:lang w:val="en-US" w:eastAsia="zh-CN"/>
        </w:rPr>
        <w:t>13838883511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2.3乙方应服从甲方和监理单位的管理，需密切配合总包单位施工，遵守工地的有关规定；严格实行工序开工前向监理报验制度。</w:t>
      </w:r>
    </w:p>
    <w:p>
      <w:pPr>
        <w:pStyle w:val="16"/>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2.4乙方应按甲方提供的图纸进行产品设计</w:t>
      </w:r>
      <w:r>
        <w:rPr>
          <w:rFonts w:hint="eastAsia" w:ascii="宋体" w:hAnsi="宋体" w:cs="宋体"/>
          <w:color w:val="auto"/>
          <w:sz w:val="24"/>
          <w:szCs w:val="24"/>
          <w:highlight w:val="none"/>
          <w:lang w:val="en-US" w:eastAsia="zh-CN"/>
        </w:rPr>
        <w:t>优化</w:t>
      </w:r>
      <w:r>
        <w:rPr>
          <w:rFonts w:hint="eastAsia" w:ascii="宋体" w:hAnsi="宋体" w:cs="宋体"/>
          <w:color w:val="auto"/>
          <w:sz w:val="24"/>
          <w:szCs w:val="24"/>
          <w:highlight w:val="none"/>
        </w:rPr>
        <w:t>，确保工程质量；</w:t>
      </w:r>
      <w:r>
        <w:rPr>
          <w:rFonts w:hint="eastAsia"/>
          <w:lang w:eastAsia="zh-CN"/>
        </w:rPr>
        <w:t>深化设计图纸应经甲方设计部签认</w:t>
      </w:r>
      <w:r>
        <w:rPr>
          <w:rFonts w:hint="eastAsia" w:ascii="宋体" w:hAnsi="宋体" w:cs="宋体"/>
          <w:color w:val="auto"/>
          <w:sz w:val="24"/>
          <w:szCs w:val="24"/>
          <w:highlight w:val="none"/>
        </w:rPr>
        <w:t>并保证使用本工程的产品符合国家现行标准。</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2.5乙方不得将该工程转包或分包，否则甲方不支付乙方所发生的任何费用。</w:t>
      </w:r>
    </w:p>
    <w:p>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2.7做好各项质量自检记录，参加竣工验收，编制工程结算。</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2.8遵守国家或地方政府及有关部门对施工现场管理规定；服从甲方的有关指令，积极配合甲方进度安排。</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十七、其它约定及违约责任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1、乙方负责其它专业的楼板或墙体穿洞的收边收口等工作，此部分费用已包含在合同包干固定总价中，甲方不予另行签证。若乙方因周边围护措施不到位或考虑不周造成的损失由乙方自行承担。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2、所有材料进场前其品种、颜色、规格、质量必须得到甲方、监理认可；乙方负责材料检测费用的支出；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施工工艺要符合国家标准，更要符合甲方设计要求，满足甲方设计功能，质量必须要达到国家验收标准；乙方必须根据甲方现场工程师的要求做到样板先行，每一道工序开工前必须先做样板，待样板经甲方、监理验收合格后，方可开始大面积施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现场必须选用优秀的劳务队伍以保证施工质量及工期，若劳务队伍不能满足甲方要求，甲方可随时要求乙方更换其劳务队伍，乙方必须无条件服从，且不能影响工期。乙方劳务计划见附件五，制定时一定要科学、合理并经甲方及监理单位审核批准，若实际施工人数不能满足现场施工进度时，乙方要严格按照劳务计划增添施工作业人员，甲方将按照此计划表每天清点人数，每缺一人，乙方应向甲方支付500元作为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5、甲方应向乙方交付的设计资料及文件</w:t>
      </w:r>
    </w:p>
    <w:tbl>
      <w:tblPr>
        <w:tblStyle w:val="47"/>
        <w:tblW w:w="9444" w:type="dxa"/>
        <w:tblInd w:w="-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9"/>
        <w:gridCol w:w="2661"/>
        <w:gridCol w:w="1764"/>
        <w:gridCol w:w="3072"/>
        <w:gridCol w:w="1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设计文件名称</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份数</w:t>
            </w:r>
          </w:p>
        </w:tc>
        <w:tc>
          <w:tcPr>
            <w:tcW w:w="3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交付日期</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施工图</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份</w:t>
            </w:r>
          </w:p>
        </w:tc>
        <w:tc>
          <w:tcPr>
            <w:tcW w:w="3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本合同生效后3天内</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效果图</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1份</w:t>
            </w:r>
          </w:p>
        </w:tc>
        <w:tc>
          <w:tcPr>
            <w:tcW w:w="3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本合同生效后3天内</w:t>
            </w:r>
          </w:p>
        </w:tc>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ascii="宋体" w:hAnsi="宋体" w:cs="宋体"/>
                <w:color w:val="auto"/>
                <w:sz w:val="24"/>
                <w:szCs w:val="24"/>
                <w:highlight w:val="none"/>
              </w:rPr>
            </w:pPr>
          </w:p>
        </w:tc>
      </w:tr>
    </w:tbl>
    <w:p>
      <w:pPr>
        <w:numPr>
          <w:ilvl w:val="0"/>
          <w:numId w:val="2"/>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由于乙方原因造成未能按合同约定</w:t>
      </w:r>
      <w:r>
        <w:rPr>
          <w:rFonts w:hint="eastAsia" w:ascii="宋体" w:hAnsi="宋体" w:cs="宋体"/>
          <w:color w:val="auto"/>
          <w:sz w:val="24"/>
          <w:szCs w:val="24"/>
          <w:highlight w:val="none"/>
          <w:lang w:val="en-US" w:eastAsia="zh-CN"/>
        </w:rPr>
        <w:t>进场、</w:t>
      </w:r>
      <w:r>
        <w:rPr>
          <w:rFonts w:hint="eastAsia" w:ascii="宋体" w:hAnsi="宋体" w:cs="宋体"/>
          <w:color w:val="auto"/>
          <w:sz w:val="24"/>
          <w:szCs w:val="24"/>
          <w:highlight w:val="none"/>
        </w:rPr>
        <w:t>如期竣工的，每逾期一天，按合同总价款的 1%向甲方支付违约金。</w:t>
      </w:r>
    </w:p>
    <w:p>
      <w:pPr>
        <w:pStyle w:val="96"/>
        <w:numPr>
          <w:ilvl w:val="0"/>
          <w:numId w:val="2"/>
        </w:numPr>
        <w:spacing w:line="360" w:lineRule="auto"/>
        <w:ind w:firstLine="480" w:firstLineChars="0"/>
        <w:rPr>
          <w:rFonts w:ascii="宋体" w:hAnsi="宋体" w:cs="宋体"/>
          <w:color w:val="auto"/>
          <w:sz w:val="24"/>
          <w:highlight w:val="none"/>
        </w:rPr>
      </w:pPr>
      <w:r>
        <w:rPr>
          <w:rFonts w:hint="eastAsia" w:ascii="宋体" w:hAnsi="宋体" w:cs="宋体"/>
          <w:color w:val="auto"/>
          <w:sz w:val="24"/>
          <w:highlight w:val="none"/>
        </w:rPr>
        <w:t>乙方存在</w:t>
      </w:r>
      <w:r>
        <w:rPr>
          <w:rFonts w:hint="eastAsia" w:ascii="宋体" w:hAnsi="宋体" w:cs="宋体"/>
          <w:color w:val="auto"/>
          <w:sz w:val="24"/>
          <w:highlight w:val="none"/>
          <w:lang w:val="en-US" w:eastAsia="zh-CN"/>
        </w:rPr>
        <w:t>其他</w:t>
      </w:r>
      <w:r>
        <w:rPr>
          <w:rFonts w:hint="eastAsia" w:ascii="宋体" w:hAnsi="宋体" w:cs="宋体"/>
          <w:color w:val="auto"/>
          <w:sz w:val="24"/>
          <w:highlight w:val="none"/>
        </w:rPr>
        <w:t>任何逾期违约行为但未达到甲方行使单方解除条件的，每逾期一日，按2000元/日向甲方支付违约金，本合同另有约定时除外。</w:t>
      </w:r>
    </w:p>
    <w:p>
      <w:pPr>
        <w:numPr>
          <w:ilvl w:val="0"/>
          <w:numId w:val="2"/>
        </w:numPr>
        <w:spacing w:line="360" w:lineRule="auto"/>
        <w:ind w:left="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乙方存在其他违约行为但未达到甲方行使单方解除条件的，每存在一项/次违约行为，乙方应按2000元/次（项）向甲方支付违约金。</w:t>
      </w:r>
    </w:p>
    <w:p>
      <w:pPr>
        <w:numPr>
          <w:ilvl w:val="0"/>
          <w:numId w:val="2"/>
        </w:numPr>
        <w:spacing w:line="360" w:lineRule="auto"/>
        <w:ind w:left="0" w:leftChars="0"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施工过程中，乙方未经甲方书面同意擅自撤场的，甲方有权解除合同。甲方解除合同的，对乙方已完工程无需支付任何费用，乙方同时应向甲方支付合同总价款的</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0%作为违约金。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、乙方项目负责人及现场代表必须按时参加甲方或者监理组织的定期或者不定期的工地会议，并遵循会议上做出的决议；乙方需派驻现场专职安全员，负责监管现场安全文明施工。</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其他分包单位要积极配合乙方施工，乙方负责相应的收口收边工作，收口收边的施工方案和工艺要经过甲方、监理认可方可施行。同时，做好安全文明施工工作，施工人员进出通道由甲方现场指定出入口，施工材料运输通道乙方根据现场情况，制定专项方案，经甲方、监理同意后实施；乙方应做好施工通道附近成品保护措施及卫生清扫工作。以上费用乙方已综合包含在合同固定总价内。</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、甲方提供一套施工图纸，竣工验收后20日内乙方向甲方移交两套竣工图纸和竣工资料。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、招标文件、图纸、招标答疑作为合同不可缺少的附件。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、乙方应提前12个工作日上报详细准确的材料需用计划、变更签证确认申请单等，甲方自收到乙方所报上述报表后12个工作日内给予确认。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、竣工验收合格后15日内，乙方向提交甲方给符合洛阳市质量监督站要求的竣工资料、竣工图各</w:t>
      </w:r>
      <w:r>
        <w:rPr>
          <w:rFonts w:hint="eastAsia" w:ascii="宋体" w:hAnsi="宋体" w:cs="宋体"/>
          <w:color w:val="auto"/>
          <w:sz w:val="24"/>
          <w:szCs w:val="24"/>
          <w:highlight w:val="none"/>
          <w:lang w:eastAsia="zh-CN"/>
        </w:rPr>
        <w:t>肆</w:t>
      </w:r>
      <w:r>
        <w:rPr>
          <w:rFonts w:hint="eastAsia" w:ascii="宋体" w:hAnsi="宋体" w:cs="宋体"/>
          <w:color w:val="auto"/>
          <w:sz w:val="24"/>
          <w:szCs w:val="24"/>
          <w:highlight w:val="none"/>
        </w:rPr>
        <w:t>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、除不可抗力外，甲乙双方应严格遵守本合同的条款，否则，违约方须承担违约责任。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、乙方提供的产品的品牌、规格、型号等与本合同约定不符的，视为乙方违约，甲方有权拒绝验收。乙方应在五天内无偿更换交付甲方再次验收直至合格，因此造成逾期完工的，按逾期完工条款承担违约责任。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、乙方违约导致甲方解除合同的，乙方所有人员必须在一个工作日内撤离施工现场否则，甲方有权委托第三方撤场，由此造成撤场费在内的一切损失由乙方承担。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pPr>
        <w:pStyle w:val="2"/>
        <w:spacing w:line="360" w:lineRule="auto"/>
        <w:ind w:firstLine="480"/>
        <w:rPr>
          <w:rFonts w:ascii="宋体" w:hAnsi="宋体" w:cs="宋体"/>
          <w:color w:val="auto"/>
          <w:sz w:val="24"/>
          <w:szCs w:val="24"/>
          <w:highlight w:val="none"/>
        </w:rPr>
      </w:pPr>
      <w:r>
        <w:rPr>
          <w:rFonts w:hint="eastAsia" w:hAnsi="宋体" w:cs="宋体"/>
          <w:color w:val="auto"/>
          <w:sz w:val="24"/>
          <w:szCs w:val="24"/>
          <w:highlight w:val="none"/>
          <w:lang w:val="en-US" w:eastAsia="zh-CN"/>
        </w:rPr>
        <w:t>20</w:t>
      </w:r>
      <w:r>
        <w:rPr>
          <w:rFonts w:hint="eastAsia" w:ascii="宋体" w:hAnsi="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18"/>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19"/>
        <w:rPr>
          <w:color w:val="auto"/>
          <w:highlight w:val="none"/>
        </w:rPr>
      </w:pPr>
      <w:r>
        <w:rPr>
          <w:rFonts w:hint="eastAsia"/>
          <w:color w:val="auto"/>
          <w:highlight w:val="none"/>
        </w:rPr>
        <w:t xml:space="preserve">    2</w:t>
      </w:r>
      <w:r>
        <w:rPr>
          <w:rFonts w:hint="eastAsia"/>
          <w:color w:val="auto"/>
          <w:highlight w:val="none"/>
          <w:lang w:val="en-US" w:eastAsia="zh-CN"/>
        </w:rPr>
        <w:t>2</w:t>
      </w:r>
      <w:r>
        <w:rPr>
          <w:rFonts w:hint="eastAsia"/>
          <w:color w:val="auto"/>
          <w:highlight w:val="none"/>
        </w:rPr>
        <w:t>、乙方应支付的违约金、赔偿金等，甲方有权在应付未付款项中直接扣除。</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、不可抗力</w:t>
      </w:r>
    </w:p>
    <w:p>
      <w:pPr>
        <w:pStyle w:val="18"/>
        <w:ind w:firstLine="420" w:firstLineChars="175"/>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w:t>
      </w:r>
      <w:r>
        <w:rPr>
          <w:rFonts w:hint="eastAsia" w:ascii="宋体" w:hAnsi="宋体" w:cs="宋体"/>
          <w:color w:val="auto"/>
          <w:sz w:val="24"/>
          <w:szCs w:val="24"/>
          <w:highlight w:val="none"/>
          <w:lang w:eastAsia="zh-CN"/>
        </w:rPr>
        <w:t>。</w:t>
      </w:r>
    </w:p>
    <w:p>
      <w:pPr>
        <w:pStyle w:val="18"/>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18"/>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3、因灾害所需清理修复工作所产生的合理费用由双方承担：</w:t>
      </w:r>
    </w:p>
    <w:p>
      <w:pPr>
        <w:pStyle w:val="18"/>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pPr>
        <w:pStyle w:val="18"/>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pPr>
        <w:pStyle w:val="18"/>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pPr>
        <w:pStyle w:val="3"/>
        <w:keepNext w:val="0"/>
        <w:keepLines w:val="0"/>
        <w:numPr>
          <w:ilvl w:val="0"/>
          <w:numId w:val="0"/>
        </w:numPr>
        <w:rPr>
          <w:rFonts w:hint="eastAsia" w:ascii="宋体" w:hAnsi="宋体" w:cs="宋体"/>
          <w:color w:val="auto"/>
          <w:sz w:val="24"/>
          <w:szCs w:val="24"/>
          <w:highlight w:val="none"/>
        </w:rPr>
      </w:pPr>
      <w:bookmarkStart w:id="0" w:name="_GoBack"/>
      <w:bookmarkEnd w:id="0"/>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、送达条款</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甲乙双方明确送达信息如下：</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1、甲方确认的送达信息为：</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送达地址：</w:t>
      </w:r>
      <w:r>
        <w:rPr>
          <w:rFonts w:hint="eastAsia" w:ascii="宋体" w:hAnsi="宋体" w:cs="宋体"/>
          <w:color w:val="auto"/>
          <w:spacing w:val="8"/>
          <w:sz w:val="24"/>
          <w:szCs w:val="24"/>
          <w:highlight w:val="none"/>
          <w:u w:val="single"/>
          <w:lang w:val="en-US" w:eastAsia="zh-CN"/>
        </w:rPr>
        <w:t>栾川县湾滩村山水文苑售房部二楼</w:t>
      </w:r>
      <w:r>
        <w:rPr>
          <w:rFonts w:hint="eastAsia" w:ascii="宋体" w:hAnsi="宋体" w:cs="宋体"/>
          <w:color w:val="auto"/>
          <w:spacing w:val="8"/>
          <w:sz w:val="24"/>
          <w:szCs w:val="24"/>
          <w:highlight w:val="none"/>
        </w:rPr>
        <w:t xml:space="preserve">。                                               </w:t>
      </w:r>
    </w:p>
    <w:p>
      <w:pPr>
        <w:spacing w:line="360" w:lineRule="auto"/>
        <w:ind w:left="547" w:leftChars="228"/>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联系人：</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lang w:val="en-US" w:eastAsia="zh-CN"/>
        </w:rPr>
        <w:t>张磊</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；联系电话：</w:t>
      </w:r>
      <w:r>
        <w:rPr>
          <w:rFonts w:hint="eastAsia" w:ascii="宋体" w:hAnsi="宋体" w:cs="宋体"/>
          <w:color w:val="auto"/>
          <w:spacing w:val="8"/>
          <w:sz w:val="24"/>
          <w:szCs w:val="24"/>
          <w:highlight w:val="none"/>
          <w:u w:val="single"/>
        </w:rPr>
        <w:t xml:space="preserve">  （固话）  </w:t>
      </w:r>
      <w:r>
        <w:rPr>
          <w:rFonts w:hint="eastAsia" w:ascii="宋体" w:hAnsi="宋体" w:cs="宋体"/>
          <w:color w:val="auto"/>
          <w:spacing w:val="8"/>
          <w:sz w:val="24"/>
          <w:szCs w:val="24"/>
          <w:highlight w:val="none"/>
        </w:rPr>
        <w:t>；联系手机 ：</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lang w:val="en-US" w:eastAsia="zh-CN"/>
        </w:rPr>
        <w:t>15303898917</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电子邮箱：</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lang w:val="en-US" w:eastAsia="zh-CN"/>
        </w:rPr>
        <w:t>187326133@QQ.COM</w:t>
      </w:r>
      <w:r>
        <w:rPr>
          <w:rFonts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 xml:space="preserve">。                                     </w:t>
      </w:r>
    </w:p>
    <w:p>
      <w:pPr>
        <w:spacing w:line="360" w:lineRule="auto"/>
        <w:ind w:left="547" w:leftChars="228"/>
        <w:rPr>
          <w:rFonts w:ascii="宋体" w:hAnsi="宋体" w:cs="宋体"/>
          <w:color w:val="auto"/>
          <w:spacing w:val="8"/>
          <w:sz w:val="24"/>
          <w:szCs w:val="24"/>
          <w:highlight w:val="none"/>
          <w:u w:val="single"/>
        </w:rPr>
      </w:pPr>
      <w:r>
        <w:rPr>
          <w:rFonts w:hint="eastAsia" w:ascii="宋体" w:hAnsi="宋体" w:cs="宋体"/>
          <w:color w:val="auto"/>
          <w:spacing w:val="8"/>
          <w:sz w:val="24"/>
          <w:szCs w:val="24"/>
          <w:highlight w:val="none"/>
        </w:rPr>
        <w:t>2、乙方确认的送达信息为：</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送达地址：</w:t>
      </w:r>
      <w:r>
        <w:rPr>
          <w:rFonts w:hint="eastAsia" w:ascii="宋体" w:hAnsi="宋体" w:cs="宋体"/>
          <w:color w:val="FF0000"/>
          <w:spacing w:val="8"/>
          <w:sz w:val="24"/>
          <w:szCs w:val="24"/>
          <w:highlight w:val="yellow"/>
          <w:u w:val="single"/>
        </w:rPr>
        <w:t xml:space="preserve"> </w:t>
      </w:r>
      <w:r>
        <w:rPr>
          <w:rFonts w:hint="eastAsia" w:ascii="宋体" w:hAnsi="宋体" w:cs="宋体"/>
          <w:color w:val="FF0000"/>
          <w:spacing w:val="8"/>
          <w:sz w:val="24"/>
          <w:szCs w:val="24"/>
          <w:highlight w:val="yellow"/>
          <w:u w:val="single"/>
          <w:lang w:val="en-US" w:eastAsia="zh-CN"/>
        </w:rPr>
        <w:t>河南省洛阳市老城区芳华路310国道交叉口路东50米20号</w:t>
      </w:r>
      <w:r>
        <w:rPr>
          <w:rFonts w:hint="eastAsia" w:ascii="宋体" w:hAnsi="宋体" w:cs="宋体"/>
          <w:color w:val="FF0000"/>
          <w:spacing w:val="8"/>
          <w:sz w:val="24"/>
          <w:szCs w:val="24"/>
          <w:highlight w:val="yellow"/>
          <w:u w:val="single"/>
        </w:rPr>
        <w:t xml:space="preserve">  </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w:t>
      </w:r>
    </w:p>
    <w:p>
      <w:pPr>
        <w:spacing w:line="360" w:lineRule="auto"/>
        <w:ind w:left="480" w:left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联系人：</w:t>
      </w:r>
      <w:r>
        <w:rPr>
          <w:rFonts w:hint="eastAsia" w:ascii="宋体" w:hAnsi="宋体" w:cs="宋体"/>
          <w:color w:val="FF0000"/>
          <w:spacing w:val="8"/>
          <w:sz w:val="24"/>
          <w:szCs w:val="24"/>
          <w:highlight w:val="yellow"/>
          <w:u w:val="single"/>
        </w:rPr>
        <w:t xml:space="preserve"> </w:t>
      </w:r>
      <w:r>
        <w:rPr>
          <w:rFonts w:hint="eastAsia" w:ascii="宋体" w:hAnsi="宋体" w:cs="宋体"/>
          <w:color w:val="FF0000"/>
          <w:spacing w:val="8"/>
          <w:sz w:val="24"/>
          <w:szCs w:val="24"/>
          <w:highlight w:val="yellow"/>
          <w:u w:val="single"/>
          <w:lang w:val="en-US" w:eastAsia="zh-CN"/>
        </w:rPr>
        <w:t>付平</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；联系电话：</w:t>
      </w:r>
      <w:r>
        <w:rPr>
          <w:rFonts w:hint="eastAsia" w:ascii="宋体" w:hAnsi="宋体" w:cs="宋体"/>
          <w:color w:val="auto"/>
          <w:spacing w:val="8"/>
          <w:sz w:val="24"/>
          <w:szCs w:val="24"/>
          <w:highlight w:val="none"/>
          <w:u w:val="single"/>
        </w:rPr>
        <w:t xml:space="preserve">（固话） </w:t>
      </w:r>
      <w:r>
        <w:rPr>
          <w:rFonts w:hint="eastAsia" w:ascii="宋体" w:hAnsi="宋体" w:cs="宋体"/>
          <w:color w:val="auto"/>
          <w:spacing w:val="8"/>
          <w:sz w:val="24"/>
          <w:szCs w:val="24"/>
          <w:highlight w:val="none"/>
        </w:rPr>
        <w:t>；联系手机 ：</w:t>
      </w:r>
      <w:r>
        <w:rPr>
          <w:rFonts w:hint="eastAsia" w:ascii="宋体" w:hAnsi="宋体" w:cs="宋体"/>
          <w:color w:val="auto"/>
          <w:spacing w:val="8"/>
          <w:sz w:val="24"/>
          <w:szCs w:val="24"/>
          <w:highlight w:val="none"/>
          <w:u w:val="single"/>
        </w:rPr>
        <w:t xml:space="preserve">   </w:t>
      </w:r>
      <w:r>
        <w:rPr>
          <w:rFonts w:hint="eastAsia" w:ascii="宋体" w:hAnsi="宋体" w:cs="宋体"/>
          <w:color w:val="FF0000"/>
          <w:spacing w:val="8"/>
          <w:sz w:val="24"/>
          <w:szCs w:val="24"/>
          <w:highlight w:val="yellow"/>
          <w:u w:val="single"/>
        </w:rPr>
        <w:t xml:space="preserve"> </w:t>
      </w:r>
      <w:r>
        <w:rPr>
          <w:rFonts w:hint="eastAsia" w:ascii="宋体" w:hAnsi="宋体" w:cs="宋体"/>
          <w:color w:val="FF0000"/>
          <w:spacing w:val="8"/>
          <w:sz w:val="24"/>
          <w:szCs w:val="24"/>
          <w:highlight w:val="yellow"/>
          <w:u w:val="single"/>
          <w:lang w:val="en-US" w:eastAsia="zh-CN"/>
        </w:rPr>
        <w:t>13838883511</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电子邮箱：</w:t>
      </w:r>
      <w:r>
        <w:rPr>
          <w:rFonts w:hint="eastAsia" w:ascii="宋体" w:hAnsi="宋体" w:cs="宋体"/>
          <w:color w:val="auto"/>
          <w:spacing w:val="8"/>
          <w:sz w:val="24"/>
          <w:szCs w:val="24"/>
          <w:highlight w:val="none"/>
          <w:u w:val="single"/>
        </w:rPr>
        <w:t xml:space="preserve"> </w:t>
      </w:r>
      <w:r>
        <w:rPr>
          <w:rFonts w:hint="eastAsia" w:ascii="宋体" w:hAnsi="宋体" w:cs="宋体"/>
          <w:color w:val="FF0000"/>
          <w:spacing w:val="8"/>
          <w:sz w:val="24"/>
          <w:szCs w:val="24"/>
          <w:highlight w:val="yellow"/>
          <w:u w:val="single"/>
          <w:lang w:val="en-US" w:eastAsia="zh-CN"/>
        </w:rPr>
        <w:t>752448827@QQ.COM</w:t>
      </w:r>
      <w:r>
        <w:rPr>
          <w:rFonts w:hint="eastAsia" w:ascii="宋体" w:hAnsi="宋体" w:cs="宋体"/>
          <w:color w:val="auto"/>
          <w:spacing w:val="8"/>
          <w:sz w:val="24"/>
          <w:szCs w:val="24"/>
          <w:highlight w:val="none"/>
          <w:u w:val="single"/>
        </w:rPr>
        <w:t xml:space="preserve"> </w:t>
      </w:r>
      <w:r>
        <w:rPr>
          <w:rFonts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u w:val="single"/>
        </w:rPr>
        <w:t xml:space="preserve"> </w:t>
      </w:r>
      <w:r>
        <w:rPr>
          <w:rFonts w:hint="eastAsia" w:ascii="宋体" w:hAnsi="宋体" w:cs="宋体"/>
          <w:color w:val="auto"/>
          <w:spacing w:val="8"/>
          <w:sz w:val="24"/>
          <w:szCs w:val="24"/>
          <w:highlight w:val="none"/>
        </w:rPr>
        <w:t>。</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二十</w:t>
      </w:r>
      <w:r>
        <w:rPr>
          <w:rFonts w:hint="eastAsia" w:ascii="宋体" w:hAnsi="宋体" w:cs="宋体"/>
          <w:color w:val="auto"/>
          <w:sz w:val="24"/>
          <w:szCs w:val="24"/>
          <w:highlight w:val="none"/>
        </w:rPr>
        <w:t>、合同解约条款</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1、乙方存在如下任一情况的，甲方有权要求乙方按照合同总价的</w:t>
      </w: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0%支付违约金（本合同另有约定时除外），且有权解除本合同，解除通知到达乙方之日生效，该违约金不足以弥补甲方损失，乙方还应继续承担赔偿责任：</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.1</w:t>
      </w:r>
      <w:r>
        <w:rPr>
          <w:rFonts w:hint="eastAsia" w:ascii="宋体" w:hAnsi="宋体" w:cs="宋体"/>
          <w:color w:val="auto"/>
          <w:spacing w:val="8"/>
          <w:sz w:val="24"/>
          <w:szCs w:val="24"/>
          <w:highlight w:val="none"/>
        </w:rPr>
        <w:t>、本工程质量不合格；</w:t>
      </w:r>
    </w:p>
    <w:p>
      <w:pPr>
        <w:spacing w:line="360" w:lineRule="auto"/>
        <w:ind w:firstLine="512" w:firstLineChars="200"/>
        <w:rPr>
          <w:rFonts w:ascii="宋体" w:hAnsi="宋体" w:cs="宋体"/>
          <w:color w:val="auto"/>
          <w:spacing w:val="8"/>
          <w:sz w:val="24"/>
          <w:szCs w:val="24"/>
          <w:highlight w:val="none"/>
        </w:rPr>
      </w:pPr>
      <w:r>
        <w:rPr>
          <w:rFonts w:ascii="宋体" w:hAnsi="宋体" w:cs="宋体"/>
          <w:color w:val="auto"/>
          <w:spacing w:val="8"/>
          <w:sz w:val="24"/>
          <w:szCs w:val="24"/>
          <w:highlight w:val="none"/>
        </w:rPr>
        <w:t>1.2</w:t>
      </w:r>
      <w:r>
        <w:rPr>
          <w:rFonts w:hint="eastAsia" w:ascii="宋体" w:hAnsi="宋体" w:cs="宋体"/>
          <w:color w:val="auto"/>
          <w:spacing w:val="8"/>
          <w:sz w:val="24"/>
          <w:szCs w:val="24"/>
          <w:highlight w:val="none"/>
        </w:rPr>
        <w:t>、乙方未能按时进场施工的，在甲方发出书面通知后的</w:t>
      </w:r>
      <w:r>
        <w:rPr>
          <w:rFonts w:ascii="宋体" w:hAnsi="宋体" w:cs="宋体"/>
          <w:color w:val="auto"/>
          <w:spacing w:val="8"/>
          <w:sz w:val="24"/>
          <w:szCs w:val="24"/>
          <w:highlight w:val="none"/>
        </w:rPr>
        <w:t>7</w:t>
      </w:r>
      <w:r>
        <w:rPr>
          <w:rFonts w:hint="eastAsia" w:ascii="宋体" w:hAnsi="宋体" w:cs="宋体"/>
          <w:color w:val="auto"/>
          <w:spacing w:val="8"/>
          <w:sz w:val="24"/>
          <w:szCs w:val="24"/>
          <w:highlight w:val="none"/>
        </w:rPr>
        <w:t>日内仍未进场施工的；</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、乙方擅自撤场的；</w:t>
      </w:r>
    </w:p>
    <w:p>
      <w:pPr>
        <w:spacing w:line="360" w:lineRule="auto"/>
        <w:ind w:firstLine="512" w:firstLineChars="200"/>
        <w:rPr>
          <w:rFonts w:ascii="宋体" w:hAnsi="宋体" w:cs="宋体"/>
          <w:color w:val="auto"/>
          <w:spacing w:val="8"/>
          <w:sz w:val="24"/>
          <w:szCs w:val="24"/>
          <w:highlight w:val="none"/>
        </w:rPr>
      </w:pPr>
      <w:r>
        <w:rPr>
          <w:rFonts w:ascii="宋体" w:hAnsi="宋体" w:cs="宋体"/>
          <w:color w:val="auto"/>
          <w:spacing w:val="8"/>
          <w:sz w:val="24"/>
          <w:szCs w:val="24"/>
          <w:highlight w:val="none"/>
        </w:rPr>
        <w:t>1.4</w:t>
      </w:r>
      <w:r>
        <w:rPr>
          <w:rFonts w:hint="eastAsia" w:ascii="宋体" w:hAnsi="宋体" w:cs="宋体"/>
          <w:color w:val="auto"/>
          <w:spacing w:val="8"/>
          <w:sz w:val="24"/>
          <w:szCs w:val="24"/>
          <w:highlight w:val="none"/>
        </w:rPr>
        <w:t>、乙方在施工过程中非因不可抗力或甲方原因造成连续停工5日以上或累计达7日的；</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.5</w:t>
      </w:r>
      <w:r>
        <w:rPr>
          <w:rFonts w:hint="eastAsia" w:ascii="宋体" w:hAnsi="宋体" w:cs="宋体"/>
          <w:color w:val="auto"/>
          <w:spacing w:val="8"/>
          <w:sz w:val="24"/>
          <w:szCs w:val="24"/>
          <w:highlight w:val="none"/>
        </w:rPr>
        <w:t>、乙方逾期竣工、向甲方提交竣工结算书及完整的竣工结算资料、核对工程价款或其他逾期行为达5日及以上的；</w:t>
      </w:r>
    </w:p>
    <w:p>
      <w:pPr>
        <w:spacing w:line="360" w:lineRule="auto"/>
        <w:ind w:firstLine="512" w:firstLineChars="200"/>
        <w:rPr>
          <w:rFonts w:ascii="宋体" w:hAnsi="宋体" w:cs="宋体"/>
          <w:color w:val="auto"/>
          <w:spacing w:val="8"/>
          <w:sz w:val="24"/>
          <w:szCs w:val="24"/>
          <w:highlight w:val="none"/>
        </w:rPr>
      </w:pPr>
      <w:r>
        <w:rPr>
          <w:rFonts w:ascii="宋体" w:hAnsi="宋体" w:cs="宋体"/>
          <w:color w:val="auto"/>
          <w:spacing w:val="8"/>
          <w:sz w:val="24"/>
          <w:szCs w:val="24"/>
          <w:highlight w:val="none"/>
        </w:rPr>
        <w:t>1.6</w:t>
      </w:r>
      <w:r>
        <w:rPr>
          <w:rFonts w:hint="eastAsia" w:ascii="宋体" w:hAnsi="宋体" w:cs="宋体"/>
          <w:color w:val="auto"/>
          <w:spacing w:val="8"/>
          <w:sz w:val="24"/>
          <w:szCs w:val="24"/>
          <w:highlight w:val="none"/>
        </w:rPr>
        <w:t>、乙方人员在施工区内出现打架斗殴等行为至警察出警、立案、相关行为人接收行政处罚或刑事处罚的；</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.7</w:t>
      </w:r>
      <w:r>
        <w:rPr>
          <w:rFonts w:hint="eastAsia" w:ascii="宋体" w:hAnsi="宋体" w:cs="宋体"/>
          <w:color w:val="auto"/>
          <w:spacing w:val="8"/>
          <w:sz w:val="24"/>
          <w:szCs w:val="24"/>
          <w:highlight w:val="none"/>
        </w:rPr>
        <w:t>、乙方擅自把工程分包或转包给其他任何单位的；</w:t>
      </w:r>
    </w:p>
    <w:p>
      <w:pPr>
        <w:spacing w:line="360" w:lineRule="auto"/>
        <w:ind w:firstLine="512" w:firstLineChars="200"/>
        <w:rPr>
          <w:rFonts w:ascii="宋体" w:hAnsi="宋体" w:cs="宋体"/>
          <w:color w:val="auto"/>
          <w:spacing w:val="8"/>
          <w:sz w:val="24"/>
          <w:szCs w:val="24"/>
          <w:highlight w:val="none"/>
        </w:rPr>
      </w:pPr>
      <w:r>
        <w:rPr>
          <w:rFonts w:ascii="宋体" w:hAnsi="宋体" w:cs="宋体"/>
          <w:color w:val="auto"/>
          <w:spacing w:val="8"/>
          <w:sz w:val="24"/>
          <w:szCs w:val="24"/>
          <w:highlight w:val="none"/>
        </w:rPr>
        <w:t>1.8</w:t>
      </w:r>
      <w:r>
        <w:rPr>
          <w:rFonts w:hint="eastAsia" w:ascii="宋体" w:hAnsi="宋体" w:cs="宋体"/>
          <w:color w:val="auto"/>
          <w:spacing w:val="8"/>
          <w:sz w:val="24"/>
          <w:szCs w:val="24"/>
          <w:highlight w:val="none"/>
        </w:rPr>
        <w:t>、乙方与甲方工作人员串通、虚构事实或使用其他方式虚报工程量的；</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.9</w:t>
      </w:r>
      <w:r>
        <w:rPr>
          <w:rFonts w:hint="eastAsia" w:ascii="宋体" w:hAnsi="宋体" w:cs="宋体"/>
          <w:color w:val="auto"/>
          <w:spacing w:val="8"/>
          <w:sz w:val="24"/>
          <w:szCs w:val="24"/>
          <w:highlight w:val="none"/>
        </w:rPr>
        <w:t>、甲方或监理方对同一施工问题连续下发三次整改通知书后乙方无作为或整改问题未在整改通知书要求的期限内解决；</w:t>
      </w:r>
    </w:p>
    <w:p>
      <w:pPr>
        <w:spacing w:line="360" w:lineRule="auto"/>
        <w:ind w:firstLine="512" w:firstLineChars="200"/>
        <w:rPr>
          <w:rFonts w:ascii="宋体" w:hAnsi="宋体" w:cs="宋体"/>
          <w:color w:val="auto"/>
          <w:spacing w:val="8"/>
          <w:sz w:val="24"/>
          <w:szCs w:val="24"/>
          <w:highlight w:val="none"/>
        </w:rPr>
      </w:pPr>
      <w:r>
        <w:rPr>
          <w:rFonts w:ascii="宋体" w:hAnsi="宋体" w:cs="宋体"/>
          <w:color w:val="auto"/>
          <w:spacing w:val="8"/>
          <w:sz w:val="24"/>
          <w:szCs w:val="24"/>
          <w:highlight w:val="none"/>
        </w:rPr>
        <w:t>1</w:t>
      </w: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0</w:t>
      </w:r>
      <w:r>
        <w:rPr>
          <w:rFonts w:hint="eastAsia" w:ascii="宋体" w:hAnsi="宋体" w:cs="宋体"/>
          <w:color w:val="auto"/>
          <w:spacing w:val="8"/>
          <w:sz w:val="24"/>
          <w:szCs w:val="24"/>
          <w:highlight w:val="none"/>
        </w:rPr>
        <w:t>、乙方购置不符合合同约定的品牌、厂家、产地、材质、工艺、规格、型号等标准的产品或者假冒伪劣产品用于本工程；</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w:t>
      </w:r>
      <w:r>
        <w:rPr>
          <w:rFonts w:ascii="宋体" w:hAnsi="宋体" w:cs="宋体"/>
          <w:color w:val="auto"/>
          <w:spacing w:val="8"/>
          <w:sz w:val="24"/>
          <w:szCs w:val="24"/>
          <w:highlight w:val="none"/>
        </w:rPr>
        <w:t>.11</w:t>
      </w:r>
      <w:r>
        <w:rPr>
          <w:rFonts w:hint="eastAsia" w:ascii="宋体" w:hAnsi="宋体" w:cs="宋体"/>
          <w:color w:val="auto"/>
          <w:spacing w:val="8"/>
          <w:sz w:val="24"/>
          <w:szCs w:val="24"/>
          <w:highlight w:val="none"/>
        </w:rPr>
        <w:t>、乙方存在其他违约行为，经甲方书面通知之日7日内仍未纠正的。</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18"/>
        <w:widowControl/>
        <w:ind w:firstLine="420" w:firstLineChars="17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3、如合同解约甲方有权委托其他公司进行施工。</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二十</w:t>
      </w: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、争议的解决</w:t>
      </w:r>
    </w:p>
    <w:p>
      <w:pPr>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 w:val="24"/>
          <w:szCs w:val="24"/>
          <w:highlight w:val="none"/>
        </w:rPr>
        <w:t>本合同履行过程中发生争议或纠纷的，由当事人双方协商解决。协商不成时，双方同意向合同签约地人民法院提起诉讼。</w:t>
      </w:r>
    </w:p>
    <w:p>
      <w:pPr>
        <w:pStyle w:val="3"/>
        <w:keepNext w:val="0"/>
        <w:keepLines w:val="0"/>
        <w:numPr>
          <w:ilvl w:val="0"/>
          <w:numId w:val="0"/>
        </w:numPr>
        <w:rPr>
          <w:rFonts w:hint="eastAsia" w:ascii="宋体" w:hAnsi="宋体" w:cs="宋体"/>
          <w:color w:val="auto"/>
          <w:sz w:val="24"/>
          <w:szCs w:val="24"/>
          <w:highlight w:val="none"/>
        </w:rPr>
      </w:pPr>
      <w:r>
        <w:rPr>
          <w:rFonts w:hint="eastAsia" w:ascii="宋体" w:hAnsi="宋体" w:cs="宋体"/>
          <w:color w:val="auto"/>
          <w:sz w:val="24"/>
          <w:szCs w:val="24"/>
          <w:highlight w:val="none"/>
        </w:rPr>
        <w:t>二十</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、其他</w:t>
      </w:r>
    </w:p>
    <w:p>
      <w:pPr>
        <w:pStyle w:val="18"/>
        <w:widowControl/>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1、本合同未尽事宜双方协商解决或另签补充协议，补充协议与本合同具有同等法律效力。</w:t>
      </w:r>
    </w:p>
    <w:p>
      <w:pPr>
        <w:pStyle w:val="18"/>
        <w:widowControl/>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2、本合同一式柒份，甲方伍份，乙方贰份，均具同等法律效力。</w:t>
      </w:r>
    </w:p>
    <w:p>
      <w:pPr>
        <w:pStyle w:val="18"/>
        <w:widowControl/>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3、本合同及其补充协议自双方盖章之日起生效。</w:t>
      </w:r>
    </w:p>
    <w:p>
      <w:pPr>
        <w:pStyle w:val="18"/>
        <w:widowControl/>
        <w:ind w:firstLine="420" w:firstLineChars="175"/>
        <w:jc w:val="left"/>
      </w:pPr>
      <w:r>
        <w:rPr>
          <w:rFonts w:hint="eastAsia" w:ascii="宋体" w:hAnsi="宋体" w:cs="宋体"/>
          <w:color w:val="auto"/>
          <w:sz w:val="24"/>
          <w:szCs w:val="24"/>
          <w:highlight w:val="none"/>
        </w:rPr>
        <w:t>4、签订地点：洛阳市洛龙区</w:t>
      </w:r>
      <w:r>
        <w:rPr>
          <w:rFonts w:hint="eastAsia" w:ascii="宋体" w:hAnsi="宋体" w:cs="宋体"/>
          <w:color w:val="auto"/>
          <w:sz w:val="24"/>
          <w:szCs w:val="24"/>
          <w:highlight w:val="none"/>
          <w:lang w:val="en-US" w:eastAsia="zh-CN"/>
        </w:rPr>
        <w:t>关林路与宇文凯街交叉口浩德地产集团有限公司</w:t>
      </w:r>
      <w:r>
        <w:rPr>
          <w:rFonts w:hint="eastAsia" w:ascii="宋体" w:hAnsi="宋体" w:cs="宋体"/>
          <w:color w:val="auto"/>
          <w:sz w:val="24"/>
          <w:szCs w:val="24"/>
          <w:highlight w:val="none"/>
        </w:rPr>
        <w:t>。</w:t>
      </w:r>
    </w:p>
    <w:p>
      <w:pPr>
        <w:pStyle w:val="3"/>
        <w:keepNext w:val="0"/>
        <w:keepLines w:val="0"/>
        <w:numPr>
          <w:ilvl w:val="0"/>
          <w:numId w:val="0"/>
        </w:numPr>
      </w:pPr>
      <w:r>
        <w:rPr>
          <w:rFonts w:hint="eastAsia" w:ascii="宋体" w:hAnsi="宋体" w:cs="宋体"/>
          <w:color w:val="auto"/>
          <w:sz w:val="24"/>
          <w:szCs w:val="24"/>
          <w:highlight w:val="none"/>
        </w:rPr>
        <w:t>二十</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、附件</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1、合同附件一、《廉政合作协议》</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2、合同附件二、《乙方派驻本工程现场管理、技术人员汇总表》</w:t>
      </w:r>
    </w:p>
    <w:p>
      <w:pPr>
        <w:spacing w:line="360" w:lineRule="auto"/>
        <w:ind w:firstLine="512" w:firstLineChars="200"/>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szCs w:val="24"/>
          <w:highlight w:val="none"/>
        </w:rPr>
        <w:t>3、合同附件三、</w:t>
      </w:r>
      <w:r>
        <w:rPr>
          <w:rFonts w:hint="eastAsia" w:ascii="宋体" w:hAnsi="宋体" w:cs="宋体"/>
          <w:color w:val="auto"/>
          <w:spacing w:val="8"/>
          <w:sz w:val="24"/>
          <w:szCs w:val="24"/>
          <w:highlight w:val="none"/>
          <w:lang w:eastAsia="zh-CN"/>
        </w:rPr>
        <w:t>《</w:t>
      </w:r>
      <w:r>
        <w:rPr>
          <w:rFonts w:hint="eastAsia" w:ascii="宋体" w:hAnsi="宋体" w:cs="宋体"/>
          <w:color w:val="auto"/>
          <w:spacing w:val="8"/>
          <w:sz w:val="24"/>
          <w:szCs w:val="24"/>
          <w:highlight w:val="none"/>
        </w:rPr>
        <w:t>材料品牌表</w:t>
      </w:r>
      <w:r>
        <w:rPr>
          <w:rFonts w:hint="eastAsia" w:ascii="宋体" w:hAnsi="宋体" w:cs="宋体"/>
          <w:color w:val="auto"/>
          <w:spacing w:val="8"/>
          <w:sz w:val="24"/>
          <w:szCs w:val="24"/>
          <w:highlight w:val="none"/>
          <w:lang w:eastAsia="zh-CN"/>
        </w:rPr>
        <w:t>》</w:t>
      </w:r>
    </w:p>
    <w:p>
      <w:pPr>
        <w:spacing w:line="360" w:lineRule="auto"/>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lang w:val="en-US" w:eastAsia="zh-CN"/>
        </w:rPr>
        <w:t>4</w:t>
      </w:r>
      <w:r>
        <w:rPr>
          <w:rFonts w:hint="eastAsia" w:ascii="宋体" w:hAnsi="宋体" w:cs="宋体"/>
          <w:color w:val="auto"/>
          <w:spacing w:val="8"/>
          <w:sz w:val="24"/>
          <w:szCs w:val="24"/>
          <w:highlight w:val="none"/>
        </w:rPr>
        <w:t>、合同</w:t>
      </w:r>
      <w:r>
        <w:rPr>
          <w:rFonts w:hint="eastAsia" w:ascii="宋体" w:hAnsi="宋体" w:cs="宋体"/>
          <w:color w:val="auto"/>
          <w:spacing w:val="8"/>
          <w:sz w:val="24"/>
          <w:szCs w:val="24"/>
          <w:highlight w:val="none"/>
          <w:lang w:eastAsia="zh-CN"/>
        </w:rPr>
        <w:t>附件四</w:t>
      </w:r>
      <w:r>
        <w:rPr>
          <w:rFonts w:hint="eastAsia" w:ascii="宋体" w:hAnsi="宋体" w:cs="宋体"/>
          <w:color w:val="auto"/>
          <w:spacing w:val="8"/>
          <w:sz w:val="24"/>
          <w:szCs w:val="24"/>
          <w:highlight w:val="none"/>
        </w:rPr>
        <w:t>、《工程量清单计价表》(单独打印后附装订)</w:t>
      </w:r>
    </w:p>
    <w:p>
      <w:pPr>
        <w:pStyle w:val="2"/>
        <w:spacing w:line="360" w:lineRule="auto"/>
        <w:ind w:firstLine="480"/>
        <w:rPr>
          <w:color w:val="auto"/>
          <w:highlight w:val="none"/>
        </w:rPr>
      </w:pPr>
      <w:r>
        <w:rPr>
          <w:rFonts w:hint="eastAsia" w:ascii="宋体" w:hAnsi="宋体" w:cs="宋体"/>
          <w:color w:val="auto"/>
          <w:sz w:val="24"/>
          <w:szCs w:val="24"/>
          <w:highlight w:val="none"/>
        </w:rPr>
        <w:t>（以下无正文）</w:t>
      </w:r>
    </w:p>
    <w:p>
      <w:pPr>
        <w:spacing w:line="480" w:lineRule="auto"/>
        <w:ind w:left="240" w:leftChars="10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甲方:(盖章)                         乙方:(盖章)  </w:t>
      </w:r>
      <w:r>
        <w:rPr>
          <w:rFonts w:hint="eastAsia" w:ascii="宋体" w:hAnsi="宋体" w:cs="宋体"/>
          <w:bCs/>
          <w:color w:val="auto"/>
          <w:sz w:val="24"/>
          <w:szCs w:val="24"/>
          <w:highlight w:val="none"/>
          <w:lang w:val="en-US" w:eastAsia="zh-CN"/>
        </w:rPr>
        <w:t>河南星欧钢结构工程有限公司</w:t>
      </w:r>
    </w:p>
    <w:p>
      <w:pPr>
        <w:spacing w:line="480" w:lineRule="auto"/>
        <w:ind w:left="240" w:leftChars="100"/>
        <w:rPr>
          <w:rFonts w:ascii="宋体" w:hAnsi="宋体" w:cs="宋体"/>
          <w:bCs/>
          <w:color w:val="auto"/>
          <w:sz w:val="24"/>
          <w:szCs w:val="24"/>
          <w:highlight w:val="none"/>
        </w:rPr>
      </w:pPr>
      <w:r>
        <w:rPr>
          <w:rFonts w:hint="eastAsia" w:ascii="宋体" w:hAnsi="宋体" w:cs="宋体"/>
          <w:bCs/>
          <w:color w:val="auto"/>
          <w:sz w:val="24"/>
          <w:szCs w:val="24"/>
          <w:highlight w:val="none"/>
        </w:rPr>
        <w:t>法定代表人：                             法定代表人：</w:t>
      </w:r>
      <w:r>
        <w:rPr>
          <w:rFonts w:hint="eastAsia" w:ascii="宋体" w:hAnsi="宋体" w:cs="宋体"/>
          <w:bCs/>
          <w:color w:val="auto"/>
          <w:sz w:val="24"/>
          <w:szCs w:val="24"/>
          <w:highlight w:val="none"/>
          <w:lang w:val="en-US" w:eastAsia="zh-CN"/>
        </w:rPr>
        <w:t>付 平</w:t>
      </w:r>
    </w:p>
    <w:p>
      <w:pPr>
        <w:spacing w:line="480" w:lineRule="auto"/>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委托代理人：                             委托代理人：</w:t>
      </w:r>
      <w:r>
        <w:rPr>
          <w:rFonts w:hint="eastAsia" w:ascii="宋体" w:hAnsi="宋体" w:cs="宋体"/>
          <w:bCs/>
          <w:color w:val="auto"/>
          <w:sz w:val="24"/>
          <w:szCs w:val="24"/>
          <w:highlight w:val="none"/>
          <w:lang w:val="en-US" w:eastAsia="zh-CN"/>
        </w:rPr>
        <w:t>付 平</w:t>
      </w:r>
    </w:p>
    <w:p>
      <w:pPr>
        <w:spacing w:line="480" w:lineRule="auto"/>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纳税人识别号： 91410 324MA 9FJUR UXE     纳税人识别号：</w:t>
      </w:r>
      <w:r>
        <w:rPr>
          <w:rFonts w:hint="eastAsia" w:ascii="宋体" w:hAnsi="宋体" w:cs="宋体"/>
          <w:bCs/>
          <w:color w:val="auto"/>
          <w:sz w:val="24"/>
          <w:szCs w:val="24"/>
          <w:highlight w:val="none"/>
          <w:lang w:val="en-US" w:eastAsia="zh-CN"/>
        </w:rPr>
        <w:t>91410300MA9FU6NR43</w:t>
      </w:r>
    </w:p>
    <w:p>
      <w:pPr>
        <w:pStyle w:val="2"/>
        <w:ind w:left="6023" w:leftChars="100" w:hanging="5783" w:hangingChars="2400"/>
        <w:rPr>
          <w:rFonts w:ascii="宋体" w:hAnsi="宋体" w:cs="宋体"/>
          <w:color w:val="auto"/>
          <w:sz w:val="24"/>
          <w:szCs w:val="24"/>
          <w:highlight w:val="none"/>
        </w:rPr>
      </w:pPr>
      <w:r>
        <w:rPr>
          <w:rFonts w:hint="eastAsia" w:ascii="宋体" w:hAnsi="宋体" w:cs="宋体"/>
          <w:bCs/>
          <w:color w:val="auto"/>
          <w:sz w:val="24"/>
          <w:szCs w:val="24"/>
          <w:highlight w:val="none"/>
        </w:rPr>
        <w:t xml:space="preserve">开户行：河南栾川农村商业银行股份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开户行：</w:t>
      </w:r>
      <w:r>
        <w:rPr>
          <w:rFonts w:hint="eastAsia" w:ascii="宋体" w:hAnsi="宋体" w:cs="宋体"/>
          <w:bCs/>
          <w:color w:val="auto"/>
          <w:sz w:val="24"/>
          <w:szCs w:val="24"/>
          <w:highlight w:val="none"/>
          <w:lang w:val="en-US" w:eastAsia="zh-CN"/>
        </w:rPr>
        <w:t>中国银行股份有限公司洛阳太原南路支行</w:t>
      </w:r>
    </w:p>
    <w:p>
      <w:pPr>
        <w:spacing w:line="480" w:lineRule="auto"/>
        <w:ind w:firstLine="240" w:firstLineChars="100"/>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账号： 66616011400000260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 xml:space="preserve"> 账号：</w:t>
      </w:r>
      <w:r>
        <w:rPr>
          <w:rFonts w:hint="eastAsia" w:ascii="宋体" w:hAnsi="宋体" w:cs="宋体"/>
          <w:bCs/>
          <w:color w:val="auto"/>
          <w:sz w:val="24"/>
          <w:szCs w:val="24"/>
          <w:highlight w:val="none"/>
          <w:lang w:val="en-US" w:eastAsia="zh-CN"/>
        </w:rPr>
        <w:t>263773342993</w:t>
      </w:r>
    </w:p>
    <w:p>
      <w:pPr>
        <w:pStyle w:val="2"/>
        <w:ind w:left="6023" w:leftChars="100" w:hanging="5783" w:hangingChars="2400"/>
        <w:rPr>
          <w:rFonts w:ascii="宋体" w:hAnsi="宋体" w:cs="宋体"/>
          <w:color w:val="auto"/>
          <w:sz w:val="24"/>
          <w:szCs w:val="24"/>
          <w:highlight w:val="none"/>
        </w:rPr>
      </w:pPr>
      <w:r>
        <w:rPr>
          <w:rFonts w:hint="eastAsia" w:hAnsi="宋体" w:cs="宋体"/>
          <w:bCs/>
          <w:color w:val="auto"/>
          <w:sz w:val="24"/>
          <w:szCs w:val="24"/>
          <w:highlight w:val="none"/>
        </w:rPr>
        <w:t>地址：                                   地址：</w:t>
      </w:r>
      <w:r>
        <w:rPr>
          <w:rFonts w:hint="eastAsia" w:ascii="宋体" w:hAnsi="宋体" w:eastAsia="宋体" w:cs="宋体"/>
          <w:b w:val="0"/>
          <w:bCs/>
          <w:color w:val="auto"/>
          <w:kern w:val="2"/>
          <w:position w:val="0"/>
          <w:sz w:val="24"/>
          <w:szCs w:val="24"/>
          <w:highlight w:val="none"/>
          <w:lang w:val="en-US" w:eastAsia="zh-CN" w:bidi="ar-SA"/>
        </w:rPr>
        <w:t>河南省洛阳市老城区华山北路与310国道交叉口路东50米20号</w:t>
      </w:r>
    </w:p>
    <w:p>
      <w:pPr>
        <w:pStyle w:val="2"/>
        <w:ind w:firstLine="241" w:firstLineChars="100"/>
        <w:rPr>
          <w:color w:val="auto"/>
          <w:sz w:val="24"/>
          <w:szCs w:val="24"/>
          <w:highlight w:val="none"/>
        </w:rPr>
      </w:pPr>
    </w:p>
    <w:p>
      <w:pPr>
        <w:spacing w:line="480" w:lineRule="auto"/>
        <w:ind w:firstLine="240" w:firstLineChars="100"/>
        <w:rPr>
          <w:rFonts w:ascii="宋体" w:hAnsi="宋体" w:cs="宋体"/>
          <w:color w:val="auto"/>
          <w:sz w:val="24"/>
          <w:szCs w:val="24"/>
          <w:highlight w:val="none"/>
        </w:rPr>
      </w:pPr>
      <w:r>
        <w:rPr>
          <w:rFonts w:hint="eastAsia" w:ascii="宋体" w:hAnsi="宋体" w:cs="宋体"/>
          <w:bCs/>
          <w:color w:val="auto"/>
          <w:sz w:val="24"/>
          <w:szCs w:val="24"/>
          <w:highlight w:val="none"/>
        </w:rPr>
        <w:t>签订日期：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20022</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               签订日期：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pPr>
        <w:pStyle w:val="21"/>
        <w:ind w:left="0" w:leftChars="0" w:firstLine="0" w:firstLineChars="0"/>
        <w:rPr>
          <w:color w:val="auto"/>
          <w:highlight w:val="none"/>
        </w:rPr>
      </w:pPr>
    </w:p>
    <w:p>
      <w:pPr>
        <w:tabs>
          <w:tab w:val="left" w:pos="4465"/>
        </w:tabs>
        <w:spacing w:line="360" w:lineRule="auto"/>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pStyle w:val="2"/>
        <w:rPr>
          <w:rFonts w:hint="eastAsia" w:ascii="宋体" w:hAnsi="宋体" w:cs="宋体"/>
          <w:b/>
          <w:color w:val="auto"/>
          <w:sz w:val="24"/>
          <w:szCs w:val="24"/>
          <w:highlight w:val="none"/>
        </w:rPr>
      </w:pPr>
    </w:p>
    <w:p>
      <w:pPr>
        <w:tabs>
          <w:tab w:val="left" w:pos="4465"/>
        </w:tabs>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附件一、廉政合作协议</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甲方：</w:t>
      </w:r>
      <w:r>
        <w:rPr>
          <w:rFonts w:hint="eastAsia" w:ascii="宋体" w:hAnsi="宋体" w:cs="宋体"/>
          <w:color w:val="auto"/>
          <w:sz w:val="24"/>
          <w:szCs w:val="24"/>
          <w:highlight w:val="none"/>
          <w:u w:val="single"/>
        </w:rPr>
        <w:t xml:space="preserve">栾川县浩德颐康文旅有限公司 </w:t>
      </w:r>
      <w:r>
        <w:rPr>
          <w:rFonts w:hint="eastAsia" w:ascii="宋体" w:hAnsi="宋体"/>
          <w:b/>
          <w:color w:val="auto"/>
          <w:sz w:val="24"/>
          <w:szCs w:val="24"/>
          <w:highlight w:val="none"/>
        </w:rPr>
        <w:t xml:space="preserve"> </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 xml:space="preserve">乙方： </w:t>
      </w:r>
      <w:r>
        <w:rPr>
          <w:rFonts w:hint="eastAsia" w:ascii="宋体" w:hAnsi="宋体" w:eastAsia="宋体" w:cs="宋体"/>
          <w:b w:val="0"/>
          <w:color w:val="auto"/>
          <w:kern w:val="2"/>
          <w:position w:val="0"/>
          <w:sz w:val="24"/>
          <w:szCs w:val="24"/>
          <w:highlight w:val="none"/>
          <w:u w:val="single"/>
          <w:lang w:val="en-US" w:eastAsia="zh-CN" w:bidi="ar-SA"/>
        </w:rPr>
        <w:t>河南星欧钢结构工程有限公司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（1）微信小程序举报（扫描右侧二维码进入程序，举报信息直达董事长）；</w:t>
      </w:r>
    </w:p>
    <w:p>
      <w:pPr>
        <w:spacing w:line="360" w:lineRule="auto"/>
        <w:ind w:firstLine="480" w:firstLineChars="200"/>
        <w:rPr>
          <w:rFonts w:ascii="宋体" w:hAnsi="宋体" w:cs="宋体"/>
          <w:color w:val="auto"/>
          <w:sz w:val="24"/>
          <w:szCs w:val="24"/>
          <w:highlight w:val="none"/>
        </w:rPr>
      </w:pPr>
      <w:r>
        <w:rPr>
          <w:color w:val="auto"/>
          <w:sz w:val="24"/>
          <w:szCs w:val="24"/>
          <w:highlight w:val="none"/>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5" name="图片 4"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说明: 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auto"/>
          <w:sz w:val="24"/>
          <w:szCs w:val="24"/>
          <w:highlight w:val="none"/>
        </w:rPr>
        <w:t>（2）邮箱：hddcfkb@Foxmail.com</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（3）电话：集团首席风控官：13903793259</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（4）电话：集团审计总监：</w:t>
      </w:r>
      <w:r>
        <w:rPr>
          <w:rFonts w:ascii="宋体" w:hAnsi="宋体" w:cs="宋体"/>
          <w:color w:val="auto"/>
          <w:sz w:val="24"/>
          <w:szCs w:val="24"/>
          <w:highlight w:val="none"/>
        </w:rPr>
        <w:t>1</w:t>
      </w:r>
      <w:r>
        <w:rPr>
          <w:rFonts w:hint="eastAsia" w:ascii="宋体" w:hAnsi="宋体" w:cs="宋体"/>
          <w:color w:val="auto"/>
          <w:sz w:val="24"/>
          <w:szCs w:val="24"/>
          <w:highlight w:val="none"/>
        </w:rPr>
        <w:t>8137710188</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）直接和风控部人员约定场所当面举报。</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11.其它违反法律或者甲方公司相关制度的行为。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甲方：                                 乙方：</w:t>
      </w:r>
      <w:r>
        <w:rPr>
          <w:rFonts w:hint="eastAsia" w:ascii="宋体" w:hAnsi="宋体" w:eastAsia="宋体" w:cs="宋体"/>
          <w:b w:val="0"/>
          <w:color w:val="auto"/>
          <w:kern w:val="2"/>
          <w:position w:val="0"/>
          <w:sz w:val="24"/>
          <w:szCs w:val="24"/>
          <w:highlight w:val="none"/>
          <w:u w:val="single"/>
          <w:lang w:val="en-US" w:eastAsia="zh-CN" w:bidi="ar-SA"/>
        </w:rPr>
        <w:t>河南星欧钢结构工程有限公司</w:t>
      </w:r>
    </w:p>
    <w:p>
      <w:pPr>
        <w:autoSpaceDN w:val="0"/>
        <w:spacing w:line="360" w:lineRule="auto"/>
        <w:rPr>
          <w:rFonts w:hint="eastAsia" w:ascii="宋体" w:hAnsi="宋体" w:cs="宋体"/>
          <w:bCs/>
          <w:color w:val="auto"/>
          <w:sz w:val="24"/>
          <w:szCs w:val="24"/>
          <w:highlight w:val="none"/>
        </w:rPr>
      </w:pPr>
      <w:r>
        <w:rPr>
          <w:rFonts w:hint="eastAsia" w:ascii="宋体" w:hAnsi="宋体"/>
          <w:color w:val="auto"/>
          <w:sz w:val="24"/>
          <w:szCs w:val="24"/>
          <w:highlight w:val="none"/>
        </w:rPr>
        <w:t>签署日期：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签署日期：</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p>
    <w:p>
      <w:pPr>
        <w:pStyle w:val="2"/>
        <w:rPr>
          <w:rFonts w:hint="eastAsia" w:ascii="宋体" w:hAnsi="宋体" w:cs="宋体"/>
          <w:bCs/>
          <w:color w:val="auto"/>
          <w:sz w:val="24"/>
          <w:szCs w:val="24"/>
          <w:highlight w:val="none"/>
        </w:rPr>
      </w:pPr>
    </w:p>
    <w:p>
      <w:pPr>
        <w:pStyle w:val="2"/>
        <w:rPr>
          <w:rFonts w:hint="eastAsia" w:ascii="宋体" w:hAnsi="宋体" w:cs="宋体"/>
          <w:bCs/>
          <w:color w:val="auto"/>
          <w:sz w:val="24"/>
          <w:szCs w:val="24"/>
          <w:highlight w:val="none"/>
        </w:rPr>
      </w:pPr>
    </w:p>
    <w:p>
      <w:pPr>
        <w:pStyle w:val="2"/>
        <w:rPr>
          <w:rFonts w:hint="eastAsia" w:ascii="宋体" w:hAnsi="宋体" w:cs="宋体"/>
          <w:bCs/>
          <w:color w:val="auto"/>
          <w:sz w:val="24"/>
          <w:szCs w:val="24"/>
          <w:highlight w:val="none"/>
        </w:rPr>
      </w:pPr>
    </w:p>
    <w:p>
      <w:pPr>
        <w:pStyle w:val="2"/>
      </w:pPr>
    </w:p>
    <w:p>
      <w:pPr>
        <w:pStyle w:val="2"/>
        <w:ind w:firstLine="0" w:firstLineChars="0"/>
        <w:rPr>
          <w:rFonts w:ascii="宋体" w:hAnsi="宋体" w:cs="宋体"/>
          <w:color w:val="auto"/>
          <w:sz w:val="24"/>
          <w:szCs w:val="24"/>
          <w:highlight w:val="none"/>
        </w:rPr>
      </w:pPr>
    </w:p>
    <w:p>
      <w:pPr>
        <w:pStyle w:val="2"/>
        <w:spacing w:line="360" w:lineRule="auto"/>
        <w:ind w:firstLine="0" w:firstLineChars="0"/>
        <w:rPr>
          <w:rFonts w:ascii="宋体" w:hAnsi="宋体" w:cs="宋体"/>
          <w:b/>
          <w:bCs/>
          <w:color w:val="auto"/>
          <w:sz w:val="24"/>
          <w:szCs w:val="28"/>
          <w:highlight w:val="none"/>
        </w:rPr>
      </w:pPr>
    </w:p>
    <w:p>
      <w:pPr>
        <w:pStyle w:val="2"/>
        <w:spacing w:line="360" w:lineRule="auto"/>
        <w:ind w:firstLine="0" w:firstLineChars="0"/>
        <w:rPr>
          <w:rFonts w:hint="eastAsia" w:ascii="宋体" w:hAnsi="宋体" w:eastAsia="宋体" w:cs="宋体"/>
          <w:b/>
          <w:bCs/>
          <w:color w:val="auto"/>
          <w:sz w:val="24"/>
          <w:szCs w:val="28"/>
          <w:highlight w:val="none"/>
          <w:lang w:eastAsia="zh-CN"/>
        </w:rPr>
      </w:pPr>
      <w:r>
        <w:rPr>
          <w:rFonts w:hint="eastAsia" w:ascii="宋体" w:hAnsi="宋体" w:cs="宋体"/>
          <w:b/>
          <w:bCs/>
          <w:color w:val="auto"/>
          <w:sz w:val="24"/>
          <w:szCs w:val="28"/>
          <w:highlight w:val="none"/>
        </w:rPr>
        <w:t>附件二、《乙方派驻本工程现场管理、技术人员汇总表》</w:t>
      </w:r>
      <w:r>
        <w:rPr>
          <w:rFonts w:hint="eastAsia" w:ascii="宋体" w:hAnsi="宋体" w:cs="宋体"/>
          <w:b w:val="0"/>
          <w:bCs w:val="0"/>
          <w:color w:val="auto"/>
          <w:sz w:val="24"/>
          <w:szCs w:val="28"/>
          <w:highlight w:val="none"/>
          <w:lang w:eastAsia="zh-CN"/>
        </w:rPr>
        <w:t>（具体</w:t>
      </w:r>
      <w:r>
        <w:rPr>
          <w:rFonts w:hint="eastAsia"/>
          <w:b w:val="0"/>
          <w:bCs w:val="0"/>
          <w:color w:val="auto"/>
          <w:sz w:val="24"/>
          <w:szCs w:val="24"/>
          <w:highlight w:val="none"/>
          <w:lang w:val="en-US"/>
        </w:rPr>
        <w:t>人员根据项目进行调整</w:t>
      </w:r>
      <w:r>
        <w:rPr>
          <w:rFonts w:hint="eastAsia" w:ascii="宋体" w:hAnsi="宋体" w:cs="宋体"/>
          <w:b w:val="0"/>
          <w:bCs w:val="0"/>
          <w:color w:val="auto"/>
          <w:sz w:val="24"/>
          <w:szCs w:val="28"/>
          <w:highlight w:val="none"/>
          <w:lang w:eastAsia="zh-CN"/>
        </w:rPr>
        <w:t>）</w:t>
      </w:r>
    </w:p>
    <w:tbl>
      <w:tblPr>
        <w:tblStyle w:val="47"/>
        <w:tblW w:w="100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417"/>
        <w:gridCol w:w="1134"/>
        <w:gridCol w:w="1560"/>
        <w:gridCol w:w="1115"/>
        <w:gridCol w:w="3246"/>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0013" w:type="dxa"/>
            <w:gridSpan w:val="7"/>
            <w:noWrap w:val="0"/>
            <w:vAlign w:val="top"/>
          </w:tcPr>
          <w:p>
            <w:pPr>
              <w:pStyle w:val="99"/>
              <w:spacing w:before="132"/>
              <w:ind w:left="39"/>
              <w:jc w:val="center"/>
              <w:rPr>
                <w:rFonts w:eastAsia="Calibri" w:cs="Times New Roman"/>
                <w:color w:val="auto"/>
                <w:kern w:val="0"/>
                <w:sz w:val="24"/>
                <w:szCs w:val="24"/>
                <w:highlight w:val="none"/>
                <w:lang w:val="en-US" w:bidi="ar-SA"/>
              </w:rPr>
            </w:pPr>
            <w:r>
              <w:rPr>
                <w:rFonts w:hint="eastAsia" w:ascii="Calibri" w:hAnsi="Calibri" w:eastAsia="Calibri" w:cs="Times New Roman"/>
                <w:b/>
                <w:color w:val="auto"/>
                <w:kern w:val="0"/>
                <w:sz w:val="24"/>
                <w:szCs w:val="20"/>
                <w:highlight w:val="none"/>
                <w:lang w:val="en-US" w:bidi="ar-SA"/>
              </w:rPr>
              <w:t>《乙方派驻本工程现场管理、技术人员汇总表》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09" w:type="dxa"/>
            <w:noWrap w:val="0"/>
            <w:vAlign w:val="top"/>
          </w:tcPr>
          <w:p>
            <w:pPr>
              <w:pStyle w:val="99"/>
              <w:spacing w:before="132"/>
              <w:ind w:left="51" w:right="44"/>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序号</w:t>
            </w:r>
          </w:p>
        </w:tc>
        <w:tc>
          <w:tcPr>
            <w:tcW w:w="1417" w:type="dxa"/>
            <w:noWrap w:val="0"/>
            <w:vAlign w:val="top"/>
          </w:tcPr>
          <w:p>
            <w:pPr>
              <w:pStyle w:val="99"/>
              <w:spacing w:before="132"/>
              <w:ind w:right="167"/>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项目职位</w:t>
            </w:r>
          </w:p>
        </w:tc>
        <w:tc>
          <w:tcPr>
            <w:tcW w:w="1134" w:type="dxa"/>
            <w:noWrap w:val="0"/>
            <w:vAlign w:val="top"/>
          </w:tcPr>
          <w:p>
            <w:pPr>
              <w:pStyle w:val="99"/>
              <w:spacing w:before="132"/>
              <w:ind w:left="201" w:right="178"/>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姓 名</w:t>
            </w:r>
          </w:p>
        </w:tc>
        <w:tc>
          <w:tcPr>
            <w:tcW w:w="1560" w:type="dxa"/>
            <w:noWrap w:val="0"/>
            <w:vAlign w:val="top"/>
          </w:tcPr>
          <w:p>
            <w:pPr>
              <w:pStyle w:val="99"/>
              <w:spacing w:before="132"/>
              <w:ind w:left="41" w:right="31"/>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手机</w:t>
            </w:r>
          </w:p>
        </w:tc>
        <w:tc>
          <w:tcPr>
            <w:tcW w:w="1115" w:type="dxa"/>
            <w:noWrap w:val="0"/>
            <w:vAlign w:val="top"/>
          </w:tcPr>
          <w:p>
            <w:pPr>
              <w:pStyle w:val="99"/>
              <w:spacing w:before="132"/>
              <w:ind w:right="95"/>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公司职位</w:t>
            </w:r>
          </w:p>
        </w:tc>
        <w:tc>
          <w:tcPr>
            <w:tcW w:w="3246" w:type="dxa"/>
            <w:noWrap w:val="0"/>
            <w:vAlign w:val="top"/>
          </w:tcPr>
          <w:p>
            <w:pPr>
              <w:pStyle w:val="99"/>
              <w:spacing w:before="132"/>
              <w:ind w:left="189" w:right="183"/>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职责及管理范围</w:t>
            </w:r>
          </w:p>
        </w:tc>
        <w:tc>
          <w:tcPr>
            <w:tcW w:w="832" w:type="dxa"/>
            <w:noWrap w:val="0"/>
            <w:vAlign w:val="top"/>
          </w:tcPr>
          <w:p>
            <w:pPr>
              <w:pStyle w:val="99"/>
              <w:spacing w:before="132"/>
              <w:ind w:left="39"/>
              <w:jc w:val="center"/>
              <w:rPr>
                <w:rFonts w:eastAsia="Calibri" w:cs="Times New Roman"/>
                <w:color w:val="auto"/>
                <w:kern w:val="0"/>
                <w:sz w:val="24"/>
                <w:szCs w:val="24"/>
                <w:highlight w:val="none"/>
                <w:lang w:val="en-US" w:bidi="ar-SA"/>
              </w:rPr>
            </w:pPr>
            <w:r>
              <w:rPr>
                <w:rFonts w:hint="eastAsia" w:eastAsia="Calibri" w:cs="Times New Roman"/>
                <w:color w:val="auto"/>
                <w:kern w:val="0"/>
                <w:sz w:val="24"/>
                <w:szCs w:val="24"/>
                <w:highlight w:val="none"/>
                <w:lang w:val="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709" w:type="dxa"/>
            <w:noWrap w:val="0"/>
            <w:vAlign w:val="center"/>
          </w:tcPr>
          <w:p>
            <w:pPr>
              <w:pStyle w:val="99"/>
              <w:spacing w:before="130"/>
              <w:ind w:left="15"/>
              <w:jc w:val="center"/>
              <w:rPr>
                <w:color w:val="auto"/>
                <w:kern w:val="0"/>
                <w:sz w:val="24"/>
                <w:szCs w:val="24"/>
                <w:highlight w:val="none"/>
                <w:lang w:val="en-US" w:bidi="ar-SA"/>
              </w:rPr>
            </w:pPr>
            <w:r>
              <w:rPr>
                <w:rFonts w:hint="eastAsia"/>
                <w:color w:val="auto"/>
                <w:kern w:val="0"/>
                <w:sz w:val="24"/>
                <w:szCs w:val="24"/>
                <w:highlight w:val="none"/>
                <w:lang w:val="en-US" w:bidi="ar-SA"/>
              </w:rPr>
              <w:t>1</w:t>
            </w:r>
          </w:p>
        </w:tc>
        <w:tc>
          <w:tcPr>
            <w:tcW w:w="1417" w:type="dxa"/>
            <w:noWrap w:val="0"/>
            <w:vAlign w:val="center"/>
          </w:tcPr>
          <w:p>
            <w:pPr>
              <w:pStyle w:val="99"/>
              <w:spacing w:before="130"/>
              <w:jc w:val="center"/>
              <w:rPr>
                <w:color w:val="auto"/>
                <w:kern w:val="0"/>
                <w:sz w:val="24"/>
                <w:szCs w:val="24"/>
                <w:highlight w:val="none"/>
                <w:lang w:val="en-US" w:bidi="ar-SA"/>
              </w:rPr>
            </w:pPr>
            <w:r>
              <w:rPr>
                <w:rFonts w:hint="eastAsia"/>
                <w:color w:val="auto"/>
                <w:kern w:val="0"/>
                <w:sz w:val="24"/>
                <w:szCs w:val="24"/>
                <w:highlight w:val="none"/>
                <w:lang w:val="en-US" w:bidi="ar-SA"/>
              </w:rPr>
              <w:t>项目经理</w:t>
            </w:r>
          </w:p>
        </w:tc>
        <w:tc>
          <w:tcPr>
            <w:tcW w:w="1134" w:type="dxa"/>
            <w:noWrap w:val="0"/>
            <w:vAlign w:val="center"/>
          </w:tcPr>
          <w:p>
            <w:pPr>
              <w:pStyle w:val="99"/>
              <w:spacing w:before="130"/>
              <w:ind w:right="175" w:rightChars="0"/>
              <w:jc w:val="center"/>
              <w:rPr>
                <w:rFonts w:hint="default" w:ascii="宋体" w:hAnsi="宋体" w:eastAsia="宋体" w:cs="宋体"/>
                <w:color w:val="FF0000"/>
                <w:kern w:val="0"/>
                <w:sz w:val="24"/>
                <w:szCs w:val="24"/>
                <w:highlight w:val="none"/>
                <w:lang w:val="en-US" w:eastAsia="zh-CN" w:bidi="ar-SA"/>
              </w:rPr>
            </w:pPr>
            <w:r>
              <w:rPr>
                <w:rFonts w:hint="eastAsia" w:cs="宋体" w:asciiTheme="minorEastAsia" w:hAnsiTheme="minorEastAsia" w:eastAsiaTheme="minorEastAsia"/>
                <w:color w:val="FF0000"/>
                <w:sz w:val="24"/>
                <w:szCs w:val="24"/>
                <w:highlight w:val="none"/>
                <w:lang w:val="en-US" w:eastAsia="zh-CN"/>
              </w:rPr>
              <w:t>付平</w:t>
            </w:r>
          </w:p>
        </w:tc>
        <w:tc>
          <w:tcPr>
            <w:tcW w:w="1560" w:type="dxa"/>
            <w:noWrap w:val="0"/>
            <w:vAlign w:val="center"/>
          </w:tcPr>
          <w:p>
            <w:pPr>
              <w:pStyle w:val="99"/>
              <w:spacing w:before="130"/>
              <w:ind w:left="40" w:leftChars="0" w:right="31" w:rightChars="0"/>
              <w:jc w:val="center"/>
              <w:rPr>
                <w:rFonts w:hint="default"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eastAsia="zh-CN" w:bidi="ar-SA"/>
              </w:rPr>
              <w:t>13838883511</w:t>
            </w:r>
          </w:p>
        </w:tc>
        <w:tc>
          <w:tcPr>
            <w:tcW w:w="1115" w:type="dxa"/>
            <w:noWrap w:val="0"/>
            <w:vAlign w:val="center"/>
          </w:tcPr>
          <w:p>
            <w:pPr>
              <w:pStyle w:val="99"/>
              <w:spacing w:before="130"/>
              <w:jc w:val="center"/>
              <w:rPr>
                <w:rFonts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bidi="ar-SA"/>
              </w:rPr>
              <w:t>项目经理</w:t>
            </w:r>
          </w:p>
        </w:tc>
        <w:tc>
          <w:tcPr>
            <w:tcW w:w="3246" w:type="dxa"/>
            <w:noWrap w:val="0"/>
            <w:vAlign w:val="center"/>
          </w:tcPr>
          <w:p>
            <w:pPr>
              <w:pStyle w:val="99"/>
              <w:spacing w:before="130"/>
              <w:ind w:left="192" w:right="167"/>
              <w:jc w:val="center"/>
              <w:rPr>
                <w:color w:val="auto"/>
                <w:kern w:val="0"/>
                <w:sz w:val="24"/>
                <w:szCs w:val="24"/>
                <w:highlight w:val="none"/>
                <w:lang w:val="en-US" w:bidi="ar-SA"/>
              </w:rPr>
            </w:pPr>
            <w:r>
              <w:rPr>
                <w:rFonts w:hint="eastAsia"/>
                <w:color w:val="auto"/>
                <w:kern w:val="0"/>
                <w:sz w:val="24"/>
                <w:szCs w:val="24"/>
                <w:highlight w:val="none"/>
                <w:lang w:val="en-US" w:bidi="ar-SA"/>
              </w:rPr>
              <w:t>负责项目合同履约，组织协调项目内外业务关系。</w:t>
            </w:r>
          </w:p>
        </w:tc>
        <w:tc>
          <w:tcPr>
            <w:tcW w:w="832" w:type="dxa"/>
            <w:noWrap w:val="0"/>
            <w:vAlign w:val="top"/>
          </w:tcPr>
          <w:p>
            <w:pPr>
              <w:pStyle w:val="99"/>
              <w:spacing w:before="130"/>
              <w:ind w:left="15"/>
              <w:jc w:val="center"/>
              <w:rPr>
                <w:color w:val="auto"/>
                <w:kern w:val="0"/>
                <w:sz w:val="24"/>
                <w:szCs w:val="24"/>
                <w:highlight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709" w:type="dxa"/>
            <w:noWrap w:val="0"/>
            <w:vAlign w:val="center"/>
          </w:tcPr>
          <w:p>
            <w:pPr>
              <w:pStyle w:val="99"/>
              <w:ind w:left="15"/>
              <w:jc w:val="center"/>
              <w:rPr>
                <w:color w:val="auto"/>
                <w:kern w:val="0"/>
                <w:sz w:val="24"/>
                <w:szCs w:val="24"/>
                <w:highlight w:val="none"/>
                <w:lang w:val="en-US" w:bidi="ar-SA"/>
              </w:rPr>
            </w:pPr>
            <w:r>
              <w:rPr>
                <w:rFonts w:hint="eastAsia"/>
                <w:color w:val="auto"/>
                <w:kern w:val="0"/>
                <w:sz w:val="24"/>
                <w:szCs w:val="24"/>
                <w:highlight w:val="none"/>
                <w:lang w:val="en-US" w:bidi="ar-SA"/>
              </w:rPr>
              <w:t>2</w:t>
            </w:r>
          </w:p>
        </w:tc>
        <w:tc>
          <w:tcPr>
            <w:tcW w:w="1417" w:type="dxa"/>
            <w:noWrap w:val="0"/>
            <w:vAlign w:val="center"/>
          </w:tcPr>
          <w:p>
            <w:pPr>
              <w:pStyle w:val="99"/>
              <w:ind w:right="113"/>
              <w:jc w:val="center"/>
              <w:rPr>
                <w:color w:val="auto"/>
                <w:kern w:val="0"/>
                <w:sz w:val="24"/>
                <w:szCs w:val="24"/>
                <w:highlight w:val="none"/>
                <w:lang w:val="en-US" w:bidi="ar-SA"/>
              </w:rPr>
            </w:pPr>
            <w:r>
              <w:rPr>
                <w:rFonts w:hint="eastAsia"/>
                <w:color w:val="auto"/>
                <w:kern w:val="0"/>
                <w:sz w:val="24"/>
                <w:szCs w:val="24"/>
                <w:highlight w:val="none"/>
                <w:lang w:val="en-US" w:bidi="ar-SA"/>
              </w:rPr>
              <w:t>技术负责人</w:t>
            </w:r>
          </w:p>
        </w:tc>
        <w:tc>
          <w:tcPr>
            <w:tcW w:w="1134" w:type="dxa"/>
            <w:noWrap w:val="0"/>
            <w:vAlign w:val="center"/>
          </w:tcPr>
          <w:p>
            <w:pPr>
              <w:pStyle w:val="99"/>
              <w:ind w:right="175" w:rightChars="0"/>
              <w:jc w:val="center"/>
              <w:rPr>
                <w:rFonts w:ascii="宋体" w:hAnsi="宋体" w:eastAsia="宋体" w:cs="宋体"/>
                <w:color w:val="FF0000"/>
                <w:kern w:val="0"/>
                <w:sz w:val="24"/>
                <w:szCs w:val="24"/>
                <w:highlight w:val="none"/>
                <w:lang w:val="en-US" w:eastAsia="zh-CN" w:bidi="ar-SA"/>
              </w:rPr>
            </w:pPr>
            <w:r>
              <w:rPr>
                <w:rFonts w:hint="eastAsia" w:cs="宋体" w:asciiTheme="minorEastAsia" w:hAnsiTheme="minorEastAsia" w:eastAsiaTheme="minorEastAsia"/>
                <w:color w:val="FF0000"/>
                <w:sz w:val="24"/>
                <w:szCs w:val="24"/>
                <w:highlight w:val="none"/>
                <w:lang w:eastAsia="zh-CN"/>
              </w:rPr>
              <w:t>张红欣</w:t>
            </w:r>
          </w:p>
        </w:tc>
        <w:tc>
          <w:tcPr>
            <w:tcW w:w="1560" w:type="dxa"/>
            <w:noWrap w:val="0"/>
            <w:vAlign w:val="center"/>
          </w:tcPr>
          <w:p>
            <w:pPr>
              <w:pStyle w:val="99"/>
              <w:ind w:left="40" w:leftChars="0" w:right="31" w:rightChars="0"/>
              <w:jc w:val="center"/>
              <w:rPr>
                <w:rFonts w:hint="default"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eastAsia="zh-CN" w:bidi="ar-SA"/>
              </w:rPr>
              <w:t>18336721777</w:t>
            </w:r>
          </w:p>
        </w:tc>
        <w:tc>
          <w:tcPr>
            <w:tcW w:w="1115" w:type="dxa"/>
            <w:noWrap w:val="0"/>
            <w:vAlign w:val="center"/>
          </w:tcPr>
          <w:p>
            <w:pPr>
              <w:pStyle w:val="99"/>
              <w:ind w:right="113" w:rightChars="0"/>
              <w:jc w:val="center"/>
              <w:rPr>
                <w:rFonts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bidi="ar-SA"/>
              </w:rPr>
              <w:t>技术负责人</w:t>
            </w:r>
          </w:p>
        </w:tc>
        <w:tc>
          <w:tcPr>
            <w:tcW w:w="3246" w:type="dxa"/>
            <w:noWrap w:val="0"/>
            <w:vAlign w:val="center"/>
          </w:tcPr>
          <w:p>
            <w:pPr>
              <w:pStyle w:val="99"/>
              <w:ind w:left="192" w:right="183"/>
              <w:jc w:val="center"/>
              <w:rPr>
                <w:color w:val="auto"/>
                <w:kern w:val="0"/>
                <w:sz w:val="24"/>
                <w:szCs w:val="24"/>
                <w:highlight w:val="none"/>
                <w:lang w:val="en-US" w:bidi="ar-SA"/>
              </w:rPr>
            </w:pPr>
            <w:r>
              <w:rPr>
                <w:rFonts w:hint="eastAsia"/>
                <w:color w:val="auto"/>
                <w:kern w:val="0"/>
                <w:sz w:val="24"/>
                <w:szCs w:val="24"/>
                <w:highlight w:val="none"/>
                <w:lang w:val="en-US" w:bidi="ar-SA"/>
              </w:rPr>
              <w:t>认真熟悉图纸，编制各项施工组织设计方案和施工安全、质量、技术方案。</w:t>
            </w:r>
            <w:r>
              <w:rPr>
                <w:rFonts w:hint="eastAsia"/>
                <w:color w:val="auto"/>
                <w:sz w:val="24"/>
                <w:szCs w:val="24"/>
                <w:highlight w:val="none"/>
                <w:lang w:val="en-US"/>
              </w:rPr>
              <w:t>对项目质量管理工作负责。</w:t>
            </w:r>
          </w:p>
        </w:tc>
        <w:tc>
          <w:tcPr>
            <w:tcW w:w="832" w:type="dxa"/>
            <w:noWrap w:val="0"/>
            <w:vAlign w:val="top"/>
          </w:tcPr>
          <w:p>
            <w:pPr>
              <w:pStyle w:val="99"/>
              <w:ind w:left="15"/>
              <w:jc w:val="center"/>
              <w:rPr>
                <w:color w:val="auto"/>
                <w:kern w:val="0"/>
                <w:sz w:val="24"/>
                <w:szCs w:val="24"/>
                <w:highlight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709" w:type="dxa"/>
            <w:noWrap w:val="0"/>
            <w:vAlign w:val="center"/>
          </w:tcPr>
          <w:p>
            <w:pPr>
              <w:pStyle w:val="99"/>
              <w:ind w:left="15"/>
              <w:jc w:val="center"/>
              <w:rPr>
                <w:color w:val="auto"/>
                <w:kern w:val="0"/>
                <w:sz w:val="24"/>
                <w:szCs w:val="24"/>
                <w:highlight w:val="none"/>
                <w:lang w:val="en-US" w:bidi="ar-SA"/>
              </w:rPr>
            </w:pPr>
            <w:r>
              <w:rPr>
                <w:rFonts w:hint="eastAsia"/>
                <w:color w:val="auto"/>
                <w:kern w:val="0"/>
                <w:sz w:val="24"/>
                <w:szCs w:val="24"/>
                <w:highlight w:val="none"/>
                <w:lang w:val="en-US" w:bidi="ar-SA"/>
              </w:rPr>
              <w:t>3</w:t>
            </w:r>
          </w:p>
        </w:tc>
        <w:tc>
          <w:tcPr>
            <w:tcW w:w="1417" w:type="dxa"/>
            <w:noWrap w:val="0"/>
            <w:vAlign w:val="center"/>
          </w:tcPr>
          <w:p>
            <w:pPr>
              <w:pStyle w:val="99"/>
              <w:ind w:right="113"/>
              <w:jc w:val="center"/>
              <w:rPr>
                <w:color w:val="auto"/>
                <w:kern w:val="0"/>
                <w:sz w:val="24"/>
                <w:szCs w:val="24"/>
                <w:highlight w:val="none"/>
                <w:lang w:val="en-US" w:bidi="ar-SA"/>
              </w:rPr>
            </w:pPr>
            <w:r>
              <w:rPr>
                <w:rFonts w:hint="eastAsia"/>
                <w:color w:val="auto"/>
                <w:kern w:val="0"/>
                <w:sz w:val="24"/>
                <w:szCs w:val="24"/>
                <w:highlight w:val="none"/>
                <w:lang w:val="en-US" w:bidi="ar-SA"/>
              </w:rPr>
              <w:t>预算人员</w:t>
            </w:r>
          </w:p>
        </w:tc>
        <w:tc>
          <w:tcPr>
            <w:tcW w:w="1134" w:type="dxa"/>
            <w:noWrap w:val="0"/>
            <w:vAlign w:val="center"/>
          </w:tcPr>
          <w:p>
            <w:pPr>
              <w:pStyle w:val="99"/>
              <w:ind w:right="175" w:rightChars="0"/>
              <w:jc w:val="center"/>
              <w:rPr>
                <w:rFonts w:hint="default"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eastAsia="zh-CN" w:bidi="ar-SA"/>
              </w:rPr>
              <w:t>张小喜</w:t>
            </w:r>
          </w:p>
        </w:tc>
        <w:tc>
          <w:tcPr>
            <w:tcW w:w="1560" w:type="dxa"/>
            <w:noWrap w:val="0"/>
            <w:vAlign w:val="center"/>
          </w:tcPr>
          <w:p>
            <w:pPr>
              <w:pStyle w:val="99"/>
              <w:ind w:left="40" w:leftChars="0" w:right="31" w:rightChars="0"/>
              <w:jc w:val="center"/>
              <w:rPr>
                <w:rFonts w:hint="default"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eastAsia="zh-CN" w:bidi="ar-SA"/>
              </w:rPr>
              <w:t>13939936211</w:t>
            </w:r>
          </w:p>
        </w:tc>
        <w:tc>
          <w:tcPr>
            <w:tcW w:w="1115" w:type="dxa"/>
            <w:noWrap w:val="0"/>
            <w:vAlign w:val="center"/>
          </w:tcPr>
          <w:p>
            <w:pPr>
              <w:pStyle w:val="99"/>
              <w:ind w:right="113" w:rightChars="0"/>
              <w:jc w:val="center"/>
              <w:rPr>
                <w:rFonts w:ascii="宋体" w:hAnsi="宋体" w:eastAsia="宋体" w:cs="宋体"/>
                <w:color w:val="FF0000"/>
                <w:kern w:val="0"/>
                <w:sz w:val="24"/>
                <w:szCs w:val="24"/>
                <w:highlight w:val="none"/>
                <w:lang w:val="en-US" w:eastAsia="zh-CN" w:bidi="ar-SA"/>
              </w:rPr>
            </w:pPr>
            <w:r>
              <w:rPr>
                <w:rFonts w:hint="eastAsia"/>
                <w:color w:val="FF0000"/>
                <w:kern w:val="0"/>
                <w:sz w:val="24"/>
                <w:szCs w:val="24"/>
                <w:highlight w:val="none"/>
                <w:lang w:val="en-US" w:bidi="ar-SA"/>
              </w:rPr>
              <w:t>预算人员</w:t>
            </w:r>
          </w:p>
        </w:tc>
        <w:tc>
          <w:tcPr>
            <w:tcW w:w="3246" w:type="dxa"/>
            <w:noWrap w:val="0"/>
            <w:vAlign w:val="center"/>
          </w:tcPr>
          <w:p>
            <w:pPr>
              <w:pStyle w:val="99"/>
              <w:ind w:left="192" w:right="183"/>
              <w:jc w:val="center"/>
              <w:rPr>
                <w:color w:val="auto"/>
                <w:kern w:val="0"/>
                <w:sz w:val="24"/>
                <w:szCs w:val="24"/>
                <w:highlight w:val="none"/>
                <w:lang w:val="en-US" w:bidi="ar-SA"/>
              </w:rPr>
            </w:pPr>
            <w:r>
              <w:rPr>
                <w:rFonts w:hint="eastAsia"/>
                <w:color w:val="auto"/>
                <w:sz w:val="24"/>
                <w:szCs w:val="24"/>
                <w:highlight w:val="none"/>
              </w:rPr>
              <w:t>担任工程预算的编制及对项目的本钱的复核任务</w:t>
            </w:r>
          </w:p>
        </w:tc>
        <w:tc>
          <w:tcPr>
            <w:tcW w:w="832" w:type="dxa"/>
            <w:noWrap w:val="0"/>
            <w:vAlign w:val="top"/>
          </w:tcPr>
          <w:p>
            <w:pPr>
              <w:pStyle w:val="99"/>
              <w:ind w:left="15"/>
              <w:jc w:val="center"/>
              <w:rPr>
                <w:color w:val="auto"/>
                <w:kern w:val="0"/>
                <w:sz w:val="24"/>
                <w:szCs w:val="24"/>
                <w:highlight w:val="none"/>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9" w:type="dxa"/>
            <w:noWrap w:val="0"/>
            <w:vAlign w:val="center"/>
          </w:tcPr>
          <w:p>
            <w:pPr>
              <w:pStyle w:val="99"/>
              <w:spacing w:before="14"/>
              <w:jc w:val="center"/>
              <w:rPr>
                <w:b/>
                <w:color w:val="auto"/>
                <w:sz w:val="24"/>
                <w:szCs w:val="24"/>
                <w:highlight w:val="none"/>
              </w:rPr>
            </w:pPr>
          </w:p>
          <w:p>
            <w:pPr>
              <w:pStyle w:val="99"/>
              <w:ind w:left="15"/>
              <w:jc w:val="center"/>
              <w:rPr>
                <w:color w:val="auto"/>
                <w:sz w:val="24"/>
                <w:szCs w:val="24"/>
                <w:highlight w:val="none"/>
              </w:rPr>
            </w:pPr>
            <w:r>
              <w:rPr>
                <w:rFonts w:hint="eastAsia"/>
                <w:color w:val="auto"/>
                <w:sz w:val="24"/>
                <w:szCs w:val="24"/>
                <w:highlight w:val="none"/>
              </w:rPr>
              <w:t>4</w:t>
            </w:r>
          </w:p>
        </w:tc>
        <w:tc>
          <w:tcPr>
            <w:tcW w:w="1417" w:type="dxa"/>
            <w:noWrap w:val="0"/>
            <w:vAlign w:val="center"/>
          </w:tcPr>
          <w:p>
            <w:pPr>
              <w:pStyle w:val="99"/>
              <w:ind w:right="195"/>
              <w:jc w:val="center"/>
              <w:rPr>
                <w:color w:val="auto"/>
                <w:sz w:val="24"/>
                <w:szCs w:val="24"/>
                <w:highlight w:val="none"/>
                <w:lang w:val="en-US"/>
              </w:rPr>
            </w:pPr>
          </w:p>
          <w:p>
            <w:pPr>
              <w:pStyle w:val="99"/>
              <w:ind w:right="195"/>
              <w:jc w:val="center"/>
              <w:rPr>
                <w:color w:val="auto"/>
                <w:sz w:val="24"/>
                <w:szCs w:val="24"/>
                <w:highlight w:val="none"/>
                <w:lang w:val="en-US"/>
              </w:rPr>
            </w:pPr>
            <w:r>
              <w:rPr>
                <w:rFonts w:hint="eastAsia"/>
                <w:color w:val="auto"/>
                <w:sz w:val="24"/>
                <w:szCs w:val="24"/>
                <w:highlight w:val="none"/>
                <w:lang w:val="en-US"/>
              </w:rPr>
              <w:t>安全员</w:t>
            </w:r>
          </w:p>
        </w:tc>
        <w:tc>
          <w:tcPr>
            <w:tcW w:w="1134" w:type="dxa"/>
            <w:noWrap w:val="0"/>
            <w:vAlign w:val="center"/>
          </w:tcPr>
          <w:p>
            <w:pPr>
              <w:pStyle w:val="99"/>
              <w:ind w:left="201" w:leftChars="0" w:right="176" w:rightChars="0"/>
              <w:jc w:val="center"/>
              <w:rPr>
                <w:rFonts w:hint="default" w:ascii="宋体" w:hAnsi="宋体" w:eastAsia="宋体" w:cs="宋体"/>
                <w:color w:val="FF0000"/>
                <w:kern w:val="2"/>
                <w:sz w:val="24"/>
                <w:szCs w:val="24"/>
                <w:highlight w:val="none"/>
                <w:lang w:val="en-US" w:eastAsia="zh-CN" w:bidi="zh-CN"/>
              </w:rPr>
            </w:pPr>
            <w:r>
              <w:rPr>
                <w:rFonts w:hint="eastAsia"/>
                <w:color w:val="FF0000"/>
                <w:sz w:val="24"/>
                <w:szCs w:val="24"/>
                <w:highlight w:val="none"/>
                <w:lang w:val="en-US" w:eastAsia="zh-CN"/>
              </w:rPr>
              <w:t>杨小斌</w:t>
            </w:r>
          </w:p>
        </w:tc>
        <w:tc>
          <w:tcPr>
            <w:tcW w:w="1560" w:type="dxa"/>
            <w:noWrap w:val="0"/>
            <w:vAlign w:val="center"/>
          </w:tcPr>
          <w:p>
            <w:pPr>
              <w:pStyle w:val="99"/>
              <w:ind w:left="40" w:leftChars="0" w:right="31" w:rightChars="0"/>
              <w:jc w:val="center"/>
              <w:rPr>
                <w:rFonts w:hint="default" w:ascii="宋体" w:hAnsi="宋体" w:eastAsia="宋体" w:cs="宋体"/>
                <w:color w:val="FF0000"/>
                <w:kern w:val="2"/>
                <w:sz w:val="24"/>
                <w:szCs w:val="24"/>
                <w:highlight w:val="none"/>
                <w:lang w:val="en-US" w:eastAsia="zh-CN" w:bidi="zh-CN"/>
              </w:rPr>
            </w:pPr>
            <w:r>
              <w:rPr>
                <w:rFonts w:hint="eastAsia"/>
                <w:color w:val="FF0000"/>
                <w:sz w:val="24"/>
                <w:szCs w:val="24"/>
                <w:highlight w:val="none"/>
                <w:lang w:val="en-US" w:eastAsia="zh-CN"/>
              </w:rPr>
              <w:t>13939975532</w:t>
            </w:r>
          </w:p>
        </w:tc>
        <w:tc>
          <w:tcPr>
            <w:tcW w:w="1115" w:type="dxa"/>
            <w:noWrap w:val="0"/>
            <w:vAlign w:val="center"/>
          </w:tcPr>
          <w:p>
            <w:pPr>
              <w:pStyle w:val="99"/>
              <w:ind w:right="195"/>
              <w:jc w:val="center"/>
              <w:rPr>
                <w:color w:val="FF0000"/>
                <w:sz w:val="24"/>
                <w:szCs w:val="24"/>
                <w:highlight w:val="none"/>
                <w:lang w:val="en-US"/>
              </w:rPr>
            </w:pPr>
          </w:p>
          <w:p>
            <w:pPr>
              <w:pStyle w:val="99"/>
              <w:ind w:right="195" w:rightChars="0"/>
              <w:jc w:val="center"/>
              <w:rPr>
                <w:rFonts w:ascii="宋体" w:hAnsi="宋体" w:eastAsia="宋体" w:cs="宋体"/>
                <w:color w:val="FF0000"/>
                <w:kern w:val="2"/>
                <w:sz w:val="24"/>
                <w:szCs w:val="24"/>
                <w:highlight w:val="none"/>
                <w:lang w:val="en-US" w:eastAsia="zh-CN" w:bidi="zh-CN"/>
              </w:rPr>
            </w:pPr>
            <w:r>
              <w:rPr>
                <w:rFonts w:hint="eastAsia"/>
                <w:color w:val="FF0000"/>
                <w:sz w:val="24"/>
                <w:szCs w:val="24"/>
                <w:highlight w:val="none"/>
                <w:lang w:val="en-US"/>
              </w:rPr>
              <w:t>安全员</w:t>
            </w:r>
          </w:p>
        </w:tc>
        <w:tc>
          <w:tcPr>
            <w:tcW w:w="3246" w:type="dxa"/>
            <w:noWrap w:val="0"/>
            <w:vAlign w:val="center"/>
          </w:tcPr>
          <w:p>
            <w:pPr>
              <w:pStyle w:val="99"/>
              <w:spacing w:before="116"/>
              <w:ind w:left="408" w:right="357" w:hanging="24"/>
              <w:jc w:val="center"/>
              <w:rPr>
                <w:color w:val="auto"/>
                <w:sz w:val="24"/>
                <w:szCs w:val="24"/>
                <w:highlight w:val="none"/>
              </w:rPr>
            </w:pPr>
            <w:r>
              <w:rPr>
                <w:rFonts w:hint="eastAsia"/>
                <w:color w:val="auto"/>
                <w:sz w:val="24"/>
                <w:szCs w:val="24"/>
                <w:highlight w:val="none"/>
              </w:rPr>
              <w:t>协助项目经理和分管领导组织安全生产检查，并具体实施落实安全生产考核制度。</w:t>
            </w:r>
          </w:p>
        </w:tc>
        <w:tc>
          <w:tcPr>
            <w:tcW w:w="832" w:type="dxa"/>
            <w:noWrap w:val="0"/>
            <w:vAlign w:val="top"/>
          </w:tcPr>
          <w:p>
            <w:pPr>
              <w:pStyle w:val="99"/>
              <w:ind w:left="15"/>
              <w:jc w:val="center"/>
              <w:rPr>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709" w:type="dxa"/>
            <w:noWrap w:val="0"/>
            <w:vAlign w:val="center"/>
          </w:tcPr>
          <w:p>
            <w:pPr>
              <w:pStyle w:val="99"/>
              <w:spacing w:before="1"/>
              <w:ind w:left="15"/>
              <w:jc w:val="center"/>
              <w:rPr>
                <w:color w:val="auto"/>
                <w:sz w:val="24"/>
                <w:szCs w:val="24"/>
                <w:highlight w:val="none"/>
              </w:rPr>
            </w:pPr>
            <w:r>
              <w:rPr>
                <w:rFonts w:hint="eastAsia"/>
                <w:color w:val="auto"/>
                <w:sz w:val="24"/>
                <w:szCs w:val="24"/>
                <w:highlight w:val="none"/>
              </w:rPr>
              <w:t>5</w:t>
            </w:r>
          </w:p>
        </w:tc>
        <w:tc>
          <w:tcPr>
            <w:tcW w:w="1417" w:type="dxa"/>
            <w:noWrap w:val="0"/>
            <w:vAlign w:val="center"/>
          </w:tcPr>
          <w:p>
            <w:pPr>
              <w:pStyle w:val="99"/>
              <w:spacing w:before="1"/>
              <w:ind w:right="195"/>
              <w:jc w:val="center"/>
              <w:rPr>
                <w:color w:val="auto"/>
                <w:sz w:val="24"/>
                <w:szCs w:val="24"/>
                <w:highlight w:val="none"/>
                <w:lang w:val="en-US"/>
              </w:rPr>
            </w:pPr>
            <w:r>
              <w:rPr>
                <w:rFonts w:hint="eastAsia"/>
                <w:color w:val="auto"/>
                <w:sz w:val="24"/>
                <w:szCs w:val="24"/>
                <w:highlight w:val="none"/>
                <w:lang w:val="en-US"/>
              </w:rPr>
              <w:t>资料员</w:t>
            </w:r>
          </w:p>
        </w:tc>
        <w:tc>
          <w:tcPr>
            <w:tcW w:w="1134" w:type="dxa"/>
            <w:noWrap w:val="0"/>
            <w:vAlign w:val="center"/>
          </w:tcPr>
          <w:p>
            <w:pPr>
              <w:pStyle w:val="99"/>
              <w:spacing w:before="1"/>
              <w:ind w:right="176" w:rightChars="0"/>
              <w:jc w:val="center"/>
              <w:rPr>
                <w:rFonts w:ascii="宋体" w:hAnsi="宋体" w:eastAsia="宋体" w:cs="宋体"/>
                <w:color w:val="FF0000"/>
                <w:kern w:val="2"/>
                <w:sz w:val="24"/>
                <w:szCs w:val="24"/>
                <w:highlight w:val="none"/>
                <w:lang w:val="en-US" w:eastAsia="zh-CN" w:bidi="zh-CN"/>
              </w:rPr>
            </w:pPr>
            <w:r>
              <w:rPr>
                <w:rFonts w:hint="eastAsia" w:cs="宋体" w:asciiTheme="minorEastAsia" w:hAnsiTheme="minorEastAsia" w:eastAsiaTheme="minorEastAsia"/>
                <w:color w:val="FF0000"/>
                <w:sz w:val="24"/>
                <w:szCs w:val="24"/>
                <w:highlight w:val="none"/>
                <w:lang w:val="en-US" w:eastAsia="zh-CN"/>
              </w:rPr>
              <w:t>尤珂珂</w:t>
            </w:r>
          </w:p>
        </w:tc>
        <w:tc>
          <w:tcPr>
            <w:tcW w:w="1560" w:type="dxa"/>
            <w:noWrap w:val="0"/>
            <w:vAlign w:val="center"/>
          </w:tcPr>
          <w:p>
            <w:pPr>
              <w:pStyle w:val="99"/>
              <w:spacing w:before="1"/>
              <w:ind w:left="40" w:leftChars="0" w:right="31" w:rightChars="0"/>
              <w:jc w:val="center"/>
              <w:rPr>
                <w:rFonts w:hint="default" w:ascii="宋体" w:hAnsi="宋体" w:eastAsia="宋体" w:cs="宋体"/>
                <w:color w:val="FF0000"/>
                <w:kern w:val="2"/>
                <w:sz w:val="24"/>
                <w:szCs w:val="24"/>
                <w:highlight w:val="none"/>
                <w:lang w:val="en-US" w:eastAsia="zh-CN" w:bidi="zh-CN"/>
              </w:rPr>
            </w:pPr>
            <w:r>
              <w:rPr>
                <w:rFonts w:hint="eastAsia"/>
                <w:color w:val="FF0000"/>
                <w:sz w:val="24"/>
                <w:szCs w:val="24"/>
                <w:highlight w:val="none"/>
                <w:lang w:val="en-US" w:eastAsia="zh-CN"/>
              </w:rPr>
              <w:t>18567665075</w:t>
            </w:r>
          </w:p>
        </w:tc>
        <w:tc>
          <w:tcPr>
            <w:tcW w:w="1115" w:type="dxa"/>
            <w:noWrap w:val="0"/>
            <w:vAlign w:val="center"/>
          </w:tcPr>
          <w:p>
            <w:pPr>
              <w:pStyle w:val="99"/>
              <w:spacing w:before="1"/>
              <w:ind w:right="195" w:rightChars="0"/>
              <w:jc w:val="center"/>
              <w:rPr>
                <w:rFonts w:ascii="宋体" w:hAnsi="宋体" w:eastAsia="宋体" w:cs="宋体"/>
                <w:color w:val="FF0000"/>
                <w:kern w:val="2"/>
                <w:sz w:val="24"/>
                <w:szCs w:val="24"/>
                <w:highlight w:val="none"/>
                <w:lang w:val="en-US" w:eastAsia="zh-CN" w:bidi="zh-CN"/>
              </w:rPr>
            </w:pPr>
            <w:r>
              <w:rPr>
                <w:rFonts w:hint="eastAsia"/>
                <w:color w:val="FF0000"/>
                <w:sz w:val="24"/>
                <w:szCs w:val="24"/>
                <w:highlight w:val="none"/>
                <w:lang w:val="en-US"/>
              </w:rPr>
              <w:t>资料员</w:t>
            </w:r>
          </w:p>
        </w:tc>
        <w:tc>
          <w:tcPr>
            <w:tcW w:w="3246" w:type="dxa"/>
            <w:noWrap w:val="0"/>
            <w:vAlign w:val="center"/>
          </w:tcPr>
          <w:p>
            <w:pPr>
              <w:pStyle w:val="99"/>
              <w:spacing w:before="3"/>
              <w:ind w:left="408" w:right="64" w:hanging="317"/>
              <w:jc w:val="center"/>
              <w:rPr>
                <w:color w:val="auto"/>
                <w:sz w:val="24"/>
                <w:szCs w:val="24"/>
                <w:highlight w:val="none"/>
              </w:rPr>
            </w:pPr>
            <w:r>
              <w:rPr>
                <w:rFonts w:hint="eastAsia"/>
                <w:color w:val="auto"/>
                <w:sz w:val="24"/>
                <w:szCs w:val="24"/>
                <w:highlight w:val="none"/>
              </w:rPr>
              <w:t>负责对工程文件资料进行收集、整理、筛分、建档、归档工作的管理。</w:t>
            </w:r>
          </w:p>
        </w:tc>
        <w:tc>
          <w:tcPr>
            <w:tcW w:w="832" w:type="dxa"/>
            <w:noWrap w:val="0"/>
            <w:vAlign w:val="top"/>
          </w:tcPr>
          <w:p>
            <w:pPr>
              <w:pStyle w:val="99"/>
              <w:spacing w:before="1"/>
              <w:ind w:left="15"/>
              <w:jc w:val="center"/>
              <w:rPr>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09" w:type="dxa"/>
            <w:noWrap w:val="0"/>
            <w:vAlign w:val="center"/>
          </w:tcPr>
          <w:p>
            <w:pPr>
              <w:pStyle w:val="99"/>
              <w:spacing w:before="1"/>
              <w:ind w:left="51" w:right="43"/>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w:t>
            </w:r>
          </w:p>
        </w:tc>
        <w:tc>
          <w:tcPr>
            <w:tcW w:w="1417" w:type="dxa"/>
            <w:noWrap w:val="0"/>
            <w:vAlign w:val="center"/>
          </w:tcPr>
          <w:p>
            <w:pPr>
              <w:pStyle w:val="99"/>
              <w:spacing w:before="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w:t>
            </w:r>
          </w:p>
        </w:tc>
        <w:tc>
          <w:tcPr>
            <w:tcW w:w="1134" w:type="dxa"/>
            <w:noWrap w:val="0"/>
            <w:vAlign w:val="top"/>
          </w:tcPr>
          <w:p>
            <w:pPr>
              <w:pStyle w:val="99"/>
              <w:spacing w:before="1"/>
              <w:ind w:left="188" w:right="178"/>
              <w:jc w:val="center"/>
              <w:rPr>
                <w:color w:val="auto"/>
                <w:sz w:val="24"/>
                <w:szCs w:val="24"/>
                <w:highlight w:val="none"/>
              </w:rPr>
            </w:pPr>
          </w:p>
        </w:tc>
        <w:tc>
          <w:tcPr>
            <w:tcW w:w="1560" w:type="dxa"/>
            <w:noWrap w:val="0"/>
            <w:vAlign w:val="top"/>
          </w:tcPr>
          <w:p>
            <w:pPr>
              <w:pStyle w:val="99"/>
              <w:spacing w:before="43"/>
              <w:ind w:left="40" w:right="31"/>
              <w:jc w:val="center"/>
              <w:rPr>
                <w:color w:val="auto"/>
                <w:sz w:val="24"/>
                <w:szCs w:val="24"/>
                <w:highlight w:val="none"/>
              </w:rPr>
            </w:pPr>
          </w:p>
        </w:tc>
        <w:tc>
          <w:tcPr>
            <w:tcW w:w="1115" w:type="dxa"/>
            <w:noWrap w:val="0"/>
            <w:vAlign w:val="top"/>
          </w:tcPr>
          <w:p>
            <w:pPr>
              <w:pStyle w:val="99"/>
              <w:spacing w:before="1"/>
              <w:ind w:right="125"/>
              <w:jc w:val="center"/>
              <w:rPr>
                <w:color w:val="auto"/>
                <w:sz w:val="24"/>
                <w:szCs w:val="24"/>
                <w:highlight w:val="none"/>
              </w:rPr>
            </w:pPr>
          </w:p>
        </w:tc>
        <w:tc>
          <w:tcPr>
            <w:tcW w:w="3246" w:type="dxa"/>
            <w:noWrap w:val="0"/>
            <w:vAlign w:val="top"/>
          </w:tcPr>
          <w:p>
            <w:pPr>
              <w:pStyle w:val="99"/>
              <w:ind w:left="4"/>
              <w:jc w:val="center"/>
              <w:rPr>
                <w:color w:val="auto"/>
                <w:sz w:val="24"/>
                <w:szCs w:val="24"/>
                <w:highlight w:val="none"/>
              </w:rPr>
            </w:pPr>
          </w:p>
        </w:tc>
        <w:tc>
          <w:tcPr>
            <w:tcW w:w="832" w:type="dxa"/>
            <w:noWrap w:val="0"/>
            <w:vAlign w:val="top"/>
          </w:tcPr>
          <w:p>
            <w:pPr>
              <w:pStyle w:val="99"/>
              <w:jc w:val="center"/>
              <w:rPr>
                <w:color w:val="auto"/>
                <w:sz w:val="24"/>
                <w:szCs w:val="24"/>
                <w:highlight w:val="none"/>
              </w:rPr>
            </w:pPr>
          </w:p>
        </w:tc>
      </w:tr>
    </w:tbl>
    <w:p>
      <w:pPr>
        <w:pStyle w:val="2"/>
        <w:spacing w:line="360" w:lineRule="auto"/>
        <w:ind w:firstLine="0" w:firstLineChars="0"/>
        <w:rPr>
          <w:rFonts w:ascii="宋体" w:hAnsi="宋体" w:cs="宋体"/>
          <w:b/>
          <w:bCs/>
          <w:color w:val="auto"/>
          <w:sz w:val="24"/>
          <w:szCs w:val="28"/>
          <w:highlight w:val="none"/>
        </w:rPr>
      </w:pPr>
    </w:p>
    <w:p>
      <w:pPr>
        <w:pStyle w:val="2"/>
        <w:spacing w:line="360" w:lineRule="auto"/>
        <w:ind w:firstLine="0" w:firstLineChars="0"/>
        <w:rPr>
          <w:rFonts w:ascii="宋体" w:hAnsi="宋体" w:cs="宋体"/>
          <w:b/>
          <w:bCs/>
          <w:color w:val="auto"/>
          <w:sz w:val="24"/>
          <w:szCs w:val="28"/>
          <w:highlight w:val="none"/>
        </w:rPr>
      </w:pPr>
      <w:r>
        <w:rPr>
          <w:rFonts w:hint="eastAsia" w:ascii="宋体" w:hAnsi="宋体" w:cs="宋体"/>
          <w:b/>
          <w:bCs/>
          <w:color w:val="auto"/>
          <w:sz w:val="24"/>
          <w:szCs w:val="28"/>
          <w:highlight w:val="none"/>
        </w:rPr>
        <w:t>附件三、材料品牌表</w:t>
      </w:r>
    </w:p>
    <w:tbl>
      <w:tblPr>
        <w:tblStyle w:val="47"/>
        <w:tblW w:w="10363" w:type="dxa"/>
        <w:jc w:val="center"/>
        <w:tblLayout w:type="fixed"/>
        <w:tblCellMar>
          <w:top w:w="0" w:type="dxa"/>
          <w:left w:w="0" w:type="dxa"/>
          <w:bottom w:w="0" w:type="dxa"/>
          <w:right w:w="0" w:type="dxa"/>
        </w:tblCellMar>
      </w:tblPr>
      <w:tblGrid>
        <w:gridCol w:w="674"/>
        <w:gridCol w:w="3215"/>
        <w:gridCol w:w="6474"/>
      </w:tblGrid>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序号</w:t>
            </w: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类别</w:t>
            </w:r>
          </w:p>
        </w:tc>
        <w:tc>
          <w:tcPr>
            <w:tcW w:w="6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品牌范围</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玻璃</w:t>
            </w:r>
          </w:p>
        </w:tc>
        <w:tc>
          <w:tcPr>
            <w:tcW w:w="6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洛玻</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jc w:val="center"/>
              <w:rPr>
                <w:rFonts w:hint="eastAsia" w:ascii="宋体" w:hAnsi="宋体" w:eastAsia="宋体" w:cs="宋体"/>
                <w:b w:val="0"/>
                <w:bCs/>
                <w:color w:val="auto"/>
                <w:kern w:val="0"/>
                <w:sz w:val="24"/>
                <w:szCs w:val="24"/>
                <w:highlight w:val="none"/>
                <w:lang w:val="en-US" w:eastAsia="zh-CN"/>
              </w:rPr>
            </w:pPr>
            <w:r>
              <w:rPr>
                <w:rFonts w:hint="eastAsia" w:hAnsi="宋体" w:cs="宋体"/>
                <w:b w:val="0"/>
                <w:bCs/>
                <w:color w:val="auto"/>
                <w:kern w:val="0"/>
                <w:sz w:val="24"/>
                <w:szCs w:val="24"/>
                <w:highlight w:val="none"/>
                <w:lang w:val="en-US" w:eastAsia="zh-CN"/>
              </w:rPr>
              <w:t>2</w:t>
            </w: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铝合金</w:t>
            </w:r>
          </w:p>
        </w:tc>
        <w:tc>
          <w:tcPr>
            <w:tcW w:w="6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广东坚美铝材</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jc w:val="center"/>
              <w:rPr>
                <w:rFonts w:hint="eastAsia" w:ascii="宋体" w:hAnsi="宋体" w:eastAsia="宋体" w:cs="宋体"/>
                <w:b w:val="0"/>
                <w:bCs/>
                <w:color w:val="auto"/>
                <w:kern w:val="0"/>
                <w:sz w:val="24"/>
                <w:szCs w:val="24"/>
                <w:highlight w:val="none"/>
                <w:lang w:val="en-US" w:eastAsia="zh-CN"/>
              </w:rPr>
            </w:pPr>
            <w:r>
              <w:rPr>
                <w:rFonts w:hint="eastAsia" w:hAnsi="宋体" w:cs="宋体"/>
                <w:b w:val="0"/>
                <w:bCs/>
                <w:color w:val="auto"/>
                <w:kern w:val="0"/>
                <w:sz w:val="24"/>
                <w:szCs w:val="24"/>
                <w:highlight w:val="none"/>
                <w:lang w:val="en-US" w:eastAsia="zh-CN"/>
              </w:rPr>
              <w:t>3</w:t>
            </w: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镀锌钢管</w:t>
            </w:r>
          </w:p>
        </w:tc>
        <w:tc>
          <w:tcPr>
            <w:tcW w:w="6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天津友发</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rPr>
                <w:rFonts w:hint="eastAsia" w:ascii="宋体" w:hAnsi="宋体" w:cs="宋体"/>
                <w:color w:val="auto"/>
                <w:kern w:val="0"/>
                <w:sz w:val="24"/>
                <w:szCs w:val="24"/>
                <w:highlight w:val="none"/>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rPr>
            </w:pPr>
          </w:p>
        </w:tc>
        <w:tc>
          <w:tcPr>
            <w:tcW w:w="64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rPr>
            </w:pPr>
          </w:p>
        </w:tc>
      </w:tr>
      <w:tr>
        <w:tblPrEx>
          <w:tblCellMar>
            <w:top w:w="0" w:type="dxa"/>
            <w:left w:w="0" w:type="dxa"/>
            <w:bottom w:w="0" w:type="dxa"/>
            <w:right w:w="0" w:type="dxa"/>
          </w:tblCellMar>
        </w:tblPrEx>
        <w:trPr>
          <w:trHeight w:val="454" w:hRule="atLeast"/>
          <w:jc w:val="center"/>
        </w:trPr>
        <w:tc>
          <w:tcPr>
            <w:tcW w:w="103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auto"/>
                <w:sz w:val="24"/>
                <w:szCs w:val="24"/>
                <w:highlight w:val="none"/>
              </w:rPr>
            </w:pPr>
            <w:r>
              <w:rPr>
                <w:rFonts w:hint="eastAsia" w:ascii="宋体" w:hAnsi="宋体" w:cs="宋体"/>
                <w:b/>
                <w:color w:val="auto"/>
                <w:kern w:val="0"/>
                <w:sz w:val="24"/>
                <w:szCs w:val="24"/>
                <w:highlight w:val="none"/>
              </w:rPr>
              <w:t>辅材部分</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序号</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材料名称</w:t>
            </w:r>
          </w:p>
        </w:tc>
        <w:tc>
          <w:tcPr>
            <w:tcW w:w="6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top"/>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品牌范围</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密封胶</w:t>
            </w:r>
          </w:p>
        </w:tc>
        <w:tc>
          <w:tcPr>
            <w:tcW w:w="6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top"/>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洛玻山东绿康耐候胶</w:t>
            </w:r>
          </w:p>
        </w:tc>
      </w:tr>
      <w:tr>
        <w:tblPrEx>
          <w:tblCellMar>
            <w:top w:w="0" w:type="dxa"/>
            <w:left w:w="0" w:type="dxa"/>
            <w:bottom w:w="0" w:type="dxa"/>
            <w:right w:w="0" w:type="dxa"/>
          </w:tblCellMar>
        </w:tblPrEx>
        <w:trPr>
          <w:trHeight w:val="454"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auto"/>
                <w:kern w:val="0"/>
                <w:sz w:val="24"/>
                <w:szCs w:val="24"/>
                <w:highlight w:val="none"/>
              </w:rPr>
            </w:pPr>
          </w:p>
        </w:tc>
        <w:tc>
          <w:tcPr>
            <w:tcW w:w="3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auto"/>
                <w:kern w:val="0"/>
                <w:sz w:val="24"/>
                <w:szCs w:val="24"/>
                <w:highlight w:val="none"/>
              </w:rPr>
            </w:pPr>
          </w:p>
        </w:tc>
        <w:tc>
          <w:tcPr>
            <w:tcW w:w="6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top"/>
              <w:rPr>
                <w:rFonts w:hint="eastAsia" w:ascii="宋体" w:hAnsi="宋体" w:cs="宋体"/>
                <w:b/>
                <w:bCs/>
                <w:color w:val="auto"/>
                <w:kern w:val="0"/>
                <w:sz w:val="24"/>
                <w:szCs w:val="24"/>
                <w:highlight w:val="none"/>
              </w:rPr>
            </w:pPr>
          </w:p>
        </w:tc>
      </w:tr>
    </w:tbl>
    <w:p>
      <w:pPr>
        <w:jc w:val="left"/>
        <w:rPr>
          <w:rFonts w:ascii="宋体" w:hAnsi="宋体"/>
          <w:color w:val="auto"/>
          <w:sz w:val="28"/>
          <w:szCs w:val="28"/>
          <w:highlight w:val="none"/>
        </w:rPr>
      </w:pPr>
    </w:p>
    <w:p>
      <w:pPr>
        <w:rPr>
          <w:rFonts w:ascii="宋体" w:hAnsi="宋体" w:cs="宋体"/>
          <w:b/>
          <w:bCs/>
          <w:color w:val="auto"/>
          <w:spacing w:val="8"/>
          <w:sz w:val="24"/>
          <w:szCs w:val="24"/>
          <w:highlight w:val="none"/>
        </w:rPr>
      </w:pPr>
      <w:r>
        <w:rPr>
          <w:rFonts w:hint="eastAsia" w:ascii="宋体" w:hAnsi="宋体" w:cs="宋体"/>
          <w:b/>
          <w:bCs/>
          <w:color w:val="auto"/>
          <w:spacing w:val="8"/>
          <w:sz w:val="24"/>
          <w:szCs w:val="24"/>
          <w:highlight w:val="none"/>
        </w:rPr>
        <w:t>附件</w:t>
      </w:r>
      <w:r>
        <w:rPr>
          <w:rFonts w:hint="eastAsia" w:ascii="宋体" w:hAnsi="宋体" w:cs="宋体"/>
          <w:b/>
          <w:bCs/>
          <w:color w:val="auto"/>
          <w:spacing w:val="8"/>
          <w:sz w:val="24"/>
          <w:szCs w:val="24"/>
          <w:highlight w:val="none"/>
          <w:lang w:val="en-US" w:eastAsia="zh-CN"/>
        </w:rPr>
        <w:t>四</w:t>
      </w:r>
      <w:r>
        <w:rPr>
          <w:rFonts w:hint="eastAsia" w:ascii="宋体" w:hAnsi="宋体" w:cs="宋体"/>
          <w:b/>
          <w:bCs/>
          <w:color w:val="auto"/>
          <w:spacing w:val="8"/>
          <w:sz w:val="24"/>
          <w:szCs w:val="24"/>
          <w:highlight w:val="none"/>
        </w:rPr>
        <w:t>、《工程量清单计价表》（单独打印后附装订）</w:t>
      </w:r>
    </w:p>
    <w:p>
      <w:pPr>
        <w:pStyle w:val="33"/>
        <w:spacing w:line="300" w:lineRule="auto"/>
        <w:ind w:firstLine="1920" w:firstLineChars="800"/>
        <w:jc w:val="left"/>
        <w:rPr>
          <w:rFonts w:asciiTheme="minorEastAsia" w:hAnsiTheme="minorEastAsia" w:eastAsiaTheme="minorEastAsia"/>
          <w:b w:val="0"/>
          <w:color w:val="auto"/>
          <w:highlight w:val="none"/>
        </w:rPr>
      </w:pPr>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9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pPr>
      <w:pStyle w:val="31"/>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BFF2F484"/>
    <w:multiLevelType w:val="singleLevel"/>
    <w:tmpl w:val="BFF2F484"/>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ODVjMzY1NDUzNDgwZGY2YzYwODFiZTllZWE4ZDQifQ=="/>
  </w:docVars>
  <w:rsids>
    <w:rsidRoot w:val="00172A27"/>
    <w:rsid w:val="00004734"/>
    <w:rsid w:val="000112F7"/>
    <w:rsid w:val="000127EC"/>
    <w:rsid w:val="00013654"/>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B643A"/>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6E48"/>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16CDA"/>
    <w:rsid w:val="00A17CFA"/>
    <w:rsid w:val="00A21520"/>
    <w:rsid w:val="00A25AA3"/>
    <w:rsid w:val="00A30639"/>
    <w:rsid w:val="00A31A4A"/>
    <w:rsid w:val="00A42231"/>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23C4"/>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0E03"/>
    <w:rsid w:val="00FF2F61"/>
    <w:rsid w:val="00FF46B9"/>
    <w:rsid w:val="00FF63AD"/>
    <w:rsid w:val="00FF6729"/>
    <w:rsid w:val="01164A77"/>
    <w:rsid w:val="01311D17"/>
    <w:rsid w:val="01317F69"/>
    <w:rsid w:val="014038D3"/>
    <w:rsid w:val="016B0214"/>
    <w:rsid w:val="01917894"/>
    <w:rsid w:val="01A00C4B"/>
    <w:rsid w:val="01C30DF7"/>
    <w:rsid w:val="01E878E7"/>
    <w:rsid w:val="01F3290A"/>
    <w:rsid w:val="01F37DE7"/>
    <w:rsid w:val="01F61C50"/>
    <w:rsid w:val="01F671EF"/>
    <w:rsid w:val="01F95703"/>
    <w:rsid w:val="01FA2C0B"/>
    <w:rsid w:val="01FD2C1A"/>
    <w:rsid w:val="0200793B"/>
    <w:rsid w:val="02013E0C"/>
    <w:rsid w:val="02064CB5"/>
    <w:rsid w:val="021B6523"/>
    <w:rsid w:val="02201ADC"/>
    <w:rsid w:val="02247794"/>
    <w:rsid w:val="025C0CAF"/>
    <w:rsid w:val="025F68E9"/>
    <w:rsid w:val="026779BA"/>
    <w:rsid w:val="027A79A3"/>
    <w:rsid w:val="02866093"/>
    <w:rsid w:val="02B669FD"/>
    <w:rsid w:val="02D346F7"/>
    <w:rsid w:val="02D37AE1"/>
    <w:rsid w:val="02E448D5"/>
    <w:rsid w:val="02ED1C6E"/>
    <w:rsid w:val="030C6666"/>
    <w:rsid w:val="031D2F23"/>
    <w:rsid w:val="031F7C85"/>
    <w:rsid w:val="03306128"/>
    <w:rsid w:val="03343E5C"/>
    <w:rsid w:val="035245C3"/>
    <w:rsid w:val="03532A8B"/>
    <w:rsid w:val="035D3B47"/>
    <w:rsid w:val="03740DA9"/>
    <w:rsid w:val="037F1465"/>
    <w:rsid w:val="039E1DCA"/>
    <w:rsid w:val="03A71F10"/>
    <w:rsid w:val="03BD1499"/>
    <w:rsid w:val="03CF75C5"/>
    <w:rsid w:val="03D34DCC"/>
    <w:rsid w:val="03E5328D"/>
    <w:rsid w:val="03EB12CE"/>
    <w:rsid w:val="04133956"/>
    <w:rsid w:val="042F236B"/>
    <w:rsid w:val="04564310"/>
    <w:rsid w:val="046F3719"/>
    <w:rsid w:val="04737FBB"/>
    <w:rsid w:val="0475648B"/>
    <w:rsid w:val="048B5FB4"/>
    <w:rsid w:val="048E56D2"/>
    <w:rsid w:val="049525BD"/>
    <w:rsid w:val="049D0D0D"/>
    <w:rsid w:val="04A66578"/>
    <w:rsid w:val="04B7137A"/>
    <w:rsid w:val="04C80176"/>
    <w:rsid w:val="04DE38EC"/>
    <w:rsid w:val="04F0769E"/>
    <w:rsid w:val="04F82B4C"/>
    <w:rsid w:val="05063B48"/>
    <w:rsid w:val="051A00FB"/>
    <w:rsid w:val="051E41F2"/>
    <w:rsid w:val="053371A8"/>
    <w:rsid w:val="05352AAE"/>
    <w:rsid w:val="05432019"/>
    <w:rsid w:val="056A1815"/>
    <w:rsid w:val="056A3A4A"/>
    <w:rsid w:val="05791EDF"/>
    <w:rsid w:val="057951EF"/>
    <w:rsid w:val="058B74C7"/>
    <w:rsid w:val="05AD1B88"/>
    <w:rsid w:val="05C25634"/>
    <w:rsid w:val="05CE7A54"/>
    <w:rsid w:val="05DB22F2"/>
    <w:rsid w:val="05EA5181"/>
    <w:rsid w:val="05FD3AFF"/>
    <w:rsid w:val="06022278"/>
    <w:rsid w:val="0607573C"/>
    <w:rsid w:val="060A3D7B"/>
    <w:rsid w:val="060B16EF"/>
    <w:rsid w:val="061C4744"/>
    <w:rsid w:val="062570C3"/>
    <w:rsid w:val="06443FD4"/>
    <w:rsid w:val="06480444"/>
    <w:rsid w:val="069B6956"/>
    <w:rsid w:val="06A504EC"/>
    <w:rsid w:val="06AA75C7"/>
    <w:rsid w:val="06B21B80"/>
    <w:rsid w:val="06B523B4"/>
    <w:rsid w:val="06B8233A"/>
    <w:rsid w:val="06B864B9"/>
    <w:rsid w:val="06D6265A"/>
    <w:rsid w:val="06E273A3"/>
    <w:rsid w:val="06F204F8"/>
    <w:rsid w:val="07277E4A"/>
    <w:rsid w:val="07285B9A"/>
    <w:rsid w:val="07312958"/>
    <w:rsid w:val="07583439"/>
    <w:rsid w:val="0774473E"/>
    <w:rsid w:val="07761957"/>
    <w:rsid w:val="078D7EC3"/>
    <w:rsid w:val="078E5986"/>
    <w:rsid w:val="07BF4B46"/>
    <w:rsid w:val="07CF67A4"/>
    <w:rsid w:val="07D33E57"/>
    <w:rsid w:val="07E07279"/>
    <w:rsid w:val="07E66441"/>
    <w:rsid w:val="07F7358F"/>
    <w:rsid w:val="08061610"/>
    <w:rsid w:val="0807018B"/>
    <w:rsid w:val="080F0AF7"/>
    <w:rsid w:val="0822060B"/>
    <w:rsid w:val="08234384"/>
    <w:rsid w:val="085E77F2"/>
    <w:rsid w:val="08607386"/>
    <w:rsid w:val="08645315"/>
    <w:rsid w:val="086A214F"/>
    <w:rsid w:val="087F48B1"/>
    <w:rsid w:val="088E7D78"/>
    <w:rsid w:val="0893616A"/>
    <w:rsid w:val="08A301E0"/>
    <w:rsid w:val="08D92472"/>
    <w:rsid w:val="08DB478B"/>
    <w:rsid w:val="08F22A9E"/>
    <w:rsid w:val="091769B7"/>
    <w:rsid w:val="09197F2C"/>
    <w:rsid w:val="091E5277"/>
    <w:rsid w:val="09281AE0"/>
    <w:rsid w:val="09322AD0"/>
    <w:rsid w:val="09357325"/>
    <w:rsid w:val="093700E7"/>
    <w:rsid w:val="09546473"/>
    <w:rsid w:val="09573DEF"/>
    <w:rsid w:val="096C547C"/>
    <w:rsid w:val="097213F3"/>
    <w:rsid w:val="097D251D"/>
    <w:rsid w:val="098047A7"/>
    <w:rsid w:val="099A637A"/>
    <w:rsid w:val="099C24CF"/>
    <w:rsid w:val="09BD687E"/>
    <w:rsid w:val="09ED69F7"/>
    <w:rsid w:val="0A172BED"/>
    <w:rsid w:val="0A206DCD"/>
    <w:rsid w:val="0A481E7F"/>
    <w:rsid w:val="0A590531"/>
    <w:rsid w:val="0A7E7828"/>
    <w:rsid w:val="0A960A6B"/>
    <w:rsid w:val="0A98010A"/>
    <w:rsid w:val="0AA07F0D"/>
    <w:rsid w:val="0AAC0660"/>
    <w:rsid w:val="0AB72DDD"/>
    <w:rsid w:val="0AB80DB3"/>
    <w:rsid w:val="0AC73DC4"/>
    <w:rsid w:val="0AD80F34"/>
    <w:rsid w:val="0AF662AE"/>
    <w:rsid w:val="0B0E26C8"/>
    <w:rsid w:val="0B346345"/>
    <w:rsid w:val="0B3D575C"/>
    <w:rsid w:val="0B4F2300"/>
    <w:rsid w:val="0B521208"/>
    <w:rsid w:val="0B616FA4"/>
    <w:rsid w:val="0B702C02"/>
    <w:rsid w:val="0B745622"/>
    <w:rsid w:val="0B7D48FF"/>
    <w:rsid w:val="0B8012D2"/>
    <w:rsid w:val="0B8E1012"/>
    <w:rsid w:val="0B931424"/>
    <w:rsid w:val="0BA23811"/>
    <w:rsid w:val="0BB7152E"/>
    <w:rsid w:val="0BBC48D3"/>
    <w:rsid w:val="0BC33EB3"/>
    <w:rsid w:val="0BC4723C"/>
    <w:rsid w:val="0BC72D6B"/>
    <w:rsid w:val="0BD658E7"/>
    <w:rsid w:val="0BD7795F"/>
    <w:rsid w:val="0BE1433A"/>
    <w:rsid w:val="0BE74F15"/>
    <w:rsid w:val="0C057702"/>
    <w:rsid w:val="0C085D6A"/>
    <w:rsid w:val="0C1629EF"/>
    <w:rsid w:val="0C213484"/>
    <w:rsid w:val="0C2A2BAB"/>
    <w:rsid w:val="0C2F7E00"/>
    <w:rsid w:val="0C337593"/>
    <w:rsid w:val="0C50326D"/>
    <w:rsid w:val="0C546C96"/>
    <w:rsid w:val="0C647A28"/>
    <w:rsid w:val="0C774C9E"/>
    <w:rsid w:val="0C870EF4"/>
    <w:rsid w:val="0C9775F7"/>
    <w:rsid w:val="0CB52FB8"/>
    <w:rsid w:val="0CFF0057"/>
    <w:rsid w:val="0D006A41"/>
    <w:rsid w:val="0D102BB5"/>
    <w:rsid w:val="0D116EA1"/>
    <w:rsid w:val="0D177805"/>
    <w:rsid w:val="0D307FED"/>
    <w:rsid w:val="0D462F5B"/>
    <w:rsid w:val="0D527E74"/>
    <w:rsid w:val="0D533015"/>
    <w:rsid w:val="0D70006B"/>
    <w:rsid w:val="0D780753"/>
    <w:rsid w:val="0D7C7B7B"/>
    <w:rsid w:val="0D801668"/>
    <w:rsid w:val="0D8C4C0C"/>
    <w:rsid w:val="0D9244CF"/>
    <w:rsid w:val="0DA66846"/>
    <w:rsid w:val="0DAB2E51"/>
    <w:rsid w:val="0DC30CBA"/>
    <w:rsid w:val="0DDE5C2E"/>
    <w:rsid w:val="0DFA4D41"/>
    <w:rsid w:val="0E09061B"/>
    <w:rsid w:val="0E1925C4"/>
    <w:rsid w:val="0E1B3897"/>
    <w:rsid w:val="0E1D07C2"/>
    <w:rsid w:val="0E22588D"/>
    <w:rsid w:val="0E295BF9"/>
    <w:rsid w:val="0E29697F"/>
    <w:rsid w:val="0E306AE6"/>
    <w:rsid w:val="0E3177FA"/>
    <w:rsid w:val="0E3F42DF"/>
    <w:rsid w:val="0E407913"/>
    <w:rsid w:val="0E511205"/>
    <w:rsid w:val="0E63372C"/>
    <w:rsid w:val="0E6E2065"/>
    <w:rsid w:val="0EA15B62"/>
    <w:rsid w:val="0EC37DFB"/>
    <w:rsid w:val="0ECD1762"/>
    <w:rsid w:val="0EE5178E"/>
    <w:rsid w:val="0EFE3455"/>
    <w:rsid w:val="0F346E76"/>
    <w:rsid w:val="0F457322"/>
    <w:rsid w:val="0F4C71A5"/>
    <w:rsid w:val="0F4E10C9"/>
    <w:rsid w:val="0F587009"/>
    <w:rsid w:val="0F5C6E37"/>
    <w:rsid w:val="0F655A1E"/>
    <w:rsid w:val="0F97145F"/>
    <w:rsid w:val="0F994CAB"/>
    <w:rsid w:val="0FA04519"/>
    <w:rsid w:val="0FC5251E"/>
    <w:rsid w:val="0FD1429A"/>
    <w:rsid w:val="0FDA17CC"/>
    <w:rsid w:val="0FE232D7"/>
    <w:rsid w:val="0FE55601"/>
    <w:rsid w:val="0FFA018F"/>
    <w:rsid w:val="100121CB"/>
    <w:rsid w:val="100A5E45"/>
    <w:rsid w:val="1051674C"/>
    <w:rsid w:val="106D5EC4"/>
    <w:rsid w:val="1076213B"/>
    <w:rsid w:val="107A3E35"/>
    <w:rsid w:val="109E016A"/>
    <w:rsid w:val="10A21880"/>
    <w:rsid w:val="10B309F0"/>
    <w:rsid w:val="10B6400D"/>
    <w:rsid w:val="10B93EAC"/>
    <w:rsid w:val="10C05D7B"/>
    <w:rsid w:val="10CA1347"/>
    <w:rsid w:val="10DE674D"/>
    <w:rsid w:val="11005262"/>
    <w:rsid w:val="110425E4"/>
    <w:rsid w:val="11074869"/>
    <w:rsid w:val="111331E7"/>
    <w:rsid w:val="112A25C0"/>
    <w:rsid w:val="1130723D"/>
    <w:rsid w:val="115033D9"/>
    <w:rsid w:val="115455AE"/>
    <w:rsid w:val="117048C5"/>
    <w:rsid w:val="117143B2"/>
    <w:rsid w:val="117760A5"/>
    <w:rsid w:val="118A2253"/>
    <w:rsid w:val="11A021F8"/>
    <w:rsid w:val="11AD426E"/>
    <w:rsid w:val="11B06995"/>
    <w:rsid w:val="11B14D4D"/>
    <w:rsid w:val="11C0052E"/>
    <w:rsid w:val="11D16ECB"/>
    <w:rsid w:val="11D85406"/>
    <w:rsid w:val="11ED3C7D"/>
    <w:rsid w:val="12160F3D"/>
    <w:rsid w:val="12323B41"/>
    <w:rsid w:val="124949E7"/>
    <w:rsid w:val="124B4801"/>
    <w:rsid w:val="124D2729"/>
    <w:rsid w:val="126F278D"/>
    <w:rsid w:val="127A7296"/>
    <w:rsid w:val="12866A7B"/>
    <w:rsid w:val="128B4FFF"/>
    <w:rsid w:val="12AB3870"/>
    <w:rsid w:val="12BB31E6"/>
    <w:rsid w:val="12D15D0D"/>
    <w:rsid w:val="12DE5996"/>
    <w:rsid w:val="12DF1144"/>
    <w:rsid w:val="12E0534B"/>
    <w:rsid w:val="12E24E19"/>
    <w:rsid w:val="12EA61CA"/>
    <w:rsid w:val="12F56762"/>
    <w:rsid w:val="12F643C7"/>
    <w:rsid w:val="12F9465F"/>
    <w:rsid w:val="130A04BB"/>
    <w:rsid w:val="13207E3D"/>
    <w:rsid w:val="1321385B"/>
    <w:rsid w:val="13220F5F"/>
    <w:rsid w:val="13247647"/>
    <w:rsid w:val="132D1B34"/>
    <w:rsid w:val="133438E9"/>
    <w:rsid w:val="133E6515"/>
    <w:rsid w:val="136664A0"/>
    <w:rsid w:val="136B6693"/>
    <w:rsid w:val="137C1C8F"/>
    <w:rsid w:val="138764B6"/>
    <w:rsid w:val="13A13B8C"/>
    <w:rsid w:val="13B567D8"/>
    <w:rsid w:val="13BC3401"/>
    <w:rsid w:val="13C37F68"/>
    <w:rsid w:val="13CB3188"/>
    <w:rsid w:val="13CD2A8C"/>
    <w:rsid w:val="13DF3855"/>
    <w:rsid w:val="13E039BA"/>
    <w:rsid w:val="13E61520"/>
    <w:rsid w:val="13F637CD"/>
    <w:rsid w:val="140806B7"/>
    <w:rsid w:val="141D6EBE"/>
    <w:rsid w:val="142F05CE"/>
    <w:rsid w:val="14323171"/>
    <w:rsid w:val="14360F37"/>
    <w:rsid w:val="14364EC1"/>
    <w:rsid w:val="14394E19"/>
    <w:rsid w:val="143E63F9"/>
    <w:rsid w:val="144A4FC4"/>
    <w:rsid w:val="145C566D"/>
    <w:rsid w:val="146E1D08"/>
    <w:rsid w:val="1487230E"/>
    <w:rsid w:val="14B76C54"/>
    <w:rsid w:val="14C52A4A"/>
    <w:rsid w:val="14C84A35"/>
    <w:rsid w:val="14CA0061"/>
    <w:rsid w:val="14D80E5F"/>
    <w:rsid w:val="14EC3E47"/>
    <w:rsid w:val="15240574"/>
    <w:rsid w:val="152500E3"/>
    <w:rsid w:val="152F25BA"/>
    <w:rsid w:val="154C514C"/>
    <w:rsid w:val="154F6C3C"/>
    <w:rsid w:val="15623122"/>
    <w:rsid w:val="1574656B"/>
    <w:rsid w:val="15883C49"/>
    <w:rsid w:val="158D1EAF"/>
    <w:rsid w:val="158E72E0"/>
    <w:rsid w:val="1596310C"/>
    <w:rsid w:val="15A467AF"/>
    <w:rsid w:val="15AA2453"/>
    <w:rsid w:val="15BC36F9"/>
    <w:rsid w:val="15C42D02"/>
    <w:rsid w:val="15CA4C2B"/>
    <w:rsid w:val="15E2368E"/>
    <w:rsid w:val="15E84C14"/>
    <w:rsid w:val="15EE4223"/>
    <w:rsid w:val="15F0479D"/>
    <w:rsid w:val="15F25956"/>
    <w:rsid w:val="160459EA"/>
    <w:rsid w:val="16095A74"/>
    <w:rsid w:val="161A6DC6"/>
    <w:rsid w:val="161E1735"/>
    <w:rsid w:val="162E2871"/>
    <w:rsid w:val="163B5EDD"/>
    <w:rsid w:val="167D1059"/>
    <w:rsid w:val="168D0143"/>
    <w:rsid w:val="16907088"/>
    <w:rsid w:val="16BF796D"/>
    <w:rsid w:val="16D63253"/>
    <w:rsid w:val="16DE3544"/>
    <w:rsid w:val="16E01092"/>
    <w:rsid w:val="16F15D9E"/>
    <w:rsid w:val="16F359DD"/>
    <w:rsid w:val="16FA3DEE"/>
    <w:rsid w:val="16FE5A71"/>
    <w:rsid w:val="17005FBC"/>
    <w:rsid w:val="170B5EA3"/>
    <w:rsid w:val="171320B4"/>
    <w:rsid w:val="173E6ABA"/>
    <w:rsid w:val="175B0F1E"/>
    <w:rsid w:val="177F092F"/>
    <w:rsid w:val="178F10EE"/>
    <w:rsid w:val="1792140E"/>
    <w:rsid w:val="17933799"/>
    <w:rsid w:val="17BF6EB3"/>
    <w:rsid w:val="17D8444E"/>
    <w:rsid w:val="17E47CAD"/>
    <w:rsid w:val="17E625C2"/>
    <w:rsid w:val="17E849CD"/>
    <w:rsid w:val="17F075E3"/>
    <w:rsid w:val="17F457F1"/>
    <w:rsid w:val="18025FDB"/>
    <w:rsid w:val="18051D7D"/>
    <w:rsid w:val="181635BD"/>
    <w:rsid w:val="181D35D1"/>
    <w:rsid w:val="18335364"/>
    <w:rsid w:val="18396CD2"/>
    <w:rsid w:val="183B771E"/>
    <w:rsid w:val="185901D9"/>
    <w:rsid w:val="185A5BA0"/>
    <w:rsid w:val="186B4CDF"/>
    <w:rsid w:val="187212AC"/>
    <w:rsid w:val="18A312F5"/>
    <w:rsid w:val="18B011F1"/>
    <w:rsid w:val="18B36492"/>
    <w:rsid w:val="18C64FE3"/>
    <w:rsid w:val="18C96881"/>
    <w:rsid w:val="18CD6371"/>
    <w:rsid w:val="18D56FD4"/>
    <w:rsid w:val="18DC65B5"/>
    <w:rsid w:val="18F2497C"/>
    <w:rsid w:val="19097E8D"/>
    <w:rsid w:val="192341E3"/>
    <w:rsid w:val="19720CC7"/>
    <w:rsid w:val="1978688C"/>
    <w:rsid w:val="1997132A"/>
    <w:rsid w:val="199A10B7"/>
    <w:rsid w:val="19A075E2"/>
    <w:rsid w:val="19B72B7E"/>
    <w:rsid w:val="19C01A32"/>
    <w:rsid w:val="19CC2B35"/>
    <w:rsid w:val="19CF6119"/>
    <w:rsid w:val="19F16090"/>
    <w:rsid w:val="19FB6C73"/>
    <w:rsid w:val="19FC2762"/>
    <w:rsid w:val="1A246AEB"/>
    <w:rsid w:val="1A2B7B75"/>
    <w:rsid w:val="1A313A5B"/>
    <w:rsid w:val="1A402B73"/>
    <w:rsid w:val="1A442663"/>
    <w:rsid w:val="1A515DE1"/>
    <w:rsid w:val="1A5716FB"/>
    <w:rsid w:val="1A613215"/>
    <w:rsid w:val="1A683AA6"/>
    <w:rsid w:val="1A887C1A"/>
    <w:rsid w:val="1A976C37"/>
    <w:rsid w:val="1A9D028E"/>
    <w:rsid w:val="1AA21277"/>
    <w:rsid w:val="1AA33380"/>
    <w:rsid w:val="1AA82939"/>
    <w:rsid w:val="1ABF2240"/>
    <w:rsid w:val="1AD67034"/>
    <w:rsid w:val="1AEE4B5E"/>
    <w:rsid w:val="1B010554"/>
    <w:rsid w:val="1B146AFA"/>
    <w:rsid w:val="1B17775C"/>
    <w:rsid w:val="1B1E4CC6"/>
    <w:rsid w:val="1B1F09DB"/>
    <w:rsid w:val="1B211756"/>
    <w:rsid w:val="1B291859"/>
    <w:rsid w:val="1B2A271F"/>
    <w:rsid w:val="1B5C1491"/>
    <w:rsid w:val="1B6F4B4B"/>
    <w:rsid w:val="1B7452CD"/>
    <w:rsid w:val="1B7937A7"/>
    <w:rsid w:val="1B8413E9"/>
    <w:rsid w:val="1B895EE0"/>
    <w:rsid w:val="1B9D3974"/>
    <w:rsid w:val="1BB13D28"/>
    <w:rsid w:val="1BB331AD"/>
    <w:rsid w:val="1BBA4C58"/>
    <w:rsid w:val="1BC33A5C"/>
    <w:rsid w:val="1BD50639"/>
    <w:rsid w:val="1BD937BC"/>
    <w:rsid w:val="1BDC68CC"/>
    <w:rsid w:val="1BF06A09"/>
    <w:rsid w:val="1BF65128"/>
    <w:rsid w:val="1C0F742A"/>
    <w:rsid w:val="1C1945A6"/>
    <w:rsid w:val="1C1D7513"/>
    <w:rsid w:val="1C2D098F"/>
    <w:rsid w:val="1C4824DF"/>
    <w:rsid w:val="1C5967C2"/>
    <w:rsid w:val="1C656C23"/>
    <w:rsid w:val="1C6C5454"/>
    <w:rsid w:val="1CA3588B"/>
    <w:rsid w:val="1CBD66FD"/>
    <w:rsid w:val="1CD13F56"/>
    <w:rsid w:val="1CD170A5"/>
    <w:rsid w:val="1CDD0B4D"/>
    <w:rsid w:val="1CE046C9"/>
    <w:rsid w:val="1D0667AD"/>
    <w:rsid w:val="1D1B167A"/>
    <w:rsid w:val="1D3A5A10"/>
    <w:rsid w:val="1D613C19"/>
    <w:rsid w:val="1D6B6159"/>
    <w:rsid w:val="1D7033EA"/>
    <w:rsid w:val="1D723096"/>
    <w:rsid w:val="1D866C02"/>
    <w:rsid w:val="1DB34357"/>
    <w:rsid w:val="1DDE692B"/>
    <w:rsid w:val="1DF63C75"/>
    <w:rsid w:val="1DFB128B"/>
    <w:rsid w:val="1DFD40CD"/>
    <w:rsid w:val="1DFF4788"/>
    <w:rsid w:val="1E0A702C"/>
    <w:rsid w:val="1E214C26"/>
    <w:rsid w:val="1E320E33"/>
    <w:rsid w:val="1E430E84"/>
    <w:rsid w:val="1E45225B"/>
    <w:rsid w:val="1E483082"/>
    <w:rsid w:val="1E562965"/>
    <w:rsid w:val="1E63486F"/>
    <w:rsid w:val="1E845724"/>
    <w:rsid w:val="1EB15DEE"/>
    <w:rsid w:val="1ED1023E"/>
    <w:rsid w:val="1ED3045A"/>
    <w:rsid w:val="1EE73F05"/>
    <w:rsid w:val="1EF32682"/>
    <w:rsid w:val="1EF34658"/>
    <w:rsid w:val="1F0626C4"/>
    <w:rsid w:val="1F0B0D8A"/>
    <w:rsid w:val="1F100258"/>
    <w:rsid w:val="1F1F71FB"/>
    <w:rsid w:val="1F407283"/>
    <w:rsid w:val="1F4C48BD"/>
    <w:rsid w:val="1F631E38"/>
    <w:rsid w:val="1F753185"/>
    <w:rsid w:val="1F841582"/>
    <w:rsid w:val="1F8F4381"/>
    <w:rsid w:val="1F923E71"/>
    <w:rsid w:val="1F941997"/>
    <w:rsid w:val="1F9F20EA"/>
    <w:rsid w:val="1F9F7F81"/>
    <w:rsid w:val="1FA84DA5"/>
    <w:rsid w:val="1FAD781E"/>
    <w:rsid w:val="1FAE260D"/>
    <w:rsid w:val="1FB45B95"/>
    <w:rsid w:val="1FD1020D"/>
    <w:rsid w:val="200308CB"/>
    <w:rsid w:val="200A3F70"/>
    <w:rsid w:val="200E1C53"/>
    <w:rsid w:val="20142AD8"/>
    <w:rsid w:val="20286583"/>
    <w:rsid w:val="203171E6"/>
    <w:rsid w:val="203767C6"/>
    <w:rsid w:val="203C0F45"/>
    <w:rsid w:val="203D1087"/>
    <w:rsid w:val="204443FE"/>
    <w:rsid w:val="204607B7"/>
    <w:rsid w:val="205632FF"/>
    <w:rsid w:val="20660D56"/>
    <w:rsid w:val="207548D4"/>
    <w:rsid w:val="207E0F00"/>
    <w:rsid w:val="20983B39"/>
    <w:rsid w:val="20A24BBD"/>
    <w:rsid w:val="20A774A8"/>
    <w:rsid w:val="20AD01D7"/>
    <w:rsid w:val="20AF6023"/>
    <w:rsid w:val="20BA1AE1"/>
    <w:rsid w:val="20C462AC"/>
    <w:rsid w:val="20CF5E7F"/>
    <w:rsid w:val="20DE1504"/>
    <w:rsid w:val="20E9368B"/>
    <w:rsid w:val="20EF1769"/>
    <w:rsid w:val="21134B3E"/>
    <w:rsid w:val="21284ECA"/>
    <w:rsid w:val="21366A7E"/>
    <w:rsid w:val="213E55FC"/>
    <w:rsid w:val="215A751C"/>
    <w:rsid w:val="215F4766"/>
    <w:rsid w:val="216333D5"/>
    <w:rsid w:val="2168390B"/>
    <w:rsid w:val="216C1524"/>
    <w:rsid w:val="217774AF"/>
    <w:rsid w:val="21837A35"/>
    <w:rsid w:val="2185375B"/>
    <w:rsid w:val="21B41808"/>
    <w:rsid w:val="21C1096F"/>
    <w:rsid w:val="21E173C7"/>
    <w:rsid w:val="21E56E9A"/>
    <w:rsid w:val="21EA2970"/>
    <w:rsid w:val="21F47D0E"/>
    <w:rsid w:val="221225CA"/>
    <w:rsid w:val="22135B75"/>
    <w:rsid w:val="221C138B"/>
    <w:rsid w:val="221C25CB"/>
    <w:rsid w:val="223009B6"/>
    <w:rsid w:val="22350AE4"/>
    <w:rsid w:val="22422D98"/>
    <w:rsid w:val="225A3C5D"/>
    <w:rsid w:val="227E248B"/>
    <w:rsid w:val="22B304A2"/>
    <w:rsid w:val="22F36350"/>
    <w:rsid w:val="22F535FA"/>
    <w:rsid w:val="23130E25"/>
    <w:rsid w:val="231E4F73"/>
    <w:rsid w:val="23386A7D"/>
    <w:rsid w:val="233F7DCA"/>
    <w:rsid w:val="23403BE4"/>
    <w:rsid w:val="23684505"/>
    <w:rsid w:val="237F77E2"/>
    <w:rsid w:val="23804D49"/>
    <w:rsid w:val="23965116"/>
    <w:rsid w:val="239F090A"/>
    <w:rsid w:val="23AB6755"/>
    <w:rsid w:val="23BD3F0B"/>
    <w:rsid w:val="23BE2665"/>
    <w:rsid w:val="23DE7685"/>
    <w:rsid w:val="23F055C6"/>
    <w:rsid w:val="23F073B8"/>
    <w:rsid w:val="23FC7B97"/>
    <w:rsid w:val="24072635"/>
    <w:rsid w:val="24286B52"/>
    <w:rsid w:val="243D7784"/>
    <w:rsid w:val="24560E4E"/>
    <w:rsid w:val="24945C1D"/>
    <w:rsid w:val="24967F5F"/>
    <w:rsid w:val="24981B1E"/>
    <w:rsid w:val="249E3311"/>
    <w:rsid w:val="24B0357D"/>
    <w:rsid w:val="24B04F28"/>
    <w:rsid w:val="24BD6006"/>
    <w:rsid w:val="24C624D4"/>
    <w:rsid w:val="24C7369D"/>
    <w:rsid w:val="24DB0068"/>
    <w:rsid w:val="24E60522"/>
    <w:rsid w:val="24E8613B"/>
    <w:rsid w:val="24F728CC"/>
    <w:rsid w:val="24F7347E"/>
    <w:rsid w:val="24F9018D"/>
    <w:rsid w:val="24F904EE"/>
    <w:rsid w:val="250A6132"/>
    <w:rsid w:val="25140E84"/>
    <w:rsid w:val="252E36C2"/>
    <w:rsid w:val="253E0642"/>
    <w:rsid w:val="255B7FD2"/>
    <w:rsid w:val="25626093"/>
    <w:rsid w:val="256B2D6E"/>
    <w:rsid w:val="257B496A"/>
    <w:rsid w:val="25801456"/>
    <w:rsid w:val="25897AC4"/>
    <w:rsid w:val="259D70CC"/>
    <w:rsid w:val="25B215E3"/>
    <w:rsid w:val="25CE3729"/>
    <w:rsid w:val="25DC5E46"/>
    <w:rsid w:val="25F21770"/>
    <w:rsid w:val="25FF6DE8"/>
    <w:rsid w:val="260E1545"/>
    <w:rsid w:val="263B5473"/>
    <w:rsid w:val="263F63D5"/>
    <w:rsid w:val="2640132A"/>
    <w:rsid w:val="264310FE"/>
    <w:rsid w:val="264A66CE"/>
    <w:rsid w:val="265C3412"/>
    <w:rsid w:val="266B082C"/>
    <w:rsid w:val="266E404E"/>
    <w:rsid w:val="267077C7"/>
    <w:rsid w:val="26874BF2"/>
    <w:rsid w:val="268B2965"/>
    <w:rsid w:val="268E1A5C"/>
    <w:rsid w:val="26906C30"/>
    <w:rsid w:val="26B65680"/>
    <w:rsid w:val="26B90B00"/>
    <w:rsid w:val="26C62652"/>
    <w:rsid w:val="26CB7B6F"/>
    <w:rsid w:val="27075101"/>
    <w:rsid w:val="271138CD"/>
    <w:rsid w:val="271625A8"/>
    <w:rsid w:val="27264473"/>
    <w:rsid w:val="273427DA"/>
    <w:rsid w:val="27403A7D"/>
    <w:rsid w:val="27480DA7"/>
    <w:rsid w:val="275237D6"/>
    <w:rsid w:val="2758774E"/>
    <w:rsid w:val="276F3CED"/>
    <w:rsid w:val="277104E3"/>
    <w:rsid w:val="27727EE2"/>
    <w:rsid w:val="27766B34"/>
    <w:rsid w:val="27785051"/>
    <w:rsid w:val="27A44A0A"/>
    <w:rsid w:val="27B17B6D"/>
    <w:rsid w:val="27BC0609"/>
    <w:rsid w:val="27CC2D21"/>
    <w:rsid w:val="27FF7BCA"/>
    <w:rsid w:val="280554C9"/>
    <w:rsid w:val="281C391F"/>
    <w:rsid w:val="283B1072"/>
    <w:rsid w:val="283C5DB3"/>
    <w:rsid w:val="284877C3"/>
    <w:rsid w:val="28724840"/>
    <w:rsid w:val="28752360"/>
    <w:rsid w:val="287F01B3"/>
    <w:rsid w:val="289C5C7B"/>
    <w:rsid w:val="28AA3556"/>
    <w:rsid w:val="28AD37B6"/>
    <w:rsid w:val="28D027C1"/>
    <w:rsid w:val="28D74098"/>
    <w:rsid w:val="28D906B5"/>
    <w:rsid w:val="28DC615D"/>
    <w:rsid w:val="28E57C71"/>
    <w:rsid w:val="28EB2AD5"/>
    <w:rsid w:val="28EB3085"/>
    <w:rsid w:val="28F016C2"/>
    <w:rsid w:val="28FD43DB"/>
    <w:rsid w:val="29195F6C"/>
    <w:rsid w:val="29275A5D"/>
    <w:rsid w:val="292B376C"/>
    <w:rsid w:val="29365D3C"/>
    <w:rsid w:val="29506674"/>
    <w:rsid w:val="29524882"/>
    <w:rsid w:val="29542197"/>
    <w:rsid w:val="29581C87"/>
    <w:rsid w:val="296D5007"/>
    <w:rsid w:val="296E3259"/>
    <w:rsid w:val="29724C94"/>
    <w:rsid w:val="29A0362E"/>
    <w:rsid w:val="29BE6110"/>
    <w:rsid w:val="29C16D79"/>
    <w:rsid w:val="29DA08EE"/>
    <w:rsid w:val="29FB0865"/>
    <w:rsid w:val="2A173A40"/>
    <w:rsid w:val="2A5A3AF4"/>
    <w:rsid w:val="2A5B004D"/>
    <w:rsid w:val="2A7D7E1C"/>
    <w:rsid w:val="2A893327"/>
    <w:rsid w:val="2A8D6CCA"/>
    <w:rsid w:val="2A9924AA"/>
    <w:rsid w:val="2A9A19B5"/>
    <w:rsid w:val="2A9E58A2"/>
    <w:rsid w:val="2AAF0549"/>
    <w:rsid w:val="2AAF4247"/>
    <w:rsid w:val="2AB353AB"/>
    <w:rsid w:val="2AB35CCC"/>
    <w:rsid w:val="2AE01F34"/>
    <w:rsid w:val="2AE65071"/>
    <w:rsid w:val="2AF543B4"/>
    <w:rsid w:val="2B05199B"/>
    <w:rsid w:val="2B122C35"/>
    <w:rsid w:val="2B2C33CC"/>
    <w:rsid w:val="2B3910D2"/>
    <w:rsid w:val="2B434271"/>
    <w:rsid w:val="2B470F10"/>
    <w:rsid w:val="2B586026"/>
    <w:rsid w:val="2B664413"/>
    <w:rsid w:val="2B681F2A"/>
    <w:rsid w:val="2B88197A"/>
    <w:rsid w:val="2BA00A37"/>
    <w:rsid w:val="2BA8442D"/>
    <w:rsid w:val="2BA967CA"/>
    <w:rsid w:val="2BB71148"/>
    <w:rsid w:val="2BCA0622"/>
    <w:rsid w:val="2BDB094E"/>
    <w:rsid w:val="2BDB3810"/>
    <w:rsid w:val="2BEC411D"/>
    <w:rsid w:val="2BF657D8"/>
    <w:rsid w:val="2C0003B4"/>
    <w:rsid w:val="2C0259D6"/>
    <w:rsid w:val="2C1B0514"/>
    <w:rsid w:val="2C244A8B"/>
    <w:rsid w:val="2C534988"/>
    <w:rsid w:val="2C5F332D"/>
    <w:rsid w:val="2C7B7883"/>
    <w:rsid w:val="2C7C4C65"/>
    <w:rsid w:val="2C82701B"/>
    <w:rsid w:val="2C974875"/>
    <w:rsid w:val="2C9C00DD"/>
    <w:rsid w:val="2CA76CEC"/>
    <w:rsid w:val="2CAC29D6"/>
    <w:rsid w:val="2CCE2260"/>
    <w:rsid w:val="2CCE400E"/>
    <w:rsid w:val="2CD535EF"/>
    <w:rsid w:val="2CDD532D"/>
    <w:rsid w:val="2CF41CC7"/>
    <w:rsid w:val="2D200D0E"/>
    <w:rsid w:val="2D3A16A4"/>
    <w:rsid w:val="2D472E00"/>
    <w:rsid w:val="2D4F1427"/>
    <w:rsid w:val="2D60272E"/>
    <w:rsid w:val="2D7D67A1"/>
    <w:rsid w:val="2D8639BE"/>
    <w:rsid w:val="2D8E4A3A"/>
    <w:rsid w:val="2D9124BA"/>
    <w:rsid w:val="2DAD1807"/>
    <w:rsid w:val="2DAF13AE"/>
    <w:rsid w:val="2DB57E4B"/>
    <w:rsid w:val="2DB95E33"/>
    <w:rsid w:val="2DBA2F11"/>
    <w:rsid w:val="2DD05C60"/>
    <w:rsid w:val="2DDA6624"/>
    <w:rsid w:val="2DE36002"/>
    <w:rsid w:val="2DFA155F"/>
    <w:rsid w:val="2DFC337B"/>
    <w:rsid w:val="2E0D0AEF"/>
    <w:rsid w:val="2E0F0D1B"/>
    <w:rsid w:val="2E3F4DBA"/>
    <w:rsid w:val="2E562A35"/>
    <w:rsid w:val="2E60513A"/>
    <w:rsid w:val="2E6764C9"/>
    <w:rsid w:val="2E6E7857"/>
    <w:rsid w:val="2E7B47CE"/>
    <w:rsid w:val="2EA22753"/>
    <w:rsid w:val="2EA86BAF"/>
    <w:rsid w:val="2ED42084"/>
    <w:rsid w:val="2EE97BBC"/>
    <w:rsid w:val="2F042A34"/>
    <w:rsid w:val="2F0957D2"/>
    <w:rsid w:val="2F154177"/>
    <w:rsid w:val="2F1871E9"/>
    <w:rsid w:val="2F1920D6"/>
    <w:rsid w:val="2F1D2BF9"/>
    <w:rsid w:val="2F25260C"/>
    <w:rsid w:val="2F30739F"/>
    <w:rsid w:val="2F414F6C"/>
    <w:rsid w:val="2F482013"/>
    <w:rsid w:val="2F655F55"/>
    <w:rsid w:val="2F6D41A5"/>
    <w:rsid w:val="2F70458C"/>
    <w:rsid w:val="2F861D3C"/>
    <w:rsid w:val="2F9C6646"/>
    <w:rsid w:val="2FBF5CA8"/>
    <w:rsid w:val="2FE24FA7"/>
    <w:rsid w:val="2FF84086"/>
    <w:rsid w:val="30043826"/>
    <w:rsid w:val="300B5720"/>
    <w:rsid w:val="301B0190"/>
    <w:rsid w:val="301F550A"/>
    <w:rsid w:val="304765B2"/>
    <w:rsid w:val="304F5466"/>
    <w:rsid w:val="30543E98"/>
    <w:rsid w:val="305F5242"/>
    <w:rsid w:val="30633E8D"/>
    <w:rsid w:val="30717AD3"/>
    <w:rsid w:val="309108BC"/>
    <w:rsid w:val="30972709"/>
    <w:rsid w:val="30A94822"/>
    <w:rsid w:val="30AD1EB0"/>
    <w:rsid w:val="30B71989"/>
    <w:rsid w:val="30C2496D"/>
    <w:rsid w:val="30C52242"/>
    <w:rsid w:val="30CC1770"/>
    <w:rsid w:val="30D37E45"/>
    <w:rsid w:val="30D431A5"/>
    <w:rsid w:val="30D435EB"/>
    <w:rsid w:val="31195490"/>
    <w:rsid w:val="31226EF7"/>
    <w:rsid w:val="31321010"/>
    <w:rsid w:val="31350C4C"/>
    <w:rsid w:val="31576C02"/>
    <w:rsid w:val="3182724D"/>
    <w:rsid w:val="319B00D5"/>
    <w:rsid w:val="319D7B65"/>
    <w:rsid w:val="31A07835"/>
    <w:rsid w:val="31B27CB5"/>
    <w:rsid w:val="31B304DA"/>
    <w:rsid w:val="31C47610"/>
    <w:rsid w:val="31D00F1E"/>
    <w:rsid w:val="31DB6679"/>
    <w:rsid w:val="31F14A27"/>
    <w:rsid w:val="31F44517"/>
    <w:rsid w:val="32132BEF"/>
    <w:rsid w:val="321364C4"/>
    <w:rsid w:val="32180206"/>
    <w:rsid w:val="321F0552"/>
    <w:rsid w:val="32241C71"/>
    <w:rsid w:val="325B00F2"/>
    <w:rsid w:val="32600D96"/>
    <w:rsid w:val="326E688F"/>
    <w:rsid w:val="32867CA8"/>
    <w:rsid w:val="328F5FEE"/>
    <w:rsid w:val="32E135B2"/>
    <w:rsid w:val="32E766E9"/>
    <w:rsid w:val="32E93950"/>
    <w:rsid w:val="32FE2F79"/>
    <w:rsid w:val="3301066E"/>
    <w:rsid w:val="33376012"/>
    <w:rsid w:val="33677CCD"/>
    <w:rsid w:val="337A3C46"/>
    <w:rsid w:val="33800718"/>
    <w:rsid w:val="33F04F1F"/>
    <w:rsid w:val="33F109FA"/>
    <w:rsid w:val="340300E9"/>
    <w:rsid w:val="341F6763"/>
    <w:rsid w:val="34291BF8"/>
    <w:rsid w:val="343B642D"/>
    <w:rsid w:val="344277BC"/>
    <w:rsid w:val="346F3BA7"/>
    <w:rsid w:val="347037BD"/>
    <w:rsid w:val="34711F8B"/>
    <w:rsid w:val="34740116"/>
    <w:rsid w:val="347831DE"/>
    <w:rsid w:val="34812E8F"/>
    <w:rsid w:val="34880F47"/>
    <w:rsid w:val="349A34DB"/>
    <w:rsid w:val="34B55708"/>
    <w:rsid w:val="34B8755D"/>
    <w:rsid w:val="34C54AD8"/>
    <w:rsid w:val="34CC4B3B"/>
    <w:rsid w:val="34E46AC5"/>
    <w:rsid w:val="34E70AD6"/>
    <w:rsid w:val="34EA04D4"/>
    <w:rsid w:val="34F30AB6"/>
    <w:rsid w:val="35044A71"/>
    <w:rsid w:val="35301450"/>
    <w:rsid w:val="35367747"/>
    <w:rsid w:val="35505F08"/>
    <w:rsid w:val="355B3707"/>
    <w:rsid w:val="355D1FC2"/>
    <w:rsid w:val="3571598B"/>
    <w:rsid w:val="358A3883"/>
    <w:rsid w:val="35A16764"/>
    <w:rsid w:val="35A324DC"/>
    <w:rsid w:val="35CB37E1"/>
    <w:rsid w:val="35DF2B69"/>
    <w:rsid w:val="35E8498A"/>
    <w:rsid w:val="35EC0271"/>
    <w:rsid w:val="3604351D"/>
    <w:rsid w:val="360665DE"/>
    <w:rsid w:val="360D61CC"/>
    <w:rsid w:val="36201B3B"/>
    <w:rsid w:val="36261B42"/>
    <w:rsid w:val="362D444E"/>
    <w:rsid w:val="362E3E38"/>
    <w:rsid w:val="364D63A5"/>
    <w:rsid w:val="364E6B57"/>
    <w:rsid w:val="36525CB0"/>
    <w:rsid w:val="36613E2D"/>
    <w:rsid w:val="36761704"/>
    <w:rsid w:val="369B046E"/>
    <w:rsid w:val="369D517D"/>
    <w:rsid w:val="36A4650C"/>
    <w:rsid w:val="36B30CB6"/>
    <w:rsid w:val="36BF2124"/>
    <w:rsid w:val="36C42854"/>
    <w:rsid w:val="36DA1F2E"/>
    <w:rsid w:val="36DC7704"/>
    <w:rsid w:val="36FF67FF"/>
    <w:rsid w:val="37015A93"/>
    <w:rsid w:val="37076A9B"/>
    <w:rsid w:val="371552FC"/>
    <w:rsid w:val="37254F27"/>
    <w:rsid w:val="37396A83"/>
    <w:rsid w:val="377A4B26"/>
    <w:rsid w:val="377E3A62"/>
    <w:rsid w:val="37807C4D"/>
    <w:rsid w:val="378B02FC"/>
    <w:rsid w:val="37AF43BA"/>
    <w:rsid w:val="37B10BEA"/>
    <w:rsid w:val="37C000C8"/>
    <w:rsid w:val="37C052DB"/>
    <w:rsid w:val="37C30D25"/>
    <w:rsid w:val="37C41C2B"/>
    <w:rsid w:val="37DC6E40"/>
    <w:rsid w:val="37DF696F"/>
    <w:rsid w:val="37E74C0F"/>
    <w:rsid w:val="37E8067A"/>
    <w:rsid w:val="37EA31A8"/>
    <w:rsid w:val="37F720AC"/>
    <w:rsid w:val="382B20B3"/>
    <w:rsid w:val="38465EC0"/>
    <w:rsid w:val="38495459"/>
    <w:rsid w:val="385B20CD"/>
    <w:rsid w:val="38635F53"/>
    <w:rsid w:val="3872263A"/>
    <w:rsid w:val="38817344"/>
    <w:rsid w:val="389B6CF0"/>
    <w:rsid w:val="389D1465"/>
    <w:rsid w:val="38A71472"/>
    <w:rsid w:val="38A74BF9"/>
    <w:rsid w:val="38B7563D"/>
    <w:rsid w:val="38BE1B5C"/>
    <w:rsid w:val="38DB7D7B"/>
    <w:rsid w:val="38E726E0"/>
    <w:rsid w:val="38EE3475"/>
    <w:rsid w:val="39033292"/>
    <w:rsid w:val="390414E4"/>
    <w:rsid w:val="390A3637"/>
    <w:rsid w:val="3914724D"/>
    <w:rsid w:val="3931022D"/>
    <w:rsid w:val="393A5014"/>
    <w:rsid w:val="39561614"/>
    <w:rsid w:val="396665B7"/>
    <w:rsid w:val="396C0E37"/>
    <w:rsid w:val="396E16FC"/>
    <w:rsid w:val="39847797"/>
    <w:rsid w:val="39AA41FE"/>
    <w:rsid w:val="39BB7346"/>
    <w:rsid w:val="39CF56D4"/>
    <w:rsid w:val="39DD669A"/>
    <w:rsid w:val="39E37992"/>
    <w:rsid w:val="3A1C6D85"/>
    <w:rsid w:val="3A1F0DF9"/>
    <w:rsid w:val="3A2E021B"/>
    <w:rsid w:val="3A3448AB"/>
    <w:rsid w:val="3A4F678F"/>
    <w:rsid w:val="3A614714"/>
    <w:rsid w:val="3A6F4BA3"/>
    <w:rsid w:val="3A6F5083"/>
    <w:rsid w:val="3A933220"/>
    <w:rsid w:val="3A9B0410"/>
    <w:rsid w:val="3AAA60BB"/>
    <w:rsid w:val="3ACB7183"/>
    <w:rsid w:val="3AE841F3"/>
    <w:rsid w:val="3B1A02DA"/>
    <w:rsid w:val="3B2459B4"/>
    <w:rsid w:val="3B262B80"/>
    <w:rsid w:val="3B2A0FAA"/>
    <w:rsid w:val="3B3B4F65"/>
    <w:rsid w:val="3B4626B8"/>
    <w:rsid w:val="3B5B0FEB"/>
    <w:rsid w:val="3B714E2B"/>
    <w:rsid w:val="3B7D236D"/>
    <w:rsid w:val="3B9528C7"/>
    <w:rsid w:val="3BB92E6A"/>
    <w:rsid w:val="3BCE5DD9"/>
    <w:rsid w:val="3BD0212B"/>
    <w:rsid w:val="3BDA7340"/>
    <w:rsid w:val="3BE75B33"/>
    <w:rsid w:val="3BE965F9"/>
    <w:rsid w:val="3C107412"/>
    <w:rsid w:val="3C153A08"/>
    <w:rsid w:val="3C243C4B"/>
    <w:rsid w:val="3C2459F9"/>
    <w:rsid w:val="3C4168C9"/>
    <w:rsid w:val="3C5B4A7D"/>
    <w:rsid w:val="3C5E46B7"/>
    <w:rsid w:val="3C6A38E9"/>
    <w:rsid w:val="3C7250F5"/>
    <w:rsid w:val="3C800A4A"/>
    <w:rsid w:val="3C880AB0"/>
    <w:rsid w:val="3CA57752"/>
    <w:rsid w:val="3CAA2968"/>
    <w:rsid w:val="3CB50635"/>
    <w:rsid w:val="3CB62DF3"/>
    <w:rsid w:val="3CBA54A8"/>
    <w:rsid w:val="3CC1149A"/>
    <w:rsid w:val="3CC2331A"/>
    <w:rsid w:val="3CE202A8"/>
    <w:rsid w:val="3CE33B06"/>
    <w:rsid w:val="3CF32897"/>
    <w:rsid w:val="3D0038A0"/>
    <w:rsid w:val="3D0F323B"/>
    <w:rsid w:val="3D137E0A"/>
    <w:rsid w:val="3D216F2D"/>
    <w:rsid w:val="3D2F6973"/>
    <w:rsid w:val="3D412FC6"/>
    <w:rsid w:val="3D4D2D2E"/>
    <w:rsid w:val="3D53527D"/>
    <w:rsid w:val="3D577B32"/>
    <w:rsid w:val="3D776940"/>
    <w:rsid w:val="3D8529C3"/>
    <w:rsid w:val="3D87623F"/>
    <w:rsid w:val="3D98044D"/>
    <w:rsid w:val="3DA212CB"/>
    <w:rsid w:val="3DA41C7B"/>
    <w:rsid w:val="3DA45043"/>
    <w:rsid w:val="3DA913E5"/>
    <w:rsid w:val="3DBF00CF"/>
    <w:rsid w:val="3DC525B3"/>
    <w:rsid w:val="3DEB12BB"/>
    <w:rsid w:val="3E157CEF"/>
    <w:rsid w:val="3E185E32"/>
    <w:rsid w:val="3E2919ED"/>
    <w:rsid w:val="3E3948A1"/>
    <w:rsid w:val="3E3B5BB9"/>
    <w:rsid w:val="3E435C62"/>
    <w:rsid w:val="3E4619B8"/>
    <w:rsid w:val="3E4F1EC7"/>
    <w:rsid w:val="3E57400A"/>
    <w:rsid w:val="3E5F0F6A"/>
    <w:rsid w:val="3E620AC7"/>
    <w:rsid w:val="3E720C9E"/>
    <w:rsid w:val="3E841CC2"/>
    <w:rsid w:val="3E8A3BB3"/>
    <w:rsid w:val="3E9029CA"/>
    <w:rsid w:val="3EA871A4"/>
    <w:rsid w:val="3EAB2402"/>
    <w:rsid w:val="3EB92D30"/>
    <w:rsid w:val="3EC63814"/>
    <w:rsid w:val="3ED262EA"/>
    <w:rsid w:val="3EEB28DF"/>
    <w:rsid w:val="3EFC2C5D"/>
    <w:rsid w:val="3F0E08CB"/>
    <w:rsid w:val="3F3D39E2"/>
    <w:rsid w:val="3F4B0F9A"/>
    <w:rsid w:val="3FA2799A"/>
    <w:rsid w:val="3FAF5BB6"/>
    <w:rsid w:val="3FC020EA"/>
    <w:rsid w:val="3FC13570"/>
    <w:rsid w:val="3FEB04B3"/>
    <w:rsid w:val="40002C1F"/>
    <w:rsid w:val="403E177F"/>
    <w:rsid w:val="4042792B"/>
    <w:rsid w:val="404448BC"/>
    <w:rsid w:val="404A640F"/>
    <w:rsid w:val="40690E39"/>
    <w:rsid w:val="40691B67"/>
    <w:rsid w:val="40733156"/>
    <w:rsid w:val="40834568"/>
    <w:rsid w:val="409E0CC7"/>
    <w:rsid w:val="40A4535A"/>
    <w:rsid w:val="40B105F4"/>
    <w:rsid w:val="40B12799"/>
    <w:rsid w:val="40ED0D4B"/>
    <w:rsid w:val="40FD3F09"/>
    <w:rsid w:val="411128F0"/>
    <w:rsid w:val="41126768"/>
    <w:rsid w:val="41151554"/>
    <w:rsid w:val="41320BD3"/>
    <w:rsid w:val="4141765A"/>
    <w:rsid w:val="415110E2"/>
    <w:rsid w:val="415146FD"/>
    <w:rsid w:val="415575CE"/>
    <w:rsid w:val="416877D3"/>
    <w:rsid w:val="416E383B"/>
    <w:rsid w:val="417C49FE"/>
    <w:rsid w:val="4181636E"/>
    <w:rsid w:val="41A54B4A"/>
    <w:rsid w:val="41AE2D1C"/>
    <w:rsid w:val="41B0445E"/>
    <w:rsid w:val="41C5325F"/>
    <w:rsid w:val="41C639A7"/>
    <w:rsid w:val="41CA788D"/>
    <w:rsid w:val="41D75A95"/>
    <w:rsid w:val="41E30EFE"/>
    <w:rsid w:val="420936C7"/>
    <w:rsid w:val="42274495"/>
    <w:rsid w:val="422E2341"/>
    <w:rsid w:val="42390D6B"/>
    <w:rsid w:val="424B327F"/>
    <w:rsid w:val="426104F4"/>
    <w:rsid w:val="426923B8"/>
    <w:rsid w:val="427A45AA"/>
    <w:rsid w:val="427F1BDB"/>
    <w:rsid w:val="428117D6"/>
    <w:rsid w:val="42831B60"/>
    <w:rsid w:val="428D00BE"/>
    <w:rsid w:val="42AC04F6"/>
    <w:rsid w:val="42CB7533"/>
    <w:rsid w:val="42CC5625"/>
    <w:rsid w:val="431C679B"/>
    <w:rsid w:val="43246398"/>
    <w:rsid w:val="434075BC"/>
    <w:rsid w:val="43436243"/>
    <w:rsid w:val="434846C3"/>
    <w:rsid w:val="43486471"/>
    <w:rsid w:val="435F5219"/>
    <w:rsid w:val="43661FA0"/>
    <w:rsid w:val="437C1F45"/>
    <w:rsid w:val="437E00E5"/>
    <w:rsid w:val="43B12A88"/>
    <w:rsid w:val="43B83004"/>
    <w:rsid w:val="43BB5451"/>
    <w:rsid w:val="43BD6E5F"/>
    <w:rsid w:val="43C07951"/>
    <w:rsid w:val="43D3757F"/>
    <w:rsid w:val="43D60DB0"/>
    <w:rsid w:val="43ED087F"/>
    <w:rsid w:val="43F40165"/>
    <w:rsid w:val="441B472E"/>
    <w:rsid w:val="442F0DCA"/>
    <w:rsid w:val="443570D7"/>
    <w:rsid w:val="4459501E"/>
    <w:rsid w:val="44887A84"/>
    <w:rsid w:val="44961852"/>
    <w:rsid w:val="449851D6"/>
    <w:rsid w:val="44A8163A"/>
    <w:rsid w:val="44E15803"/>
    <w:rsid w:val="44F259C2"/>
    <w:rsid w:val="450B0DDE"/>
    <w:rsid w:val="451A2516"/>
    <w:rsid w:val="45303661"/>
    <w:rsid w:val="453C2005"/>
    <w:rsid w:val="45421FCD"/>
    <w:rsid w:val="45482758"/>
    <w:rsid w:val="4550785F"/>
    <w:rsid w:val="4576695D"/>
    <w:rsid w:val="459B1F40"/>
    <w:rsid w:val="45A476A5"/>
    <w:rsid w:val="45AC2B2B"/>
    <w:rsid w:val="45C11FC0"/>
    <w:rsid w:val="45E2669A"/>
    <w:rsid w:val="45E561F9"/>
    <w:rsid w:val="45E75259"/>
    <w:rsid w:val="45FD4563"/>
    <w:rsid w:val="46032E96"/>
    <w:rsid w:val="460B5851"/>
    <w:rsid w:val="460D530B"/>
    <w:rsid w:val="46130FB8"/>
    <w:rsid w:val="46233B9F"/>
    <w:rsid w:val="46235681"/>
    <w:rsid w:val="46276812"/>
    <w:rsid w:val="462C55F9"/>
    <w:rsid w:val="464B2443"/>
    <w:rsid w:val="46801E15"/>
    <w:rsid w:val="46A936CA"/>
    <w:rsid w:val="46BF7B12"/>
    <w:rsid w:val="46D27A40"/>
    <w:rsid w:val="46D31D8E"/>
    <w:rsid w:val="46E266F9"/>
    <w:rsid w:val="46EF64CA"/>
    <w:rsid w:val="46F866AE"/>
    <w:rsid w:val="46FA0409"/>
    <w:rsid w:val="47082F5C"/>
    <w:rsid w:val="47174AD8"/>
    <w:rsid w:val="471F1551"/>
    <w:rsid w:val="473E2065"/>
    <w:rsid w:val="47474688"/>
    <w:rsid w:val="47543636"/>
    <w:rsid w:val="475A3339"/>
    <w:rsid w:val="47695665"/>
    <w:rsid w:val="476F1007"/>
    <w:rsid w:val="47795428"/>
    <w:rsid w:val="47882E21"/>
    <w:rsid w:val="47A15E61"/>
    <w:rsid w:val="47C76B8A"/>
    <w:rsid w:val="47F80042"/>
    <w:rsid w:val="48080CD4"/>
    <w:rsid w:val="480E5EDB"/>
    <w:rsid w:val="48154BA4"/>
    <w:rsid w:val="487F395F"/>
    <w:rsid w:val="489D100D"/>
    <w:rsid w:val="48C52312"/>
    <w:rsid w:val="48D013E2"/>
    <w:rsid w:val="49093633"/>
    <w:rsid w:val="49296D45"/>
    <w:rsid w:val="493059DD"/>
    <w:rsid w:val="49322248"/>
    <w:rsid w:val="4933371F"/>
    <w:rsid w:val="493545AB"/>
    <w:rsid w:val="494E2313"/>
    <w:rsid w:val="49522C7F"/>
    <w:rsid w:val="49621A56"/>
    <w:rsid w:val="49660998"/>
    <w:rsid w:val="49715A2D"/>
    <w:rsid w:val="499D0B37"/>
    <w:rsid w:val="49AD606D"/>
    <w:rsid w:val="49BB167F"/>
    <w:rsid w:val="49C35B92"/>
    <w:rsid w:val="49C90446"/>
    <w:rsid w:val="49D51AEB"/>
    <w:rsid w:val="49E11675"/>
    <w:rsid w:val="49EA2030"/>
    <w:rsid w:val="49ED62A0"/>
    <w:rsid w:val="49F57B95"/>
    <w:rsid w:val="49F66C27"/>
    <w:rsid w:val="49FB07B0"/>
    <w:rsid w:val="49FE565F"/>
    <w:rsid w:val="4A1A65A2"/>
    <w:rsid w:val="4A2413C1"/>
    <w:rsid w:val="4A315EB1"/>
    <w:rsid w:val="4A41607E"/>
    <w:rsid w:val="4A44591A"/>
    <w:rsid w:val="4A4A73D8"/>
    <w:rsid w:val="4A527BD5"/>
    <w:rsid w:val="4A702F34"/>
    <w:rsid w:val="4A706FB0"/>
    <w:rsid w:val="4A9611D9"/>
    <w:rsid w:val="4A9B0728"/>
    <w:rsid w:val="4AA71029"/>
    <w:rsid w:val="4AAF28D1"/>
    <w:rsid w:val="4AB03279"/>
    <w:rsid w:val="4AB12B4E"/>
    <w:rsid w:val="4AC42904"/>
    <w:rsid w:val="4AC9433B"/>
    <w:rsid w:val="4AE864D4"/>
    <w:rsid w:val="4AF1706D"/>
    <w:rsid w:val="4B146BA5"/>
    <w:rsid w:val="4B2477C4"/>
    <w:rsid w:val="4B262FD0"/>
    <w:rsid w:val="4B281166"/>
    <w:rsid w:val="4B4D0F13"/>
    <w:rsid w:val="4B565F6E"/>
    <w:rsid w:val="4B5B4DBF"/>
    <w:rsid w:val="4B703D18"/>
    <w:rsid w:val="4B8F0CB2"/>
    <w:rsid w:val="4BA56C4D"/>
    <w:rsid w:val="4BAF73C3"/>
    <w:rsid w:val="4BB212CB"/>
    <w:rsid w:val="4BBF129A"/>
    <w:rsid w:val="4BCF3BD3"/>
    <w:rsid w:val="4BDD4E1E"/>
    <w:rsid w:val="4C2550C9"/>
    <w:rsid w:val="4C312059"/>
    <w:rsid w:val="4C382624"/>
    <w:rsid w:val="4C586ACF"/>
    <w:rsid w:val="4C62632A"/>
    <w:rsid w:val="4C720A7B"/>
    <w:rsid w:val="4C945753"/>
    <w:rsid w:val="4C9A22FD"/>
    <w:rsid w:val="4CC254E6"/>
    <w:rsid w:val="4CD174D7"/>
    <w:rsid w:val="4CE26193"/>
    <w:rsid w:val="4CE34B29"/>
    <w:rsid w:val="4CE832B7"/>
    <w:rsid w:val="4D046F69"/>
    <w:rsid w:val="4D1122D4"/>
    <w:rsid w:val="4D161510"/>
    <w:rsid w:val="4D1C7995"/>
    <w:rsid w:val="4D314B85"/>
    <w:rsid w:val="4D37405A"/>
    <w:rsid w:val="4D381304"/>
    <w:rsid w:val="4D3E28A0"/>
    <w:rsid w:val="4D4128AF"/>
    <w:rsid w:val="4D461C73"/>
    <w:rsid w:val="4D467EC5"/>
    <w:rsid w:val="4D4D75A2"/>
    <w:rsid w:val="4D5819A6"/>
    <w:rsid w:val="4D5F2D35"/>
    <w:rsid w:val="4D663D60"/>
    <w:rsid w:val="4D673D6B"/>
    <w:rsid w:val="4D695962"/>
    <w:rsid w:val="4D7C6E23"/>
    <w:rsid w:val="4D8B58D8"/>
    <w:rsid w:val="4DC1754C"/>
    <w:rsid w:val="4DC220FC"/>
    <w:rsid w:val="4DC74523"/>
    <w:rsid w:val="4DCE7BB7"/>
    <w:rsid w:val="4DDE6C7A"/>
    <w:rsid w:val="4DE52644"/>
    <w:rsid w:val="4DFC0584"/>
    <w:rsid w:val="4E054FA6"/>
    <w:rsid w:val="4E28352F"/>
    <w:rsid w:val="4E2C224E"/>
    <w:rsid w:val="4E3713AB"/>
    <w:rsid w:val="4E4F2DA9"/>
    <w:rsid w:val="4E5873A6"/>
    <w:rsid w:val="4E62626F"/>
    <w:rsid w:val="4E7A1B98"/>
    <w:rsid w:val="4E7B61FE"/>
    <w:rsid w:val="4E95627B"/>
    <w:rsid w:val="4EA96124"/>
    <w:rsid w:val="4EAB75D6"/>
    <w:rsid w:val="4EB34D80"/>
    <w:rsid w:val="4EB97F4D"/>
    <w:rsid w:val="4EC004A5"/>
    <w:rsid w:val="4EC64E12"/>
    <w:rsid w:val="4ECF3EEA"/>
    <w:rsid w:val="4ED344AE"/>
    <w:rsid w:val="4EF62403"/>
    <w:rsid w:val="4EFE5534"/>
    <w:rsid w:val="4F22226C"/>
    <w:rsid w:val="4F710AFD"/>
    <w:rsid w:val="4F820F5D"/>
    <w:rsid w:val="4F822221"/>
    <w:rsid w:val="4FBD16B4"/>
    <w:rsid w:val="4FCC1F70"/>
    <w:rsid w:val="4FD639DB"/>
    <w:rsid w:val="4FFA44AF"/>
    <w:rsid w:val="50031704"/>
    <w:rsid w:val="50095513"/>
    <w:rsid w:val="5015592D"/>
    <w:rsid w:val="501A5098"/>
    <w:rsid w:val="501C4F0D"/>
    <w:rsid w:val="5025337C"/>
    <w:rsid w:val="50281B04"/>
    <w:rsid w:val="504D7954"/>
    <w:rsid w:val="50554DF4"/>
    <w:rsid w:val="505E3468"/>
    <w:rsid w:val="50966F9E"/>
    <w:rsid w:val="50AF5037"/>
    <w:rsid w:val="50BB2A88"/>
    <w:rsid w:val="50BF6A72"/>
    <w:rsid w:val="50C8299F"/>
    <w:rsid w:val="50D64CE2"/>
    <w:rsid w:val="510734C7"/>
    <w:rsid w:val="510A7E4A"/>
    <w:rsid w:val="51150640"/>
    <w:rsid w:val="512166AA"/>
    <w:rsid w:val="512322CB"/>
    <w:rsid w:val="512E03AD"/>
    <w:rsid w:val="512E7AC2"/>
    <w:rsid w:val="515E0EB3"/>
    <w:rsid w:val="516543C6"/>
    <w:rsid w:val="51676676"/>
    <w:rsid w:val="516B2505"/>
    <w:rsid w:val="51761433"/>
    <w:rsid w:val="51986815"/>
    <w:rsid w:val="51B84622"/>
    <w:rsid w:val="51C27D36"/>
    <w:rsid w:val="51C413B8"/>
    <w:rsid w:val="51C770FB"/>
    <w:rsid w:val="51D4574B"/>
    <w:rsid w:val="51F872B4"/>
    <w:rsid w:val="520F4294"/>
    <w:rsid w:val="52195048"/>
    <w:rsid w:val="52295F56"/>
    <w:rsid w:val="524F0A3A"/>
    <w:rsid w:val="52522E68"/>
    <w:rsid w:val="529766F8"/>
    <w:rsid w:val="529C78D8"/>
    <w:rsid w:val="529D307A"/>
    <w:rsid w:val="529F47E0"/>
    <w:rsid w:val="52AE7979"/>
    <w:rsid w:val="52CA163E"/>
    <w:rsid w:val="52E635B0"/>
    <w:rsid w:val="52FB6732"/>
    <w:rsid w:val="52FC4A0B"/>
    <w:rsid w:val="53005373"/>
    <w:rsid w:val="53010E8A"/>
    <w:rsid w:val="5314461F"/>
    <w:rsid w:val="535574D8"/>
    <w:rsid w:val="53582C67"/>
    <w:rsid w:val="535F50D0"/>
    <w:rsid w:val="537312E8"/>
    <w:rsid w:val="537A08C9"/>
    <w:rsid w:val="537D14F5"/>
    <w:rsid w:val="53824486"/>
    <w:rsid w:val="539154AF"/>
    <w:rsid w:val="53933738"/>
    <w:rsid w:val="53962EE1"/>
    <w:rsid w:val="539F0D5A"/>
    <w:rsid w:val="53C30D8D"/>
    <w:rsid w:val="53D46B7A"/>
    <w:rsid w:val="53EE23BF"/>
    <w:rsid w:val="53F06FCA"/>
    <w:rsid w:val="540E12C9"/>
    <w:rsid w:val="541A79B6"/>
    <w:rsid w:val="54642756"/>
    <w:rsid w:val="547630D1"/>
    <w:rsid w:val="54A85071"/>
    <w:rsid w:val="54B7270E"/>
    <w:rsid w:val="54BF4C96"/>
    <w:rsid w:val="54F25559"/>
    <w:rsid w:val="54FE1085"/>
    <w:rsid w:val="55286102"/>
    <w:rsid w:val="553A5043"/>
    <w:rsid w:val="554F18E1"/>
    <w:rsid w:val="556C60B3"/>
    <w:rsid w:val="557F3674"/>
    <w:rsid w:val="558F7F2F"/>
    <w:rsid w:val="55D342C0"/>
    <w:rsid w:val="55EB4403"/>
    <w:rsid w:val="55F22EC4"/>
    <w:rsid w:val="55F57708"/>
    <w:rsid w:val="5606068F"/>
    <w:rsid w:val="560E52F8"/>
    <w:rsid w:val="56222973"/>
    <w:rsid w:val="56310F05"/>
    <w:rsid w:val="56345D01"/>
    <w:rsid w:val="56347BFE"/>
    <w:rsid w:val="56383F0B"/>
    <w:rsid w:val="56445083"/>
    <w:rsid w:val="56543614"/>
    <w:rsid w:val="565C2946"/>
    <w:rsid w:val="56890A8D"/>
    <w:rsid w:val="568D0DB1"/>
    <w:rsid w:val="568D6441"/>
    <w:rsid w:val="56B67D84"/>
    <w:rsid w:val="56C11464"/>
    <w:rsid w:val="56C33BDD"/>
    <w:rsid w:val="571701DC"/>
    <w:rsid w:val="5720659C"/>
    <w:rsid w:val="572425F8"/>
    <w:rsid w:val="57283E0B"/>
    <w:rsid w:val="57452F9B"/>
    <w:rsid w:val="576737A0"/>
    <w:rsid w:val="576B5785"/>
    <w:rsid w:val="5785616A"/>
    <w:rsid w:val="578C3FD7"/>
    <w:rsid w:val="57B41ECF"/>
    <w:rsid w:val="57E9559F"/>
    <w:rsid w:val="57EB51CE"/>
    <w:rsid w:val="57F17159"/>
    <w:rsid w:val="57FE3247"/>
    <w:rsid w:val="581F1A3E"/>
    <w:rsid w:val="581F559B"/>
    <w:rsid w:val="58226E39"/>
    <w:rsid w:val="58254B7B"/>
    <w:rsid w:val="582F7C9C"/>
    <w:rsid w:val="58325FE5"/>
    <w:rsid w:val="583848AE"/>
    <w:rsid w:val="583E1426"/>
    <w:rsid w:val="5841694D"/>
    <w:rsid w:val="585778A1"/>
    <w:rsid w:val="585C28AB"/>
    <w:rsid w:val="586701A1"/>
    <w:rsid w:val="586F7B54"/>
    <w:rsid w:val="58871392"/>
    <w:rsid w:val="58BB5FE9"/>
    <w:rsid w:val="58C24204"/>
    <w:rsid w:val="58D75D19"/>
    <w:rsid w:val="58DB7B6B"/>
    <w:rsid w:val="58E00368"/>
    <w:rsid w:val="58ED4F64"/>
    <w:rsid w:val="59154BEF"/>
    <w:rsid w:val="59210902"/>
    <w:rsid w:val="592D1F39"/>
    <w:rsid w:val="593B3F1E"/>
    <w:rsid w:val="593E44C7"/>
    <w:rsid w:val="59517F0B"/>
    <w:rsid w:val="595F58A2"/>
    <w:rsid w:val="596040BD"/>
    <w:rsid w:val="59654336"/>
    <w:rsid w:val="598F746B"/>
    <w:rsid w:val="5999295C"/>
    <w:rsid w:val="599D2627"/>
    <w:rsid w:val="59A321FB"/>
    <w:rsid w:val="59A65A05"/>
    <w:rsid w:val="59B61F2F"/>
    <w:rsid w:val="59C1099F"/>
    <w:rsid w:val="59C4180C"/>
    <w:rsid w:val="59C969D3"/>
    <w:rsid w:val="59CA5962"/>
    <w:rsid w:val="5A0927A0"/>
    <w:rsid w:val="5A187629"/>
    <w:rsid w:val="5A2532A7"/>
    <w:rsid w:val="5A317220"/>
    <w:rsid w:val="5A33532D"/>
    <w:rsid w:val="5A4E698F"/>
    <w:rsid w:val="5A726C23"/>
    <w:rsid w:val="5A985AD8"/>
    <w:rsid w:val="5AA93841"/>
    <w:rsid w:val="5AAD49D1"/>
    <w:rsid w:val="5AB126F6"/>
    <w:rsid w:val="5AB865E5"/>
    <w:rsid w:val="5ABF3065"/>
    <w:rsid w:val="5AC445F6"/>
    <w:rsid w:val="5AD122E5"/>
    <w:rsid w:val="5AD703AE"/>
    <w:rsid w:val="5AE453BD"/>
    <w:rsid w:val="5AEB3E5A"/>
    <w:rsid w:val="5AF17E7D"/>
    <w:rsid w:val="5AF42EC6"/>
    <w:rsid w:val="5AF56A87"/>
    <w:rsid w:val="5AF60D16"/>
    <w:rsid w:val="5AFA040B"/>
    <w:rsid w:val="5B1B5005"/>
    <w:rsid w:val="5B1C0F1F"/>
    <w:rsid w:val="5B224E09"/>
    <w:rsid w:val="5B3927B9"/>
    <w:rsid w:val="5B4535FC"/>
    <w:rsid w:val="5B615ECA"/>
    <w:rsid w:val="5B647768"/>
    <w:rsid w:val="5B6C7E29"/>
    <w:rsid w:val="5B7E082A"/>
    <w:rsid w:val="5BAD170D"/>
    <w:rsid w:val="5BF50512"/>
    <w:rsid w:val="5BFF6ACC"/>
    <w:rsid w:val="5C0A6562"/>
    <w:rsid w:val="5C0A6E8C"/>
    <w:rsid w:val="5C180DA3"/>
    <w:rsid w:val="5C2A6C04"/>
    <w:rsid w:val="5C2B1EBA"/>
    <w:rsid w:val="5C2C297C"/>
    <w:rsid w:val="5C337866"/>
    <w:rsid w:val="5C367357"/>
    <w:rsid w:val="5C403D31"/>
    <w:rsid w:val="5C495E44"/>
    <w:rsid w:val="5C4F21C6"/>
    <w:rsid w:val="5C551969"/>
    <w:rsid w:val="5C7D4F86"/>
    <w:rsid w:val="5C896D10"/>
    <w:rsid w:val="5C8E760E"/>
    <w:rsid w:val="5C91292C"/>
    <w:rsid w:val="5CB32A73"/>
    <w:rsid w:val="5CCC56F5"/>
    <w:rsid w:val="5CD050B5"/>
    <w:rsid w:val="5CFD7060"/>
    <w:rsid w:val="5D0123F2"/>
    <w:rsid w:val="5D072428"/>
    <w:rsid w:val="5D187049"/>
    <w:rsid w:val="5D23147E"/>
    <w:rsid w:val="5D235F07"/>
    <w:rsid w:val="5D2E6FEF"/>
    <w:rsid w:val="5D3B6409"/>
    <w:rsid w:val="5D444EF8"/>
    <w:rsid w:val="5D454A73"/>
    <w:rsid w:val="5D747B5B"/>
    <w:rsid w:val="5D752101"/>
    <w:rsid w:val="5D9E3405"/>
    <w:rsid w:val="5DC34C1A"/>
    <w:rsid w:val="5DD14A36"/>
    <w:rsid w:val="5DD92690"/>
    <w:rsid w:val="5DDE6969"/>
    <w:rsid w:val="5DFC702A"/>
    <w:rsid w:val="5E005E6E"/>
    <w:rsid w:val="5E055233"/>
    <w:rsid w:val="5E224037"/>
    <w:rsid w:val="5E2745F7"/>
    <w:rsid w:val="5E401FE2"/>
    <w:rsid w:val="5E4931BC"/>
    <w:rsid w:val="5E581E70"/>
    <w:rsid w:val="5E616A46"/>
    <w:rsid w:val="5E677C9B"/>
    <w:rsid w:val="5E784311"/>
    <w:rsid w:val="5E7D5649"/>
    <w:rsid w:val="5E803DEA"/>
    <w:rsid w:val="5E8F1627"/>
    <w:rsid w:val="5E916DC8"/>
    <w:rsid w:val="5E96467B"/>
    <w:rsid w:val="5E9B09F9"/>
    <w:rsid w:val="5EA20CD3"/>
    <w:rsid w:val="5EB660B8"/>
    <w:rsid w:val="5EEA547B"/>
    <w:rsid w:val="5EED0B0C"/>
    <w:rsid w:val="5EFB03E4"/>
    <w:rsid w:val="5F087AE6"/>
    <w:rsid w:val="5F0D5B98"/>
    <w:rsid w:val="5F1B5D93"/>
    <w:rsid w:val="5F1D12CB"/>
    <w:rsid w:val="5F2B1033"/>
    <w:rsid w:val="5F35587B"/>
    <w:rsid w:val="5F4D3766"/>
    <w:rsid w:val="5F4F22C4"/>
    <w:rsid w:val="5F504E76"/>
    <w:rsid w:val="5F5528B7"/>
    <w:rsid w:val="5F574344"/>
    <w:rsid w:val="5F5875E4"/>
    <w:rsid w:val="5F681F1D"/>
    <w:rsid w:val="5F7D646E"/>
    <w:rsid w:val="5F7D7F1C"/>
    <w:rsid w:val="5F821A41"/>
    <w:rsid w:val="5F8235B3"/>
    <w:rsid w:val="5F824C39"/>
    <w:rsid w:val="5F920D48"/>
    <w:rsid w:val="5F936A1D"/>
    <w:rsid w:val="5FB05B4B"/>
    <w:rsid w:val="5FB9411A"/>
    <w:rsid w:val="5FC30301"/>
    <w:rsid w:val="5FD21144"/>
    <w:rsid w:val="5FD71A66"/>
    <w:rsid w:val="5FE03D71"/>
    <w:rsid w:val="5FEA7730"/>
    <w:rsid w:val="5FF540B9"/>
    <w:rsid w:val="5FFA069B"/>
    <w:rsid w:val="5FFE63DD"/>
    <w:rsid w:val="600D3631"/>
    <w:rsid w:val="601E25DC"/>
    <w:rsid w:val="60657FE9"/>
    <w:rsid w:val="607D096B"/>
    <w:rsid w:val="60981BA4"/>
    <w:rsid w:val="609B54C7"/>
    <w:rsid w:val="60B42F40"/>
    <w:rsid w:val="60B577B8"/>
    <w:rsid w:val="60B72FE0"/>
    <w:rsid w:val="60B976D8"/>
    <w:rsid w:val="60CD491F"/>
    <w:rsid w:val="60EA1611"/>
    <w:rsid w:val="60EF580B"/>
    <w:rsid w:val="60F6302D"/>
    <w:rsid w:val="610712C2"/>
    <w:rsid w:val="61092F57"/>
    <w:rsid w:val="6110141C"/>
    <w:rsid w:val="612B059A"/>
    <w:rsid w:val="612B1454"/>
    <w:rsid w:val="61427DA8"/>
    <w:rsid w:val="614B38A4"/>
    <w:rsid w:val="615C0334"/>
    <w:rsid w:val="616312AA"/>
    <w:rsid w:val="61761FA3"/>
    <w:rsid w:val="61811074"/>
    <w:rsid w:val="618B5A4F"/>
    <w:rsid w:val="619C3F0D"/>
    <w:rsid w:val="61A730E0"/>
    <w:rsid w:val="61B424C8"/>
    <w:rsid w:val="61B825BC"/>
    <w:rsid w:val="61C15914"/>
    <w:rsid w:val="61D21690"/>
    <w:rsid w:val="61D94A0C"/>
    <w:rsid w:val="61DA0020"/>
    <w:rsid w:val="61DC05B2"/>
    <w:rsid w:val="62031A89"/>
    <w:rsid w:val="620D0B5A"/>
    <w:rsid w:val="620D6B6D"/>
    <w:rsid w:val="6219320E"/>
    <w:rsid w:val="621A37F2"/>
    <w:rsid w:val="62344338"/>
    <w:rsid w:val="623B212D"/>
    <w:rsid w:val="623E682E"/>
    <w:rsid w:val="625E47E9"/>
    <w:rsid w:val="6269523A"/>
    <w:rsid w:val="626D17D6"/>
    <w:rsid w:val="62753F10"/>
    <w:rsid w:val="62836482"/>
    <w:rsid w:val="628C282C"/>
    <w:rsid w:val="629038C3"/>
    <w:rsid w:val="62934162"/>
    <w:rsid w:val="62955E55"/>
    <w:rsid w:val="62C16F08"/>
    <w:rsid w:val="62C87F3B"/>
    <w:rsid w:val="62D1432C"/>
    <w:rsid w:val="62D73DFA"/>
    <w:rsid w:val="62DD4F4B"/>
    <w:rsid w:val="62EF131E"/>
    <w:rsid w:val="62F24A93"/>
    <w:rsid w:val="62F7128B"/>
    <w:rsid w:val="63075E72"/>
    <w:rsid w:val="63091321"/>
    <w:rsid w:val="63105DC5"/>
    <w:rsid w:val="63116428"/>
    <w:rsid w:val="633962AA"/>
    <w:rsid w:val="633E33FA"/>
    <w:rsid w:val="63585FEA"/>
    <w:rsid w:val="635D46A7"/>
    <w:rsid w:val="635E1A4C"/>
    <w:rsid w:val="63831726"/>
    <w:rsid w:val="6389196F"/>
    <w:rsid w:val="63A11D9E"/>
    <w:rsid w:val="63A67290"/>
    <w:rsid w:val="63AE3561"/>
    <w:rsid w:val="63B42696"/>
    <w:rsid w:val="63B56327"/>
    <w:rsid w:val="63D06B04"/>
    <w:rsid w:val="63DF4E72"/>
    <w:rsid w:val="63E044E9"/>
    <w:rsid w:val="63E644C3"/>
    <w:rsid w:val="63F35B2D"/>
    <w:rsid w:val="640D6BEF"/>
    <w:rsid w:val="64176014"/>
    <w:rsid w:val="641F786F"/>
    <w:rsid w:val="642364CD"/>
    <w:rsid w:val="64491BE5"/>
    <w:rsid w:val="64511BB6"/>
    <w:rsid w:val="64560557"/>
    <w:rsid w:val="645F5F9F"/>
    <w:rsid w:val="646511A7"/>
    <w:rsid w:val="649D0724"/>
    <w:rsid w:val="64A752BA"/>
    <w:rsid w:val="64B67DAA"/>
    <w:rsid w:val="64BF69A7"/>
    <w:rsid w:val="64CF401E"/>
    <w:rsid w:val="64DC0FDF"/>
    <w:rsid w:val="64F22C70"/>
    <w:rsid w:val="650545E2"/>
    <w:rsid w:val="65154E0A"/>
    <w:rsid w:val="652016BA"/>
    <w:rsid w:val="6522377E"/>
    <w:rsid w:val="6527447A"/>
    <w:rsid w:val="655C2FFD"/>
    <w:rsid w:val="657D7DA4"/>
    <w:rsid w:val="658114EF"/>
    <w:rsid w:val="65960098"/>
    <w:rsid w:val="65AA3652"/>
    <w:rsid w:val="65B10E33"/>
    <w:rsid w:val="65C41CFB"/>
    <w:rsid w:val="65D33E68"/>
    <w:rsid w:val="65E32B41"/>
    <w:rsid w:val="65EE2A50"/>
    <w:rsid w:val="65F128EE"/>
    <w:rsid w:val="662B5608"/>
    <w:rsid w:val="663E1E4C"/>
    <w:rsid w:val="663F7D97"/>
    <w:rsid w:val="66563E7C"/>
    <w:rsid w:val="66571DE3"/>
    <w:rsid w:val="6684167F"/>
    <w:rsid w:val="6689537B"/>
    <w:rsid w:val="668A47AC"/>
    <w:rsid w:val="668C6B3F"/>
    <w:rsid w:val="66AB6254"/>
    <w:rsid w:val="66D005D0"/>
    <w:rsid w:val="66D126B0"/>
    <w:rsid w:val="66D954AE"/>
    <w:rsid w:val="66F255B7"/>
    <w:rsid w:val="670A045C"/>
    <w:rsid w:val="670B716E"/>
    <w:rsid w:val="672229B1"/>
    <w:rsid w:val="676036B1"/>
    <w:rsid w:val="677671A1"/>
    <w:rsid w:val="677714F7"/>
    <w:rsid w:val="67874E83"/>
    <w:rsid w:val="679A7B08"/>
    <w:rsid w:val="679C6B4C"/>
    <w:rsid w:val="67A1421E"/>
    <w:rsid w:val="67A354C4"/>
    <w:rsid w:val="67B37AAD"/>
    <w:rsid w:val="67C25F42"/>
    <w:rsid w:val="67C9401B"/>
    <w:rsid w:val="67EA66B4"/>
    <w:rsid w:val="67F81964"/>
    <w:rsid w:val="680926B6"/>
    <w:rsid w:val="680A1C4F"/>
    <w:rsid w:val="681A41F0"/>
    <w:rsid w:val="68525518"/>
    <w:rsid w:val="68562B69"/>
    <w:rsid w:val="685E3EBD"/>
    <w:rsid w:val="6870457B"/>
    <w:rsid w:val="687F4C1D"/>
    <w:rsid w:val="68830991"/>
    <w:rsid w:val="68A76DEF"/>
    <w:rsid w:val="68B622A2"/>
    <w:rsid w:val="68C1444C"/>
    <w:rsid w:val="68C2756A"/>
    <w:rsid w:val="68CB1738"/>
    <w:rsid w:val="68DD2333"/>
    <w:rsid w:val="68F170ED"/>
    <w:rsid w:val="69037103"/>
    <w:rsid w:val="690D1CEB"/>
    <w:rsid w:val="690F0847"/>
    <w:rsid w:val="690F0BE9"/>
    <w:rsid w:val="6915152B"/>
    <w:rsid w:val="6917406C"/>
    <w:rsid w:val="69342E70"/>
    <w:rsid w:val="693D1B33"/>
    <w:rsid w:val="694A247E"/>
    <w:rsid w:val="694A7E4A"/>
    <w:rsid w:val="695A130B"/>
    <w:rsid w:val="697046AB"/>
    <w:rsid w:val="69733998"/>
    <w:rsid w:val="697B45FB"/>
    <w:rsid w:val="697E2537"/>
    <w:rsid w:val="697E3A53"/>
    <w:rsid w:val="69847953"/>
    <w:rsid w:val="69896C65"/>
    <w:rsid w:val="699F653B"/>
    <w:rsid w:val="69B30FB3"/>
    <w:rsid w:val="69CF65B0"/>
    <w:rsid w:val="69D01719"/>
    <w:rsid w:val="69E15273"/>
    <w:rsid w:val="69EF29CD"/>
    <w:rsid w:val="69FC1BE0"/>
    <w:rsid w:val="6A040161"/>
    <w:rsid w:val="6A1339DD"/>
    <w:rsid w:val="6A350C4E"/>
    <w:rsid w:val="6A3C4858"/>
    <w:rsid w:val="6A5E1EE4"/>
    <w:rsid w:val="6A627569"/>
    <w:rsid w:val="6A69230B"/>
    <w:rsid w:val="6A7241DA"/>
    <w:rsid w:val="6A937403"/>
    <w:rsid w:val="6AB06526"/>
    <w:rsid w:val="6ABD7DF6"/>
    <w:rsid w:val="6ACB5C2B"/>
    <w:rsid w:val="6AD9366F"/>
    <w:rsid w:val="6ADA2A71"/>
    <w:rsid w:val="6ADE12E5"/>
    <w:rsid w:val="6AE306AA"/>
    <w:rsid w:val="6AF8486A"/>
    <w:rsid w:val="6B0C5E52"/>
    <w:rsid w:val="6B182A49"/>
    <w:rsid w:val="6B19056B"/>
    <w:rsid w:val="6B217424"/>
    <w:rsid w:val="6B6C2B07"/>
    <w:rsid w:val="6B771B4A"/>
    <w:rsid w:val="6B80414A"/>
    <w:rsid w:val="6B882FFF"/>
    <w:rsid w:val="6B8C0D41"/>
    <w:rsid w:val="6BA66E4A"/>
    <w:rsid w:val="6BAE6F0A"/>
    <w:rsid w:val="6BEA5A68"/>
    <w:rsid w:val="6BF71E5E"/>
    <w:rsid w:val="6C0703C8"/>
    <w:rsid w:val="6C17640D"/>
    <w:rsid w:val="6C2602F3"/>
    <w:rsid w:val="6C2C28FE"/>
    <w:rsid w:val="6C376EFF"/>
    <w:rsid w:val="6C507FC1"/>
    <w:rsid w:val="6C513D7B"/>
    <w:rsid w:val="6C6258FC"/>
    <w:rsid w:val="6C6475C8"/>
    <w:rsid w:val="6C684E81"/>
    <w:rsid w:val="6C6D760C"/>
    <w:rsid w:val="6C7215F1"/>
    <w:rsid w:val="6C7254B6"/>
    <w:rsid w:val="6C742662"/>
    <w:rsid w:val="6C832144"/>
    <w:rsid w:val="6CBD3075"/>
    <w:rsid w:val="6CBE4EEC"/>
    <w:rsid w:val="6CC13006"/>
    <w:rsid w:val="6CC446FE"/>
    <w:rsid w:val="6CF23B24"/>
    <w:rsid w:val="6D062D75"/>
    <w:rsid w:val="6D0D5EB2"/>
    <w:rsid w:val="6D0E459C"/>
    <w:rsid w:val="6D1E63B1"/>
    <w:rsid w:val="6D2032E6"/>
    <w:rsid w:val="6D297996"/>
    <w:rsid w:val="6D372C22"/>
    <w:rsid w:val="6D503294"/>
    <w:rsid w:val="6D871E5D"/>
    <w:rsid w:val="6DA2484C"/>
    <w:rsid w:val="6DB7708E"/>
    <w:rsid w:val="6DC9002B"/>
    <w:rsid w:val="6DD469CF"/>
    <w:rsid w:val="6DDE3657"/>
    <w:rsid w:val="6DEF7365"/>
    <w:rsid w:val="6DF73A48"/>
    <w:rsid w:val="6DF8337A"/>
    <w:rsid w:val="6E1C4E4E"/>
    <w:rsid w:val="6E297030"/>
    <w:rsid w:val="6E3F5BBC"/>
    <w:rsid w:val="6E502C6C"/>
    <w:rsid w:val="6E521FD7"/>
    <w:rsid w:val="6E5D0773"/>
    <w:rsid w:val="6E664226"/>
    <w:rsid w:val="6E7D0E15"/>
    <w:rsid w:val="6E866BAD"/>
    <w:rsid w:val="6E8C46C4"/>
    <w:rsid w:val="6E9047F2"/>
    <w:rsid w:val="6E9D1166"/>
    <w:rsid w:val="6EC07D65"/>
    <w:rsid w:val="6EC60A8D"/>
    <w:rsid w:val="6EC86F6E"/>
    <w:rsid w:val="6EDD4597"/>
    <w:rsid w:val="6EE175F6"/>
    <w:rsid w:val="6F0230C8"/>
    <w:rsid w:val="6F560DE8"/>
    <w:rsid w:val="6F764817"/>
    <w:rsid w:val="6F7E6BF3"/>
    <w:rsid w:val="6F827023"/>
    <w:rsid w:val="6FC572DF"/>
    <w:rsid w:val="6FCE5BF7"/>
    <w:rsid w:val="6FEF189F"/>
    <w:rsid w:val="6FEF5D43"/>
    <w:rsid w:val="6FFE5185"/>
    <w:rsid w:val="70003A62"/>
    <w:rsid w:val="70092FF8"/>
    <w:rsid w:val="702279FC"/>
    <w:rsid w:val="702F4391"/>
    <w:rsid w:val="70447E3C"/>
    <w:rsid w:val="704A2A3D"/>
    <w:rsid w:val="705A140E"/>
    <w:rsid w:val="7084221D"/>
    <w:rsid w:val="70992826"/>
    <w:rsid w:val="70995ECF"/>
    <w:rsid w:val="709C0E93"/>
    <w:rsid w:val="70B207FF"/>
    <w:rsid w:val="70BF2A0E"/>
    <w:rsid w:val="70C31153"/>
    <w:rsid w:val="70D76A75"/>
    <w:rsid w:val="70E37F25"/>
    <w:rsid w:val="70F6775A"/>
    <w:rsid w:val="70F76C5D"/>
    <w:rsid w:val="710E3FF5"/>
    <w:rsid w:val="711A0B9D"/>
    <w:rsid w:val="71321D8A"/>
    <w:rsid w:val="7141612A"/>
    <w:rsid w:val="715B4FAC"/>
    <w:rsid w:val="7161477F"/>
    <w:rsid w:val="716A17CC"/>
    <w:rsid w:val="71717CF1"/>
    <w:rsid w:val="717B5E76"/>
    <w:rsid w:val="719B1CDE"/>
    <w:rsid w:val="71A17684"/>
    <w:rsid w:val="71A60683"/>
    <w:rsid w:val="71B31295"/>
    <w:rsid w:val="71B811A6"/>
    <w:rsid w:val="71C55B0A"/>
    <w:rsid w:val="71EC35A3"/>
    <w:rsid w:val="71F94A47"/>
    <w:rsid w:val="721D6B97"/>
    <w:rsid w:val="723513B9"/>
    <w:rsid w:val="72401A80"/>
    <w:rsid w:val="724463AD"/>
    <w:rsid w:val="72550630"/>
    <w:rsid w:val="72677E12"/>
    <w:rsid w:val="727A3E4E"/>
    <w:rsid w:val="7281214F"/>
    <w:rsid w:val="728501EE"/>
    <w:rsid w:val="729606F7"/>
    <w:rsid w:val="72A4012B"/>
    <w:rsid w:val="72A95837"/>
    <w:rsid w:val="72B8241C"/>
    <w:rsid w:val="72C46849"/>
    <w:rsid w:val="72D354A8"/>
    <w:rsid w:val="72D52916"/>
    <w:rsid w:val="72D82ABE"/>
    <w:rsid w:val="72DD4E94"/>
    <w:rsid w:val="72F17CFC"/>
    <w:rsid w:val="73064B45"/>
    <w:rsid w:val="730B4C41"/>
    <w:rsid w:val="73131B2F"/>
    <w:rsid w:val="73173CE2"/>
    <w:rsid w:val="731857BB"/>
    <w:rsid w:val="7318735E"/>
    <w:rsid w:val="731B27F6"/>
    <w:rsid w:val="732D5A3F"/>
    <w:rsid w:val="73343453"/>
    <w:rsid w:val="73373C88"/>
    <w:rsid w:val="73412411"/>
    <w:rsid w:val="73463ECB"/>
    <w:rsid w:val="734A6502"/>
    <w:rsid w:val="73627B42"/>
    <w:rsid w:val="73702CF6"/>
    <w:rsid w:val="73704370"/>
    <w:rsid w:val="739174B8"/>
    <w:rsid w:val="73A365F5"/>
    <w:rsid w:val="73D65B7A"/>
    <w:rsid w:val="73DC2164"/>
    <w:rsid w:val="73DC4D25"/>
    <w:rsid w:val="73DC52C4"/>
    <w:rsid w:val="73DE5EB2"/>
    <w:rsid w:val="73DF2697"/>
    <w:rsid w:val="73E13BF4"/>
    <w:rsid w:val="73F81B3F"/>
    <w:rsid w:val="74081181"/>
    <w:rsid w:val="742C182C"/>
    <w:rsid w:val="7431777C"/>
    <w:rsid w:val="744A3547"/>
    <w:rsid w:val="744D51D2"/>
    <w:rsid w:val="745436E9"/>
    <w:rsid w:val="74556589"/>
    <w:rsid w:val="7465289D"/>
    <w:rsid w:val="7469726F"/>
    <w:rsid w:val="746A3BEA"/>
    <w:rsid w:val="747560A0"/>
    <w:rsid w:val="748A603A"/>
    <w:rsid w:val="749D5D6D"/>
    <w:rsid w:val="74B409C4"/>
    <w:rsid w:val="74B66A46"/>
    <w:rsid w:val="74BB5506"/>
    <w:rsid w:val="74C27582"/>
    <w:rsid w:val="74CD520A"/>
    <w:rsid w:val="74D17167"/>
    <w:rsid w:val="74DF3644"/>
    <w:rsid w:val="75087BAF"/>
    <w:rsid w:val="751221E3"/>
    <w:rsid w:val="75190329"/>
    <w:rsid w:val="7521086E"/>
    <w:rsid w:val="75231131"/>
    <w:rsid w:val="75274981"/>
    <w:rsid w:val="75285475"/>
    <w:rsid w:val="75333686"/>
    <w:rsid w:val="7534651D"/>
    <w:rsid w:val="753F6E24"/>
    <w:rsid w:val="75633811"/>
    <w:rsid w:val="7564262E"/>
    <w:rsid w:val="75812EAD"/>
    <w:rsid w:val="75842495"/>
    <w:rsid w:val="758807CB"/>
    <w:rsid w:val="758E56B6"/>
    <w:rsid w:val="75933184"/>
    <w:rsid w:val="75B855D2"/>
    <w:rsid w:val="75C379FA"/>
    <w:rsid w:val="75ED62E0"/>
    <w:rsid w:val="75F36C4E"/>
    <w:rsid w:val="76110225"/>
    <w:rsid w:val="762A5170"/>
    <w:rsid w:val="762F086F"/>
    <w:rsid w:val="76316133"/>
    <w:rsid w:val="76320737"/>
    <w:rsid w:val="76330607"/>
    <w:rsid w:val="76333EAE"/>
    <w:rsid w:val="76412E37"/>
    <w:rsid w:val="765451DC"/>
    <w:rsid w:val="765A05BC"/>
    <w:rsid w:val="767353F2"/>
    <w:rsid w:val="767825EE"/>
    <w:rsid w:val="768C46AC"/>
    <w:rsid w:val="76962A74"/>
    <w:rsid w:val="769E5DCD"/>
    <w:rsid w:val="76B31878"/>
    <w:rsid w:val="76BD6FDB"/>
    <w:rsid w:val="76D17F50"/>
    <w:rsid w:val="76DB4EA8"/>
    <w:rsid w:val="76DD5D22"/>
    <w:rsid w:val="76EF1C48"/>
    <w:rsid w:val="770372E4"/>
    <w:rsid w:val="770A68B1"/>
    <w:rsid w:val="772207AC"/>
    <w:rsid w:val="77291B3A"/>
    <w:rsid w:val="773F2A17"/>
    <w:rsid w:val="775237CF"/>
    <w:rsid w:val="77561351"/>
    <w:rsid w:val="775E513F"/>
    <w:rsid w:val="77866F8C"/>
    <w:rsid w:val="77876861"/>
    <w:rsid w:val="778B45B5"/>
    <w:rsid w:val="77A9308F"/>
    <w:rsid w:val="77AA492E"/>
    <w:rsid w:val="77B33969"/>
    <w:rsid w:val="77BB4043"/>
    <w:rsid w:val="77D00809"/>
    <w:rsid w:val="77FF6F6D"/>
    <w:rsid w:val="780B2656"/>
    <w:rsid w:val="78415524"/>
    <w:rsid w:val="786662AE"/>
    <w:rsid w:val="786C5C11"/>
    <w:rsid w:val="786D7532"/>
    <w:rsid w:val="787E3A98"/>
    <w:rsid w:val="788259A6"/>
    <w:rsid w:val="78882890"/>
    <w:rsid w:val="78911745"/>
    <w:rsid w:val="78BD7DA6"/>
    <w:rsid w:val="78F22CE7"/>
    <w:rsid w:val="79265D8B"/>
    <w:rsid w:val="793D1463"/>
    <w:rsid w:val="794371E8"/>
    <w:rsid w:val="79444A09"/>
    <w:rsid w:val="79876F3B"/>
    <w:rsid w:val="79914562"/>
    <w:rsid w:val="79935991"/>
    <w:rsid w:val="799C2A97"/>
    <w:rsid w:val="799C4845"/>
    <w:rsid w:val="79C44587"/>
    <w:rsid w:val="79C771E2"/>
    <w:rsid w:val="79D9271B"/>
    <w:rsid w:val="79ED50A1"/>
    <w:rsid w:val="79F30AC2"/>
    <w:rsid w:val="79FA2101"/>
    <w:rsid w:val="7A100362"/>
    <w:rsid w:val="7A1A5A52"/>
    <w:rsid w:val="7A606E5F"/>
    <w:rsid w:val="7A7E3F4B"/>
    <w:rsid w:val="7A9A52A7"/>
    <w:rsid w:val="7A9E3444"/>
    <w:rsid w:val="7AA87668"/>
    <w:rsid w:val="7ACC6BEA"/>
    <w:rsid w:val="7ACF2BC4"/>
    <w:rsid w:val="7ADC65FD"/>
    <w:rsid w:val="7AE11581"/>
    <w:rsid w:val="7AF7642E"/>
    <w:rsid w:val="7AFB16F7"/>
    <w:rsid w:val="7B241A11"/>
    <w:rsid w:val="7B26210E"/>
    <w:rsid w:val="7B2F5245"/>
    <w:rsid w:val="7B334F2B"/>
    <w:rsid w:val="7B5042D8"/>
    <w:rsid w:val="7B584B03"/>
    <w:rsid w:val="7B5E4E76"/>
    <w:rsid w:val="7B637DB6"/>
    <w:rsid w:val="7B673063"/>
    <w:rsid w:val="7B676E25"/>
    <w:rsid w:val="7B784E3E"/>
    <w:rsid w:val="7B7B3AC4"/>
    <w:rsid w:val="7BA060D4"/>
    <w:rsid w:val="7BB01186"/>
    <w:rsid w:val="7BB92FD8"/>
    <w:rsid w:val="7BC77D94"/>
    <w:rsid w:val="7BE76C0E"/>
    <w:rsid w:val="7BEC38D9"/>
    <w:rsid w:val="7BF0651E"/>
    <w:rsid w:val="7BF24BF0"/>
    <w:rsid w:val="7C1E6245"/>
    <w:rsid w:val="7C1F3E1B"/>
    <w:rsid w:val="7C2106CE"/>
    <w:rsid w:val="7C2B0D47"/>
    <w:rsid w:val="7C484810"/>
    <w:rsid w:val="7C4F3DF1"/>
    <w:rsid w:val="7C642B27"/>
    <w:rsid w:val="7C651F05"/>
    <w:rsid w:val="7C731C1C"/>
    <w:rsid w:val="7C765821"/>
    <w:rsid w:val="7C782AB0"/>
    <w:rsid w:val="7C88331E"/>
    <w:rsid w:val="7CA22FEA"/>
    <w:rsid w:val="7CAB3634"/>
    <w:rsid w:val="7CEF6506"/>
    <w:rsid w:val="7CF40EC8"/>
    <w:rsid w:val="7CF66AAB"/>
    <w:rsid w:val="7CF85855"/>
    <w:rsid w:val="7CFA011A"/>
    <w:rsid w:val="7CFD08F0"/>
    <w:rsid w:val="7D056BA5"/>
    <w:rsid w:val="7D330928"/>
    <w:rsid w:val="7D510C4B"/>
    <w:rsid w:val="7D5611AF"/>
    <w:rsid w:val="7D61509E"/>
    <w:rsid w:val="7D6D684D"/>
    <w:rsid w:val="7D8269D3"/>
    <w:rsid w:val="7DE15E86"/>
    <w:rsid w:val="7DFE2FC3"/>
    <w:rsid w:val="7E067666"/>
    <w:rsid w:val="7E11330D"/>
    <w:rsid w:val="7E207BF6"/>
    <w:rsid w:val="7E290672"/>
    <w:rsid w:val="7E3E6E71"/>
    <w:rsid w:val="7E3F1C43"/>
    <w:rsid w:val="7E5A082B"/>
    <w:rsid w:val="7E5C63E0"/>
    <w:rsid w:val="7E670A3E"/>
    <w:rsid w:val="7E763D23"/>
    <w:rsid w:val="7E8F46DC"/>
    <w:rsid w:val="7E9E5C9C"/>
    <w:rsid w:val="7EAD6101"/>
    <w:rsid w:val="7EB33FB5"/>
    <w:rsid w:val="7EB93807"/>
    <w:rsid w:val="7EBF1CF5"/>
    <w:rsid w:val="7ED82D3A"/>
    <w:rsid w:val="7EE051D4"/>
    <w:rsid w:val="7EE24D87"/>
    <w:rsid w:val="7EEA095D"/>
    <w:rsid w:val="7EEC1626"/>
    <w:rsid w:val="7F0B7248"/>
    <w:rsid w:val="7F140DB1"/>
    <w:rsid w:val="7F4F16B1"/>
    <w:rsid w:val="7F695182"/>
    <w:rsid w:val="7F763462"/>
    <w:rsid w:val="7F7A0221"/>
    <w:rsid w:val="7F8D0FEB"/>
    <w:rsid w:val="7F983D01"/>
    <w:rsid w:val="7FB725E1"/>
    <w:rsid w:val="7FC02287"/>
    <w:rsid w:val="7FC76391"/>
    <w:rsid w:val="7FC76394"/>
    <w:rsid w:val="7FDA2C42"/>
    <w:rsid w:val="7FE83C65"/>
    <w:rsid w:val="7FE92466"/>
    <w:rsid w:val="7FEB72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0"/>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5"/>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6"/>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7"/>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9"/>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60"/>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2"/>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3"/>
    <w:qFormat/>
    <w:uiPriority w:val="99"/>
    <w:pPr>
      <w:jc w:val="left"/>
    </w:pPr>
  </w:style>
  <w:style w:type="paragraph" w:styleId="17">
    <w:name w:val="Body Text 3"/>
    <w:basedOn w:val="1"/>
    <w:link w:val="65"/>
    <w:qFormat/>
    <w:uiPriority w:val="99"/>
    <w:pPr>
      <w:spacing w:after="120"/>
    </w:pPr>
    <w:rPr>
      <w:rFonts w:ascii="Times New Roman" w:hAnsi="Times New Roman"/>
      <w:sz w:val="16"/>
      <w:szCs w:val="16"/>
    </w:rPr>
  </w:style>
  <w:style w:type="paragraph" w:styleId="18">
    <w:name w:val="Body Text"/>
    <w:basedOn w:val="1"/>
    <w:next w:val="19"/>
    <w:link w:val="66"/>
    <w:qFormat/>
    <w:uiPriority w:val="0"/>
    <w:pPr>
      <w:spacing w:line="360" w:lineRule="auto"/>
    </w:pPr>
    <w:rPr>
      <w:rFonts w:ascii="Times New Roman" w:hAnsi="Times New Roman"/>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link w:val="97"/>
    <w:semiHidden/>
    <w:unhideWhenUsed/>
    <w:qFormat/>
    <w:locked/>
    <w:uiPriority w:val="99"/>
    <w:pPr>
      <w:spacing w:after="120"/>
      <w:ind w:left="420" w:leftChars="200" w:firstLine="420" w:firstLineChars="200"/>
    </w:pPr>
    <w:rPr>
      <w:rFonts w:ascii="Calibri"/>
      <w:sz w:val="24"/>
      <w:szCs w:val="22"/>
    </w:rPr>
  </w:style>
  <w:style w:type="paragraph" w:styleId="22">
    <w:name w:val="Body Text Indent"/>
    <w:basedOn w:val="1"/>
    <w:next w:val="18"/>
    <w:link w:val="67"/>
    <w:qFormat/>
    <w:uiPriority w:val="99"/>
    <w:pPr>
      <w:ind w:firstLine="645"/>
    </w:pPr>
    <w:rPr>
      <w:rFonts w:ascii="宋体"/>
      <w:sz w:val="32"/>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0"/>
    <w:pPr>
      <w:spacing w:line="360" w:lineRule="auto"/>
      <w:ind w:firstLine="200" w:firstLineChars="200"/>
    </w:pPr>
    <w:rPr>
      <w:rFonts w:ascii="宋体" w:hAnsi="宋体" w:eastAsia="仿宋_GB2312" w:cs="Courier New"/>
      <w:szCs w:val="21"/>
    </w:rPr>
  </w:style>
  <w:style w:type="paragraph" w:styleId="27">
    <w:name w:val="Date"/>
    <w:basedOn w:val="1"/>
    <w:next w:val="1"/>
    <w:link w:val="69"/>
    <w:qFormat/>
    <w:uiPriority w:val="99"/>
    <w:pPr>
      <w:ind w:left="2500" w:leftChars="2500"/>
    </w:pPr>
  </w:style>
  <w:style w:type="paragraph" w:styleId="28">
    <w:name w:val="Body Text Indent 2"/>
    <w:basedOn w:val="1"/>
    <w:link w:val="70"/>
    <w:qFormat/>
    <w:uiPriority w:val="99"/>
    <w:pPr>
      <w:ind w:firstLine="630"/>
    </w:pPr>
    <w:rPr>
      <w:rFonts w:ascii="宋体"/>
      <w:sz w:val="32"/>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sz w:val="18"/>
      <w:szCs w:val="18"/>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Subtitle"/>
    <w:basedOn w:val="1"/>
    <w:next w:val="1"/>
    <w:qFormat/>
    <w:locked/>
    <w:uiPriority w:val="11"/>
    <w:pPr>
      <w:spacing w:before="60" w:after="60" w:line="360" w:lineRule="auto"/>
      <w:jc w:val="left"/>
      <w:outlineLvl w:val="1"/>
    </w:pPr>
    <w:rPr>
      <w:rFonts w:ascii="Calibri Light" w:hAnsi="Calibri Light" w:cs="Times New Roman"/>
      <w:b/>
      <w:bCs/>
      <w:kern w:val="28"/>
      <w:sz w:val="28"/>
      <w:szCs w:val="32"/>
    </w:rPr>
  </w:style>
  <w:style w:type="paragraph" w:styleId="36">
    <w:name w:val="List"/>
    <w:basedOn w:val="1"/>
    <w:qFormat/>
    <w:uiPriority w:val="99"/>
    <w:pPr>
      <w:ind w:left="200" w:hanging="200" w:hangingChars="200"/>
    </w:pPr>
    <w:rPr>
      <w:rFonts w:ascii="Times New Roman" w:hAnsi="Times New Roman"/>
      <w:szCs w:val="20"/>
    </w:rPr>
  </w:style>
  <w:style w:type="paragraph" w:styleId="37">
    <w:name w:val="footnote text"/>
    <w:basedOn w:val="1"/>
    <w:link w:val="74"/>
    <w:qFormat/>
    <w:uiPriority w:val="99"/>
    <w:pPr>
      <w:adjustRightInd w:val="0"/>
      <w:spacing w:line="312" w:lineRule="atLeast"/>
      <w:jc w:val="left"/>
    </w:pPr>
    <w:rPr>
      <w:rFonts w:ascii="Times New Roman" w:hAnsi="Times New Roman"/>
      <w:kern w:val="0"/>
      <w:sz w:val="18"/>
      <w:szCs w:val="20"/>
    </w:rPr>
  </w:style>
  <w:style w:type="paragraph" w:styleId="38">
    <w:name w:val="List 5"/>
    <w:basedOn w:val="1"/>
    <w:qFormat/>
    <w:uiPriority w:val="99"/>
    <w:pPr>
      <w:ind w:left="1000" w:leftChars="800" w:hanging="200" w:hangingChars="200"/>
    </w:pPr>
    <w:rPr>
      <w:rFonts w:ascii="Times New Roman" w:hAnsi="Times New Roman"/>
      <w:szCs w:val="20"/>
    </w:rPr>
  </w:style>
  <w:style w:type="paragraph" w:styleId="39">
    <w:name w:val="Body Text Indent 3"/>
    <w:basedOn w:val="1"/>
    <w:link w:val="75"/>
    <w:qFormat/>
    <w:uiPriority w:val="99"/>
    <w:pPr>
      <w:spacing w:line="360" w:lineRule="auto"/>
      <w:ind w:firstLine="468"/>
    </w:pPr>
    <w:rPr>
      <w:rFonts w:ascii="Times New Roman" w:hAnsi="Times New Roman"/>
      <w:szCs w:val="20"/>
    </w:rPr>
  </w:style>
  <w:style w:type="paragraph" w:styleId="40">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1">
    <w:name w:val="Body Text 2"/>
    <w:basedOn w:val="1"/>
    <w:link w:val="76"/>
    <w:qFormat/>
    <w:uiPriority w:val="99"/>
    <w:pPr>
      <w:spacing w:after="120" w:line="480" w:lineRule="auto"/>
    </w:pPr>
    <w:rPr>
      <w:rFonts w:ascii="Times New Roman" w:hAnsi="Times New Roman"/>
      <w:szCs w:val="20"/>
    </w:rPr>
  </w:style>
  <w:style w:type="paragraph" w:styleId="42">
    <w:name w:val="List 4"/>
    <w:basedOn w:val="1"/>
    <w:qFormat/>
    <w:uiPriority w:val="99"/>
    <w:pPr>
      <w:ind w:left="800" w:leftChars="600" w:hanging="200" w:hangingChars="200"/>
    </w:pPr>
    <w:rPr>
      <w:rFonts w:ascii="Times New Roman" w:hAnsi="Times New Roman"/>
      <w:szCs w:val="20"/>
    </w:rPr>
  </w:style>
  <w:style w:type="paragraph" w:styleId="43">
    <w:name w:val="List Continue 2"/>
    <w:basedOn w:val="1"/>
    <w:qFormat/>
    <w:uiPriority w:val="99"/>
    <w:pPr>
      <w:spacing w:after="120"/>
      <w:ind w:left="400" w:leftChars="400"/>
    </w:pPr>
    <w:rPr>
      <w:rFonts w:ascii="Times New Roman" w:hAnsi="Times New Roman"/>
      <w:szCs w:val="20"/>
    </w:rPr>
  </w:style>
  <w:style w:type="paragraph" w:styleId="44">
    <w:name w:val="Normal (Web)"/>
    <w:basedOn w:val="1"/>
    <w:qFormat/>
    <w:uiPriority w:val="99"/>
    <w:pPr>
      <w:widowControl/>
      <w:spacing w:before="100" w:beforeAutospacing="1" w:after="100" w:afterAutospacing="1"/>
      <w:jc w:val="left"/>
    </w:pPr>
    <w:rPr>
      <w:rFonts w:ascii="宋体"/>
      <w:kern w:val="0"/>
      <w:szCs w:val="24"/>
    </w:rPr>
  </w:style>
  <w:style w:type="paragraph" w:styleId="45">
    <w:name w:val="List Continue 3"/>
    <w:basedOn w:val="1"/>
    <w:qFormat/>
    <w:uiPriority w:val="99"/>
    <w:pPr>
      <w:spacing w:after="120"/>
      <w:ind w:left="600" w:leftChars="600"/>
    </w:pPr>
    <w:rPr>
      <w:rFonts w:ascii="Times New Roman" w:hAnsi="Times New Roman"/>
      <w:szCs w:val="20"/>
    </w:rPr>
  </w:style>
  <w:style w:type="paragraph" w:styleId="46">
    <w:name w:val="annotation subject"/>
    <w:basedOn w:val="16"/>
    <w:next w:val="16"/>
    <w:link w:val="64"/>
    <w:qFormat/>
    <w:uiPriority w:val="99"/>
    <w:rPr>
      <w:b/>
      <w:bCs/>
    </w:r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无间隔1"/>
    <w:basedOn w:val="1"/>
    <w:qFormat/>
    <w:uiPriority w:val="1"/>
    <w:pPr>
      <w:spacing w:line="400" w:lineRule="exact"/>
    </w:p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qFormat/>
    <w:uiPriority w:val="0"/>
    <w:rPr>
      <w:rFonts w:ascii="黑体" w:hAnsi="Calibri" w:eastAsia="黑体"/>
      <w:sz w:val="28"/>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99"/>
    <w:rPr>
      <w:rFonts w:ascii="Calibri" w:hAnsi="Calibri"/>
    </w:rPr>
  </w:style>
  <w:style w:type="character" w:customStyle="1" w:styleId="64">
    <w:name w:val="批注主题 字符"/>
    <w:link w:val="46"/>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7"/>
    <w:semiHidden/>
    <w:qFormat/>
    <w:uiPriority w:val="99"/>
    <w:rPr>
      <w:rFonts w:ascii="Calibri" w:hAnsi="Calibri"/>
      <w:sz w:val="18"/>
      <w:szCs w:val="18"/>
    </w:rPr>
  </w:style>
  <w:style w:type="character" w:customStyle="1" w:styleId="75">
    <w:name w:val="正文文本缩进 3 字符"/>
    <w:link w:val="39"/>
    <w:semiHidden/>
    <w:qFormat/>
    <w:uiPriority w:val="99"/>
    <w:rPr>
      <w:rFonts w:ascii="Calibri" w:hAnsi="Calibri"/>
      <w:sz w:val="16"/>
      <w:szCs w:val="16"/>
    </w:rPr>
  </w:style>
  <w:style w:type="character" w:customStyle="1" w:styleId="76">
    <w:name w:val="正文文本 2 字符"/>
    <w:link w:val="41"/>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0"/>
    <w:rPr>
      <w:sz w:val="18"/>
      <w:szCs w:val="18"/>
    </w:rPr>
  </w:style>
  <w:style w:type="paragraph" w:customStyle="1" w:styleId="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6">
    <w:name w:val="List Paragraph"/>
    <w:basedOn w:val="1"/>
    <w:qFormat/>
    <w:uiPriority w:val="99"/>
    <w:pPr>
      <w:ind w:firstLine="420" w:firstLineChars="200"/>
    </w:pPr>
  </w:style>
  <w:style w:type="character" w:customStyle="1" w:styleId="97">
    <w:name w:val="正文文本首行缩进 2 字符"/>
    <w:basedOn w:val="67"/>
    <w:link w:val="21"/>
    <w:semiHidden/>
    <w:qFormat/>
    <w:uiPriority w:val="99"/>
    <w:rPr>
      <w:rFonts w:ascii="Calibri" w:hAnsi="Calibri"/>
      <w:kern w:val="2"/>
      <w:sz w:val="24"/>
      <w:szCs w:val="22"/>
    </w:rPr>
  </w:style>
  <w:style w:type="paragraph" w:customStyle="1" w:styleId="98">
    <w:name w:val="样式3"/>
    <w:basedOn w:val="26"/>
    <w:qFormat/>
    <w:uiPriority w:val="0"/>
    <w:pPr>
      <w:spacing w:line="0" w:lineRule="atLeast"/>
      <w:outlineLvl w:val="0"/>
    </w:pPr>
    <w:rPr>
      <w:sz w:val="28"/>
    </w:rPr>
  </w:style>
  <w:style w:type="paragraph" w:customStyle="1" w:styleId="99">
    <w:name w:val="Table Paragraph"/>
    <w:basedOn w:val="1"/>
    <w:qFormat/>
    <w:uiPriority w:val="1"/>
    <w:rPr>
      <w:rFonts w:ascii="宋体" w:hAnsi="宋体" w:cs="宋体"/>
      <w:lang w:val="zh-CN" w:bidi="zh-CN"/>
    </w:rPr>
  </w:style>
  <w:style w:type="character" w:customStyle="1" w:styleId="100">
    <w:name w:val="NormalCharacter"/>
    <w:link w:val="1"/>
    <w:qFormat/>
    <w:uiPriority w:val="0"/>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16502</Words>
  <Characters>17217</Characters>
  <Lines>219</Lines>
  <Paragraphs>61</Paragraphs>
  <TotalTime>1</TotalTime>
  <ScaleCrop>false</ScaleCrop>
  <LinksUpToDate>false</LinksUpToDate>
  <CharactersWithSpaces>17873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张磊</cp:lastModifiedBy>
  <cp:lastPrinted>2021-08-30T04:11:00Z</cp:lastPrinted>
  <dcterms:modified xsi:type="dcterms:W3CDTF">2022-10-18T10:14:34Z</dcterms:modified>
  <dc:title>洛</dc:title>
  <cp:revision>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614AA5AFE6B6471387773CEDCA4F4F99</vt:lpwstr>
  </property>
  <property fmtid="{D5CDD505-2E9C-101B-9397-08002B2CF9AE}" pid="4" name="commondata">
    <vt:lpwstr>eyJoZGlkIjoiZDU5ODE0N2QzZTY2Y2Y3NjY0ZjQ3OTEzYmE5Njk3ZWUifQ==</vt:lpwstr>
  </property>
</Properties>
</file>