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/>
          <w:b/>
          <w:bCs/>
          <w:sz w:val="24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jc w:val="center"/>
        <w:rPr>
          <w:sz w:val="36"/>
          <w:szCs w:val="36"/>
        </w:rPr>
      </w:pPr>
      <w:r>
        <w:rPr>
          <w:rFonts w:hint="eastAsia" w:ascii="黑体" w:eastAsia="黑体"/>
          <w:sz w:val="72"/>
          <w:szCs w:val="72"/>
        </w:rPr>
        <w:t xml:space="preserve"> 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开元壹号61#地块万达广场项</w:t>
      </w:r>
      <w:r>
        <w:rPr>
          <w:rFonts w:hint="eastAsia"/>
          <w:sz w:val="44"/>
          <w:szCs w:val="44"/>
          <w:lang w:val="en-US" w:eastAsia="zh-CN"/>
        </w:rPr>
        <w:t>目</w:t>
      </w:r>
      <w:r>
        <w:rPr>
          <w:rFonts w:hint="eastAsia"/>
          <w:sz w:val="44"/>
          <w:szCs w:val="44"/>
        </w:rPr>
        <w:t>设计总包合同补充协议（一）</w:t>
      </w: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rPr>
          <w:sz w:val="32"/>
          <w:szCs w:val="32"/>
        </w:rPr>
      </w:pPr>
    </w:p>
    <w:p>
      <w:pPr>
        <w:spacing w:line="600" w:lineRule="exact"/>
        <w:ind w:firstLine="700" w:firstLineChars="25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发 包 人：</w:t>
      </w:r>
      <w:r>
        <w:rPr>
          <w:rFonts w:hint="eastAsia"/>
          <w:sz w:val="28"/>
          <w:szCs w:val="28"/>
          <w:u w:val="single"/>
        </w:rPr>
        <w:t>洛阳浩德鑫置地有限公司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</w:t>
      </w:r>
    </w:p>
    <w:p>
      <w:pPr>
        <w:spacing w:line="600" w:lineRule="exact"/>
        <w:ind w:firstLine="700" w:firstLineChars="25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设 计 人：</w:t>
      </w:r>
      <w:r>
        <w:rPr>
          <w:rFonts w:hint="eastAsia"/>
          <w:sz w:val="28"/>
          <w:szCs w:val="28"/>
          <w:u w:val="single"/>
        </w:rPr>
        <w:t>北京国科天创建筑设计院有限责任公司</w:t>
      </w:r>
      <w:r>
        <w:rPr>
          <w:rFonts w:hint="eastAsia"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</w:p>
    <w:p>
      <w:pPr>
        <w:spacing w:line="600" w:lineRule="exact"/>
        <w:ind w:firstLine="700" w:firstLineChars="25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签订日期：</w:t>
      </w:r>
      <w:r>
        <w:rPr>
          <w:rFonts w:hint="eastAsia"/>
          <w:sz w:val="28"/>
          <w:szCs w:val="28"/>
          <w:u w:val="single"/>
        </w:rPr>
        <w:t xml:space="preserve">      202</w:t>
      </w:r>
      <w:r>
        <w:rPr>
          <w:rFonts w:hint="eastAsia"/>
          <w:sz w:val="28"/>
          <w:szCs w:val="28"/>
          <w:u w:val="single"/>
          <w:lang w:val="en-US" w:eastAsia="zh-CN"/>
        </w:rPr>
        <w:t>2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>3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22</w:t>
      </w:r>
      <w:r>
        <w:rPr>
          <w:rFonts w:hint="eastAsia"/>
          <w:sz w:val="28"/>
          <w:szCs w:val="28"/>
          <w:u w:val="single"/>
        </w:rPr>
        <w:t xml:space="preserve">日           </w:t>
      </w:r>
    </w:p>
    <w:p>
      <w:pPr>
        <w:spacing w:line="600" w:lineRule="exact"/>
        <w:ind w:firstLine="800" w:firstLineChars="250"/>
        <w:rPr>
          <w:spacing w:val="22"/>
          <w:sz w:val="36"/>
          <w:szCs w:val="36"/>
        </w:rPr>
      </w:pPr>
      <w:r>
        <w:rPr>
          <w:rFonts w:hint="eastAsia"/>
          <w:sz w:val="32"/>
          <w:szCs w:val="32"/>
        </w:rPr>
        <w:t xml:space="preserve"> </w:t>
      </w:r>
    </w:p>
    <w:p>
      <w:pPr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br w:type="page"/>
      </w:r>
    </w:p>
    <w:p>
      <w:pPr>
        <w:spacing w:beforeLines="50" w:afterLines="50"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开元壹号61#地块万达广场项目设计总包合同补充协议（一）</w:t>
      </w:r>
    </w:p>
    <w:p>
      <w:pPr>
        <w:pStyle w:val="14"/>
        <w:spacing w:line="360" w:lineRule="auto"/>
        <w:ind w:firstLine="0" w:firstLineChars="0"/>
        <w:rPr>
          <w:rFonts w:ascii="宋体" w:hAnsi="宋体" w:cs="微软雅黑"/>
          <w:kern w:val="0"/>
          <w:sz w:val="24"/>
        </w:rPr>
      </w:pPr>
      <w:r>
        <w:rPr>
          <w:rFonts w:hint="eastAsia" w:ascii="宋体" w:hAnsi="宋体" w:cs="微软雅黑"/>
          <w:kern w:val="0"/>
          <w:sz w:val="24"/>
        </w:rPr>
        <w:t>发包人（下称“甲方”）：</w:t>
      </w:r>
      <w:r>
        <w:rPr>
          <w:rFonts w:hint="eastAsia"/>
          <w:sz w:val="24"/>
          <w:u w:val="single"/>
        </w:rPr>
        <w:t>洛阳浩德鑫置地有限公司</w:t>
      </w:r>
      <w:r>
        <w:rPr>
          <w:rFonts w:hint="eastAsia"/>
          <w:sz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cs="微软雅黑"/>
          <w:kern w:val="0"/>
          <w:sz w:val="24"/>
          <w:u w:val="words"/>
        </w:rPr>
        <w:t xml:space="preserve">      </w:t>
      </w:r>
      <w:r>
        <w:rPr>
          <w:rFonts w:hint="eastAsia" w:ascii="宋体" w:hAnsi="宋体" w:cs="微软雅黑"/>
          <w:kern w:val="0"/>
          <w:sz w:val="24"/>
        </w:rPr>
        <w:t xml:space="preserve">       </w:t>
      </w:r>
    </w:p>
    <w:p>
      <w:pPr>
        <w:spacing w:line="400" w:lineRule="exact"/>
        <w:jc w:val="left"/>
        <w:rPr>
          <w:rFonts w:ascii="宋体" w:hAnsi="宋体" w:cs="微软雅黑"/>
          <w:kern w:val="0"/>
          <w:sz w:val="24"/>
          <w:u w:val="single"/>
        </w:rPr>
      </w:pPr>
      <w:r>
        <w:rPr>
          <w:rFonts w:hint="eastAsia" w:ascii="宋体" w:hAnsi="宋体" w:cs="微软雅黑"/>
          <w:kern w:val="0"/>
          <w:sz w:val="24"/>
        </w:rPr>
        <w:t>设计人（下称“乙方”）：</w:t>
      </w:r>
      <w:r>
        <w:rPr>
          <w:rFonts w:hint="eastAsia" w:ascii="宋体" w:hAnsi="宋体" w:cs="微软雅黑"/>
          <w:kern w:val="0"/>
          <w:sz w:val="24"/>
          <w:u w:val="single"/>
        </w:rPr>
        <w:t>北京国科天创建筑设计院有限责任公司</w:t>
      </w:r>
    </w:p>
    <w:p>
      <w:pPr>
        <w:spacing w:beforeLines="50"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鉴于：甲方于20</w:t>
      </w:r>
      <w:r>
        <w:rPr>
          <w:rFonts w:hint="eastAsia"/>
          <w:sz w:val="24"/>
          <w:lang w:val="en-US" w:eastAsia="zh-CN"/>
        </w:rPr>
        <w:t>18</w:t>
      </w:r>
      <w:r>
        <w:rPr>
          <w:rFonts w:hint="eastAsia"/>
          <w:sz w:val="24"/>
        </w:rPr>
        <w:t>年</w:t>
      </w:r>
      <w:r>
        <w:rPr>
          <w:sz w:val="24"/>
        </w:rPr>
        <w:t>0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11</w:t>
      </w:r>
      <w:r>
        <w:rPr>
          <w:rFonts w:hint="eastAsia"/>
          <w:sz w:val="24"/>
        </w:rPr>
        <w:t>日与乙方就开元壹号61#地块万达广场项目（下称“项目”或“本项目”）设计签署了《开元壹号 61#地块万达广场项目设计总包合同》合同编号：KYYH61B-QQ-005（下称“原合同”）。原合同履行过程中，</w:t>
      </w:r>
      <w:r>
        <w:rPr>
          <w:rFonts w:hint="eastAsia"/>
          <w:sz w:val="24"/>
          <w:lang w:val="en-US" w:eastAsia="zh-CN"/>
        </w:rPr>
        <w:t>由于项目建筑面积调整</w:t>
      </w:r>
      <w:r>
        <w:rPr>
          <w:rFonts w:hint="eastAsia"/>
          <w:sz w:val="24"/>
        </w:rPr>
        <w:t>，</w:t>
      </w:r>
      <w:r>
        <w:rPr>
          <w:rFonts w:hint="eastAsia"/>
          <w:sz w:val="24"/>
          <w:lang w:val="en-US" w:eastAsia="zh-CN"/>
        </w:rPr>
        <w:t>就建筑面积重新核定合同金额</w:t>
      </w:r>
      <w:r>
        <w:rPr>
          <w:rFonts w:hint="eastAsia"/>
          <w:sz w:val="24"/>
        </w:rPr>
        <w:t>。现甲乙双方本着公平平等的原则，就本项目</w:t>
      </w:r>
      <w:r>
        <w:rPr>
          <w:rFonts w:hint="eastAsia"/>
          <w:sz w:val="24"/>
          <w:lang w:val="en-US" w:eastAsia="zh-CN"/>
        </w:rPr>
        <w:t>新建筑面积</w:t>
      </w:r>
      <w:r>
        <w:rPr>
          <w:rFonts w:hint="eastAsia"/>
          <w:sz w:val="24"/>
        </w:rPr>
        <w:t>的设计费用事</w:t>
      </w:r>
      <w:r>
        <w:rPr>
          <w:rFonts w:hint="eastAsia"/>
          <w:sz w:val="24"/>
          <w:lang w:val="en-US" w:eastAsia="zh-CN"/>
        </w:rPr>
        <w:t>宜</w:t>
      </w:r>
      <w:r>
        <w:rPr>
          <w:rFonts w:hint="eastAsia"/>
          <w:sz w:val="24"/>
        </w:rPr>
        <w:t>已达成一致意见，并签订补充协议如下：</w:t>
      </w:r>
    </w:p>
    <w:p>
      <w:pPr>
        <w:pStyle w:val="3"/>
        <w:numPr>
          <w:ilvl w:val="0"/>
          <w:numId w:val="1"/>
        </w:numPr>
        <w:ind w:firstLine="454"/>
        <w:rPr>
          <w:sz w:val="24"/>
        </w:rPr>
      </w:pPr>
      <w:r>
        <w:rPr>
          <w:rFonts w:hint="eastAsia"/>
          <w:sz w:val="24"/>
        </w:rPr>
        <w:t>工作变化内容</w:t>
      </w:r>
    </w:p>
    <w:p>
      <w:pPr>
        <w:pStyle w:val="14"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lang w:val="en-US" w:eastAsia="zh-CN"/>
        </w:rPr>
        <w:t>甲乙双方确认：</w:t>
      </w:r>
      <w:r>
        <w:rPr>
          <w:rFonts w:hint="eastAsia" w:ascii="宋体" w:hAnsi="宋体"/>
          <w:bCs/>
          <w:sz w:val="24"/>
        </w:rPr>
        <w:t>原合同</w:t>
      </w:r>
      <w:r>
        <w:rPr>
          <w:rFonts w:hint="eastAsia" w:ascii="宋体" w:hAnsi="宋体"/>
          <w:bCs/>
          <w:sz w:val="24"/>
          <w:lang w:val="en-US" w:eastAsia="zh-CN"/>
        </w:rPr>
        <w:t>约定总建筑面积约19.74万平方米调整为13.17万平方米</w:t>
      </w:r>
      <w:r>
        <w:rPr>
          <w:rFonts w:hint="eastAsia" w:ascii="宋体" w:hAnsi="宋体"/>
          <w:bCs/>
          <w:sz w:val="24"/>
        </w:rPr>
        <w:t>。</w:t>
      </w:r>
    </w:p>
    <w:p>
      <w:pPr>
        <w:pStyle w:val="14"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原合同第三条第4款变更为“设计总包内容包括：本次设计总包内容包括但不限于总图及方案报批，单体及外网施工图设计，建筑方案设计，外幕墙、采光顶及相关钢结构施工图，步行街公共空间室内方案及施工图设计，夜景照明方案及施工图设计，景观设计，弱电智能化方案及施工图设计，导向标识方案施工图设计，车库动线方案及施工图设计，人防施工图设计等。”</w:t>
      </w:r>
    </w:p>
    <w:p>
      <w:pPr>
        <w:pStyle w:val="14"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  <w:lang w:val="en-US" w:eastAsia="zh-CN"/>
        </w:rPr>
        <w:t>原合同4.1.1款由乙方设计的工作内容变更为</w:t>
      </w:r>
      <w:r>
        <w:rPr>
          <w:rFonts w:hint="eastAsia" w:ascii="宋体" w:hAnsi="宋体"/>
          <w:color w:val="auto"/>
          <w:sz w:val="24"/>
        </w:rPr>
        <w:t>（1）本项目设计总包管理；</w:t>
      </w:r>
    </w:p>
    <w:p>
      <w:pPr>
        <w:pStyle w:val="14"/>
        <w:spacing w:line="360" w:lineRule="auto"/>
        <w:ind w:firstLineChars="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（2）本项目</w:t>
      </w:r>
      <w:r>
        <w:rPr>
          <w:rFonts w:hint="eastAsia" w:ascii="宋体" w:hAnsi="宋体"/>
          <w:color w:val="auto"/>
          <w:sz w:val="24"/>
          <w:lang w:val="en-US" w:eastAsia="zh-CN"/>
        </w:rPr>
        <w:t>建筑</w:t>
      </w:r>
      <w:r>
        <w:rPr>
          <w:rFonts w:hint="eastAsia" w:ascii="宋体" w:hAnsi="宋体"/>
          <w:color w:val="auto"/>
          <w:sz w:val="24"/>
        </w:rPr>
        <w:t>类施工图设计；（3）本项目</w:t>
      </w:r>
      <w:r>
        <w:rPr>
          <w:rFonts w:hint="eastAsia" w:ascii="宋体" w:hAnsi="宋体"/>
          <w:color w:val="auto"/>
          <w:sz w:val="24"/>
          <w:lang w:val="en-US" w:eastAsia="zh-CN"/>
        </w:rPr>
        <w:t>建筑</w:t>
      </w:r>
      <w:r>
        <w:rPr>
          <w:rFonts w:hint="eastAsia" w:ascii="宋体" w:hAnsi="宋体"/>
          <w:color w:val="auto"/>
          <w:sz w:val="24"/>
        </w:rPr>
        <w:t>方案设计；（4）本项目外幕墙、采光顶及相关钢结构施工图设计；（5）本项目景观设计；</w:t>
      </w:r>
    </w:p>
    <w:p>
      <w:pPr>
        <w:pStyle w:val="14"/>
        <w:numPr>
          <w:ilvl w:val="0"/>
          <w:numId w:val="2"/>
        </w:numPr>
        <w:spacing w:line="360" w:lineRule="auto"/>
        <w:ind w:firstLineChars="0"/>
        <w:jc w:val="lef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乙方收取本合同项下设计费的银行账户如下：</w:t>
      </w:r>
    </w:p>
    <w:p>
      <w:pPr>
        <w:pStyle w:val="14"/>
        <w:numPr>
          <w:ilvl w:val="0"/>
          <w:numId w:val="0"/>
        </w:numPr>
        <w:spacing w:line="360" w:lineRule="auto"/>
        <w:ind w:left="420" w:leftChars="0"/>
        <w:jc w:val="lef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开户名称：北京国科天创建筑设计院有限责任公司； </w:t>
      </w:r>
    </w:p>
    <w:p>
      <w:pPr>
        <w:pStyle w:val="14"/>
        <w:numPr>
          <w:ilvl w:val="0"/>
          <w:numId w:val="0"/>
        </w:numPr>
        <w:spacing w:line="360" w:lineRule="auto"/>
        <w:ind w:left="420" w:leftChars="0"/>
        <w:jc w:val="lef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开 户 行：中国银行北京航天桥支行； </w:t>
      </w:r>
    </w:p>
    <w:p>
      <w:pPr>
        <w:pStyle w:val="14"/>
        <w:numPr>
          <w:ilvl w:val="0"/>
          <w:numId w:val="0"/>
        </w:numPr>
        <w:spacing w:line="360" w:lineRule="auto"/>
        <w:ind w:left="420" w:leftChars="0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账    号：346769548852。</w:t>
      </w:r>
    </w:p>
    <w:p>
      <w:pPr>
        <w:pStyle w:val="3"/>
        <w:numPr>
          <w:ilvl w:val="0"/>
          <w:numId w:val="1"/>
        </w:numPr>
        <w:ind w:firstLine="454"/>
        <w:rPr>
          <w:sz w:val="24"/>
        </w:rPr>
      </w:pPr>
      <w:r>
        <w:rPr>
          <w:rFonts w:hint="eastAsia"/>
          <w:sz w:val="24"/>
          <w:lang w:val="en-US" w:eastAsia="zh-CN"/>
        </w:rPr>
        <w:t>设计费用及支付</w:t>
      </w:r>
    </w:p>
    <w:p>
      <w:pPr>
        <w:pStyle w:val="14"/>
        <w:numPr>
          <w:ilvl w:val="0"/>
          <w:numId w:val="0"/>
        </w:numPr>
        <w:spacing w:line="360" w:lineRule="auto"/>
        <w:ind w:left="420" w:leftChars="0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2</w:t>
      </w:r>
      <w:r>
        <w:rPr>
          <w:rFonts w:ascii="宋体" w:hAnsi="宋体"/>
          <w:b/>
          <w:sz w:val="24"/>
        </w:rPr>
        <w:t>.1</w:t>
      </w:r>
      <w:r>
        <w:rPr>
          <w:rFonts w:hint="eastAsia" w:ascii="宋体" w:hAnsi="宋体"/>
          <w:b/>
          <w:sz w:val="24"/>
        </w:rPr>
        <w:t>、设计费构成</w:t>
      </w:r>
    </w:p>
    <w:p>
      <w:pPr>
        <w:pStyle w:val="19"/>
        <w:widowControl/>
        <w:adjustRightInd w:val="0"/>
        <w:snapToGrid w:val="0"/>
        <w:spacing w:after="64" w:afterLines="20" w:line="360" w:lineRule="auto"/>
        <w:ind w:left="420" w:firstLine="0" w:firstLineChars="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（1）本合同为固定单价合同，合同总价金额为暂定。</w:t>
      </w:r>
    </w:p>
    <w:p>
      <w:pPr>
        <w:pStyle w:val="19"/>
        <w:widowControl/>
        <w:adjustRightInd w:val="0"/>
        <w:snapToGrid w:val="0"/>
        <w:spacing w:after="64" w:afterLines="20" w:line="360" w:lineRule="auto"/>
        <w:ind w:left="420" w:firstLine="0" w:firstLineChars="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（2）</w:t>
      </w:r>
      <w:r>
        <w:rPr>
          <w:rFonts w:ascii="宋体" w:hAnsi="宋体"/>
          <w:kern w:val="0"/>
          <w:sz w:val="24"/>
          <w:szCs w:val="24"/>
        </w:rPr>
        <w:t>本合同项下的</w:t>
      </w:r>
      <w:r>
        <w:rPr>
          <w:rFonts w:ascii="宋体" w:hAnsi="宋体"/>
          <w:sz w:val="24"/>
          <w:szCs w:val="24"/>
        </w:rPr>
        <w:t>设计费</w:t>
      </w:r>
      <w:r>
        <w:rPr>
          <w:rFonts w:hint="eastAsia" w:ascii="宋体" w:hAnsi="宋体"/>
          <w:sz w:val="24"/>
          <w:szCs w:val="24"/>
        </w:rPr>
        <w:t>暂定总价金额为（大写）：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壹仟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壹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佰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陆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拾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肆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万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肆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仟元整</w:t>
      </w:r>
      <w:r>
        <w:rPr>
          <w:rFonts w:hint="eastAsia" w:ascii="宋体" w:hAnsi="宋体"/>
          <w:sz w:val="24"/>
          <w:szCs w:val="24"/>
        </w:rPr>
        <w:t>（小写）：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11,644,000.00</w:t>
      </w:r>
      <w:r>
        <w:rPr>
          <w:rFonts w:ascii="宋体" w:hAnsi="宋体"/>
          <w:sz w:val="24"/>
          <w:szCs w:val="24"/>
          <w:u w:val="single"/>
        </w:rPr>
        <w:t>元</w:t>
      </w:r>
      <w:r>
        <w:rPr>
          <w:rFonts w:hint="eastAsia" w:ascii="宋体" w:hAnsi="宋体"/>
          <w:sz w:val="24"/>
          <w:szCs w:val="24"/>
        </w:rPr>
        <w:t>；</w:t>
      </w:r>
    </w:p>
    <w:p>
      <w:pPr>
        <w:pStyle w:val="19"/>
        <w:widowControl/>
        <w:adjustRightInd w:val="0"/>
        <w:snapToGrid w:val="0"/>
        <w:spacing w:after="64" w:afterLines="20" w:line="360" w:lineRule="auto"/>
        <w:ind w:left="420" w:leftChars="200" w:firstLine="0" w:firstLineChars="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 w:cs="Arial"/>
          <w:kern w:val="0"/>
          <w:sz w:val="24"/>
        </w:rPr>
        <w:t>（3）合同价款由设计总包管理费、各专项设计费二部分组成。</w:t>
      </w:r>
    </w:p>
    <w:p>
      <w:pPr>
        <w:pStyle w:val="19"/>
        <w:widowControl/>
        <w:adjustRightInd w:val="0"/>
        <w:snapToGrid w:val="0"/>
        <w:spacing w:after="64" w:afterLines="20" w:line="360" w:lineRule="auto"/>
        <w:ind w:left="420" w:leftChars="200" w:firstLine="0" w:firstLineChars="0"/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 w:cs="Arial"/>
          <w:kern w:val="0"/>
          <w:sz w:val="24"/>
        </w:rPr>
        <w:t>（</w:t>
      </w:r>
      <w:r>
        <w:rPr>
          <w:rFonts w:hint="eastAsia" w:ascii="宋体" w:hAnsi="宋体" w:cs="Arial"/>
          <w:kern w:val="0"/>
          <w:sz w:val="24"/>
          <w:lang w:val="en-US" w:eastAsia="zh-CN"/>
        </w:rPr>
        <w:t>4</w:t>
      </w:r>
      <w:r>
        <w:rPr>
          <w:rFonts w:hint="eastAsia" w:ascii="宋体" w:hAnsi="宋体" w:cs="Arial"/>
          <w:kern w:val="0"/>
          <w:sz w:val="24"/>
        </w:rPr>
        <w:t>）</w:t>
      </w:r>
      <w:r>
        <w:rPr>
          <w:rFonts w:hint="eastAsia" w:ascii="宋体" w:hAnsi="宋体"/>
          <w:kern w:val="0"/>
          <w:sz w:val="24"/>
        </w:rPr>
        <w:t>各专项设计费单价及建筑面积（或设计面积）见下表</w:t>
      </w:r>
      <w:r>
        <w:rPr>
          <w:rFonts w:ascii="宋体" w:hAnsi="宋体"/>
          <w:kern w:val="0"/>
          <w:sz w:val="24"/>
        </w:rPr>
        <w:t>。</w:t>
      </w:r>
    </w:p>
    <w:tbl>
      <w:tblPr>
        <w:tblStyle w:val="9"/>
        <w:tblW w:w="9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286"/>
        <w:gridCol w:w="1699"/>
        <w:gridCol w:w="1286"/>
        <w:gridCol w:w="1366"/>
        <w:gridCol w:w="1477"/>
        <w:gridCol w:w="17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9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设计分项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设计费单价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设计面积</w:t>
            </w:r>
          </w:p>
        </w:tc>
        <w:tc>
          <w:tcPr>
            <w:tcW w:w="14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合价（万元）</w:t>
            </w:r>
          </w:p>
        </w:tc>
        <w:tc>
          <w:tcPr>
            <w:tcW w:w="1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9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20"/>
                <w:color w:val="auto"/>
                <w:lang w:val="en-US" w:eastAsia="zh-CN" w:bidi="ar"/>
              </w:rPr>
              <w:t>（元/ m</w:t>
            </w:r>
            <w:r>
              <w:rPr>
                <w:rStyle w:val="21"/>
                <w:color w:val="auto"/>
                <w:lang w:val="en-US" w:eastAsia="zh-CN" w:bidi="ar"/>
              </w:rPr>
              <w:t>2</w:t>
            </w:r>
            <w:r>
              <w:rPr>
                <w:rStyle w:val="20"/>
                <w:color w:val="auto"/>
                <w:lang w:val="en-US" w:eastAsia="zh-CN" w:bidi="ar"/>
              </w:rPr>
              <w:t>）</w:t>
            </w:r>
          </w:p>
        </w:tc>
        <w:tc>
          <w:tcPr>
            <w:tcW w:w="1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20"/>
                <w:color w:val="auto"/>
                <w:lang w:val="en-US" w:eastAsia="zh-CN" w:bidi="ar"/>
              </w:rPr>
              <w:t>（万m</w:t>
            </w:r>
            <w:r>
              <w:rPr>
                <w:rStyle w:val="21"/>
                <w:color w:val="auto"/>
                <w:lang w:val="en-US" w:eastAsia="zh-CN" w:bidi="ar"/>
              </w:rPr>
              <w:t>2</w:t>
            </w:r>
            <w:r>
              <w:rPr>
                <w:rStyle w:val="20"/>
                <w:color w:val="auto"/>
                <w:lang w:val="en-US" w:eastAsia="zh-CN" w:bidi="ar"/>
              </w:rPr>
              <w:t>）</w:t>
            </w:r>
          </w:p>
        </w:tc>
        <w:tc>
          <w:tcPr>
            <w:tcW w:w="1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类施工图设计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大商业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31.5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172.31 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层数、面积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金街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31.5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25.20 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层数、面积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办公、公寓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1.47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42.63 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层数、面积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配套建筑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0.21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6.09 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层数、面积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34.5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180.09 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含人防设计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426.32 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建筑方案设计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商业方案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109.40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以地上建筑面积为计算基数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金街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16.00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以地上建筑面积为计算基数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办公、公寓方案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1.47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23.52 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以地上建筑面积为计算基数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配套建筑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0.21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3.36 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以地上建筑面积为计算基数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152.28 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外幕墙、采光顶及钢结构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施工图设计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以地上建筑面积为计算基数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现场服务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以地上建筑面积为计算基数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7.5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59.63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步行街公共空间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室内方案设计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步行街公共区域面积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室内施工图设计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89.70 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步行街公共区域面积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现场服务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23.00 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步行街公共区域面积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193.20 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夜景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照明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方案深化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7.95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15.90 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以地上建筑面积为计算基数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施工图设计及施工服务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7.95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15.90 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以地上建筑面积为计算基数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开业及运营指导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0.45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7.95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3.58 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以地上建筑面积为计算基数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4.45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7.95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35.38 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景观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方案深化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2.03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22.33 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景观面积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施工图设计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2.03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26.39 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景观面积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现场服务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2.03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12.18 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景观面积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2.03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60.90 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弱电智能化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方案设计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13.17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26.34 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以相应部位建筑面积为计算基数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施工图设计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13.17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19.76 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以相应部位建筑面积为计算基数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现场服务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13.17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6.59 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以相应部位建筑面积为计算基数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13.17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52.68 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导向、标识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商业户外广场部分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2.03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10.15 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以相应部位建筑面积为计算基数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商业室内步行街部分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11.50 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以相应部位建筑面积为计算基数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商业地下停车场部分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5.22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20.88 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以相应部位建筑面积为计算基数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42.53 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车库动线设计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5.22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26.10 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以相应部位建筑面积为计算基数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各项小计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1049.01 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以总建筑面积为计算基数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设计总包管理费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115.39 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以总建筑面积为计算基数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设计总包管理费系数（C）</w:t>
            </w:r>
          </w:p>
        </w:tc>
        <w:tc>
          <w:tcPr>
            <w:tcW w:w="59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  <w:tc>
          <w:tcPr>
            <w:tcW w:w="41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164.40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以总建筑面积为计算基数</w:t>
            </w:r>
          </w:p>
        </w:tc>
      </w:tr>
    </w:tbl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64" w:afterLines="20" w:line="360" w:lineRule="auto"/>
        <w:ind w:left="420" w:leftChars="200" w:firstLine="0" w:firstLineChars="0"/>
        <w:jc w:val="left"/>
        <w:textAlignment w:val="auto"/>
        <w:rPr>
          <w:rFonts w:hint="eastAsia" w:ascii="宋体" w:hAnsi="宋体"/>
          <w:kern w:val="0"/>
          <w:sz w:val="24"/>
          <w:lang w:val="en-US" w:eastAsia="zh-CN"/>
        </w:rPr>
      </w:pPr>
      <w:r>
        <w:rPr>
          <w:rFonts w:hint="eastAsia" w:ascii="宋体" w:hAnsi="宋体"/>
          <w:kern w:val="0"/>
          <w:sz w:val="24"/>
          <w:lang w:val="en-US" w:eastAsia="zh-CN"/>
        </w:rPr>
        <w:t>2.2设计费支付进度详见下表：</w:t>
      </w:r>
    </w:p>
    <w:tbl>
      <w:tblPr>
        <w:tblStyle w:val="9"/>
        <w:tblW w:w="963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45" w:type="dxa"/>
          <w:bottom w:w="0" w:type="dxa"/>
          <w:right w:w="45" w:type="dxa"/>
        </w:tblCellMar>
      </w:tblPr>
      <w:tblGrid>
        <w:gridCol w:w="803"/>
        <w:gridCol w:w="1143"/>
        <w:gridCol w:w="1134"/>
        <w:gridCol w:w="3050"/>
        <w:gridCol w:w="1977"/>
        <w:gridCol w:w="15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746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付费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次序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占设计费总价比例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 xml:space="preserve">付费额（万元） 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费用构成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支付时间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9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第一次付费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5.0%（预付款）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58.2199 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1.设计总包管理费的5%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2.各分项设计费的5%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本合同签订后10个工作日内。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667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第二次付费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约12.68%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147.6457 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1.设计总包管理费的20%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2.土建类施工图设计费的20%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3.外立面方案深化、初步设计及施工图设计费的20%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设计人提交基坑开挖图及基础图、外立面方案设计成果，达到合同及甲方要求并经甲方认可后10个工作日内。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746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第三次付费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约7.8%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90.8231 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1.设计总包管理费的10%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2.土建类施工图设计费的10%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3.外立面方案深化、初步设计及施工图设计费的20%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设计人提交±0.000以下土建图、外立面初步设计设计成果，达到合同要求并经甲方认可后10个工作日内。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746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第四次付费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约21.65%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252.0922 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1.设计总包管理费的20%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2.土建类施工图设计费的15%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3.外立面方案深化、初步设计及施工图设计费的20%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4.外幕墙、采光顶及相关钢结构施工图设计费的40%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5.步行街公共空间室内施工图设计费的30%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6.夜景照明施工图设计费的30%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7.景观施工图设计费的30%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8.弱电智能化施工图设计费的30%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9.导向标识施工图设计费的30%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设计人提交各专项第一版施工图设计成果，达到合同及甲方要求并经甲方认可后10个工作日内。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第一版施工图包含：土建类建筑、结构、设备、电气，外立面、外幕墙、采光顶及相关钢结构、步行街公共空间室内、夜景照明、景观、弱电智能化、导向标识、人防专业图纸。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746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第五次付费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约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29.2</w:t>
            </w:r>
            <w:r>
              <w:rPr>
                <w:rFonts w:hint="eastAsia" w:ascii="宋体" w:hAnsi="宋体" w:cs="宋体"/>
                <w:color w:val="auto"/>
                <w:szCs w:val="21"/>
              </w:rPr>
              <w:t>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340.0043 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1.设计总包管理费的25%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2.土建类施工图设计费的25%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3.外立面方案深化、初步设计及施工图设计费的25%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4.外幕墙、采光顶及相关钢结构施工图设计费的35%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5.步行街公共空间室内施工图设计费的35%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6.夜景照明施工图设计费的35%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7.景观施工图设计费的3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Cs w:val="21"/>
              </w:rPr>
              <w:t>%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8.弱电智能化施工图设计费的35%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9.导向标识施工图设计费的35%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10.车库动线方案设计费的60%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设计人提交各专项第二版（最终版）全套施工图设计，达到合同及甲方要求并经甲方认可后10个工作日内。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第二版施工图包含：土建类建筑、结构、设备、电气，外立面、外幕墙、采光顶及相关钢结构、步行街公共空间室内、夜景照明、景观、弱电智能化、导向标识、人防专业图纸。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746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第六次付费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约4.88%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56.8226 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1.设计总包管理费的10%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2.土建类施工图设计费的10%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本项目主体结构封顶并经甲方书面确认</w:t>
            </w:r>
            <w:r>
              <w:rPr>
                <w:rFonts w:ascii="宋体" w:hAnsi="宋体" w:cs="宋体"/>
                <w:color w:val="auto"/>
                <w:szCs w:val="21"/>
              </w:rPr>
              <w:t>后10个工作日内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。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746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第七次付费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约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15.93</w:t>
            </w:r>
            <w:r>
              <w:rPr>
                <w:rFonts w:hint="eastAsia" w:ascii="宋体" w:hAnsi="宋体" w:cs="宋体"/>
                <w:color w:val="auto"/>
                <w:szCs w:val="21"/>
              </w:rPr>
              <w:t>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185.4887 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1.土建类施工图设计费的15%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2.外立面方案深化及施工图设计费的10%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3.外幕墙、采光顶及相关钢结构施工图设计费的20%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4.步行街公共空间室内施工图设计费的20%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5.夜景照明施工图设计费的20%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szCs w:val="21"/>
              </w:rPr>
              <w:t>.景观施工图设计费的30%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auto"/>
                <w:szCs w:val="21"/>
              </w:rPr>
              <w:t>.弱电智能化施工图设计的20%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szCs w:val="21"/>
              </w:rPr>
              <w:t>.导向标识施工图设计费的</w:t>
            </w:r>
            <w:r>
              <w:rPr>
                <w:rFonts w:ascii="宋体" w:hAnsi="宋体" w:cs="宋体"/>
                <w:color w:val="auto"/>
                <w:szCs w:val="21"/>
              </w:rPr>
              <w:t>3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auto"/>
                <w:szCs w:val="21"/>
              </w:rPr>
              <w:t>%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.车库动线方案费的35%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本项目</w:t>
            </w:r>
            <w:r>
              <w:rPr>
                <w:rFonts w:ascii="宋体" w:hAnsi="宋体" w:cs="宋体"/>
                <w:color w:val="auto"/>
                <w:szCs w:val="21"/>
              </w:rPr>
              <w:t>竣工验收合格</w:t>
            </w:r>
            <w:r>
              <w:rPr>
                <w:rFonts w:hint="eastAsia" w:ascii="宋体" w:hAnsi="宋体" w:cs="宋体"/>
                <w:color w:val="auto"/>
                <w:szCs w:val="21"/>
              </w:rPr>
              <w:t>且设计人</w:t>
            </w:r>
            <w:r>
              <w:rPr>
                <w:rFonts w:ascii="宋体" w:hAnsi="宋体" w:cs="宋体"/>
                <w:color w:val="auto"/>
                <w:szCs w:val="21"/>
              </w:rPr>
              <w:t>协助施工单位完成竣工图，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双方</w:t>
            </w:r>
            <w:r>
              <w:rPr>
                <w:rFonts w:ascii="宋体" w:hAnsi="宋体" w:cs="宋体"/>
                <w:color w:val="auto"/>
                <w:szCs w:val="21"/>
              </w:rPr>
              <w:t>结算完成且设计遗留问题处理完毕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并经甲方书面确认</w:t>
            </w:r>
            <w:r>
              <w:rPr>
                <w:rFonts w:ascii="宋体" w:hAnsi="宋体" w:cs="宋体"/>
                <w:color w:val="auto"/>
                <w:szCs w:val="21"/>
              </w:rPr>
              <w:t>后15个工作日内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746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第八次设计费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约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2.86</w:t>
            </w:r>
            <w:r>
              <w:rPr>
                <w:rFonts w:hint="eastAsia" w:ascii="宋体" w:hAnsi="宋体" w:cs="宋体"/>
                <w:color w:val="auto"/>
                <w:szCs w:val="21"/>
              </w:rPr>
              <w:t>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33.3018 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1.设计总包管理费的剩余设计费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2.步行街公共空间室内施工图设计费的剩余设计费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3.夜景照明施工图设计费的剩余设计费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4.弱电智能化施工图设计费的剩余设计费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本项目慧云系统联合验收完成，甲方书面确认</w:t>
            </w:r>
            <w:r>
              <w:rPr>
                <w:rFonts w:ascii="宋体" w:hAnsi="宋体" w:cs="宋体"/>
                <w:color w:val="auto"/>
                <w:szCs w:val="21"/>
              </w:rPr>
              <w:t>后15个工作日内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</w:tbl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64" w:afterLines="20" w:line="360" w:lineRule="auto"/>
        <w:ind w:left="0" w:leftChars="0" w:firstLine="480" w:firstLineChars="200"/>
        <w:jc w:val="left"/>
        <w:textAlignment w:val="auto"/>
        <w:rPr>
          <w:rFonts w:hint="default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说明：</w:t>
      </w:r>
      <w:r>
        <w:rPr>
          <w:rFonts w:hint="eastAsia" w:ascii="宋体" w:hAnsi="宋体"/>
          <w:color w:val="auto"/>
          <w:sz w:val="24"/>
          <w:lang w:val="en-US" w:eastAsia="zh-CN"/>
        </w:rPr>
        <w:t>原合同甲方已支付乙方预付款814,140.00元，本协议生效后甲方支付的预付款抵作设计费。</w:t>
      </w:r>
    </w:p>
    <w:p>
      <w:pPr>
        <w:pStyle w:val="3"/>
        <w:numPr>
          <w:ilvl w:val="0"/>
          <w:numId w:val="1"/>
        </w:numPr>
        <w:ind w:firstLine="454"/>
        <w:rPr>
          <w:sz w:val="24"/>
        </w:rPr>
      </w:pPr>
      <w:r>
        <w:rPr>
          <w:rFonts w:hint="eastAsia"/>
          <w:sz w:val="24"/>
        </w:rPr>
        <w:t>其他</w:t>
      </w:r>
    </w:p>
    <w:p>
      <w:pPr>
        <w:pStyle w:val="14"/>
        <w:numPr>
          <w:ilvl w:val="0"/>
          <w:numId w:val="3"/>
        </w:numPr>
        <w:spacing w:line="360" w:lineRule="auto"/>
        <w:ind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本补充协议约定的内容与原合同不一致之处，以本补充协议约定为准；本补充协议未涉及事项（包括但不限于设计成果评价方法、知识产权及保密、双方责任、违约责任和争议解决方式等）仍按照原合同的相关约定执行。若后期工程因乙方已完成设计产生工程质量问题、缺陷、无法施工、验收不合格等问题，乙方需赔偿由此给甲方造成的全部损失。</w:t>
      </w:r>
    </w:p>
    <w:p>
      <w:pPr>
        <w:pStyle w:val="14"/>
        <w:numPr>
          <w:ilvl w:val="0"/>
          <w:numId w:val="3"/>
        </w:numPr>
        <w:spacing w:line="360" w:lineRule="auto"/>
        <w:ind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本补充协议自甲方和乙方签字并盖章之日起生效。本补充协议一式捌份，双方各执肆份，具有同等法律效力。</w:t>
      </w:r>
    </w:p>
    <w:p>
      <w:pPr>
        <w:pStyle w:val="14"/>
        <w:numPr>
          <w:ilvl w:val="0"/>
          <w:numId w:val="3"/>
        </w:numPr>
        <w:spacing w:line="360" w:lineRule="auto"/>
        <w:ind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附件</w:t>
      </w:r>
    </w:p>
    <w:p>
      <w:pPr>
        <w:pStyle w:val="14"/>
        <w:numPr>
          <w:ilvl w:val="0"/>
          <w:numId w:val="0"/>
        </w:numPr>
        <w:tabs>
          <w:tab w:val="left" w:pos="0"/>
        </w:tabs>
        <w:spacing w:line="360" w:lineRule="auto"/>
        <w:ind w:left="403" w:leftChars="0"/>
        <w:jc w:val="lef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附件一 洛阳万达广场项目含钢量指标调整说明</w:t>
      </w:r>
    </w:p>
    <w:p>
      <w:pPr>
        <w:pStyle w:val="14"/>
        <w:numPr>
          <w:ilvl w:val="0"/>
          <w:numId w:val="0"/>
        </w:numPr>
        <w:tabs>
          <w:tab w:val="left" w:pos="0"/>
        </w:tabs>
        <w:spacing w:line="360" w:lineRule="auto"/>
        <w:ind w:left="403" w:leftChars="0"/>
        <w:jc w:val="lef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附件二 管理人员名单</w:t>
      </w:r>
    </w:p>
    <w:p>
      <w:pPr>
        <w:spacing w:line="50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（以下无正文）。</w:t>
      </w:r>
    </w:p>
    <w:p/>
    <w:tbl>
      <w:tblPr>
        <w:tblStyle w:val="10"/>
        <w:tblW w:w="93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2"/>
        <w:gridCol w:w="46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4692" w:type="dxa"/>
            <w:tcBorders>
              <w:tl2br w:val="nil"/>
              <w:tr2bl w:val="nil"/>
            </w:tcBorders>
          </w:tcPr>
          <w:p>
            <w:pPr>
              <w:spacing w:line="360" w:lineRule="auto"/>
              <w:ind w:left="1440" w:hanging="1440" w:hangingChars="6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发包人名称：洛阳浩德鑫置地有限公司</w:t>
            </w:r>
          </w:p>
          <w:p>
            <w:pPr>
              <w:spacing w:line="360" w:lineRule="auto"/>
              <w:ind w:left="1436" w:leftChars="684"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法定代表人：（签字）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委托代理人：（签字）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签订日期：    年    月    日</w:t>
            </w:r>
          </w:p>
        </w:tc>
        <w:tc>
          <w:tcPr>
            <w:tcW w:w="4692" w:type="dxa"/>
            <w:tcBorders>
              <w:tl2br w:val="nil"/>
              <w:tr2bl w:val="nil"/>
            </w:tcBorders>
          </w:tcPr>
          <w:p>
            <w:pPr>
              <w:spacing w:line="360" w:lineRule="auto"/>
              <w:ind w:left="960" w:hanging="960" w:hangingChars="400"/>
              <w:rPr>
                <w:sz w:val="24"/>
              </w:rPr>
            </w:pPr>
            <w:r>
              <w:rPr>
                <w:rFonts w:hint="eastAsia"/>
                <w:sz w:val="24"/>
              </w:rPr>
              <w:t>设计人名称：北京国科天创建筑设计院有限责任公司（盖章）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法定代表人：（签字）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委托代理人：（签字）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签订日期：    年    月    日</w:t>
            </w:r>
          </w:p>
        </w:tc>
      </w:tr>
    </w:tbl>
    <w:p>
      <w:pPr>
        <w:rPr>
          <w:rFonts w:ascii="宋体" w:hAnsi="宋体" w:cs="微软雅黑"/>
          <w:kern w:val="0"/>
          <w:sz w:val="24"/>
        </w:rPr>
      </w:pPr>
      <w:r>
        <w:rPr>
          <w:rFonts w:ascii="宋体" w:hAnsi="宋体" w:cs="微软雅黑"/>
          <w:kern w:val="0"/>
          <w:sz w:val="24"/>
        </w:rPr>
        <w:br w:type="page"/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附件一</w:t>
      </w:r>
    </w:p>
    <w:p>
      <w:pPr>
        <w:pStyle w:val="3"/>
        <w:bidi w:val="0"/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洛阳万达广场项目含钢量指标调整说明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根据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2015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 万达结构设计限额指标表（修订版）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》，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对于7度设防区域，大商业（±0.000以上）结构含钢量限额指标建议值为55kg/m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,混凝土限额指标建议值为0.32m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vertAlign w:val="superscript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/m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vertAlign w:val="baseline"/>
          <w:lang w:val="en-US" w:eastAsia="zh-CN"/>
        </w:rPr>
        <w:t>；地下室两层（有人防/无人防，核6）结构含钢量限额指标建议值为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>110/105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kg/m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,混凝土限额指标建议值为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>1.10/1.05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m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vertAlign w:val="superscript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/m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vertAlign w:val="baseline"/>
          <w:lang w:val="en-US"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公寓（参考写字楼，±0.000以上）结构含钢量限额指标建议值为55kg/m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,混凝土限额指标建议值为0.34m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vertAlign w:val="superscript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/m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vertAlign w:val="baseline"/>
          <w:lang w:val="en-US" w:eastAsia="zh-CN"/>
        </w:rPr>
        <w:t>；地下室两层（塔楼部分，有人防/无人防，核6）结构含钢量限额指标建议值为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>160/150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kg/m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,混凝土限额指标建议值为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>1.60/1.50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m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vertAlign w:val="superscript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/m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vertAlign w:val="baseli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vertAlign w:val="baseline"/>
          <w:lang w:val="en-US" w:eastAsia="zh-CN"/>
        </w:rPr>
        <w:t>2019年4月1日，修订后的《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eastAsia="zh-CN"/>
        </w:rPr>
        <w:t>建筑结构可靠性设计统一标准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vertAlign w:val="baseline"/>
          <w:lang w:val="en-US" w:eastAsia="zh-CN"/>
        </w:rPr>
        <w:t>》（GB50068-2018）正式实施；根据其8.2.9条规定，永久作用分项系数由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vertAlign w:val="baseline"/>
          <w:lang w:val="en-US" w:eastAsia="zh-CN"/>
        </w:rPr>
        <w:t>1.2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vertAlign w:val="baseline"/>
          <w:lang w:val="en-US" w:eastAsia="zh-CN"/>
        </w:rPr>
        <w:t>调整为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vertAlign w:val="baseline"/>
          <w:lang w:val="en-US" w:eastAsia="zh-CN"/>
        </w:rPr>
        <w:t>1.3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vertAlign w:val="baseline"/>
          <w:lang w:val="en-US" w:eastAsia="zh-CN"/>
        </w:rPr>
        <w:t>；可变荷载分项系数由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vertAlign w:val="baseline"/>
          <w:lang w:val="en-US" w:eastAsia="zh-CN"/>
        </w:rPr>
        <w:t>1.4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vertAlign w:val="baseline"/>
          <w:lang w:val="en-US" w:eastAsia="zh-CN"/>
        </w:rPr>
        <w:t>调整为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vertAlign w:val="baseline"/>
          <w:lang w:val="en-US" w:eastAsia="zh-CN"/>
        </w:rPr>
        <w:t>1.5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vertAlign w:val="baseli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vertAlign w:val="baseline"/>
          <w:lang w:val="en-US" w:eastAsia="zh-CN"/>
        </w:rPr>
        <w:t>2022年1月1日，一批通用规范正式实施；其中《工程结构通用规范》（GB55001-2021）第4.2.2条，将商铺楼面活荷载由3.5KN/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m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vertAlign w:val="baseline"/>
          <w:lang w:val="en-US" w:eastAsia="zh-CN"/>
        </w:rPr>
        <w:t>调整为4.0KN/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m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vertAlign w:val="baseline"/>
          <w:lang w:val="en-US" w:eastAsia="zh-CN"/>
        </w:rPr>
        <w:t>；《建筑与市政工程抗震通用规范》（GB55001-2021）第4.3.2条，地震作用分项系数由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vertAlign w:val="baseline"/>
          <w:lang w:val="en-US" w:eastAsia="zh-CN"/>
        </w:rPr>
        <w:t>1.3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vertAlign w:val="baseline"/>
          <w:lang w:val="en-US" w:eastAsia="zh-CN"/>
        </w:rPr>
        <w:t>调整为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vertAlign w:val="baseline"/>
          <w:lang w:val="en-US" w:eastAsia="zh-CN"/>
        </w:rPr>
        <w:t>1.4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vertAlign w:val="baseli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vertAlign w:val="baseline"/>
          <w:lang w:val="en-US" w:eastAsia="zh-CN"/>
        </w:rPr>
        <w:t>根据最新的建筑方案、并结合结构试算模型及万达广场相关规定：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vertAlign w:val="baseline"/>
          <w:lang w:val="en-US" w:eastAsia="zh-CN"/>
        </w:rPr>
        <w:t>本项目万达广场</w:t>
      </w:r>
      <w:r>
        <w:rPr>
          <w:rFonts w:hint="eastAsia" w:ascii="宋体" w:hAnsi="宋体" w:cs="宋体"/>
          <w:b w:val="0"/>
          <w:bCs w:val="0"/>
          <w:sz w:val="28"/>
          <w:szCs w:val="28"/>
          <w:vertAlign w:val="baseline"/>
          <w:lang w:val="en-US" w:eastAsia="zh-CN"/>
        </w:rPr>
        <w:t>结构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vertAlign w:val="baseline"/>
          <w:lang w:val="en-US" w:eastAsia="zh-CN"/>
        </w:rPr>
        <w:t>不规则</w:t>
      </w:r>
      <w:r>
        <w:rPr>
          <w:rFonts w:hint="eastAsia" w:ascii="宋体" w:hAnsi="宋体" w:cs="宋体"/>
          <w:b w:val="0"/>
          <w:bCs w:val="0"/>
          <w:sz w:val="28"/>
          <w:szCs w:val="28"/>
          <w:vertAlign w:val="baseline"/>
          <w:lang w:val="en-US" w:eastAsia="zh-CN"/>
        </w:rPr>
        <w:t>项较多，为避免特别不规则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vertAlign w:val="baseline"/>
          <w:lang w:val="en-US" w:eastAsia="zh-CN"/>
        </w:rPr>
        <w:t>，对相关部位及构件进行加强措施</w:t>
      </w:r>
      <w:r>
        <w:rPr>
          <w:rFonts w:hint="eastAsia" w:ascii="宋体" w:hAnsi="宋体" w:cs="宋体"/>
          <w:b w:val="0"/>
          <w:bCs w:val="0"/>
          <w:sz w:val="28"/>
          <w:szCs w:val="28"/>
          <w:vertAlign w:val="baseline"/>
          <w:lang w:val="en-US" w:eastAsia="zh-CN"/>
        </w:rPr>
        <w:t>，避免指标超限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vertAlign w:val="baseline"/>
          <w:lang w:val="en-US" w:eastAsia="zh-CN"/>
        </w:rPr>
        <w:t>；（2）由于地下车库功能要求，部分框架柱（占比约为12.3%）需在地下室顶板进行转换，构造措施提高；（3）人防等级为核5级，相比核6级，荷载由50KN/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m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vertAlign w:val="baseline"/>
          <w:lang w:val="en-US" w:eastAsia="zh-CN"/>
        </w:rPr>
        <w:t>增加为100KN/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m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vertAlign w:val="baseline"/>
          <w:lang w:val="en-US" w:eastAsia="zh-CN"/>
        </w:rPr>
        <w:t>。</w:t>
      </w:r>
    </w:p>
    <w:p>
      <w:pPr>
        <w:pStyle w:val="2"/>
        <w:rPr>
          <w:rFonts w:hint="eastAsia" w:ascii="宋体" w:hAnsi="宋体" w:eastAsia="宋体" w:cs="宋体"/>
          <w:b w:val="0"/>
          <w:bCs w:val="0"/>
          <w:sz w:val="28"/>
          <w:szCs w:val="28"/>
          <w:vertAlign w:val="baseline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b w:val="0"/>
          <w:bCs w:val="0"/>
          <w:sz w:val="28"/>
          <w:szCs w:val="28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vertAlign w:val="baseline"/>
          <w:lang w:val="en-US" w:eastAsia="zh-CN"/>
        </w:rPr>
        <w:t>综上所述，参考万达含钢量限额指标，并结合规范修订及项目实际情况，</w:t>
      </w:r>
      <w:r>
        <w:rPr>
          <w:rFonts w:hint="eastAsia" w:ascii="宋体" w:hAnsi="宋体" w:cs="宋体"/>
          <w:b w:val="0"/>
          <w:bCs w:val="0"/>
          <w:sz w:val="28"/>
          <w:szCs w:val="28"/>
          <w:vertAlign w:val="baseline"/>
          <w:lang w:val="en-US" w:eastAsia="zh-CN"/>
        </w:rPr>
        <w:t>本项目</w:t>
      </w:r>
      <w:bookmarkStart w:id="1" w:name="_GoBack"/>
      <w:bookmarkEnd w:id="1"/>
      <w:r>
        <w:rPr>
          <w:rFonts w:hint="eastAsia" w:ascii="宋体" w:hAnsi="宋体" w:eastAsia="宋体" w:cs="宋体"/>
          <w:b w:val="0"/>
          <w:bCs w:val="0"/>
          <w:sz w:val="28"/>
          <w:szCs w:val="28"/>
          <w:vertAlign w:val="baseline"/>
          <w:lang w:val="en-US" w:eastAsia="zh-CN"/>
        </w:rPr>
        <w:t>含钢量调整如下：</w:t>
      </w:r>
    </w:p>
    <w:tbl>
      <w:tblPr>
        <w:tblStyle w:val="9"/>
        <w:tblW w:w="8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4"/>
        <w:gridCol w:w="1025"/>
        <w:gridCol w:w="763"/>
        <w:gridCol w:w="974"/>
        <w:gridCol w:w="738"/>
        <w:gridCol w:w="1106"/>
        <w:gridCol w:w="1305"/>
        <w:gridCol w:w="2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24" w:type="dxa"/>
            <w:vMerge w:val="restart"/>
            <w:noWrap w:val="0"/>
            <w:vAlign w:val="top"/>
          </w:tcPr>
          <w:p>
            <w:pPr>
              <w:pStyle w:val="22"/>
              <w:spacing w:before="1"/>
              <w:ind w:left="56" w:right="29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w w:val="105"/>
                <w:sz w:val="18"/>
                <w:szCs w:val="18"/>
              </w:rPr>
              <w:t>序号</w:t>
            </w:r>
          </w:p>
        </w:tc>
        <w:tc>
          <w:tcPr>
            <w:tcW w:w="1025" w:type="dxa"/>
            <w:vMerge w:val="restart"/>
            <w:noWrap w:val="0"/>
            <w:vAlign w:val="top"/>
          </w:tcPr>
          <w:p>
            <w:pPr>
              <w:pStyle w:val="22"/>
              <w:ind w:left="167"/>
              <w:rPr>
                <w:rFonts w:ascii="宋体" w:hAnsi="宋体" w:eastAsia="宋体" w:cs="宋体"/>
                <w:b/>
                <w:w w:val="105"/>
                <w:sz w:val="18"/>
                <w:szCs w:val="18"/>
              </w:rPr>
            </w:pPr>
          </w:p>
          <w:p>
            <w:pPr>
              <w:pStyle w:val="22"/>
              <w:ind w:left="167"/>
              <w:jc w:val="both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w w:val="105"/>
                <w:sz w:val="18"/>
                <w:szCs w:val="18"/>
              </w:rPr>
              <w:t>业态</w:t>
            </w:r>
          </w:p>
        </w:tc>
        <w:tc>
          <w:tcPr>
            <w:tcW w:w="2475" w:type="dxa"/>
            <w:gridSpan w:val="3"/>
            <w:vMerge w:val="restart"/>
            <w:noWrap w:val="0"/>
            <w:vAlign w:val="center"/>
          </w:tcPr>
          <w:p>
            <w:pPr>
              <w:pStyle w:val="22"/>
              <w:ind w:left="550" w:firstLine="542" w:firstLineChars="300"/>
              <w:jc w:val="both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分类条件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pStyle w:val="22"/>
              <w:ind w:left="41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w w:val="105"/>
                <w:sz w:val="18"/>
                <w:szCs w:val="18"/>
              </w:rPr>
              <w:t>钢筋</w:t>
            </w:r>
          </w:p>
          <w:p>
            <w:pPr>
              <w:pStyle w:val="22"/>
              <w:ind w:left="38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w w:val="105"/>
                <w:sz w:val="18"/>
                <w:szCs w:val="18"/>
              </w:rPr>
              <w:t>(kg/m</w:t>
            </w:r>
            <w:r>
              <w:rPr>
                <w:rFonts w:hint="eastAsia" w:ascii="宋体" w:hAnsi="宋体" w:eastAsia="宋体" w:cs="宋体"/>
                <w:b/>
                <w:w w:val="105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b/>
                <w:w w:val="104"/>
                <w:sz w:val="18"/>
                <w:szCs w:val="18"/>
              </w:rPr>
              <w:t>)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pStyle w:val="22"/>
              <w:ind w:left="35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混凝土</w:t>
            </w:r>
          </w:p>
          <w:p>
            <w:pPr>
              <w:pStyle w:val="22"/>
              <w:ind w:left="34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w w:val="105"/>
                <w:sz w:val="18"/>
                <w:szCs w:val="18"/>
              </w:rPr>
              <w:t>(m</w:t>
            </w:r>
            <w:r>
              <w:rPr>
                <w:rFonts w:hint="eastAsia" w:ascii="宋体" w:hAnsi="宋体" w:eastAsia="宋体" w:cs="宋体"/>
                <w:b/>
                <w:w w:val="105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b/>
                <w:w w:val="105"/>
                <w:sz w:val="18"/>
                <w:szCs w:val="18"/>
              </w:rPr>
              <w:t>/m</w:t>
            </w:r>
            <w:r>
              <w:rPr>
                <w:rFonts w:hint="eastAsia" w:ascii="宋体" w:hAnsi="宋体" w:eastAsia="宋体" w:cs="宋体"/>
                <w:b/>
                <w:w w:val="105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b/>
                <w:w w:val="105"/>
                <w:sz w:val="18"/>
                <w:szCs w:val="18"/>
              </w:rPr>
              <w:t>)</w:t>
            </w:r>
          </w:p>
        </w:tc>
        <w:tc>
          <w:tcPr>
            <w:tcW w:w="2589" w:type="dxa"/>
            <w:vMerge w:val="restart"/>
            <w:noWrap w:val="0"/>
            <w:vAlign w:val="top"/>
          </w:tcPr>
          <w:p>
            <w:pPr>
              <w:pStyle w:val="22"/>
              <w:spacing w:before="272"/>
              <w:ind w:left="650" w:right="601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324" w:type="dxa"/>
            <w:vMerge w:val="continue"/>
            <w:noWrap w:val="0"/>
            <w:vAlign w:val="top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25" w:type="dxa"/>
            <w:vMerge w:val="continue"/>
            <w:noWrap w:val="0"/>
            <w:vAlign w:val="top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gridSpan w:val="3"/>
            <w:vMerge w:val="continue"/>
            <w:noWrap w:val="0"/>
            <w:vAlign w:val="top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6" w:type="dxa"/>
            <w:noWrap w:val="0"/>
            <w:vAlign w:val="top"/>
          </w:tcPr>
          <w:p>
            <w:pPr>
              <w:pStyle w:val="22"/>
              <w:spacing w:line="231" w:lineRule="exact"/>
              <w:ind w:left="41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w w:val="105"/>
                <w:sz w:val="18"/>
                <w:szCs w:val="18"/>
              </w:rPr>
              <w:t>钢筋</w:t>
            </w:r>
          </w:p>
          <w:p>
            <w:pPr>
              <w:pStyle w:val="22"/>
              <w:spacing w:line="236" w:lineRule="exact"/>
              <w:ind w:left="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w w:val="105"/>
                <w:sz w:val="18"/>
                <w:szCs w:val="18"/>
              </w:rPr>
              <w:t>(kg/m</w:t>
            </w:r>
            <w:r>
              <w:rPr>
                <w:rFonts w:hint="eastAsia" w:ascii="宋体" w:hAnsi="宋体" w:eastAsia="宋体" w:cs="宋体"/>
                <w:w w:val="105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w w:val="104"/>
                <w:sz w:val="18"/>
                <w:szCs w:val="18"/>
              </w:rPr>
              <w:t>)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pStyle w:val="22"/>
              <w:spacing w:line="231" w:lineRule="exact"/>
              <w:ind w:left="35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混凝土</w:t>
            </w:r>
          </w:p>
          <w:p>
            <w:pPr>
              <w:pStyle w:val="22"/>
              <w:spacing w:line="236" w:lineRule="exact"/>
              <w:ind w:left="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w w:val="105"/>
                <w:sz w:val="18"/>
                <w:szCs w:val="18"/>
              </w:rPr>
              <w:t>(m</w:t>
            </w:r>
            <w:r>
              <w:rPr>
                <w:rFonts w:hint="eastAsia" w:ascii="宋体" w:hAnsi="宋体" w:eastAsia="宋体" w:cs="宋体"/>
                <w:w w:val="105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w w:val="105"/>
                <w:sz w:val="18"/>
                <w:szCs w:val="18"/>
              </w:rPr>
              <w:t>/m</w:t>
            </w:r>
            <w:r>
              <w:rPr>
                <w:rFonts w:hint="eastAsia" w:ascii="宋体" w:hAnsi="宋体" w:eastAsia="宋体" w:cs="宋体"/>
                <w:w w:val="105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w w:val="105"/>
                <w:sz w:val="18"/>
                <w:szCs w:val="18"/>
              </w:rPr>
              <w:t>)</w:t>
            </w:r>
          </w:p>
        </w:tc>
        <w:tc>
          <w:tcPr>
            <w:tcW w:w="2589" w:type="dxa"/>
            <w:vMerge w:val="continue"/>
            <w:noWrap w:val="0"/>
            <w:vAlign w:val="top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324" w:type="dxa"/>
            <w:vMerge w:val="restart"/>
            <w:noWrap w:val="0"/>
            <w:vAlign w:val="center"/>
          </w:tcPr>
          <w:p>
            <w:pPr>
              <w:pStyle w:val="22"/>
              <w:ind w:left="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w w:val="104"/>
                <w:sz w:val="18"/>
                <w:szCs w:val="18"/>
                <w:lang w:val="en-US"/>
              </w:rPr>
              <w:t>1</w:t>
            </w:r>
          </w:p>
        </w:tc>
        <w:tc>
          <w:tcPr>
            <w:tcW w:w="1025" w:type="dxa"/>
            <w:vMerge w:val="restart"/>
            <w:noWrap w:val="0"/>
            <w:vAlign w:val="center"/>
          </w:tcPr>
          <w:p>
            <w:pPr>
              <w:pStyle w:val="22"/>
              <w:spacing w:before="11"/>
              <w:ind w:right="4" w:firstLine="190" w:firstLineChars="100"/>
              <w:jc w:val="both"/>
              <w:rPr>
                <w:rFonts w:hint="eastAsia" w:ascii="宋体" w:hAnsi="宋体" w:eastAsia="宋体" w:cs="宋体"/>
                <w:b/>
                <w:w w:val="105"/>
                <w:sz w:val="18"/>
                <w:szCs w:val="18"/>
                <w:lang w:val="en-US"/>
              </w:rPr>
            </w:pPr>
          </w:p>
          <w:p>
            <w:pPr>
              <w:pStyle w:val="22"/>
              <w:spacing w:before="11"/>
              <w:ind w:right="4" w:firstLine="190" w:firstLineChars="100"/>
              <w:jc w:val="both"/>
              <w:rPr>
                <w:rFonts w:ascii="宋体" w:hAnsi="宋体" w:eastAsia="宋体" w:cs="宋体"/>
                <w:b/>
                <w:w w:val="105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w w:val="105"/>
                <w:sz w:val="18"/>
                <w:szCs w:val="18"/>
                <w:lang w:val="en-US"/>
              </w:rPr>
              <w:t>万达广场</w:t>
            </w:r>
          </w:p>
          <w:p>
            <w:pPr>
              <w:pStyle w:val="22"/>
              <w:spacing w:before="11"/>
              <w:ind w:right="4"/>
              <w:rPr>
                <w:rFonts w:ascii="宋体" w:hAnsi="宋体" w:eastAsia="宋体" w:cs="宋体"/>
                <w:b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pStyle w:val="22"/>
              <w:spacing w:before="84"/>
              <w:ind w:right="33" w:firstLine="180" w:firstLineChars="100"/>
              <w:jc w:val="center"/>
              <w:rPr>
                <w:rFonts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地上</w:t>
            </w:r>
          </w:p>
        </w:tc>
        <w:tc>
          <w:tcPr>
            <w:tcW w:w="974" w:type="dxa"/>
            <w:noWrap w:val="0"/>
            <w:vAlign w:val="center"/>
          </w:tcPr>
          <w:p>
            <w:pPr>
              <w:pStyle w:val="22"/>
              <w:spacing w:before="84"/>
              <w:ind w:right="33" w:firstLine="360" w:firstLineChars="200"/>
              <w:jc w:val="both"/>
              <w:rPr>
                <w:rFonts w:ascii="宋体" w:hAnsi="宋体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ascii="Arial" w:hAnsi="Arial" w:eastAsia="宋体" w:cs="Arial"/>
                <w:color w:val="auto"/>
                <w:sz w:val="18"/>
                <w:szCs w:val="18"/>
                <w:lang w:val="en-US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5层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pStyle w:val="22"/>
              <w:spacing w:before="84"/>
              <w:ind w:left="37" w:firstLine="180" w:firstLineChars="100"/>
              <w:jc w:val="both"/>
              <w:rPr>
                <w:rFonts w:ascii="宋体" w:hAnsi="宋体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ascii="Arial" w:hAnsi="Arial" w:eastAsia="宋体" w:cs="Arial"/>
                <w:color w:val="auto"/>
                <w:sz w:val="18"/>
                <w:szCs w:val="18"/>
                <w:lang w:val="en-US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24m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pStyle w:val="22"/>
              <w:spacing w:before="84"/>
              <w:ind w:firstLine="567" w:firstLineChars="300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105"/>
                <w:sz w:val="18"/>
                <w:szCs w:val="18"/>
                <w:lang w:val="en-US" w:eastAsia="zh-CN"/>
              </w:rPr>
              <w:t>60.5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pStyle w:val="22"/>
              <w:spacing w:before="84"/>
              <w:ind w:firstLine="378" w:firstLineChars="200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105"/>
                <w:sz w:val="18"/>
                <w:szCs w:val="18"/>
                <w:lang w:val="en-US" w:eastAsia="zh-CN"/>
              </w:rPr>
              <w:t>0.35</w:t>
            </w:r>
          </w:p>
        </w:tc>
        <w:tc>
          <w:tcPr>
            <w:tcW w:w="2589" w:type="dxa"/>
            <w:noWrap w:val="0"/>
            <w:vAlign w:val="top"/>
          </w:tcPr>
          <w:p>
            <w:pPr>
              <w:pStyle w:val="22"/>
              <w:ind w:left="30"/>
              <w:jc w:val="both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1. 结构形式：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框架结构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。</w:t>
            </w:r>
          </w:p>
          <w:p>
            <w:pPr>
              <w:pStyle w:val="22"/>
              <w:tabs>
                <w:tab w:val="left" w:pos="259"/>
              </w:tabs>
              <w:ind w:left="29" w:right="-15"/>
              <w:jc w:val="both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2. 计量范围：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 xml:space="preserve">±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0.000(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不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含)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至</w:t>
            </w:r>
          </w:p>
          <w:p>
            <w:pPr>
              <w:pStyle w:val="22"/>
              <w:ind w:left="30"/>
              <w:jc w:val="both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屋面(含)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不含二次构件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2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2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zh-CN"/>
              </w:rPr>
              <w:t>地下</w:t>
            </w:r>
          </w:p>
        </w:tc>
        <w:tc>
          <w:tcPr>
            <w:tcW w:w="1712" w:type="dxa"/>
            <w:gridSpan w:val="2"/>
            <w:noWrap w:val="0"/>
            <w:vAlign w:val="center"/>
          </w:tcPr>
          <w:p>
            <w:pPr>
              <w:pStyle w:val="22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两层含人防（核5）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pStyle w:val="22"/>
              <w:ind w:firstLine="540" w:firstLineChars="300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125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pStyle w:val="22"/>
              <w:ind w:left="35" w:firstLine="360" w:firstLineChars="200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2589" w:type="dxa"/>
            <w:noWrap w:val="0"/>
            <w:vAlign w:val="top"/>
          </w:tcPr>
          <w:p>
            <w:pPr>
              <w:pStyle w:val="22"/>
              <w:ind w:left="3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基础形式：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筏板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基础。</w:t>
            </w:r>
          </w:p>
          <w:p>
            <w:pPr>
              <w:pStyle w:val="22"/>
              <w:tabs>
                <w:tab w:val="left" w:pos="259"/>
              </w:tabs>
              <w:spacing w:before="9"/>
              <w:ind w:left="207" w:leftChars="14" w:right="130" w:hanging="178" w:hangingChars="100"/>
              <w:jc w:val="both"/>
              <w:rPr>
                <w:rFonts w:ascii="宋体" w:hAnsi="宋体" w:eastAsia="宋体" w:cs="宋体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2.计量范围：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基础底面(含)至</w:t>
            </w:r>
          </w:p>
          <w:p>
            <w:pPr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 xml:space="preserve">±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0.000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zh-CN" w:bidi="zh-CN"/>
              </w:rPr>
              <w:t xml:space="preserve">(含) 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zh-CN" w:bidi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不含二次构件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324" w:type="dxa"/>
            <w:vMerge w:val="restart"/>
            <w:noWrap w:val="0"/>
            <w:vAlign w:val="center"/>
          </w:tcPr>
          <w:p>
            <w:pPr>
              <w:ind w:firstLine="187" w:firstLineChars="100"/>
              <w:jc w:val="center"/>
              <w:rPr>
                <w:rFonts w:hint="eastAsia" w:ascii="宋体" w:hAnsi="宋体" w:eastAsia="宋体" w:cs="宋体"/>
                <w:w w:val="104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w w:val="104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25" w:type="dxa"/>
            <w:vMerge w:val="restart"/>
            <w:noWrap w:val="0"/>
            <w:vAlign w:val="center"/>
          </w:tcPr>
          <w:p>
            <w:pPr>
              <w:pStyle w:val="22"/>
              <w:spacing w:before="11"/>
              <w:ind w:right="4"/>
              <w:rPr>
                <w:rFonts w:ascii="宋体" w:hAnsi="宋体" w:eastAsia="宋体" w:cs="宋体"/>
                <w:b/>
                <w:w w:val="105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w w:val="105"/>
                <w:sz w:val="18"/>
                <w:szCs w:val="18"/>
                <w:lang w:val="en-US"/>
              </w:rPr>
              <w:t>公寓</w:t>
            </w:r>
          </w:p>
          <w:p>
            <w:pPr>
              <w:pStyle w:val="22"/>
              <w:spacing w:before="11"/>
              <w:ind w:right="4"/>
              <w:rPr>
                <w:rFonts w:ascii="宋体" w:hAnsi="宋体" w:eastAsia="宋体" w:cs="宋体"/>
                <w:b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pStyle w:val="22"/>
              <w:spacing w:before="84"/>
              <w:ind w:right="33" w:firstLine="180" w:firstLineChars="100"/>
              <w:jc w:val="center"/>
              <w:rPr>
                <w:rFonts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地上</w:t>
            </w:r>
          </w:p>
        </w:tc>
        <w:tc>
          <w:tcPr>
            <w:tcW w:w="974" w:type="dxa"/>
            <w:noWrap w:val="0"/>
            <w:vAlign w:val="center"/>
          </w:tcPr>
          <w:p>
            <w:pPr>
              <w:pStyle w:val="22"/>
              <w:spacing w:before="84"/>
              <w:ind w:right="33" w:firstLine="360" w:firstLineChars="200"/>
              <w:jc w:val="both"/>
              <w:rPr>
                <w:rFonts w:ascii="宋体" w:hAnsi="宋体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层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pStyle w:val="22"/>
              <w:spacing w:before="84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&lt;100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m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pStyle w:val="22"/>
              <w:spacing w:before="84"/>
              <w:ind w:firstLine="540" w:firstLineChars="300"/>
              <w:jc w:val="both"/>
              <w:rPr>
                <w:rFonts w:hint="default" w:ascii="宋体" w:hAnsi="宋体" w:eastAsia="宋体" w:cs="宋体"/>
                <w:color w:val="auto"/>
                <w:w w:val="105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55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pStyle w:val="22"/>
              <w:ind w:left="30" w:firstLine="360" w:firstLineChars="200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0.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2589" w:type="dxa"/>
            <w:noWrap w:val="0"/>
            <w:vAlign w:val="top"/>
          </w:tcPr>
          <w:p>
            <w:pPr>
              <w:pStyle w:val="22"/>
              <w:ind w:left="3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1. 结构形式：框架-剪力墙。</w:t>
            </w:r>
          </w:p>
          <w:p>
            <w:pPr>
              <w:pStyle w:val="22"/>
              <w:ind w:left="30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2. 计量范围：± 0.000(不含)至屋面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(含)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不含二次构件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24" w:type="dxa"/>
            <w:vMerge w:val="continue"/>
            <w:noWrap w:val="0"/>
            <w:vAlign w:val="center"/>
          </w:tcPr>
          <w:p>
            <w:pPr>
              <w:ind w:firstLine="187" w:firstLineChars="100"/>
              <w:jc w:val="center"/>
              <w:rPr>
                <w:rFonts w:ascii="宋体" w:hAnsi="宋体" w:eastAsia="宋体" w:cs="宋体"/>
                <w:w w:val="104"/>
                <w:sz w:val="18"/>
                <w:szCs w:val="18"/>
              </w:rPr>
            </w:pPr>
          </w:p>
        </w:tc>
        <w:tc>
          <w:tcPr>
            <w:tcW w:w="102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w w:val="105"/>
                <w:sz w:val="18"/>
                <w:szCs w:val="18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zh-CN"/>
              </w:rPr>
              <w:t>地下</w:t>
            </w:r>
          </w:p>
        </w:tc>
        <w:tc>
          <w:tcPr>
            <w:tcW w:w="1712" w:type="dxa"/>
            <w:gridSpan w:val="2"/>
            <w:noWrap w:val="0"/>
            <w:vAlign w:val="center"/>
          </w:tcPr>
          <w:p>
            <w:pPr>
              <w:pStyle w:val="22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两层含人防（核5）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pStyle w:val="22"/>
              <w:ind w:firstLine="567" w:firstLineChars="300"/>
              <w:jc w:val="both"/>
              <w:rPr>
                <w:rFonts w:hint="default" w:ascii="宋体" w:hAnsi="宋体" w:eastAsia="宋体" w:cs="宋体"/>
                <w:color w:val="auto"/>
                <w:w w:val="105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105"/>
                <w:sz w:val="18"/>
                <w:szCs w:val="18"/>
                <w:lang w:val="en-US" w:eastAsia="zh-CN"/>
              </w:rPr>
              <w:t>150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pStyle w:val="22"/>
              <w:ind w:left="35" w:leftChars="0" w:firstLine="360" w:firstLineChars="200"/>
              <w:jc w:val="both"/>
              <w:rPr>
                <w:rFonts w:hint="default" w:ascii="宋体" w:hAnsi="宋体" w:eastAsia="宋体" w:cs="宋体"/>
                <w:color w:val="auto"/>
                <w:w w:val="105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2589" w:type="dxa"/>
            <w:noWrap w:val="0"/>
            <w:vAlign w:val="center"/>
          </w:tcPr>
          <w:p>
            <w:pPr>
              <w:pStyle w:val="22"/>
              <w:tabs>
                <w:tab w:val="left" w:pos="259"/>
              </w:tabs>
              <w:ind w:left="29"/>
              <w:jc w:val="both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基础形式：筏板基础。</w:t>
            </w:r>
          </w:p>
          <w:p>
            <w:pPr>
              <w:pStyle w:val="22"/>
              <w:tabs>
                <w:tab w:val="left" w:pos="259"/>
              </w:tabs>
              <w:spacing w:before="9"/>
              <w:ind w:left="205" w:leftChars="14" w:right="130" w:hanging="176" w:hangingChars="100"/>
              <w:jc w:val="both"/>
              <w:rPr>
                <w:rFonts w:ascii="宋体" w:hAnsi="宋体" w:eastAsia="宋体" w:cs="宋体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lang w:val="en-US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计量范围：基础底面(含)至</w:t>
            </w:r>
          </w:p>
          <w:p>
            <w:pPr>
              <w:pStyle w:val="22"/>
              <w:tabs>
                <w:tab w:val="left" w:pos="259"/>
              </w:tabs>
              <w:spacing w:before="9"/>
              <w:ind w:left="205" w:leftChars="14" w:right="130" w:hanging="176" w:hangingChars="100"/>
              <w:jc w:val="both"/>
              <w:rPr>
                <w:rFonts w:ascii="宋体" w:hAnsi="宋体" w:eastAsia="宋体" w:cs="宋体"/>
                <w:color w:val="auto"/>
                <w:sz w:val="18"/>
                <w:szCs w:val="18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 xml:space="preserve">±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0.000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zh-CN" w:bidi="zh-CN"/>
              </w:rPr>
              <w:t xml:space="preserve">(含) 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zh-CN" w:bidi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不含二次构件</w:t>
            </w:r>
          </w:p>
          <w:p>
            <w:pPr>
              <w:jc w:val="both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748"/>
        <w:textAlignment w:val="auto"/>
        <w:rPr>
          <w:rFonts w:hint="eastAsia" w:ascii="仿宋_GB2312" w:hAnsi="宋体" w:eastAsia="仿宋_GB2312"/>
          <w:color w:val="auto"/>
          <w:szCs w:val="21"/>
        </w:rPr>
      </w:pPr>
      <w:r>
        <w:rPr>
          <w:rFonts w:hint="eastAsia" w:ascii="仿宋_GB2312" w:hAnsi="宋体" w:eastAsia="仿宋_GB2312"/>
          <w:color w:val="auto"/>
          <w:szCs w:val="21"/>
        </w:rPr>
        <w:t xml:space="preserve">注：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748"/>
        <w:textAlignment w:val="auto"/>
        <w:rPr>
          <w:rFonts w:hint="eastAsia" w:ascii="仿宋_GB2312" w:hAnsi="宋体" w:eastAsia="仿宋_GB2312"/>
          <w:color w:val="auto"/>
          <w:szCs w:val="21"/>
        </w:rPr>
      </w:pPr>
      <w:r>
        <w:rPr>
          <w:rFonts w:hint="eastAsia" w:ascii="仿宋_GB2312" w:hAnsi="宋体" w:eastAsia="仿宋_GB2312"/>
          <w:color w:val="auto"/>
          <w:szCs w:val="21"/>
        </w:rPr>
        <w:t>1.层高设计标准：</w:t>
      </w:r>
      <w:r>
        <w:rPr>
          <w:rFonts w:hint="eastAsia" w:ascii="仿宋_GB2312" w:hAnsi="宋体" w:eastAsia="仿宋_GB2312"/>
          <w:color w:val="auto"/>
          <w:szCs w:val="21"/>
          <w:lang w:val="en-US" w:eastAsia="zh-CN"/>
        </w:rPr>
        <w:t>公寓</w:t>
      </w:r>
      <w:r>
        <w:rPr>
          <w:rFonts w:hint="eastAsia" w:ascii="仿宋_GB2312" w:hAnsi="宋体" w:eastAsia="仿宋_GB2312"/>
          <w:color w:val="auto"/>
          <w:szCs w:val="21"/>
        </w:rPr>
        <w:t>标准层层高</w:t>
      </w:r>
      <w:r>
        <w:rPr>
          <w:rFonts w:hint="eastAsia" w:ascii="仿宋_GB2312" w:hAnsi="宋体" w:eastAsia="仿宋_GB2312"/>
          <w:color w:val="auto"/>
          <w:szCs w:val="21"/>
          <w:lang w:val="en-US" w:eastAsia="zh-CN"/>
        </w:rPr>
        <w:t>3.2</w:t>
      </w:r>
      <w:r>
        <w:rPr>
          <w:rFonts w:hint="eastAsia" w:ascii="仿宋_GB2312" w:hAnsi="宋体" w:eastAsia="仿宋_GB2312"/>
          <w:color w:val="auto"/>
          <w:szCs w:val="21"/>
        </w:rPr>
        <w:t>m。</w:t>
      </w:r>
      <w:bookmarkStart w:id="0" w:name="_Hlk54290205"/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748"/>
        <w:textAlignment w:val="auto"/>
        <w:rPr>
          <w:rFonts w:hint="eastAsia" w:ascii="仿宋_GB2312" w:hAnsi="宋体" w:eastAsia="仿宋_GB2312"/>
          <w:color w:val="auto"/>
          <w:sz w:val="21"/>
          <w:szCs w:val="21"/>
          <w:lang w:eastAsia="zh-CN"/>
        </w:rPr>
      </w:pPr>
      <w:r>
        <w:rPr>
          <w:rFonts w:hint="eastAsia" w:ascii="仿宋_GB2312" w:hAnsi="宋体" w:eastAsia="仿宋_GB2312"/>
          <w:color w:val="auto"/>
          <w:sz w:val="21"/>
          <w:szCs w:val="21"/>
        </w:rPr>
        <w:t>2.本限额指标不包括基础垫层</w:t>
      </w:r>
      <w:bookmarkEnd w:id="0"/>
      <w:r>
        <w:rPr>
          <w:rFonts w:hint="eastAsia" w:ascii="仿宋_GB2312" w:hAnsi="宋体" w:eastAsia="仿宋_GB2312"/>
          <w:color w:val="auto"/>
          <w:sz w:val="21"/>
          <w:szCs w:val="21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748"/>
        <w:textAlignment w:val="auto"/>
        <w:rPr>
          <w:rFonts w:ascii="仿宋_GB2312" w:hAnsi="宋体" w:eastAsia="仿宋_GB2312"/>
          <w:color w:val="auto"/>
          <w:szCs w:val="21"/>
        </w:rPr>
      </w:pPr>
      <w:r>
        <w:rPr>
          <w:rFonts w:hint="eastAsia" w:ascii="仿宋_GB2312" w:hAnsi="宋体" w:eastAsia="仿宋_GB2312"/>
          <w:color w:val="auto"/>
          <w:szCs w:val="21"/>
          <w:lang w:val="en-US" w:eastAsia="zh-CN"/>
        </w:rPr>
        <w:t>3</w:t>
      </w:r>
      <w:r>
        <w:rPr>
          <w:rFonts w:ascii="仿宋_GB2312" w:hAnsi="宋体" w:eastAsia="仿宋_GB2312"/>
          <w:color w:val="auto"/>
          <w:szCs w:val="21"/>
        </w:rPr>
        <w:t>.</w:t>
      </w:r>
      <w:r>
        <w:rPr>
          <w:rFonts w:hint="eastAsia" w:ascii="仿宋_GB2312" w:hAnsi="宋体" w:eastAsia="仿宋_GB2312"/>
          <w:color w:val="auto"/>
          <w:szCs w:val="21"/>
        </w:rPr>
        <w:t>主楼下地库指标不包含地下室外墙、消防水池等。</w:t>
      </w:r>
    </w:p>
    <w:p>
      <w:pPr>
        <w:ind w:firstLine="560" w:firstLineChars="200"/>
        <w:rPr>
          <w:rFonts w:hint="default" w:ascii="宋体" w:hAnsi="宋体" w:eastAsia="宋体" w:cs="宋体"/>
          <w:b w:val="0"/>
          <w:bCs w:val="0"/>
          <w:sz w:val="28"/>
          <w:szCs w:val="28"/>
          <w:vertAlign w:val="baseline"/>
          <w:lang w:val="en-US" w:eastAsia="zh-CN"/>
        </w:rPr>
      </w:pPr>
    </w:p>
    <w:p>
      <w:pPr>
        <w:widowControl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附件二 </w:t>
      </w:r>
    </w:p>
    <w:p>
      <w:pPr>
        <w:tabs>
          <w:tab w:val="left" w:pos="7560"/>
        </w:tabs>
        <w:spacing w:after="120" w:afterLines="50" w:line="4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管理</w:t>
      </w:r>
      <w:r>
        <w:rPr>
          <w:rFonts w:ascii="宋体" w:hAnsi="宋体"/>
          <w:b/>
          <w:sz w:val="36"/>
          <w:szCs w:val="36"/>
        </w:rPr>
        <w:t>人员名单</w:t>
      </w:r>
    </w:p>
    <w:tbl>
      <w:tblPr>
        <w:tblStyle w:val="9"/>
        <w:tblW w:w="960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1633"/>
        <w:gridCol w:w="1391"/>
        <w:gridCol w:w="2558"/>
        <w:gridCol w:w="934"/>
        <w:gridCol w:w="205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1034" w:type="dxa"/>
            <w:vAlign w:val="center"/>
          </w:tcPr>
          <w:p>
            <w:pPr>
              <w:tabs>
                <w:tab w:val="left" w:pos="7560"/>
              </w:tabs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姓名</w:t>
            </w:r>
          </w:p>
        </w:tc>
        <w:tc>
          <w:tcPr>
            <w:tcW w:w="1633" w:type="dxa"/>
            <w:vAlign w:val="center"/>
          </w:tcPr>
          <w:p>
            <w:pPr>
              <w:tabs>
                <w:tab w:val="left" w:pos="7560"/>
              </w:tabs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职务</w:t>
            </w:r>
          </w:p>
        </w:tc>
        <w:tc>
          <w:tcPr>
            <w:tcW w:w="1391" w:type="dxa"/>
            <w:vAlign w:val="center"/>
          </w:tcPr>
          <w:p>
            <w:pPr>
              <w:tabs>
                <w:tab w:val="left" w:pos="7560"/>
              </w:tabs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职称</w:t>
            </w:r>
          </w:p>
        </w:tc>
        <w:tc>
          <w:tcPr>
            <w:tcW w:w="2558" w:type="dxa"/>
            <w:vAlign w:val="center"/>
          </w:tcPr>
          <w:p>
            <w:pPr>
              <w:tabs>
                <w:tab w:val="left" w:pos="7560"/>
              </w:tabs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执业资格</w:t>
            </w:r>
          </w:p>
        </w:tc>
        <w:tc>
          <w:tcPr>
            <w:tcW w:w="934" w:type="dxa"/>
            <w:vAlign w:val="center"/>
          </w:tcPr>
          <w:p>
            <w:pPr>
              <w:tabs>
                <w:tab w:val="left" w:pos="7560"/>
              </w:tabs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执业年限</w:t>
            </w:r>
          </w:p>
        </w:tc>
        <w:tc>
          <w:tcPr>
            <w:tcW w:w="2050" w:type="dxa"/>
            <w:vAlign w:val="center"/>
          </w:tcPr>
          <w:p>
            <w:pPr>
              <w:tabs>
                <w:tab w:val="left" w:pos="7560"/>
              </w:tabs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在本工程中负责的工作内容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34" w:type="dxa"/>
            <w:vAlign w:val="center"/>
          </w:tcPr>
          <w:p>
            <w:pPr>
              <w:tabs>
                <w:tab w:val="left" w:pos="7560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岳文韬</w:t>
            </w:r>
          </w:p>
        </w:tc>
        <w:tc>
          <w:tcPr>
            <w:tcW w:w="1633" w:type="dxa"/>
            <w:vAlign w:val="center"/>
          </w:tcPr>
          <w:p>
            <w:pPr>
              <w:tabs>
                <w:tab w:val="left" w:pos="7560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副总建筑师</w:t>
            </w:r>
          </w:p>
        </w:tc>
        <w:tc>
          <w:tcPr>
            <w:tcW w:w="1391" w:type="dxa"/>
            <w:vAlign w:val="center"/>
          </w:tcPr>
          <w:p>
            <w:pPr>
              <w:tabs>
                <w:tab w:val="left" w:pos="7560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高级工程师</w:t>
            </w:r>
          </w:p>
        </w:tc>
        <w:tc>
          <w:tcPr>
            <w:tcW w:w="2558" w:type="dxa"/>
            <w:vAlign w:val="center"/>
          </w:tcPr>
          <w:p>
            <w:pPr>
              <w:tabs>
                <w:tab w:val="left" w:pos="7560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934" w:type="dxa"/>
            <w:vAlign w:val="center"/>
          </w:tcPr>
          <w:p>
            <w:pPr>
              <w:tabs>
                <w:tab w:val="left" w:pos="7560"/>
              </w:tabs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tabs>
                <w:tab w:val="left" w:pos="7560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项目总经理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34" w:type="dxa"/>
            <w:vAlign w:val="center"/>
          </w:tcPr>
          <w:p>
            <w:pPr>
              <w:tabs>
                <w:tab w:val="left" w:pos="7560"/>
              </w:tabs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杨志欢</w:t>
            </w:r>
          </w:p>
        </w:tc>
        <w:tc>
          <w:tcPr>
            <w:tcW w:w="1633" w:type="dxa"/>
            <w:vAlign w:val="center"/>
          </w:tcPr>
          <w:p>
            <w:pPr>
              <w:tabs>
                <w:tab w:val="left" w:pos="7560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副院长</w:t>
            </w:r>
          </w:p>
        </w:tc>
        <w:tc>
          <w:tcPr>
            <w:tcW w:w="1391" w:type="dxa"/>
            <w:vAlign w:val="center"/>
          </w:tcPr>
          <w:p>
            <w:pPr>
              <w:tabs>
                <w:tab w:val="left" w:pos="7560"/>
              </w:tabs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高级工程师</w:t>
            </w:r>
          </w:p>
        </w:tc>
        <w:tc>
          <w:tcPr>
            <w:tcW w:w="2558" w:type="dxa"/>
            <w:vAlign w:val="center"/>
          </w:tcPr>
          <w:p>
            <w:pPr>
              <w:tabs>
                <w:tab w:val="left" w:pos="7560"/>
              </w:tabs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4" w:type="dxa"/>
            <w:vAlign w:val="center"/>
          </w:tcPr>
          <w:p>
            <w:pPr>
              <w:tabs>
                <w:tab w:val="left" w:pos="7560"/>
              </w:tabs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tabs>
                <w:tab w:val="left" w:pos="7560"/>
              </w:tabs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34" w:type="dxa"/>
            <w:vAlign w:val="center"/>
          </w:tcPr>
          <w:p>
            <w:pPr>
              <w:widowControl/>
              <w:textAlignment w:val="bottom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程亚博</w:t>
            </w:r>
          </w:p>
        </w:tc>
        <w:tc>
          <w:tcPr>
            <w:tcW w:w="1633" w:type="dxa"/>
            <w:vAlign w:val="center"/>
          </w:tcPr>
          <w:p>
            <w:pPr>
              <w:tabs>
                <w:tab w:val="left" w:pos="7560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所长</w:t>
            </w:r>
          </w:p>
        </w:tc>
        <w:tc>
          <w:tcPr>
            <w:tcW w:w="1391" w:type="dxa"/>
            <w:vAlign w:val="center"/>
          </w:tcPr>
          <w:p>
            <w:pPr>
              <w:tabs>
                <w:tab w:val="left" w:pos="7560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工程师</w:t>
            </w:r>
          </w:p>
        </w:tc>
        <w:tc>
          <w:tcPr>
            <w:tcW w:w="2558" w:type="dxa"/>
            <w:vAlign w:val="center"/>
          </w:tcPr>
          <w:p>
            <w:pPr>
              <w:tabs>
                <w:tab w:val="left" w:pos="7560"/>
              </w:tabs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一级注册建筑师</w:t>
            </w:r>
          </w:p>
        </w:tc>
        <w:tc>
          <w:tcPr>
            <w:tcW w:w="934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年</w:t>
            </w:r>
          </w:p>
        </w:tc>
        <w:tc>
          <w:tcPr>
            <w:tcW w:w="2050" w:type="dxa"/>
            <w:vAlign w:val="center"/>
          </w:tcPr>
          <w:p>
            <w:pPr>
              <w:tabs>
                <w:tab w:val="left" w:pos="7560"/>
              </w:tabs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项目经理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34" w:type="dxa"/>
            <w:vAlign w:val="center"/>
          </w:tcPr>
          <w:p>
            <w:pPr>
              <w:widowControl/>
              <w:textAlignment w:val="bottom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张建元</w:t>
            </w:r>
          </w:p>
        </w:tc>
        <w:tc>
          <w:tcPr>
            <w:tcW w:w="1633" w:type="dxa"/>
            <w:vAlign w:val="center"/>
          </w:tcPr>
          <w:p>
            <w:pPr>
              <w:tabs>
                <w:tab w:val="left" w:pos="7560"/>
              </w:tabs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总建筑师</w:t>
            </w:r>
          </w:p>
        </w:tc>
        <w:tc>
          <w:tcPr>
            <w:tcW w:w="1391" w:type="dxa"/>
            <w:vAlign w:val="center"/>
          </w:tcPr>
          <w:p>
            <w:pPr>
              <w:tabs>
                <w:tab w:val="left" w:pos="7560"/>
              </w:tabs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高级工程师</w:t>
            </w:r>
          </w:p>
        </w:tc>
        <w:tc>
          <w:tcPr>
            <w:tcW w:w="2558" w:type="dxa"/>
            <w:vAlign w:val="center"/>
          </w:tcPr>
          <w:p>
            <w:pPr>
              <w:tabs>
                <w:tab w:val="left" w:pos="7560"/>
              </w:tabs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一级注册建筑师</w:t>
            </w:r>
          </w:p>
        </w:tc>
        <w:tc>
          <w:tcPr>
            <w:tcW w:w="934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技术总负责人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34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康信展</w:t>
            </w:r>
          </w:p>
        </w:tc>
        <w:tc>
          <w:tcPr>
            <w:tcW w:w="1633" w:type="dxa"/>
            <w:vAlign w:val="center"/>
          </w:tcPr>
          <w:p>
            <w:pPr>
              <w:tabs>
                <w:tab w:val="left" w:pos="7560"/>
              </w:tabs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结构总工</w:t>
            </w:r>
          </w:p>
        </w:tc>
        <w:tc>
          <w:tcPr>
            <w:tcW w:w="1391" w:type="dxa"/>
            <w:vAlign w:val="center"/>
          </w:tcPr>
          <w:p>
            <w:pPr>
              <w:tabs>
                <w:tab w:val="left" w:pos="7560"/>
              </w:tabs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高级工程师</w:t>
            </w:r>
          </w:p>
        </w:tc>
        <w:tc>
          <w:tcPr>
            <w:tcW w:w="2558" w:type="dxa"/>
            <w:vAlign w:val="center"/>
          </w:tcPr>
          <w:p>
            <w:pPr>
              <w:tabs>
                <w:tab w:val="left" w:pos="7560"/>
              </w:tabs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一级注册结构工程师</w:t>
            </w:r>
          </w:p>
        </w:tc>
        <w:tc>
          <w:tcPr>
            <w:tcW w:w="934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结构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技术负责人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34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张凯兵</w:t>
            </w:r>
          </w:p>
        </w:tc>
        <w:tc>
          <w:tcPr>
            <w:tcW w:w="1633" w:type="dxa"/>
            <w:vAlign w:val="center"/>
          </w:tcPr>
          <w:p>
            <w:pPr>
              <w:tabs>
                <w:tab w:val="left" w:pos="7560"/>
              </w:tabs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排水总工</w:t>
            </w:r>
          </w:p>
        </w:tc>
        <w:tc>
          <w:tcPr>
            <w:tcW w:w="1391" w:type="dxa"/>
            <w:vAlign w:val="center"/>
          </w:tcPr>
          <w:p>
            <w:pPr>
              <w:tabs>
                <w:tab w:val="left" w:pos="7560"/>
              </w:tabs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高级</w:t>
            </w:r>
            <w:r>
              <w:rPr>
                <w:rFonts w:hint="eastAsia" w:ascii="宋体" w:hAnsi="宋体"/>
                <w:szCs w:val="21"/>
              </w:rPr>
              <w:t>工程师</w:t>
            </w:r>
          </w:p>
        </w:tc>
        <w:tc>
          <w:tcPr>
            <w:tcW w:w="2558" w:type="dxa"/>
            <w:vAlign w:val="center"/>
          </w:tcPr>
          <w:p>
            <w:pPr>
              <w:tabs>
                <w:tab w:val="left" w:pos="7560"/>
              </w:tabs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4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50" w:type="dxa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给排水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技术</w:t>
            </w:r>
            <w:r>
              <w:rPr>
                <w:rFonts w:hint="eastAsia" w:ascii="宋体" w:hAnsi="宋体" w:cs="宋体"/>
                <w:kern w:val="0"/>
                <w:szCs w:val="21"/>
              </w:rPr>
              <w:t>负责人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34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许  骏</w:t>
            </w:r>
          </w:p>
        </w:tc>
        <w:tc>
          <w:tcPr>
            <w:tcW w:w="1633" w:type="dxa"/>
            <w:vAlign w:val="center"/>
          </w:tcPr>
          <w:p>
            <w:pPr>
              <w:tabs>
                <w:tab w:val="left" w:pos="7560"/>
              </w:tabs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暖通总工</w:t>
            </w:r>
          </w:p>
        </w:tc>
        <w:tc>
          <w:tcPr>
            <w:tcW w:w="1391" w:type="dxa"/>
            <w:vAlign w:val="center"/>
          </w:tcPr>
          <w:p>
            <w:pPr>
              <w:tabs>
                <w:tab w:val="left" w:pos="7560"/>
              </w:tabs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工程师</w:t>
            </w:r>
          </w:p>
        </w:tc>
        <w:tc>
          <w:tcPr>
            <w:tcW w:w="2558" w:type="dxa"/>
            <w:vAlign w:val="center"/>
          </w:tcPr>
          <w:p>
            <w:pPr>
              <w:tabs>
                <w:tab w:val="left" w:pos="7560"/>
              </w:tabs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4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50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暖通技术负责人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34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张彩蓉</w:t>
            </w:r>
          </w:p>
        </w:tc>
        <w:tc>
          <w:tcPr>
            <w:tcW w:w="1633" w:type="dxa"/>
            <w:vAlign w:val="center"/>
          </w:tcPr>
          <w:p>
            <w:pPr>
              <w:tabs>
                <w:tab w:val="left" w:pos="7560"/>
              </w:tabs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电气总工</w:t>
            </w:r>
          </w:p>
        </w:tc>
        <w:tc>
          <w:tcPr>
            <w:tcW w:w="1391" w:type="dxa"/>
            <w:vAlign w:val="center"/>
          </w:tcPr>
          <w:p>
            <w:pPr>
              <w:tabs>
                <w:tab w:val="left" w:pos="7560"/>
              </w:tabs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高级工程师</w:t>
            </w:r>
          </w:p>
        </w:tc>
        <w:tc>
          <w:tcPr>
            <w:tcW w:w="2558" w:type="dxa"/>
            <w:vAlign w:val="center"/>
          </w:tcPr>
          <w:p>
            <w:pPr>
              <w:tabs>
                <w:tab w:val="left" w:pos="7560"/>
              </w:tabs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注册电气工程师（供配电）</w:t>
            </w:r>
          </w:p>
        </w:tc>
        <w:tc>
          <w:tcPr>
            <w:tcW w:w="934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12年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电气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技术</w:t>
            </w:r>
            <w:r>
              <w:rPr>
                <w:rFonts w:hint="eastAsia" w:ascii="宋体" w:hAnsi="宋体" w:cs="宋体"/>
                <w:kern w:val="0"/>
                <w:szCs w:val="21"/>
              </w:rPr>
              <w:t>负责人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34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程亚博</w:t>
            </w:r>
          </w:p>
        </w:tc>
        <w:tc>
          <w:tcPr>
            <w:tcW w:w="1633" w:type="dxa"/>
            <w:vAlign w:val="center"/>
          </w:tcPr>
          <w:p>
            <w:pPr>
              <w:tabs>
                <w:tab w:val="left" w:pos="7560"/>
              </w:tabs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所长</w:t>
            </w:r>
          </w:p>
        </w:tc>
        <w:tc>
          <w:tcPr>
            <w:tcW w:w="1391" w:type="dxa"/>
            <w:vAlign w:val="center"/>
          </w:tcPr>
          <w:p>
            <w:pPr>
              <w:tabs>
                <w:tab w:val="left" w:pos="7560"/>
              </w:tabs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工程师</w:t>
            </w:r>
          </w:p>
        </w:tc>
        <w:tc>
          <w:tcPr>
            <w:tcW w:w="2558" w:type="dxa"/>
            <w:vAlign w:val="center"/>
          </w:tcPr>
          <w:p>
            <w:pPr>
              <w:tabs>
                <w:tab w:val="left" w:pos="7560"/>
              </w:tabs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一级注册建筑师</w:t>
            </w:r>
          </w:p>
        </w:tc>
        <w:tc>
          <w:tcPr>
            <w:tcW w:w="934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1年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建筑专业负责人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34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薛江龙</w:t>
            </w:r>
          </w:p>
        </w:tc>
        <w:tc>
          <w:tcPr>
            <w:tcW w:w="1633" w:type="dxa"/>
            <w:vAlign w:val="center"/>
          </w:tcPr>
          <w:p>
            <w:pPr>
              <w:tabs>
                <w:tab w:val="left" w:pos="7560"/>
              </w:tabs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主任工程师</w:t>
            </w:r>
          </w:p>
        </w:tc>
        <w:tc>
          <w:tcPr>
            <w:tcW w:w="1391" w:type="dxa"/>
            <w:vAlign w:val="center"/>
          </w:tcPr>
          <w:p>
            <w:pPr>
              <w:tabs>
                <w:tab w:val="left" w:pos="7560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工程师</w:t>
            </w:r>
          </w:p>
        </w:tc>
        <w:tc>
          <w:tcPr>
            <w:tcW w:w="2558" w:type="dxa"/>
            <w:vAlign w:val="center"/>
          </w:tcPr>
          <w:p>
            <w:pPr>
              <w:tabs>
                <w:tab w:val="left" w:pos="7560"/>
              </w:tabs>
              <w:rPr>
                <w:rFonts w:hint="eastAsia" w:ascii="宋体" w:hAnsi="宋体"/>
                <w:szCs w:val="21"/>
              </w:rPr>
            </w:pPr>
          </w:p>
        </w:tc>
        <w:tc>
          <w:tcPr>
            <w:tcW w:w="934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50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建筑专业负责人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34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郭凌凯</w:t>
            </w:r>
          </w:p>
        </w:tc>
        <w:tc>
          <w:tcPr>
            <w:tcW w:w="1633" w:type="dxa"/>
            <w:vAlign w:val="center"/>
          </w:tcPr>
          <w:p>
            <w:pPr>
              <w:tabs>
                <w:tab w:val="left" w:pos="7560"/>
              </w:tabs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结构所所长</w:t>
            </w:r>
          </w:p>
        </w:tc>
        <w:tc>
          <w:tcPr>
            <w:tcW w:w="1391" w:type="dxa"/>
            <w:vAlign w:val="center"/>
          </w:tcPr>
          <w:p>
            <w:pPr>
              <w:tabs>
                <w:tab w:val="left" w:pos="7560"/>
              </w:tabs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高级工程师</w:t>
            </w:r>
          </w:p>
        </w:tc>
        <w:tc>
          <w:tcPr>
            <w:tcW w:w="2558" w:type="dxa"/>
            <w:vAlign w:val="center"/>
          </w:tcPr>
          <w:p>
            <w:pPr>
              <w:tabs>
                <w:tab w:val="left" w:pos="7560"/>
              </w:tabs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一级注册结构工程师</w:t>
            </w:r>
          </w:p>
        </w:tc>
        <w:tc>
          <w:tcPr>
            <w:tcW w:w="934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5年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结构专业负责人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34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刘彬彬</w:t>
            </w:r>
          </w:p>
        </w:tc>
        <w:tc>
          <w:tcPr>
            <w:tcW w:w="1633" w:type="dxa"/>
            <w:vAlign w:val="center"/>
          </w:tcPr>
          <w:p>
            <w:pPr>
              <w:tabs>
                <w:tab w:val="left" w:pos="7560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主任工程师</w:t>
            </w:r>
          </w:p>
        </w:tc>
        <w:tc>
          <w:tcPr>
            <w:tcW w:w="1391" w:type="dxa"/>
            <w:vAlign w:val="center"/>
          </w:tcPr>
          <w:p>
            <w:pPr>
              <w:tabs>
                <w:tab w:val="left" w:pos="7560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工程师</w:t>
            </w:r>
          </w:p>
        </w:tc>
        <w:tc>
          <w:tcPr>
            <w:tcW w:w="2558" w:type="dxa"/>
            <w:vAlign w:val="center"/>
          </w:tcPr>
          <w:p>
            <w:pPr>
              <w:tabs>
                <w:tab w:val="left" w:pos="7560"/>
              </w:tabs>
              <w:rPr>
                <w:rFonts w:hint="eastAsia" w:ascii="宋体" w:hAnsi="宋体"/>
                <w:szCs w:val="21"/>
              </w:rPr>
            </w:pPr>
          </w:p>
        </w:tc>
        <w:tc>
          <w:tcPr>
            <w:tcW w:w="934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50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建筑专业负责人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34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王毅</w:t>
            </w:r>
          </w:p>
        </w:tc>
        <w:tc>
          <w:tcPr>
            <w:tcW w:w="1633" w:type="dxa"/>
            <w:vAlign w:val="center"/>
          </w:tcPr>
          <w:p>
            <w:pPr>
              <w:tabs>
                <w:tab w:val="left" w:pos="7560"/>
              </w:tabs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所长</w:t>
            </w:r>
          </w:p>
        </w:tc>
        <w:tc>
          <w:tcPr>
            <w:tcW w:w="1391" w:type="dxa"/>
            <w:vAlign w:val="center"/>
          </w:tcPr>
          <w:p>
            <w:pPr>
              <w:tabs>
                <w:tab w:val="left" w:pos="7560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高级工程师</w:t>
            </w:r>
          </w:p>
        </w:tc>
        <w:tc>
          <w:tcPr>
            <w:tcW w:w="2558" w:type="dxa"/>
            <w:vAlign w:val="center"/>
          </w:tcPr>
          <w:p>
            <w:pPr>
              <w:tabs>
                <w:tab w:val="left" w:pos="7560"/>
              </w:tabs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注册公用设备工程师（给水、排水）</w:t>
            </w:r>
          </w:p>
        </w:tc>
        <w:tc>
          <w:tcPr>
            <w:tcW w:w="934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7年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排水专业负责人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34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冯建伟</w:t>
            </w:r>
          </w:p>
        </w:tc>
        <w:tc>
          <w:tcPr>
            <w:tcW w:w="1633" w:type="dxa"/>
            <w:vAlign w:val="center"/>
          </w:tcPr>
          <w:p>
            <w:pPr>
              <w:tabs>
                <w:tab w:val="left" w:pos="7560"/>
              </w:tabs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主任工程师</w:t>
            </w:r>
          </w:p>
        </w:tc>
        <w:tc>
          <w:tcPr>
            <w:tcW w:w="1391" w:type="dxa"/>
            <w:vAlign w:val="center"/>
          </w:tcPr>
          <w:p>
            <w:pPr>
              <w:tabs>
                <w:tab w:val="left" w:pos="7560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工程师</w:t>
            </w:r>
          </w:p>
        </w:tc>
        <w:tc>
          <w:tcPr>
            <w:tcW w:w="2558" w:type="dxa"/>
            <w:vAlign w:val="center"/>
          </w:tcPr>
          <w:p>
            <w:pPr>
              <w:tabs>
                <w:tab w:val="left" w:pos="7560"/>
              </w:tabs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934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50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排水专业负责人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34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王欣圆</w:t>
            </w:r>
          </w:p>
        </w:tc>
        <w:tc>
          <w:tcPr>
            <w:tcW w:w="1633" w:type="dxa"/>
            <w:vAlign w:val="center"/>
          </w:tcPr>
          <w:p>
            <w:pPr>
              <w:tabs>
                <w:tab w:val="left" w:pos="7560"/>
              </w:tabs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主任工程师</w:t>
            </w:r>
          </w:p>
        </w:tc>
        <w:tc>
          <w:tcPr>
            <w:tcW w:w="1391" w:type="dxa"/>
            <w:vAlign w:val="center"/>
          </w:tcPr>
          <w:p>
            <w:pPr>
              <w:tabs>
                <w:tab w:val="left" w:pos="7560"/>
              </w:tabs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高级工程师</w:t>
            </w:r>
          </w:p>
        </w:tc>
        <w:tc>
          <w:tcPr>
            <w:tcW w:w="2558" w:type="dxa"/>
            <w:vAlign w:val="center"/>
          </w:tcPr>
          <w:p>
            <w:pPr>
              <w:tabs>
                <w:tab w:val="left" w:pos="7560"/>
              </w:tabs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4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50" w:type="dxa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暖通专业负责人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34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余伟</w:t>
            </w:r>
          </w:p>
        </w:tc>
        <w:tc>
          <w:tcPr>
            <w:tcW w:w="1633" w:type="dxa"/>
            <w:vAlign w:val="center"/>
          </w:tcPr>
          <w:p>
            <w:pPr>
              <w:tabs>
                <w:tab w:val="left" w:pos="7560"/>
              </w:tabs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主任</w:t>
            </w:r>
            <w:r>
              <w:rPr>
                <w:rFonts w:hint="eastAsia" w:ascii="宋体" w:hAnsi="宋体"/>
                <w:szCs w:val="21"/>
              </w:rPr>
              <w:t>工程师</w:t>
            </w:r>
          </w:p>
        </w:tc>
        <w:tc>
          <w:tcPr>
            <w:tcW w:w="1391" w:type="dxa"/>
            <w:vAlign w:val="center"/>
          </w:tcPr>
          <w:p>
            <w:pPr>
              <w:tabs>
                <w:tab w:val="left" w:pos="7560"/>
              </w:tabs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工程师</w:t>
            </w:r>
          </w:p>
        </w:tc>
        <w:tc>
          <w:tcPr>
            <w:tcW w:w="2558" w:type="dxa"/>
            <w:vAlign w:val="center"/>
          </w:tcPr>
          <w:p>
            <w:pPr>
              <w:tabs>
                <w:tab w:val="left" w:pos="7560"/>
              </w:tabs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注册公用设备工程师（暖通空调）</w:t>
            </w:r>
          </w:p>
        </w:tc>
        <w:tc>
          <w:tcPr>
            <w:tcW w:w="934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年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暖通专业负责人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34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吴琼</w:t>
            </w:r>
          </w:p>
        </w:tc>
        <w:tc>
          <w:tcPr>
            <w:tcW w:w="1633" w:type="dxa"/>
            <w:vAlign w:val="center"/>
          </w:tcPr>
          <w:p>
            <w:pPr>
              <w:tabs>
                <w:tab w:val="left" w:pos="7560"/>
              </w:tabs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主任</w:t>
            </w:r>
            <w:r>
              <w:rPr>
                <w:rFonts w:hint="eastAsia" w:ascii="宋体" w:hAnsi="宋体"/>
                <w:szCs w:val="21"/>
              </w:rPr>
              <w:t>工程师</w:t>
            </w:r>
          </w:p>
        </w:tc>
        <w:tc>
          <w:tcPr>
            <w:tcW w:w="1391" w:type="dxa"/>
            <w:vAlign w:val="center"/>
          </w:tcPr>
          <w:p>
            <w:pPr>
              <w:tabs>
                <w:tab w:val="left" w:pos="7560"/>
              </w:tabs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高级工程师</w:t>
            </w:r>
          </w:p>
        </w:tc>
        <w:tc>
          <w:tcPr>
            <w:tcW w:w="2558" w:type="dxa"/>
            <w:vAlign w:val="center"/>
          </w:tcPr>
          <w:p>
            <w:pPr>
              <w:tabs>
                <w:tab w:val="left" w:pos="7560"/>
              </w:tabs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4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电气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专业</w:t>
            </w:r>
            <w:r>
              <w:rPr>
                <w:rFonts w:hint="eastAsia" w:ascii="宋体" w:hAnsi="宋体" w:cs="宋体"/>
                <w:kern w:val="0"/>
                <w:szCs w:val="21"/>
              </w:rPr>
              <w:t>负责人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34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杨莉</w:t>
            </w:r>
          </w:p>
        </w:tc>
        <w:tc>
          <w:tcPr>
            <w:tcW w:w="1633" w:type="dxa"/>
            <w:vAlign w:val="center"/>
          </w:tcPr>
          <w:p>
            <w:pPr>
              <w:tabs>
                <w:tab w:val="left" w:pos="7560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副院长</w:t>
            </w:r>
          </w:p>
        </w:tc>
        <w:tc>
          <w:tcPr>
            <w:tcW w:w="1391" w:type="dxa"/>
            <w:vAlign w:val="center"/>
          </w:tcPr>
          <w:p>
            <w:pPr>
              <w:tabs>
                <w:tab w:val="left" w:pos="7560"/>
              </w:tabs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工程师</w:t>
            </w:r>
          </w:p>
        </w:tc>
        <w:tc>
          <w:tcPr>
            <w:tcW w:w="2558" w:type="dxa"/>
            <w:vAlign w:val="center"/>
          </w:tcPr>
          <w:p>
            <w:pPr>
              <w:tabs>
                <w:tab w:val="left" w:pos="7560"/>
              </w:tabs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4" w:type="dxa"/>
            <w:vAlign w:val="center"/>
          </w:tcPr>
          <w:p>
            <w:pPr>
              <w:tabs>
                <w:tab w:val="left" w:pos="7560"/>
              </w:tabs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050" w:type="dxa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电气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专业</w:t>
            </w:r>
            <w:r>
              <w:rPr>
                <w:rFonts w:hint="eastAsia" w:ascii="宋体" w:hAnsi="宋体" w:cs="宋体"/>
                <w:kern w:val="0"/>
                <w:szCs w:val="21"/>
              </w:rPr>
              <w:t>负责人</w:t>
            </w:r>
          </w:p>
        </w:tc>
      </w:tr>
    </w:tbl>
    <w:p>
      <w:pPr>
        <w:spacing w:line="400" w:lineRule="exact"/>
        <w:ind w:left="210" w:leftChars="100"/>
        <w:jc w:val="right"/>
        <w:rPr>
          <w:rFonts w:ascii="宋体" w:hAnsi="宋体"/>
          <w:szCs w:val="21"/>
        </w:rPr>
      </w:pPr>
    </w:p>
    <w:p>
      <w:pPr>
        <w:spacing w:line="400" w:lineRule="exact"/>
        <w:ind w:left="210" w:leftChars="100"/>
        <w:jc w:val="right"/>
        <w:rPr>
          <w:rFonts w:ascii="宋体" w:hAnsi="宋体"/>
          <w:szCs w:val="21"/>
        </w:rPr>
      </w:pP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978300"/>
    <w:multiLevelType w:val="multilevel"/>
    <w:tmpl w:val="03978300"/>
    <w:lvl w:ilvl="0" w:tentative="0">
      <w:start w:val="1"/>
      <w:numFmt w:val="decimal"/>
      <w:lvlText w:val="1.%1"/>
      <w:lvlJc w:val="center"/>
      <w:pPr>
        <w:ind w:left="0" w:firstLine="420"/>
      </w:pPr>
      <w:rPr>
        <w:rFonts w:hint="default" w:ascii="宋体" w:hAnsi="宋体" w:eastAsia="宋体" w:cs="宋体"/>
        <w:b w:val="0"/>
      </w:rPr>
    </w:lvl>
    <w:lvl w:ilvl="1" w:tentative="0">
      <w:start w:val="1"/>
      <w:numFmt w:val="lowerLetter"/>
      <w:lvlText w:val="%2)"/>
      <w:lvlJc w:val="left"/>
      <w:pPr>
        <w:ind w:left="126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hint="eastAsia"/>
      </w:rPr>
    </w:lvl>
  </w:abstractNum>
  <w:abstractNum w:abstractNumId="1">
    <w:nsid w:val="2533A6B6"/>
    <w:multiLevelType w:val="singleLevel"/>
    <w:tmpl w:val="2533A6B6"/>
    <w:lvl w:ilvl="0" w:tentative="0">
      <w:start w:val="1"/>
      <w:numFmt w:val="chineseCounting"/>
      <w:suff w:val="nothing"/>
      <w:lvlText w:val="%1、"/>
      <w:lvlJc w:val="left"/>
      <w:pPr>
        <w:ind w:left="-278" w:firstLine="420"/>
      </w:pPr>
      <w:rPr>
        <w:rFonts w:hint="eastAsia"/>
      </w:rPr>
    </w:lvl>
  </w:abstractNum>
  <w:abstractNum w:abstractNumId="2">
    <w:nsid w:val="2E580E03"/>
    <w:multiLevelType w:val="singleLevel"/>
    <w:tmpl w:val="2E580E03"/>
    <w:lvl w:ilvl="0" w:tentative="0">
      <w:start w:val="1"/>
      <w:numFmt w:val="decimal"/>
      <w:suff w:val="nothing"/>
      <w:lvlText w:val="2.%1　"/>
      <w:lvlJc w:val="left"/>
      <w:pPr>
        <w:tabs>
          <w:tab w:val="left" w:pos="0"/>
        </w:tabs>
        <w:ind w:left="0" w:firstLine="403"/>
      </w:pPr>
      <w:rPr>
        <w:rFonts w:hint="default" w:ascii="宋体" w:hAnsi="宋体" w:eastAsia="宋体" w:cs="宋体"/>
      </w:rPr>
    </w:lvl>
  </w:abstractNum>
  <w:abstractNum w:abstractNumId="3">
    <w:nsid w:val="393AC0D6"/>
    <w:multiLevelType w:val="singleLevel"/>
    <w:tmpl w:val="393AC0D6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OTEwZjBkZWQ4M2IxZWZlYjA1MDVmNzAzYTU1MWQifQ=="/>
  </w:docVars>
  <w:rsids>
    <w:rsidRoot w:val="52686B63"/>
    <w:rsid w:val="00075457"/>
    <w:rsid w:val="000C4C43"/>
    <w:rsid w:val="001B2C41"/>
    <w:rsid w:val="001D0501"/>
    <w:rsid w:val="001D3540"/>
    <w:rsid w:val="001F17E2"/>
    <w:rsid w:val="00263E95"/>
    <w:rsid w:val="002C46A6"/>
    <w:rsid w:val="002D734A"/>
    <w:rsid w:val="0030068B"/>
    <w:rsid w:val="003802E3"/>
    <w:rsid w:val="003C1923"/>
    <w:rsid w:val="00400B1C"/>
    <w:rsid w:val="004615DF"/>
    <w:rsid w:val="005C2352"/>
    <w:rsid w:val="005C3595"/>
    <w:rsid w:val="00620A33"/>
    <w:rsid w:val="0063615B"/>
    <w:rsid w:val="006C3134"/>
    <w:rsid w:val="006C4C72"/>
    <w:rsid w:val="006E2B74"/>
    <w:rsid w:val="007249F2"/>
    <w:rsid w:val="00745073"/>
    <w:rsid w:val="007E51CE"/>
    <w:rsid w:val="007F5205"/>
    <w:rsid w:val="008B3B1B"/>
    <w:rsid w:val="00946581"/>
    <w:rsid w:val="00955350"/>
    <w:rsid w:val="00A259CB"/>
    <w:rsid w:val="00AB6362"/>
    <w:rsid w:val="00AE2BCA"/>
    <w:rsid w:val="00B0573E"/>
    <w:rsid w:val="00B167B7"/>
    <w:rsid w:val="00B206DE"/>
    <w:rsid w:val="00B55616"/>
    <w:rsid w:val="00B76ADD"/>
    <w:rsid w:val="00BC7C0E"/>
    <w:rsid w:val="00BD35E8"/>
    <w:rsid w:val="00C01465"/>
    <w:rsid w:val="00C778B9"/>
    <w:rsid w:val="00C813A5"/>
    <w:rsid w:val="00CB0169"/>
    <w:rsid w:val="00D134A0"/>
    <w:rsid w:val="00D1486E"/>
    <w:rsid w:val="00D919AA"/>
    <w:rsid w:val="00DC54D7"/>
    <w:rsid w:val="00E43CA9"/>
    <w:rsid w:val="00E67CBA"/>
    <w:rsid w:val="00EC4BB0"/>
    <w:rsid w:val="00ED019F"/>
    <w:rsid w:val="00EE0C1B"/>
    <w:rsid w:val="00EE6BFB"/>
    <w:rsid w:val="00F33992"/>
    <w:rsid w:val="00F72F04"/>
    <w:rsid w:val="012C5333"/>
    <w:rsid w:val="026429BA"/>
    <w:rsid w:val="04D1148D"/>
    <w:rsid w:val="0577113A"/>
    <w:rsid w:val="0A355498"/>
    <w:rsid w:val="0B93493A"/>
    <w:rsid w:val="0C214CA8"/>
    <w:rsid w:val="0C3D3492"/>
    <w:rsid w:val="0D110C59"/>
    <w:rsid w:val="0EE87661"/>
    <w:rsid w:val="0FFA67A0"/>
    <w:rsid w:val="10E8616A"/>
    <w:rsid w:val="1181452C"/>
    <w:rsid w:val="12B11E97"/>
    <w:rsid w:val="15D511A8"/>
    <w:rsid w:val="16A17010"/>
    <w:rsid w:val="173D37A4"/>
    <w:rsid w:val="173F56D2"/>
    <w:rsid w:val="188D4F4F"/>
    <w:rsid w:val="19D576D3"/>
    <w:rsid w:val="1A2C1E17"/>
    <w:rsid w:val="1B5019AF"/>
    <w:rsid w:val="1B7D36FF"/>
    <w:rsid w:val="1C1C6D09"/>
    <w:rsid w:val="1C2C7853"/>
    <w:rsid w:val="1C681F66"/>
    <w:rsid w:val="1E5C41E3"/>
    <w:rsid w:val="1ED25CF3"/>
    <w:rsid w:val="21FD45E7"/>
    <w:rsid w:val="223C2625"/>
    <w:rsid w:val="27832904"/>
    <w:rsid w:val="2855299E"/>
    <w:rsid w:val="29693A61"/>
    <w:rsid w:val="2C7E0756"/>
    <w:rsid w:val="309E0D7D"/>
    <w:rsid w:val="31104EF3"/>
    <w:rsid w:val="32DB5903"/>
    <w:rsid w:val="34554C5A"/>
    <w:rsid w:val="34E14219"/>
    <w:rsid w:val="35B641D5"/>
    <w:rsid w:val="36132981"/>
    <w:rsid w:val="38B264CE"/>
    <w:rsid w:val="392462B9"/>
    <w:rsid w:val="39C931D3"/>
    <w:rsid w:val="3BE36BCB"/>
    <w:rsid w:val="3D8316B7"/>
    <w:rsid w:val="3E3A6A94"/>
    <w:rsid w:val="3FFB05F0"/>
    <w:rsid w:val="40AF20BC"/>
    <w:rsid w:val="418D55F3"/>
    <w:rsid w:val="42477163"/>
    <w:rsid w:val="42813BE8"/>
    <w:rsid w:val="4337377E"/>
    <w:rsid w:val="467042B3"/>
    <w:rsid w:val="48B50726"/>
    <w:rsid w:val="48FA50B5"/>
    <w:rsid w:val="4A2C6D42"/>
    <w:rsid w:val="4A345E5B"/>
    <w:rsid w:val="4B595159"/>
    <w:rsid w:val="4B5D49FB"/>
    <w:rsid w:val="4BE45246"/>
    <w:rsid w:val="4BEE0C37"/>
    <w:rsid w:val="4D02094A"/>
    <w:rsid w:val="4D2906F6"/>
    <w:rsid w:val="4D3E1E4D"/>
    <w:rsid w:val="51C4388B"/>
    <w:rsid w:val="52686B63"/>
    <w:rsid w:val="53810213"/>
    <w:rsid w:val="53EE3F61"/>
    <w:rsid w:val="586436BC"/>
    <w:rsid w:val="59992165"/>
    <w:rsid w:val="5B78158A"/>
    <w:rsid w:val="5B837D30"/>
    <w:rsid w:val="5FBD3437"/>
    <w:rsid w:val="5FFB276D"/>
    <w:rsid w:val="60F247BB"/>
    <w:rsid w:val="61276E91"/>
    <w:rsid w:val="639A50F1"/>
    <w:rsid w:val="64CE3D15"/>
    <w:rsid w:val="64D86F06"/>
    <w:rsid w:val="6640645B"/>
    <w:rsid w:val="670D7981"/>
    <w:rsid w:val="6AAC458F"/>
    <w:rsid w:val="70602955"/>
    <w:rsid w:val="70906C08"/>
    <w:rsid w:val="716D5E80"/>
    <w:rsid w:val="720451D4"/>
    <w:rsid w:val="75E84373"/>
    <w:rsid w:val="76E94139"/>
    <w:rsid w:val="778A1687"/>
    <w:rsid w:val="77A7462C"/>
    <w:rsid w:val="782F0FE7"/>
    <w:rsid w:val="7B750C2D"/>
    <w:rsid w:val="7F42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napToGrid w:val="0"/>
    </w:pPr>
    <w:rPr>
      <w:rFonts w:ascii="宋体"/>
      <w:sz w:val="24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  <w:rPr>
      <w:szCs w:val="20"/>
    </w:r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annotation reference"/>
    <w:basedOn w:val="11"/>
    <w:qFormat/>
    <w:uiPriority w:val="0"/>
    <w:rPr>
      <w:sz w:val="21"/>
      <w:szCs w:val="21"/>
    </w:rPr>
  </w:style>
  <w:style w:type="paragraph" w:customStyle="1" w:styleId="14">
    <w:name w:val="列出段落11"/>
    <w:basedOn w:val="1"/>
    <w:qFormat/>
    <w:uiPriority w:val="34"/>
    <w:pPr>
      <w:ind w:firstLine="420" w:firstLineChars="200"/>
    </w:pPr>
  </w:style>
  <w:style w:type="character" w:customStyle="1" w:styleId="15">
    <w:name w:val="页眉 Char"/>
    <w:basedOn w:val="11"/>
    <w:link w:val="8"/>
    <w:qFormat/>
    <w:uiPriority w:val="0"/>
    <w:rPr>
      <w:rFonts w:ascii="Calibri" w:hAnsi="Calibri"/>
      <w:kern w:val="2"/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标题 1 Char"/>
    <w:basedOn w:val="11"/>
    <w:link w:val="3"/>
    <w:qFormat/>
    <w:uiPriority w:val="0"/>
    <w:rPr>
      <w:rFonts w:ascii="Calibri" w:hAnsi="Calibri"/>
      <w:b/>
      <w:kern w:val="44"/>
      <w:sz w:val="44"/>
      <w:szCs w:val="24"/>
    </w:rPr>
  </w:style>
  <w:style w:type="character" w:customStyle="1" w:styleId="18">
    <w:name w:val="批注框文本 Char"/>
    <w:basedOn w:val="11"/>
    <w:link w:val="6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9">
    <w:name w:val="列出段落2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20">
    <w:name w:val="font3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5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paragraph" w:customStyle="1" w:styleId="22">
    <w:name w:val="Table Paragraph"/>
    <w:basedOn w:val="1"/>
    <w:qFormat/>
    <w:uiPriority w:val="1"/>
    <w:pPr>
      <w:jc w:val="center"/>
    </w:pPr>
    <w:rPr>
      <w:rFonts w:ascii="微软雅黑" w:hAnsi="微软雅黑" w:eastAsia="微软雅黑" w:cs="微软雅黑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3704</Words>
  <Characters>4549</Characters>
  <Lines>11</Lines>
  <Paragraphs>3</Paragraphs>
  <TotalTime>88</TotalTime>
  <ScaleCrop>false</ScaleCrop>
  <LinksUpToDate>false</LinksUpToDate>
  <CharactersWithSpaces>4704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2018-07-11T08:37:00Z</dcterms:created>
  <dc:creator>陈烨</dc:creator>
  <cp:lastModifiedBy>谦谦</cp:lastModifiedBy>
  <cp:lastPrinted>2018-10-15T05:58:00Z</cp:lastPrinted>
  <dcterms:modified xsi:type="dcterms:W3CDTF">2023-01-16T06:25:39Z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D5342C5B65D444A8A0EE3DBB07DD61B9</vt:lpwstr>
  </property>
</Properties>
</file>