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1"/>
          <w:numId w:val="0"/>
        </w:numPr>
        <w:wordWrap/>
        <w:snapToGrid/>
        <w:spacing w:line="360" w:lineRule="auto"/>
        <w:ind w:firstLine="480" w:firstLineChars="200"/>
        <w:jc w:val="left"/>
        <w:rPr>
          <w:rFonts w:cs="宋体" w:asciiTheme="minorEastAsia" w:hAnsiTheme="minorEastAsia"/>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月1日至</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日期间，佣金由1%调整为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bookmarkStart w:id="2" w:name="_GoBack"/>
      <w:bookmarkEnd w:id="2"/>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F7439FB"/>
    <w:rsid w:val="141D5683"/>
    <w:rsid w:val="157F0000"/>
    <w:rsid w:val="15BE564C"/>
    <w:rsid w:val="178F10EE"/>
    <w:rsid w:val="24C30629"/>
    <w:rsid w:val="29D82DC8"/>
    <w:rsid w:val="34CD0497"/>
    <w:rsid w:val="394F35C4"/>
    <w:rsid w:val="3BAE5737"/>
    <w:rsid w:val="431C1617"/>
    <w:rsid w:val="43D8031B"/>
    <w:rsid w:val="489A16D4"/>
    <w:rsid w:val="4CE22239"/>
    <w:rsid w:val="4D553C64"/>
    <w:rsid w:val="533F3F0F"/>
    <w:rsid w:val="539F40EF"/>
    <w:rsid w:val="66B61137"/>
    <w:rsid w:val="69564C17"/>
    <w:rsid w:val="6B906905"/>
    <w:rsid w:val="6F926156"/>
    <w:rsid w:val="7040659E"/>
    <w:rsid w:val="712A5284"/>
    <w:rsid w:val="76BA5FCD"/>
    <w:rsid w:val="79305C7F"/>
    <w:rsid w:val="7A2B3E1B"/>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2023-02-04T01:24:07Z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