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624" w:beforeLines="200" w:line="340" w:lineRule="exact"/>
        <w:rPr>
          <w:rFonts w:ascii="黑体" w:eastAsia="黑体"/>
          <w:b/>
          <w:sz w:val="44"/>
          <w:szCs w:val="44"/>
        </w:rPr>
      </w:pPr>
    </w:p>
    <w:p>
      <w:pPr>
        <w:pStyle w:val="59"/>
        <w:ind w:left="386" w:firstLine="1658" w:firstLineChars="392"/>
        <w:rPr>
          <w:rFonts w:ascii="黑体" w:eastAsia="黑体"/>
          <w:b/>
          <w:sz w:val="44"/>
          <w:szCs w:val="44"/>
        </w:rPr>
      </w:pPr>
    </w:p>
    <w:p>
      <w:pPr>
        <w:pStyle w:val="59"/>
        <w:ind w:left="386" w:firstLine="1658" w:firstLineChars="392"/>
        <w:rPr>
          <w:rFonts w:ascii="黑体" w:eastAsia="黑体"/>
          <w:b/>
          <w:sz w:val="44"/>
          <w:szCs w:val="44"/>
        </w:rPr>
      </w:pPr>
    </w:p>
    <w:p>
      <w:pPr>
        <w:pStyle w:val="59"/>
        <w:autoSpaceDN w:val="0"/>
        <w:ind w:left="386" w:firstLine="1732" w:firstLineChars="392"/>
        <w:rPr>
          <w:rFonts w:hint="eastAsia" w:ascii="黑体" w:eastAsia="黑体"/>
          <w:b/>
          <w:bCs/>
          <w:sz w:val="44"/>
          <w:szCs w:val="44"/>
        </w:rPr>
      </w:pPr>
    </w:p>
    <w:p>
      <w:pPr>
        <w:pStyle w:val="59"/>
        <w:autoSpaceDN w:val="0"/>
        <w:ind w:left="0" w:firstLine="0" w:firstLineChars="0"/>
        <w:rPr>
          <w:rFonts w:hint="eastAsia" w:ascii="黑体" w:eastAsia="黑体"/>
          <w:b/>
          <w:bCs/>
          <w:sz w:val="48"/>
          <w:szCs w:val="48"/>
        </w:rPr>
      </w:pPr>
      <w:r>
        <w:rPr>
          <w:rFonts w:hint="eastAsia" w:ascii="黑体" w:eastAsia="黑体"/>
          <w:b/>
          <w:bCs/>
          <w:sz w:val="44"/>
          <w:szCs w:val="44"/>
          <w:lang w:val="en-US" w:eastAsia="zh-CN"/>
        </w:rPr>
        <w:t xml:space="preserve">    </w:t>
      </w:r>
      <w:r>
        <w:rPr>
          <w:rFonts w:hint="eastAsia" w:ascii="黑体" w:eastAsia="黑体"/>
          <w:b/>
          <w:bCs/>
          <w:sz w:val="48"/>
          <w:szCs w:val="48"/>
        </w:rPr>
        <w:t>开元壹号</w:t>
      </w:r>
      <w:r>
        <w:rPr>
          <w:rFonts w:hint="eastAsia" w:ascii="黑体" w:eastAsia="黑体"/>
          <w:b/>
          <w:bCs/>
          <w:sz w:val="48"/>
          <w:szCs w:val="48"/>
          <w:lang w:val="en-US" w:eastAsia="zh-CN"/>
        </w:rPr>
        <w:t>2#楼入户大堂精</w:t>
      </w:r>
      <w:r>
        <w:rPr>
          <w:rFonts w:hint="eastAsia" w:ascii="黑体" w:eastAsia="黑体"/>
          <w:b/>
          <w:bCs/>
          <w:sz w:val="48"/>
          <w:szCs w:val="48"/>
        </w:rPr>
        <w:t>装修</w:t>
      </w:r>
    </w:p>
    <w:p>
      <w:pPr>
        <w:pStyle w:val="59"/>
        <w:autoSpaceDN w:val="0"/>
        <w:ind w:left="420" w:leftChars="200" w:firstLine="2814" w:firstLineChars="637"/>
        <w:rPr>
          <w:rFonts w:hint="eastAsia" w:ascii="黑体" w:eastAsia="黑体"/>
          <w:b/>
          <w:bCs/>
          <w:sz w:val="48"/>
          <w:szCs w:val="48"/>
        </w:rPr>
      </w:pPr>
    </w:p>
    <w:p>
      <w:pPr>
        <w:pStyle w:val="59"/>
        <w:autoSpaceDN w:val="0"/>
        <w:ind w:left="0" w:leftChars="0" w:firstLine="0" w:firstLineChars="0"/>
        <w:rPr>
          <w:rFonts w:hint="eastAsia" w:ascii="黑体" w:eastAsia="黑体"/>
          <w:b/>
          <w:bCs/>
          <w:sz w:val="48"/>
          <w:szCs w:val="48"/>
        </w:rPr>
      </w:pPr>
      <w:r>
        <w:rPr>
          <w:rFonts w:hint="eastAsia" w:ascii="黑体" w:eastAsia="黑体"/>
          <w:b/>
          <w:bCs/>
          <w:sz w:val="48"/>
          <w:szCs w:val="48"/>
          <w:lang w:val="en-US" w:eastAsia="zh-CN"/>
        </w:rPr>
        <w:t xml:space="preserve">          </w:t>
      </w:r>
      <w:r>
        <w:rPr>
          <w:rFonts w:hint="eastAsia" w:ascii="黑体" w:eastAsia="黑体"/>
          <w:b/>
          <w:bCs/>
          <w:sz w:val="48"/>
          <w:szCs w:val="48"/>
        </w:rPr>
        <w:t>工程施工合同</w:t>
      </w:r>
    </w:p>
    <w:p>
      <w:pPr>
        <w:autoSpaceDN w:val="0"/>
        <w:spacing w:line="500" w:lineRule="exact"/>
        <w:ind w:firstLine="2381" w:firstLineChars="539"/>
        <w:rPr>
          <w:rFonts w:hint="eastAsia" w:ascii="宋体"/>
          <w:b/>
          <w:bCs/>
          <w:sz w:val="44"/>
          <w:szCs w:val="44"/>
        </w:rPr>
      </w:pPr>
    </w:p>
    <w:p>
      <w:pPr>
        <w:autoSpaceDN w:val="0"/>
        <w:spacing w:line="500" w:lineRule="exact"/>
        <w:ind w:firstLine="1760" w:firstLineChars="400"/>
        <w:rPr>
          <w:rFonts w:hint="eastAsia" w:ascii="宋体"/>
          <w:sz w:val="44"/>
          <w:szCs w:val="44"/>
        </w:rPr>
      </w:pPr>
      <w:r>
        <w:rPr>
          <w:rFonts w:hint="eastAsia" w:ascii="宋体"/>
          <w:sz w:val="44"/>
          <w:szCs w:val="44"/>
        </w:rPr>
        <w:t xml:space="preserve">               </w:t>
      </w:r>
    </w:p>
    <w:p>
      <w:pPr>
        <w:autoSpaceDN w:val="0"/>
        <w:spacing w:line="500" w:lineRule="exact"/>
        <w:ind w:firstLine="4620" w:firstLineChars="1050"/>
        <w:rPr>
          <w:rFonts w:hint="eastAsia" w:ascii="宋体"/>
          <w:szCs w:val="21"/>
        </w:rPr>
      </w:pPr>
      <w:r>
        <w:rPr>
          <w:rFonts w:hint="eastAsia" w:ascii="宋体"/>
          <w:sz w:val="44"/>
          <w:szCs w:val="44"/>
        </w:rPr>
        <w:t xml:space="preserve">     </w:t>
      </w:r>
    </w:p>
    <w:p>
      <w:pPr>
        <w:autoSpaceDN w:val="0"/>
        <w:spacing w:line="500" w:lineRule="exact"/>
        <w:ind w:firstLine="840" w:firstLineChars="300"/>
        <w:rPr>
          <w:rFonts w:hint="eastAsia" w:ascii="宋体"/>
          <w:sz w:val="28"/>
          <w:szCs w:val="28"/>
        </w:rPr>
      </w:pPr>
    </w:p>
    <w:p>
      <w:pPr>
        <w:autoSpaceDN w:val="0"/>
        <w:spacing w:line="500" w:lineRule="exact"/>
        <w:ind w:firstLine="840" w:firstLineChars="300"/>
        <w:rPr>
          <w:rFonts w:hint="eastAsia" w:ascii="宋体"/>
          <w:sz w:val="28"/>
          <w:szCs w:val="28"/>
        </w:rPr>
      </w:pPr>
    </w:p>
    <w:p>
      <w:pPr>
        <w:autoSpaceDN w:val="0"/>
        <w:spacing w:line="240" w:lineRule="auto"/>
        <w:rPr>
          <w:rFonts w:hint="eastAsia" w:ascii="宋体" w:eastAsia="宋体"/>
          <w:b/>
          <w:bCs/>
          <w:sz w:val="32"/>
          <w:szCs w:val="32"/>
          <w:lang w:eastAsia="zh-CN"/>
        </w:rPr>
      </w:pPr>
      <w:r>
        <w:rPr>
          <w:rFonts w:hint="eastAsia" w:ascii="宋体"/>
          <w:b/>
          <w:bCs/>
          <w:sz w:val="32"/>
          <w:szCs w:val="32"/>
          <w:lang w:val="en-US" w:eastAsia="zh-CN"/>
        </w:rPr>
        <w:t xml:space="preserve">          </w:t>
      </w:r>
      <w:r>
        <w:rPr>
          <w:rFonts w:hint="eastAsia" w:ascii="宋体"/>
          <w:b/>
          <w:bCs/>
          <w:sz w:val="32"/>
          <w:szCs w:val="32"/>
          <w:lang w:eastAsia="zh-CN"/>
        </w:rPr>
        <w:t>成本代码：</w:t>
      </w:r>
      <w:r>
        <w:rPr>
          <w:rFonts w:hint="eastAsia" w:ascii="宋体"/>
          <w:b/>
          <w:bCs/>
          <w:sz w:val="32"/>
          <w:szCs w:val="32"/>
          <w:lang w:val="en-US" w:eastAsia="zh-CN"/>
        </w:rPr>
        <w:t>3.3.1</w:t>
      </w:r>
    </w:p>
    <w:p>
      <w:pPr>
        <w:autoSpaceDN w:val="0"/>
        <w:spacing w:line="240" w:lineRule="auto"/>
        <w:ind w:firstLine="720" w:firstLineChars="300"/>
        <w:rPr>
          <w:rFonts w:hint="eastAsia" w:ascii="宋体"/>
          <w:b/>
          <w:bCs/>
          <w:sz w:val="32"/>
          <w:szCs w:val="32"/>
        </w:rPr>
      </w:pPr>
      <w:r>
        <w:rPr>
          <w:rFonts w:hint="eastAsia" w:ascii="宋体"/>
          <w:sz w:val="24"/>
          <w:szCs w:val="24"/>
        </w:rPr>
        <w:t xml:space="preserve">       </w:t>
      </w:r>
      <w:r>
        <w:rPr>
          <w:rFonts w:hint="eastAsia" w:ascii="宋体"/>
          <w:b/>
          <w:bCs/>
          <w:sz w:val="32"/>
          <w:szCs w:val="32"/>
        </w:rPr>
        <w:t>合同编号：KYYH.01-</w:t>
      </w:r>
      <w:r>
        <w:rPr>
          <w:rFonts w:hint="eastAsia" w:ascii="宋体"/>
          <w:b/>
          <w:bCs/>
          <w:sz w:val="32"/>
          <w:szCs w:val="32"/>
          <w:lang w:val="en-US" w:eastAsia="zh-CN"/>
        </w:rPr>
        <w:t>JA</w:t>
      </w:r>
      <w:r>
        <w:rPr>
          <w:rFonts w:hint="eastAsia" w:ascii="宋体"/>
          <w:b/>
          <w:bCs/>
          <w:sz w:val="32"/>
          <w:szCs w:val="32"/>
        </w:rPr>
        <w:t>-</w:t>
      </w:r>
      <w:r>
        <w:rPr>
          <w:rFonts w:hint="eastAsia" w:ascii="宋体"/>
          <w:b/>
          <w:bCs/>
          <w:sz w:val="32"/>
          <w:szCs w:val="32"/>
          <w:lang w:val="en-US" w:eastAsia="zh-CN"/>
        </w:rPr>
        <w:t>296</w:t>
      </w:r>
    </w:p>
    <w:p>
      <w:pPr>
        <w:autoSpaceDN w:val="0"/>
        <w:spacing w:line="240" w:lineRule="auto"/>
        <w:rPr>
          <w:rFonts w:hint="eastAsia" w:ascii="宋体"/>
          <w:b/>
          <w:bCs/>
          <w:color w:val="000000"/>
          <w:sz w:val="32"/>
          <w:szCs w:val="32"/>
        </w:rPr>
      </w:pPr>
      <w:r>
        <w:rPr>
          <w:rFonts w:hint="eastAsia" w:ascii="宋体"/>
          <w:b/>
          <w:bCs/>
          <w:color w:val="000000"/>
          <w:sz w:val="32"/>
          <w:szCs w:val="32"/>
          <w:lang w:val="en-US" w:eastAsia="zh-CN"/>
        </w:rPr>
        <w:t xml:space="preserve">          </w:t>
      </w:r>
      <w:r>
        <w:rPr>
          <w:rFonts w:hint="eastAsia" w:ascii="宋体"/>
          <w:b/>
          <w:bCs/>
          <w:color w:val="000000"/>
          <w:sz w:val="32"/>
          <w:szCs w:val="32"/>
        </w:rPr>
        <w:t xml:space="preserve">发 包 人:洛阳浩德鑫置地有限公司           </w:t>
      </w:r>
    </w:p>
    <w:p>
      <w:pPr>
        <w:autoSpaceDN w:val="0"/>
        <w:spacing w:line="240" w:lineRule="auto"/>
        <w:rPr>
          <w:rFonts w:hint="eastAsia" w:ascii="宋体"/>
          <w:b/>
          <w:bCs/>
          <w:color w:val="000000"/>
          <w:sz w:val="32"/>
          <w:szCs w:val="32"/>
        </w:rPr>
      </w:pPr>
      <w:r>
        <w:rPr>
          <w:rFonts w:hint="eastAsia" w:ascii="宋体"/>
          <w:b/>
          <w:bCs/>
          <w:color w:val="000000"/>
          <w:sz w:val="32"/>
          <w:szCs w:val="32"/>
          <w:lang w:val="en-US" w:eastAsia="zh-CN"/>
        </w:rPr>
        <w:t xml:space="preserve">          </w:t>
      </w:r>
      <w:r>
        <w:rPr>
          <w:rFonts w:hint="eastAsia" w:ascii="宋体"/>
          <w:b/>
          <w:bCs/>
          <w:color w:val="000000"/>
          <w:sz w:val="32"/>
          <w:szCs w:val="32"/>
        </w:rPr>
        <w:t>承 包 人:河南囯基装饰工程有限公司</w:t>
      </w:r>
    </w:p>
    <w:p>
      <w:pPr>
        <w:autoSpaceDN w:val="0"/>
        <w:spacing w:line="240" w:lineRule="auto"/>
        <w:rPr>
          <w:rFonts w:hint="eastAsia" w:ascii="宋体"/>
          <w:b/>
          <w:bCs/>
          <w:color w:val="000000"/>
          <w:sz w:val="32"/>
          <w:szCs w:val="32"/>
        </w:rPr>
      </w:pPr>
      <w:r>
        <w:rPr>
          <w:rFonts w:hint="eastAsia" w:ascii="宋体"/>
          <w:b/>
          <w:bCs/>
          <w:color w:val="000000"/>
          <w:sz w:val="32"/>
          <w:szCs w:val="32"/>
          <w:lang w:val="en-US" w:eastAsia="zh-CN"/>
        </w:rPr>
        <w:t xml:space="preserve">          </w:t>
      </w:r>
      <w:r>
        <w:rPr>
          <w:rFonts w:hint="eastAsia" w:ascii="宋体"/>
          <w:b/>
          <w:bCs/>
          <w:color w:val="000000"/>
          <w:sz w:val="32"/>
          <w:szCs w:val="32"/>
        </w:rPr>
        <w:t>签订日期: 2015年</w:t>
      </w:r>
      <w:r>
        <w:rPr>
          <w:rFonts w:hint="eastAsia" w:ascii="宋体"/>
          <w:b/>
          <w:bCs/>
          <w:color w:val="000000"/>
          <w:sz w:val="32"/>
          <w:szCs w:val="32"/>
          <w:lang w:val="en-US" w:eastAsia="zh-CN"/>
        </w:rPr>
        <w:t>6</w:t>
      </w:r>
      <w:r>
        <w:rPr>
          <w:rFonts w:hint="eastAsia" w:ascii="宋体"/>
          <w:b/>
          <w:bCs/>
          <w:color w:val="000000"/>
          <w:sz w:val="32"/>
          <w:szCs w:val="32"/>
        </w:rPr>
        <w:t>月</w:t>
      </w:r>
      <w:r>
        <w:rPr>
          <w:rFonts w:hint="eastAsia" w:ascii="宋体"/>
          <w:b/>
          <w:bCs/>
          <w:color w:val="000000"/>
          <w:sz w:val="32"/>
          <w:szCs w:val="32"/>
          <w:lang w:val="en-US" w:eastAsia="zh-CN"/>
        </w:rPr>
        <w:t>5</w:t>
      </w:r>
      <w:r>
        <w:rPr>
          <w:rFonts w:hint="eastAsia" w:ascii="宋体"/>
          <w:b/>
          <w:bCs/>
          <w:color w:val="000000"/>
          <w:sz w:val="32"/>
          <w:szCs w:val="32"/>
        </w:rPr>
        <w:t>日</w:t>
      </w:r>
    </w:p>
    <w:p>
      <w:pPr>
        <w:widowControl/>
        <w:spacing w:line="240" w:lineRule="auto"/>
        <w:jc w:val="left"/>
        <w:rPr>
          <w:rFonts w:hint="eastAsia" w:ascii="宋体" w:cs="宋体"/>
          <w:kern w:val="0"/>
          <w:sz w:val="24"/>
          <w:szCs w:val="24"/>
        </w:rPr>
        <w:sectPr>
          <w:headerReference r:id="rId4" w:type="default"/>
          <w:footerReference r:id="rId5" w:type="default"/>
          <w:pgSz w:w="11906" w:h="16838"/>
          <w:pgMar w:top="1440" w:right="1286" w:bottom="1440" w:left="1800" w:header="851" w:footer="992" w:gutter="0"/>
          <w:pgNumType w:fmt="upperRoman" w:start="1"/>
          <w:cols w:space="720" w:num="1"/>
          <w:docGrid w:type="lines" w:linePitch="312" w:charSpace="0"/>
        </w:sectPr>
      </w:pPr>
    </w:p>
    <w:p>
      <w:pPr>
        <w:pStyle w:val="59"/>
        <w:autoSpaceDN w:val="0"/>
        <w:ind w:firstLine="442" w:firstLineChars="100"/>
        <w:rPr>
          <w:rFonts w:hint="eastAsia" w:ascii="黑体" w:eastAsia="黑体"/>
          <w:b/>
          <w:bCs/>
          <w:sz w:val="36"/>
          <w:szCs w:val="36"/>
        </w:rPr>
      </w:pPr>
      <w:r>
        <w:rPr>
          <w:rFonts w:hint="eastAsia" w:ascii="黑体" w:eastAsia="黑体"/>
          <w:b/>
          <w:bCs/>
          <w:sz w:val="36"/>
          <w:szCs w:val="36"/>
          <w:lang w:val="en-US" w:eastAsia="zh-CN"/>
        </w:rPr>
        <w:t xml:space="preserve">    </w:t>
      </w:r>
      <w:r>
        <w:rPr>
          <w:rFonts w:hint="eastAsia" w:ascii="黑体" w:eastAsia="黑体"/>
          <w:b/>
          <w:bCs/>
          <w:sz w:val="36"/>
          <w:szCs w:val="36"/>
        </w:rPr>
        <w:t>开元壹号</w:t>
      </w:r>
      <w:r>
        <w:rPr>
          <w:rFonts w:hint="eastAsia" w:ascii="黑体" w:eastAsia="黑体"/>
          <w:b/>
          <w:bCs/>
          <w:sz w:val="36"/>
          <w:szCs w:val="36"/>
          <w:lang w:val="en-US" w:eastAsia="zh-CN"/>
        </w:rPr>
        <w:t>2#楼入户大堂精</w:t>
      </w:r>
      <w:r>
        <w:rPr>
          <w:rFonts w:hint="eastAsia" w:ascii="黑体" w:eastAsia="黑体"/>
          <w:b/>
          <w:bCs/>
          <w:sz w:val="36"/>
          <w:szCs w:val="36"/>
        </w:rPr>
        <w:t>装修工程</w:t>
      </w:r>
      <w:r>
        <w:rPr>
          <w:rFonts w:hint="eastAsia" w:ascii="黑体" w:eastAsia="黑体"/>
          <w:b/>
          <w:bCs/>
          <w:vanish/>
          <w:sz w:val="36"/>
          <w:szCs w:val="36"/>
        </w:rPr>
        <w:t>工合同周边围护措施不到位或考虑不周造成的损失由乙方自行承担</w:t>
      </w:r>
      <w:r>
        <w:rPr>
          <w:rFonts w:hint="eastAsia" w:ascii="黑体" w:eastAsia="黑体"/>
          <w:b/>
          <w:bCs/>
          <w:sz w:val="36"/>
          <w:szCs w:val="36"/>
        </w:rPr>
        <w:t>施工合同</w:t>
      </w:r>
    </w:p>
    <w:p>
      <w:pPr>
        <w:tabs>
          <w:tab w:val="left" w:pos="1080"/>
        </w:tabs>
        <w:autoSpaceDN w:val="0"/>
        <w:snapToGrid w:val="0"/>
        <w:spacing w:line="500" w:lineRule="exact"/>
        <w:rPr>
          <w:rFonts w:hint="eastAsia" w:ascii="宋体"/>
          <w:b/>
          <w:bCs/>
          <w:kern w:val="24"/>
          <w:sz w:val="24"/>
          <w:szCs w:val="24"/>
        </w:rPr>
      </w:pPr>
      <w:r>
        <w:rPr>
          <w:rFonts w:hint="eastAsia" w:ascii="宋体"/>
          <w:b/>
          <w:bCs/>
          <w:kern w:val="24"/>
          <w:sz w:val="24"/>
          <w:szCs w:val="24"/>
        </w:rPr>
        <w:t>发包人：</w:t>
      </w:r>
      <w:r>
        <w:rPr>
          <w:rFonts w:hint="eastAsia" w:ascii="宋体"/>
          <w:b/>
          <w:bCs/>
          <w:kern w:val="24"/>
          <w:sz w:val="24"/>
          <w:szCs w:val="24"/>
          <w:u w:val="single"/>
        </w:rPr>
        <w:t>洛阳浩德鑫置地有限公司（以下简称甲方）</w:t>
      </w:r>
    </w:p>
    <w:p>
      <w:pPr>
        <w:tabs>
          <w:tab w:val="left" w:pos="1080"/>
        </w:tabs>
        <w:autoSpaceDN w:val="0"/>
        <w:snapToGrid w:val="0"/>
        <w:spacing w:line="360" w:lineRule="auto"/>
        <w:rPr>
          <w:rFonts w:hint="eastAsia" w:ascii="宋体"/>
          <w:sz w:val="24"/>
          <w:szCs w:val="24"/>
        </w:rPr>
      </w:pPr>
      <w:r>
        <w:rPr>
          <w:rFonts w:hint="eastAsia" w:ascii="宋体"/>
          <w:b/>
          <w:bCs/>
          <w:kern w:val="24"/>
          <w:sz w:val="24"/>
          <w:szCs w:val="24"/>
        </w:rPr>
        <w:t>承包人：</w:t>
      </w:r>
      <w:r>
        <w:rPr>
          <w:rFonts w:hint="eastAsia" w:ascii="宋体"/>
          <w:b/>
          <w:bCs/>
          <w:kern w:val="24"/>
          <w:sz w:val="24"/>
          <w:szCs w:val="24"/>
          <w:u w:val="single"/>
        </w:rPr>
        <w:t>河南囯基装饰工程有限公司（以下简称乙方）</w:t>
      </w:r>
    </w:p>
    <w:p>
      <w:pPr>
        <w:tabs>
          <w:tab w:val="left" w:pos="1080"/>
        </w:tabs>
        <w:autoSpaceDN w:val="0"/>
        <w:adjustRightInd w:val="0"/>
        <w:snapToGrid w:val="0"/>
        <w:spacing w:line="360" w:lineRule="auto"/>
        <w:rPr>
          <w:rFonts w:hint="eastAsia" w:ascii="宋体"/>
          <w:kern w:val="24"/>
          <w:sz w:val="24"/>
          <w:szCs w:val="24"/>
        </w:rPr>
      </w:pPr>
      <w:r>
        <w:rPr>
          <w:rFonts w:hint="eastAsia" w:ascii="宋体"/>
          <w:b/>
          <w:bCs/>
          <w:kern w:val="24"/>
          <w:sz w:val="24"/>
          <w:szCs w:val="24"/>
        </w:rPr>
        <w:t xml:space="preserve">    </w:t>
      </w:r>
      <w:r>
        <w:rPr>
          <w:rFonts w:hint="eastAsia" w:ascii="宋体"/>
          <w:kern w:val="24"/>
          <w:sz w:val="24"/>
          <w:szCs w:val="24"/>
        </w:rPr>
        <w:t>依照《中华人民共和国合同法》、《中华人民共和国建筑法》、</w:t>
      </w:r>
      <w:r>
        <w:rPr>
          <w:rFonts w:hint="eastAsia" w:ascii="宋体"/>
          <w:sz w:val="24"/>
          <w:szCs w:val="24"/>
        </w:rPr>
        <w:t>《建设工程质量管理条例》</w:t>
      </w:r>
      <w:r>
        <w:rPr>
          <w:rFonts w:hint="eastAsia" w:ascii="宋体"/>
          <w:kern w:val="24"/>
          <w:sz w:val="24"/>
          <w:szCs w:val="24"/>
        </w:rPr>
        <w:t>及其他有关法律、行政法规，遵循平等、自愿、公平和诚实信用的原则，双方经协商一致订立本合同。</w:t>
      </w:r>
    </w:p>
    <w:p>
      <w:pPr>
        <w:pStyle w:val="7"/>
        <w:numPr>
          <w:ilvl w:val="4"/>
          <w:numId w:val="0"/>
        </w:numPr>
        <w:tabs>
          <w:tab w:val="left" w:pos="3600"/>
          <w:tab w:val="clear" w:pos="0"/>
        </w:tabs>
        <w:autoSpaceDN w:val="0"/>
        <w:snapToGrid w:val="0"/>
        <w:spacing w:before="0" w:after="0" w:line="360" w:lineRule="auto"/>
        <w:rPr>
          <w:rFonts w:hint="eastAsia" w:ascii="宋体"/>
          <w:sz w:val="24"/>
          <w:szCs w:val="24"/>
        </w:rPr>
      </w:pPr>
      <w:r>
        <w:rPr>
          <w:rFonts w:hint="eastAsia" w:ascii="宋体"/>
          <w:sz w:val="24"/>
          <w:szCs w:val="24"/>
        </w:rPr>
        <w:t>第一条：工程概况</w:t>
      </w:r>
    </w:p>
    <w:p>
      <w:pPr>
        <w:tabs>
          <w:tab w:val="left" w:pos="1080"/>
        </w:tabs>
        <w:autoSpaceDN w:val="0"/>
        <w:adjustRightInd w:val="0"/>
        <w:snapToGrid w:val="0"/>
        <w:spacing w:line="360" w:lineRule="auto"/>
        <w:ind w:firstLine="240" w:firstLineChars="100"/>
        <w:rPr>
          <w:rFonts w:hint="eastAsia" w:ascii="宋体"/>
          <w:sz w:val="24"/>
          <w:szCs w:val="24"/>
        </w:rPr>
      </w:pPr>
      <w:r>
        <w:rPr>
          <w:rFonts w:hint="eastAsia" w:ascii="宋体"/>
          <w:sz w:val="24"/>
          <w:szCs w:val="24"/>
        </w:rPr>
        <w:t>一、工程名称：开元壹号</w:t>
      </w:r>
      <w:r>
        <w:rPr>
          <w:rFonts w:hint="eastAsia" w:ascii="宋体"/>
          <w:sz w:val="24"/>
          <w:szCs w:val="24"/>
          <w:lang w:val="en-US" w:eastAsia="zh-CN"/>
        </w:rPr>
        <w:t>2#楼入户大堂精</w:t>
      </w:r>
      <w:r>
        <w:rPr>
          <w:rFonts w:hint="eastAsia" w:ascii="宋体"/>
          <w:sz w:val="24"/>
          <w:szCs w:val="24"/>
        </w:rPr>
        <w:t xml:space="preserve">装修项目施工工程 </w:t>
      </w:r>
    </w:p>
    <w:p>
      <w:pPr>
        <w:autoSpaceDN w:val="0"/>
        <w:spacing w:line="360" w:lineRule="auto"/>
        <w:ind w:firstLine="240" w:firstLineChars="100"/>
        <w:jc w:val="left"/>
        <w:rPr>
          <w:rFonts w:hint="eastAsia" w:ascii="宋体"/>
          <w:sz w:val="24"/>
          <w:szCs w:val="24"/>
        </w:rPr>
      </w:pPr>
      <w:r>
        <w:rPr>
          <w:rFonts w:hint="eastAsia" w:ascii="宋体"/>
          <w:sz w:val="24"/>
          <w:szCs w:val="24"/>
        </w:rPr>
        <w:t>二、工程地点：洛阳市洛龙区开元大道与汇通街交汇处西南侧</w:t>
      </w:r>
    </w:p>
    <w:p>
      <w:pPr>
        <w:pStyle w:val="59"/>
        <w:autoSpaceDN w:val="0"/>
        <w:spacing w:line="360" w:lineRule="auto"/>
        <w:ind w:left="719" w:leftChars="114" w:hanging="480" w:hangingChars="200"/>
        <w:rPr>
          <w:rFonts w:hint="eastAsia" w:ascii="宋体"/>
          <w:kern w:val="2"/>
          <w:sz w:val="24"/>
          <w:szCs w:val="24"/>
        </w:rPr>
      </w:pPr>
      <w:r>
        <w:rPr>
          <w:rFonts w:hint="eastAsia" w:ascii="宋体"/>
          <w:kern w:val="2"/>
          <w:sz w:val="24"/>
          <w:szCs w:val="24"/>
        </w:rPr>
        <w:t>三、工程内容：乙方按甲方确认下发的施工图纸及设计变更进行开元壹号</w:t>
      </w:r>
      <w:r>
        <w:rPr>
          <w:rFonts w:hint="eastAsia" w:ascii="宋体"/>
          <w:sz w:val="24"/>
          <w:szCs w:val="24"/>
          <w:lang w:val="en-US" w:eastAsia="zh-CN"/>
        </w:rPr>
        <w:t>2#楼入户大堂精</w:t>
      </w:r>
      <w:r>
        <w:rPr>
          <w:rFonts w:hint="eastAsia" w:ascii="宋体"/>
          <w:kern w:val="2"/>
          <w:sz w:val="24"/>
          <w:szCs w:val="24"/>
        </w:rPr>
        <w:t>装修工程施工</w:t>
      </w:r>
    </w:p>
    <w:p>
      <w:pPr>
        <w:autoSpaceDN w:val="0"/>
        <w:spacing w:line="360" w:lineRule="auto"/>
        <w:jc w:val="left"/>
        <w:rPr>
          <w:rFonts w:hint="eastAsia" w:ascii="宋体"/>
          <w:b/>
          <w:bCs/>
          <w:sz w:val="24"/>
          <w:szCs w:val="24"/>
        </w:rPr>
      </w:pPr>
      <w:r>
        <w:rPr>
          <w:rFonts w:hint="eastAsia" w:ascii="宋体"/>
          <w:b/>
          <w:bCs/>
          <w:sz w:val="24"/>
          <w:szCs w:val="24"/>
        </w:rPr>
        <w:t>第二条：承包范围：</w:t>
      </w:r>
    </w:p>
    <w:p>
      <w:pPr>
        <w:widowControl/>
        <w:spacing w:before="4"/>
        <w:ind w:firstLine="446" w:firstLineChars="200"/>
        <w:jc w:val="both"/>
        <w:rPr>
          <w:rFonts w:hint="eastAsia" w:ascii="Times New Roman" w:hAnsi="Times New Roman" w:eastAsia="宋体" w:cs="Times New Roman"/>
          <w:color w:val="auto"/>
          <w:kern w:val="0"/>
          <w:sz w:val="24"/>
          <w:szCs w:val="24"/>
          <w:lang w:val="en-US" w:eastAsia="zh-CN" w:bidi="ar-SA"/>
        </w:rPr>
      </w:pPr>
      <w:r>
        <w:rPr>
          <w:rFonts w:hint="eastAsia" w:ascii="宋体"/>
          <w:color w:val="auto"/>
          <w:sz w:val="24"/>
          <w:szCs w:val="24"/>
        </w:rPr>
        <w:t>一、</w:t>
      </w:r>
      <w:r>
        <w:rPr>
          <w:rFonts w:hint="eastAsia"/>
          <w:color w:val="auto"/>
          <w:sz w:val="24"/>
          <w:szCs w:val="24"/>
        </w:rPr>
        <w:t>图纸中所包含的室内装修工程：</w:t>
      </w:r>
      <w:r>
        <w:rPr>
          <w:rFonts w:hint="eastAsia" w:ascii="Times New Roman" w:hAnsi="Times New Roman" w:eastAsia="宋体" w:cs="Times New Roman"/>
          <w:color w:val="auto"/>
          <w:kern w:val="0"/>
          <w:sz w:val="24"/>
          <w:szCs w:val="24"/>
          <w:lang w:val="en-US" w:eastAsia="zh-CN" w:bidi="ar-SA"/>
        </w:rPr>
        <w:t>由精装修单位</w:t>
      </w:r>
      <w:r>
        <w:rPr>
          <w:rFonts w:hint="eastAsia" w:ascii="Times New Roman" w:hAnsi="Times New Roman" w:cs="Times New Roman"/>
          <w:color w:val="auto"/>
          <w:kern w:val="0"/>
          <w:sz w:val="24"/>
          <w:szCs w:val="24"/>
          <w:lang w:val="en-US" w:eastAsia="zh-CN" w:bidi="ar-SA"/>
        </w:rPr>
        <w:t>负责对</w:t>
      </w:r>
      <w:r>
        <w:rPr>
          <w:rFonts w:hint="eastAsia" w:ascii="Times New Roman" w:hAnsi="Times New Roman" w:eastAsia="宋体" w:cs="Times New Roman"/>
          <w:color w:val="auto"/>
          <w:kern w:val="0"/>
          <w:sz w:val="24"/>
          <w:szCs w:val="24"/>
          <w:lang w:val="en-US" w:eastAsia="zh-CN" w:bidi="ar-SA"/>
        </w:rPr>
        <w:t>施工图纸范围内</w:t>
      </w:r>
      <w:r>
        <w:rPr>
          <w:rFonts w:hint="eastAsia" w:ascii="Times New Roman" w:hAnsi="Times New Roman" w:cs="Times New Roman"/>
          <w:color w:val="auto"/>
          <w:kern w:val="0"/>
          <w:sz w:val="24"/>
          <w:szCs w:val="24"/>
          <w:lang w:val="en-US" w:eastAsia="zh-CN" w:bidi="ar-SA"/>
        </w:rPr>
        <w:t>所包含的</w:t>
      </w:r>
      <w:r>
        <w:rPr>
          <w:rFonts w:hint="eastAsia" w:ascii="Times New Roman" w:hAnsi="Times New Roman" w:eastAsia="宋体" w:cs="Times New Roman"/>
          <w:color w:val="auto"/>
          <w:kern w:val="0"/>
          <w:sz w:val="24"/>
          <w:szCs w:val="24"/>
          <w:lang w:val="en-US" w:eastAsia="zh-CN" w:bidi="ar-SA"/>
        </w:rPr>
        <w:t>灯具</w:t>
      </w:r>
      <w:r>
        <w:rPr>
          <w:rFonts w:hint="eastAsia"/>
          <w:color w:val="auto"/>
          <w:sz w:val="24"/>
          <w:szCs w:val="24"/>
        </w:rPr>
        <w:t>以及配电箱以后的强电穿线、开关插座</w:t>
      </w:r>
      <w:r>
        <w:rPr>
          <w:rFonts w:hint="eastAsia" w:ascii="Times New Roman" w:hAnsi="Times New Roman" w:cs="Times New Roman"/>
          <w:color w:val="auto"/>
          <w:kern w:val="0"/>
          <w:sz w:val="24"/>
          <w:szCs w:val="24"/>
          <w:lang w:val="en-US" w:eastAsia="zh-CN" w:bidi="ar-SA"/>
        </w:rPr>
        <w:t>进行</w:t>
      </w:r>
      <w:r>
        <w:rPr>
          <w:rFonts w:hint="eastAsia" w:ascii="Times New Roman" w:hAnsi="Times New Roman" w:eastAsia="宋体" w:cs="Times New Roman"/>
          <w:color w:val="auto"/>
          <w:kern w:val="0"/>
          <w:sz w:val="24"/>
          <w:szCs w:val="24"/>
          <w:lang w:val="en-US" w:eastAsia="zh-CN" w:bidi="ar-SA"/>
        </w:rPr>
        <w:t>供货</w:t>
      </w:r>
      <w:r>
        <w:rPr>
          <w:rFonts w:hint="eastAsia" w:ascii="Times New Roman" w:hAnsi="Times New Roman" w:cs="Times New Roman"/>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安装及调试</w:t>
      </w:r>
      <w:r>
        <w:rPr>
          <w:rFonts w:hint="eastAsia" w:ascii="Times New Roman" w:hAnsi="Times New Roman" w:cs="Times New Roman"/>
          <w:color w:val="auto"/>
          <w:kern w:val="0"/>
          <w:sz w:val="24"/>
          <w:szCs w:val="24"/>
          <w:lang w:val="en-US" w:eastAsia="zh-CN" w:bidi="ar-SA"/>
        </w:rPr>
        <w:t>；</w:t>
      </w:r>
    </w:p>
    <w:p>
      <w:pPr>
        <w:widowControl/>
        <w:spacing w:before="4"/>
        <w:ind w:firstLine="446" w:firstLineChars="200"/>
        <w:rPr>
          <w:rFonts w:hint="eastAsia" w:ascii="宋体"/>
          <w:color w:val="auto"/>
          <w:sz w:val="24"/>
          <w:szCs w:val="24"/>
        </w:rPr>
      </w:pPr>
      <w:r>
        <w:rPr>
          <w:rFonts w:hint="eastAsia"/>
          <w:color w:val="auto"/>
          <w:sz w:val="24"/>
          <w:szCs w:val="24"/>
          <w:lang w:eastAsia="zh-CN"/>
        </w:rPr>
        <w:t>二、</w:t>
      </w:r>
      <w:r>
        <w:rPr>
          <w:rFonts w:hint="eastAsia"/>
          <w:color w:val="auto"/>
          <w:sz w:val="24"/>
          <w:szCs w:val="24"/>
        </w:rPr>
        <w:t>图纸中所包含各功能区的墙面及隔断面、地面、天花的装饰工程，所有固定木作、油漆、涂料及内门工程；</w:t>
      </w:r>
    </w:p>
    <w:p>
      <w:pPr>
        <w:widowControl/>
        <w:spacing w:before="4" w:line="360" w:lineRule="auto"/>
        <w:ind w:firstLine="0"/>
        <w:rPr>
          <w:color w:val="auto"/>
          <w:sz w:val="24"/>
          <w:szCs w:val="24"/>
        </w:rPr>
      </w:pPr>
      <w:r>
        <w:rPr>
          <w:rFonts w:hint="eastAsia" w:ascii="宋体"/>
          <w:color w:val="auto"/>
          <w:sz w:val="24"/>
          <w:szCs w:val="24"/>
          <w:lang w:val="en-US" w:eastAsia="zh-CN"/>
        </w:rPr>
        <w:t xml:space="preserve">    三</w:t>
      </w:r>
      <w:r>
        <w:rPr>
          <w:rFonts w:hint="eastAsia" w:ascii="宋体"/>
          <w:color w:val="auto"/>
          <w:sz w:val="24"/>
          <w:szCs w:val="24"/>
        </w:rPr>
        <w:t>、</w:t>
      </w:r>
      <w:r>
        <w:rPr>
          <w:rFonts w:hint="eastAsia"/>
          <w:color w:val="auto"/>
          <w:sz w:val="24"/>
          <w:szCs w:val="24"/>
          <w:lang w:eastAsia="zh-CN"/>
        </w:rPr>
        <w:t>乙方承包</w:t>
      </w:r>
      <w:r>
        <w:rPr>
          <w:rFonts w:hint="eastAsia"/>
          <w:color w:val="auto"/>
          <w:sz w:val="24"/>
          <w:szCs w:val="24"/>
        </w:rPr>
        <w:t>范围为以上内容，但工程管理范围包含但不限于以上的内容，</w:t>
      </w:r>
      <w:r>
        <w:rPr>
          <w:rFonts w:hint="eastAsia"/>
          <w:color w:val="auto"/>
          <w:sz w:val="24"/>
          <w:szCs w:val="24"/>
          <w:lang w:eastAsia="zh-CN"/>
        </w:rPr>
        <w:t>甲方</w:t>
      </w:r>
      <w:r>
        <w:rPr>
          <w:rFonts w:hint="eastAsia"/>
          <w:color w:val="auto"/>
          <w:sz w:val="24"/>
          <w:szCs w:val="24"/>
        </w:rPr>
        <w:t>将以上内容以外的专业施工部分工程（如：弱电智能化、外门窗工程等）交由</w:t>
      </w:r>
      <w:r>
        <w:rPr>
          <w:rFonts w:hint="eastAsia"/>
          <w:color w:val="auto"/>
          <w:sz w:val="24"/>
          <w:szCs w:val="24"/>
          <w:lang w:eastAsia="zh-CN"/>
        </w:rPr>
        <w:t>乙方</w:t>
      </w:r>
      <w:r>
        <w:rPr>
          <w:rFonts w:hint="eastAsia"/>
          <w:color w:val="auto"/>
          <w:sz w:val="24"/>
          <w:szCs w:val="24"/>
        </w:rPr>
        <w:t>管理，</w:t>
      </w:r>
      <w:r>
        <w:rPr>
          <w:rFonts w:hint="eastAsia"/>
          <w:color w:val="auto"/>
          <w:sz w:val="24"/>
          <w:szCs w:val="24"/>
          <w:lang w:eastAsia="zh-CN"/>
        </w:rPr>
        <w:t>乙方</w:t>
      </w:r>
      <w:r>
        <w:rPr>
          <w:rFonts w:hint="eastAsia"/>
          <w:color w:val="auto"/>
          <w:sz w:val="24"/>
          <w:szCs w:val="24"/>
        </w:rPr>
        <w:t>不计取管理及配合费。</w:t>
      </w:r>
    </w:p>
    <w:p>
      <w:pPr>
        <w:autoSpaceDN w:val="0"/>
        <w:spacing w:line="360" w:lineRule="auto"/>
        <w:ind w:left="0" w:leftChars="0"/>
        <w:jc w:val="left"/>
        <w:rPr>
          <w:rFonts w:hint="eastAsia" w:ascii="宋体"/>
          <w:color w:val="auto"/>
          <w:sz w:val="24"/>
          <w:szCs w:val="24"/>
        </w:rPr>
      </w:pPr>
      <w:r>
        <w:rPr>
          <w:rFonts w:hint="eastAsia" w:ascii="宋体"/>
          <w:color w:val="auto"/>
          <w:sz w:val="24"/>
          <w:szCs w:val="24"/>
          <w:lang w:val="en-US" w:eastAsia="zh-CN"/>
        </w:rPr>
        <w:t xml:space="preserve">   四、 </w:t>
      </w:r>
      <w:r>
        <w:rPr>
          <w:rFonts w:hint="eastAsia" w:ascii="宋体"/>
          <w:color w:val="auto"/>
          <w:sz w:val="24"/>
          <w:szCs w:val="24"/>
        </w:rPr>
        <w:t>不在此次承包范围内的工程：外幕墙及部分外门窗工程、饰品、弱电智能化及消防工程，水井、强弱电井室内装修工程、图纸中未注明的装修工程。</w:t>
      </w:r>
    </w:p>
    <w:p>
      <w:pPr>
        <w:pStyle w:val="7"/>
        <w:numPr>
          <w:ilvl w:val="4"/>
          <w:numId w:val="0"/>
        </w:numPr>
        <w:tabs>
          <w:tab w:val="left" w:pos="3600"/>
          <w:tab w:val="clear" w:pos="0"/>
        </w:tabs>
        <w:autoSpaceDN w:val="0"/>
        <w:snapToGrid w:val="0"/>
        <w:spacing w:before="0" w:after="0" w:line="360" w:lineRule="auto"/>
        <w:rPr>
          <w:rFonts w:hint="eastAsia" w:ascii="宋体"/>
          <w:sz w:val="24"/>
          <w:szCs w:val="24"/>
        </w:rPr>
      </w:pPr>
      <w:r>
        <w:rPr>
          <w:rFonts w:hint="eastAsia" w:ascii="宋体"/>
          <w:sz w:val="24"/>
          <w:szCs w:val="24"/>
        </w:rPr>
        <w:t>第三条：承包方式</w:t>
      </w:r>
    </w:p>
    <w:p>
      <w:pPr>
        <w:autoSpaceDN w:val="0"/>
        <w:adjustRightInd w:val="0"/>
        <w:snapToGrid w:val="0"/>
        <w:spacing w:line="360" w:lineRule="auto"/>
        <w:ind w:left="15" w:leftChars="7" w:firstLine="185" w:firstLineChars="77"/>
        <w:rPr>
          <w:rFonts w:hint="eastAsia" w:ascii="宋体"/>
          <w:sz w:val="24"/>
          <w:szCs w:val="24"/>
        </w:rPr>
      </w:pPr>
      <w:r>
        <w:rPr>
          <w:rFonts w:hint="eastAsia" w:ascii="宋体"/>
          <w:sz w:val="24"/>
          <w:szCs w:val="24"/>
        </w:rPr>
        <w:t xml:space="preserve">   承包方式：固定总价包干。</w:t>
      </w:r>
    </w:p>
    <w:p>
      <w:pPr>
        <w:autoSpaceDN w:val="0"/>
        <w:adjustRightInd w:val="0"/>
        <w:snapToGrid w:val="0"/>
        <w:spacing w:line="360" w:lineRule="auto"/>
        <w:ind w:left="489" w:leftChars="233" w:firstLine="62" w:firstLineChars="26"/>
        <w:rPr>
          <w:rFonts w:hint="eastAsia" w:ascii="宋体"/>
          <w:sz w:val="24"/>
          <w:szCs w:val="24"/>
        </w:rPr>
      </w:pPr>
      <w:r>
        <w:rPr>
          <w:rFonts w:hint="eastAsia" w:ascii="宋体"/>
          <w:sz w:val="24"/>
          <w:szCs w:val="24"/>
        </w:rPr>
        <w:t>乙方以包工、包料、包工期、包质量、包深化设计、包安全、包文明施工、包市场风险、包验收、包税金、包交工资料及竣工验收的形式承包除不在承包范围内以外的所有项目。</w:t>
      </w:r>
    </w:p>
    <w:p>
      <w:pPr>
        <w:pStyle w:val="7"/>
        <w:numPr>
          <w:ilvl w:val="4"/>
          <w:numId w:val="0"/>
        </w:numPr>
        <w:tabs>
          <w:tab w:val="left" w:pos="3600"/>
          <w:tab w:val="clear" w:pos="0"/>
        </w:tabs>
        <w:autoSpaceDN w:val="0"/>
        <w:snapToGrid w:val="0"/>
        <w:spacing w:before="0" w:after="0" w:line="360" w:lineRule="auto"/>
        <w:rPr>
          <w:rFonts w:hint="eastAsia" w:ascii="宋体"/>
          <w:sz w:val="24"/>
          <w:szCs w:val="24"/>
        </w:rPr>
      </w:pPr>
      <w:r>
        <w:rPr>
          <w:rFonts w:hint="eastAsia" w:ascii="宋体"/>
          <w:sz w:val="24"/>
          <w:szCs w:val="24"/>
        </w:rPr>
        <w:t>第四条：验收及移交</w:t>
      </w:r>
    </w:p>
    <w:p>
      <w:pPr>
        <w:autoSpaceDN w:val="0"/>
        <w:adjustRightInd w:val="0"/>
        <w:snapToGrid w:val="0"/>
        <w:spacing w:line="360" w:lineRule="auto"/>
        <w:ind w:firstLine="446" w:firstLineChars="186"/>
        <w:rPr>
          <w:rFonts w:hint="eastAsia" w:ascii="宋体"/>
          <w:sz w:val="24"/>
          <w:szCs w:val="24"/>
        </w:rPr>
      </w:pPr>
      <w:r>
        <w:rPr>
          <w:rFonts w:hint="eastAsia" w:ascii="宋体"/>
          <w:sz w:val="24"/>
          <w:szCs w:val="24"/>
        </w:rPr>
        <w:t>按照国家标准设计要求装饰装修工程质量标准和甲乙双方的约定进行验收。如工程质量达不到约定条件，乙方应按甲方和监理的要求返工、修改，并承担由于自身原因导致返工、修改的费用。</w:t>
      </w:r>
    </w:p>
    <w:p>
      <w:pPr>
        <w:pStyle w:val="7"/>
        <w:numPr>
          <w:ilvl w:val="4"/>
          <w:numId w:val="0"/>
        </w:numPr>
        <w:tabs>
          <w:tab w:val="left" w:pos="3600"/>
          <w:tab w:val="clear" w:pos="0"/>
        </w:tabs>
        <w:autoSpaceDN w:val="0"/>
        <w:snapToGrid w:val="0"/>
        <w:spacing w:before="0" w:after="0" w:line="360" w:lineRule="auto"/>
        <w:rPr>
          <w:rFonts w:hint="eastAsia" w:ascii="宋体"/>
          <w:sz w:val="24"/>
          <w:szCs w:val="24"/>
        </w:rPr>
      </w:pPr>
      <w:r>
        <w:rPr>
          <w:rFonts w:hint="eastAsia" w:ascii="宋体"/>
          <w:sz w:val="24"/>
          <w:szCs w:val="24"/>
        </w:rPr>
        <w:t>第五条：质量保修期</w:t>
      </w:r>
    </w:p>
    <w:p>
      <w:pPr>
        <w:pStyle w:val="7"/>
        <w:numPr>
          <w:ilvl w:val="4"/>
          <w:numId w:val="0"/>
        </w:numPr>
        <w:tabs>
          <w:tab w:val="left" w:pos="3600"/>
          <w:tab w:val="clear" w:pos="0"/>
        </w:tabs>
        <w:autoSpaceDN w:val="0"/>
        <w:snapToGrid w:val="0"/>
        <w:spacing w:before="0" w:after="0" w:line="360" w:lineRule="auto"/>
        <w:rPr>
          <w:rFonts w:hint="eastAsia" w:ascii="宋体"/>
          <w:b w:val="0"/>
          <w:bCs/>
          <w:sz w:val="24"/>
          <w:szCs w:val="24"/>
        </w:rPr>
      </w:pPr>
      <w:r>
        <w:rPr>
          <w:rFonts w:hint="eastAsia" w:ascii="宋体"/>
          <w:b w:val="0"/>
          <w:bCs/>
          <w:sz w:val="24"/>
          <w:szCs w:val="24"/>
          <w:lang w:val="en-US" w:eastAsia="zh-CN"/>
        </w:rPr>
        <w:t xml:space="preserve">   </w:t>
      </w:r>
      <w:r>
        <w:rPr>
          <w:rFonts w:hint="eastAsia" w:ascii="宋体"/>
          <w:b w:val="0"/>
          <w:bCs/>
          <w:sz w:val="24"/>
          <w:szCs w:val="24"/>
        </w:rPr>
        <w:t>本合同工程项目的质量保修期为两年。</w:t>
      </w:r>
    </w:p>
    <w:p>
      <w:pPr>
        <w:pStyle w:val="7"/>
        <w:numPr>
          <w:ilvl w:val="4"/>
          <w:numId w:val="0"/>
        </w:numPr>
        <w:tabs>
          <w:tab w:val="left" w:pos="3600"/>
          <w:tab w:val="clear" w:pos="0"/>
        </w:tabs>
        <w:autoSpaceDN w:val="0"/>
        <w:snapToGrid w:val="0"/>
        <w:spacing w:before="0" w:after="0" w:line="360" w:lineRule="auto"/>
        <w:rPr>
          <w:rFonts w:hint="eastAsia" w:ascii="宋体"/>
          <w:sz w:val="24"/>
          <w:szCs w:val="24"/>
        </w:rPr>
      </w:pPr>
      <w:r>
        <w:rPr>
          <w:sz w:val="24"/>
          <w:szCs w:val="24"/>
        </w:rPr>
        <w:t>第六条：合同工期</w:t>
      </w:r>
    </w:p>
    <w:p>
      <w:pPr>
        <w:tabs>
          <w:tab w:val="left" w:pos="1080"/>
        </w:tabs>
        <w:autoSpaceDN w:val="0"/>
        <w:adjustRightInd w:val="0"/>
        <w:snapToGrid w:val="0"/>
        <w:spacing w:line="360" w:lineRule="auto"/>
        <w:ind w:left="-15" w:leftChars="-7" w:firstLine="353" w:firstLineChars="147"/>
        <w:rPr>
          <w:rFonts w:hint="eastAsia" w:ascii="宋体"/>
          <w:sz w:val="24"/>
          <w:szCs w:val="24"/>
        </w:rPr>
      </w:pPr>
      <w:r>
        <w:rPr>
          <w:rFonts w:hint="eastAsia" w:ascii="宋体"/>
          <w:sz w:val="24"/>
          <w:szCs w:val="24"/>
        </w:rPr>
        <w:t>一、开工日期：暂定为</w:t>
      </w:r>
      <w:r>
        <w:rPr>
          <w:rFonts w:hint="eastAsia" w:ascii="宋体"/>
          <w:sz w:val="24"/>
          <w:szCs w:val="24"/>
          <w:u w:val="single"/>
        </w:rPr>
        <w:t>201</w:t>
      </w:r>
      <w:r>
        <w:rPr>
          <w:rFonts w:hint="eastAsia" w:ascii="宋体"/>
          <w:b w:val="0"/>
          <w:bCs w:val="0"/>
          <w:color w:val="auto"/>
          <w:sz w:val="24"/>
          <w:szCs w:val="24"/>
          <w:u w:val="single"/>
        </w:rPr>
        <w:t>5年</w:t>
      </w:r>
      <w:r>
        <w:rPr>
          <w:rFonts w:hint="eastAsia" w:ascii="宋体"/>
          <w:b w:val="0"/>
          <w:bCs w:val="0"/>
          <w:color w:val="auto"/>
          <w:sz w:val="24"/>
          <w:szCs w:val="24"/>
          <w:u w:val="single"/>
          <w:lang w:val="en-US" w:eastAsia="zh-CN"/>
        </w:rPr>
        <w:t>6</w:t>
      </w:r>
      <w:r>
        <w:rPr>
          <w:rFonts w:hint="eastAsia" w:ascii="宋体"/>
          <w:b w:val="0"/>
          <w:bCs w:val="0"/>
          <w:color w:val="auto"/>
          <w:sz w:val="24"/>
          <w:szCs w:val="24"/>
          <w:u w:val="single"/>
        </w:rPr>
        <w:t>月</w:t>
      </w:r>
      <w:r>
        <w:rPr>
          <w:rFonts w:hint="eastAsia" w:ascii="宋体"/>
          <w:b w:val="0"/>
          <w:bCs w:val="0"/>
          <w:color w:val="auto"/>
          <w:sz w:val="24"/>
          <w:szCs w:val="24"/>
          <w:u w:val="single"/>
          <w:lang w:val="en-US" w:eastAsia="zh-CN"/>
        </w:rPr>
        <w:t>30</w:t>
      </w:r>
      <w:r>
        <w:rPr>
          <w:rFonts w:hint="eastAsia" w:ascii="宋体"/>
          <w:b w:val="0"/>
          <w:bCs w:val="0"/>
          <w:color w:val="auto"/>
          <w:sz w:val="24"/>
          <w:szCs w:val="24"/>
          <w:u w:val="single"/>
        </w:rPr>
        <w:t>日</w:t>
      </w:r>
      <w:r>
        <w:rPr>
          <w:rFonts w:hint="eastAsia" w:ascii="宋体"/>
          <w:b w:val="0"/>
          <w:bCs w:val="0"/>
          <w:color w:val="auto"/>
          <w:sz w:val="24"/>
          <w:szCs w:val="24"/>
        </w:rPr>
        <w:t>，竣工日期：</w:t>
      </w:r>
      <w:r>
        <w:rPr>
          <w:rFonts w:hint="eastAsia" w:ascii="宋体"/>
          <w:b w:val="0"/>
          <w:bCs w:val="0"/>
          <w:color w:val="auto"/>
          <w:sz w:val="24"/>
          <w:szCs w:val="24"/>
          <w:u w:val="single"/>
        </w:rPr>
        <w:t>2015年</w:t>
      </w:r>
      <w:r>
        <w:rPr>
          <w:rFonts w:hint="eastAsia" w:ascii="宋体"/>
          <w:b w:val="0"/>
          <w:bCs w:val="0"/>
          <w:color w:val="auto"/>
          <w:sz w:val="24"/>
          <w:szCs w:val="24"/>
          <w:u w:val="single"/>
          <w:lang w:val="en-US" w:eastAsia="zh-CN"/>
        </w:rPr>
        <w:t>8</w:t>
      </w:r>
      <w:r>
        <w:rPr>
          <w:rFonts w:hint="eastAsia" w:ascii="宋体"/>
          <w:b w:val="0"/>
          <w:bCs w:val="0"/>
          <w:color w:val="auto"/>
          <w:sz w:val="24"/>
          <w:szCs w:val="24"/>
          <w:u w:val="single"/>
        </w:rPr>
        <w:t>月</w:t>
      </w:r>
      <w:r>
        <w:rPr>
          <w:rFonts w:hint="eastAsia" w:ascii="宋体"/>
          <w:b w:val="0"/>
          <w:bCs w:val="0"/>
          <w:color w:val="auto"/>
          <w:sz w:val="24"/>
          <w:szCs w:val="24"/>
          <w:u w:val="single"/>
          <w:lang w:val="en-US" w:eastAsia="zh-CN"/>
        </w:rPr>
        <w:t>20</w:t>
      </w:r>
      <w:r>
        <w:rPr>
          <w:rFonts w:hint="eastAsia" w:ascii="宋体"/>
          <w:b w:val="0"/>
          <w:bCs w:val="0"/>
          <w:color w:val="auto"/>
          <w:sz w:val="24"/>
          <w:szCs w:val="24"/>
          <w:u w:val="single"/>
        </w:rPr>
        <w:t>日</w:t>
      </w:r>
      <w:r>
        <w:rPr>
          <w:rFonts w:hint="eastAsia" w:ascii="宋体"/>
          <w:sz w:val="24"/>
          <w:szCs w:val="24"/>
        </w:rPr>
        <w:t>，具体开工日期以甲方现场管理代表或总监签发的开工令确定的开工日期为准。</w:t>
      </w:r>
    </w:p>
    <w:p>
      <w:pPr>
        <w:numPr>
          <w:ilvl w:val="0"/>
          <w:numId w:val="2"/>
        </w:numPr>
        <w:tabs>
          <w:tab w:val="left" w:pos="1080"/>
        </w:tabs>
        <w:autoSpaceDN w:val="0"/>
        <w:adjustRightInd w:val="0"/>
        <w:snapToGrid w:val="0"/>
        <w:spacing w:line="360" w:lineRule="auto"/>
        <w:ind w:left="-720" w:firstLine="961"/>
        <w:rPr>
          <w:rFonts w:hint="eastAsia" w:ascii="宋体"/>
          <w:sz w:val="24"/>
          <w:szCs w:val="24"/>
        </w:rPr>
      </w:pPr>
      <w:r>
        <w:rPr>
          <w:rFonts w:hint="eastAsia" w:ascii="宋体"/>
          <w:sz w:val="24"/>
          <w:szCs w:val="24"/>
        </w:rPr>
        <w:t>合同总工期：</w:t>
      </w:r>
      <w:r>
        <w:rPr>
          <w:rFonts w:hint="eastAsia" w:ascii="宋体"/>
          <w:sz w:val="24"/>
          <w:szCs w:val="24"/>
          <w:u w:val="single"/>
        </w:rPr>
        <w:t>50日历天</w:t>
      </w:r>
      <w:r>
        <w:rPr>
          <w:rFonts w:hint="eastAsia" w:ascii="宋体"/>
          <w:sz w:val="24"/>
          <w:szCs w:val="24"/>
        </w:rPr>
        <w:t xml:space="preserve"> 。</w:t>
      </w:r>
    </w:p>
    <w:p>
      <w:pPr>
        <w:tabs>
          <w:tab w:val="left" w:pos="1080"/>
        </w:tabs>
        <w:autoSpaceDN w:val="0"/>
        <w:adjustRightInd w:val="0"/>
        <w:snapToGrid w:val="0"/>
        <w:spacing w:line="360" w:lineRule="auto"/>
        <w:ind w:left="4" w:leftChars="2" w:firstLine="233" w:firstLineChars="97"/>
        <w:rPr>
          <w:rFonts w:hint="eastAsia" w:ascii="宋体"/>
          <w:sz w:val="24"/>
          <w:szCs w:val="24"/>
        </w:rPr>
      </w:pPr>
      <w:r>
        <w:rPr>
          <w:rFonts w:hint="eastAsia" w:ascii="宋体"/>
          <w:sz w:val="24"/>
          <w:szCs w:val="24"/>
        </w:rPr>
        <w:t>三、节点工期要求：甲方可以根据现场的施工条件，合理安排本合同工程项目进行施工，乙方应按甲方现场管理代表下发的施工指令组织施工；如因非乙方原因造成工期延误，乙方可经甲方现场工程师及监理确认后调整或顺延工期，但乙方必须对精装修其他相关参建单位负有总包管理责任，为了便于总包管理，乙方对精装修其他相关参建单位工程进度款的支付具有建议权。</w:t>
      </w:r>
    </w:p>
    <w:p>
      <w:pPr>
        <w:pStyle w:val="7"/>
        <w:numPr>
          <w:ilvl w:val="4"/>
          <w:numId w:val="0"/>
        </w:numPr>
        <w:tabs>
          <w:tab w:val="left" w:pos="3600"/>
          <w:tab w:val="clear" w:pos="0"/>
        </w:tabs>
        <w:autoSpaceDN w:val="0"/>
        <w:snapToGrid w:val="0"/>
        <w:spacing w:before="0" w:after="0" w:line="360" w:lineRule="auto"/>
        <w:rPr>
          <w:rFonts w:hint="eastAsia" w:ascii="宋体"/>
          <w:sz w:val="24"/>
          <w:szCs w:val="24"/>
        </w:rPr>
      </w:pPr>
      <w:r>
        <w:rPr>
          <w:rFonts w:hint="eastAsia" w:ascii="宋体"/>
          <w:sz w:val="24"/>
          <w:szCs w:val="24"/>
        </w:rPr>
        <w:t>第七条：材料的供应及计价</w:t>
      </w:r>
    </w:p>
    <w:p>
      <w:pPr>
        <w:numPr>
          <w:ilvl w:val="0"/>
          <w:numId w:val="3"/>
        </w:numPr>
        <w:autoSpaceDN w:val="0"/>
        <w:adjustRightInd w:val="0"/>
        <w:snapToGrid w:val="0"/>
        <w:spacing w:line="360" w:lineRule="auto"/>
        <w:ind w:left="0" w:firstLine="579"/>
        <w:rPr>
          <w:rFonts w:hint="eastAsia" w:ascii="宋体"/>
          <w:sz w:val="24"/>
          <w:szCs w:val="24"/>
        </w:rPr>
      </w:pPr>
      <w:r>
        <w:rPr>
          <w:rFonts w:hint="eastAsia" w:ascii="宋体"/>
          <w:sz w:val="24"/>
          <w:szCs w:val="24"/>
        </w:rPr>
        <w:t>由乙方自行选择供货商进行采购的材料：由乙方在签订合同前按照甲方确认的设计图纸要求注明的颜色、质量、质感、规格、品牌送实物样品（所有饰面材料）供甲方确认，经甲方、</w:t>
      </w:r>
      <w:r>
        <w:rPr>
          <w:rFonts w:hint="eastAsia" w:ascii="宋体"/>
          <w:color w:val="000000"/>
          <w:sz w:val="24"/>
          <w:szCs w:val="24"/>
        </w:rPr>
        <w:t>监理确认后，作为实物样板封存，并由乙方按甲方确认的实物样板自行采购（乙方材料样品报送甲方后，由甲方负责人员确认）。</w:t>
      </w:r>
    </w:p>
    <w:p>
      <w:pPr>
        <w:numPr>
          <w:ilvl w:val="0"/>
          <w:numId w:val="3"/>
        </w:numPr>
        <w:autoSpaceDN w:val="0"/>
        <w:adjustRightInd w:val="0"/>
        <w:snapToGrid w:val="0"/>
        <w:spacing w:line="360" w:lineRule="auto"/>
        <w:ind w:left="0" w:firstLine="579"/>
        <w:rPr>
          <w:rFonts w:hint="eastAsia" w:ascii="宋体"/>
          <w:sz w:val="24"/>
          <w:szCs w:val="24"/>
        </w:rPr>
      </w:pPr>
      <w:r>
        <w:rPr>
          <w:rFonts w:hint="eastAsia" w:ascii="宋体"/>
          <w:sz w:val="24"/>
          <w:szCs w:val="24"/>
        </w:rPr>
        <w:t>甲方指定品牌的材料：按本合同附表2《甲方指定品牌材料表》中的品牌由乙方自行采购并已计入合同固定总价内。在施工时对于甲方指定品牌的材料在进场前必须先经甲方认可后方能进场。该部分材料由甲方自主决定是否改为甲供材料，乙方对此不能有任何异议；该部分材料若由甲方供应，乙方必须提供详细准确的量单，并负责卸运到指定地点，乙方不能收取其他任何费用。</w:t>
      </w:r>
    </w:p>
    <w:p>
      <w:pPr>
        <w:numPr>
          <w:ilvl w:val="0"/>
          <w:numId w:val="3"/>
        </w:numPr>
        <w:autoSpaceDN w:val="0"/>
        <w:adjustRightInd w:val="0"/>
        <w:snapToGrid w:val="0"/>
        <w:spacing w:line="360" w:lineRule="auto"/>
        <w:ind w:left="0" w:firstLine="579"/>
        <w:rPr>
          <w:rFonts w:hint="eastAsia" w:ascii="宋体"/>
          <w:sz w:val="24"/>
          <w:szCs w:val="24"/>
        </w:rPr>
      </w:pPr>
      <w:r>
        <w:rPr>
          <w:rFonts w:hint="eastAsia" w:ascii="宋体"/>
          <w:sz w:val="24"/>
          <w:szCs w:val="24"/>
        </w:rPr>
        <w:t>乙方所使用的材料必须保证合格证书齐全，保证材料通过消防等主管部门的检验检测并承担相关费用并提交相应检测报告，因材料不合格造成费用等损失均由乙方承担。同时，乙方采购材料必须达国家环保标准，选用板材必须达到E1级环保级别，检验时无条件达到洛阳市环保主管部门的标准。</w:t>
      </w:r>
    </w:p>
    <w:p>
      <w:pPr>
        <w:pStyle w:val="7"/>
        <w:numPr>
          <w:ilvl w:val="4"/>
          <w:numId w:val="0"/>
        </w:numPr>
        <w:tabs>
          <w:tab w:val="left" w:pos="3600"/>
          <w:tab w:val="clear" w:pos="0"/>
        </w:tabs>
        <w:autoSpaceDN w:val="0"/>
        <w:snapToGrid w:val="0"/>
        <w:spacing w:before="0" w:after="0" w:line="360" w:lineRule="auto"/>
        <w:rPr>
          <w:rFonts w:hint="eastAsia" w:ascii="宋体"/>
          <w:sz w:val="24"/>
          <w:szCs w:val="24"/>
        </w:rPr>
      </w:pPr>
      <w:r>
        <w:rPr>
          <w:rFonts w:hint="eastAsia" w:ascii="宋体"/>
          <w:sz w:val="24"/>
          <w:szCs w:val="24"/>
        </w:rPr>
        <w:t>第八条：合同价</w:t>
      </w:r>
    </w:p>
    <w:p>
      <w:pPr>
        <w:tabs>
          <w:tab w:val="left" w:pos="0"/>
          <w:tab w:val="left" w:pos="1080"/>
        </w:tabs>
        <w:autoSpaceDN w:val="0"/>
        <w:adjustRightInd w:val="0"/>
        <w:snapToGrid w:val="0"/>
        <w:spacing w:line="360" w:lineRule="auto"/>
        <w:ind w:firstLine="238" w:firstLineChars="99"/>
        <w:rPr>
          <w:rFonts w:hint="eastAsia" w:ascii="宋体"/>
          <w:sz w:val="24"/>
          <w:szCs w:val="24"/>
        </w:rPr>
      </w:pPr>
      <w:r>
        <w:rPr>
          <w:rFonts w:hint="eastAsia" w:ascii="宋体"/>
          <w:sz w:val="24"/>
          <w:szCs w:val="24"/>
        </w:rPr>
        <w:t>一、合同固定总价（含甲方指定品牌材料）：人民币（大写）</w:t>
      </w:r>
      <w:r>
        <w:rPr>
          <w:rFonts w:hint="eastAsia" w:ascii="宋体"/>
          <w:b/>
          <w:bCs/>
          <w:sz w:val="24"/>
          <w:szCs w:val="24"/>
          <w:lang w:eastAsia="zh-CN"/>
        </w:rPr>
        <w:t>肆拾捌万叁仟柒佰贰拾圆整</w:t>
      </w:r>
      <w:r>
        <w:rPr>
          <w:rFonts w:hint="eastAsia" w:ascii="宋体"/>
          <w:b/>
          <w:bCs/>
          <w:sz w:val="24"/>
          <w:szCs w:val="24"/>
        </w:rPr>
        <w:t>，</w:t>
      </w:r>
      <w:r>
        <w:rPr>
          <w:rFonts w:hint="eastAsia" w:ascii="宋体"/>
          <w:sz w:val="24"/>
          <w:szCs w:val="24"/>
        </w:rPr>
        <w:t>（小写）</w:t>
      </w:r>
      <w:r>
        <w:rPr>
          <w:rFonts w:hint="eastAsia" w:ascii="宋体"/>
          <w:b/>
          <w:bCs/>
          <w:sz w:val="24"/>
          <w:szCs w:val="24"/>
        </w:rPr>
        <w:t>￥</w:t>
      </w:r>
      <w:r>
        <w:rPr>
          <w:rFonts w:hint="eastAsia" w:ascii="宋体"/>
          <w:b/>
          <w:bCs/>
          <w:sz w:val="24"/>
          <w:szCs w:val="24"/>
          <w:lang w:val="en-US" w:eastAsia="zh-CN"/>
        </w:rPr>
        <w:t>483720.00</w:t>
      </w:r>
      <w:r>
        <w:rPr>
          <w:rFonts w:hint="eastAsia" w:ascii="宋体"/>
          <w:b/>
          <w:bCs/>
          <w:sz w:val="24"/>
          <w:szCs w:val="24"/>
        </w:rPr>
        <w:t>元</w:t>
      </w:r>
      <w:r>
        <w:rPr>
          <w:rFonts w:hint="eastAsia" w:ascii="宋体"/>
          <w:sz w:val="24"/>
          <w:szCs w:val="24"/>
        </w:rPr>
        <w:t>。该固定合同总价图纸内内容一次性包干，除合同约定可调整之外的所有内容均不再随任何因素的调整而调整，不管乙方投标报价时清单中是否有漏项、缺项，均视为乙方已综合考虑在其他项目的报价内，结算时不做任何调整。</w:t>
      </w:r>
    </w:p>
    <w:p>
      <w:pPr>
        <w:tabs>
          <w:tab w:val="left" w:pos="0"/>
          <w:tab w:val="left" w:pos="1080"/>
        </w:tabs>
        <w:autoSpaceDN w:val="0"/>
        <w:adjustRightInd w:val="0"/>
        <w:snapToGrid w:val="0"/>
        <w:spacing w:line="360" w:lineRule="auto"/>
        <w:ind w:firstLine="238" w:firstLineChars="99"/>
        <w:rPr>
          <w:rFonts w:hint="eastAsia" w:ascii="宋体"/>
          <w:sz w:val="24"/>
          <w:szCs w:val="24"/>
        </w:rPr>
      </w:pPr>
      <w:r>
        <w:rPr>
          <w:rFonts w:hint="eastAsia" w:ascii="宋体"/>
          <w:sz w:val="24"/>
          <w:szCs w:val="24"/>
        </w:rPr>
        <w:t xml:space="preserve"> 二、计价办法：</w:t>
      </w:r>
      <w:r>
        <w:rPr>
          <w:rFonts w:hint="eastAsia"/>
          <w:sz w:val="24"/>
          <w:szCs w:val="24"/>
        </w:rPr>
        <w:t xml:space="preserve"> 。</w:t>
      </w:r>
    </w:p>
    <w:p>
      <w:pPr>
        <w:tabs>
          <w:tab w:val="left" w:pos="0"/>
          <w:tab w:val="left" w:pos="1080"/>
        </w:tabs>
        <w:autoSpaceDN w:val="0"/>
        <w:snapToGrid w:val="0"/>
        <w:spacing w:line="360" w:lineRule="auto"/>
        <w:ind w:firstLine="360" w:firstLineChars="150"/>
        <w:rPr>
          <w:rFonts w:hint="eastAsia" w:ascii="宋体"/>
          <w:sz w:val="24"/>
          <w:szCs w:val="24"/>
        </w:rPr>
      </w:pPr>
      <w:r>
        <w:rPr>
          <w:rFonts w:hint="eastAsia" w:ascii="宋体"/>
          <w:sz w:val="24"/>
          <w:szCs w:val="24"/>
        </w:rPr>
        <w:t>（一）计价方式： 采用固定总价包干±</w:t>
      </w:r>
      <w:r>
        <w:rPr>
          <w:rFonts w:hint="eastAsia"/>
          <w:sz w:val="24"/>
          <w:szCs w:val="24"/>
        </w:rPr>
        <w:t>变更签证-应扣费用</w:t>
      </w:r>
      <w:r>
        <w:rPr>
          <w:rFonts w:hint="eastAsia" w:ascii="宋体"/>
          <w:sz w:val="24"/>
          <w:szCs w:val="24"/>
        </w:rPr>
        <w:t>的方式。</w:t>
      </w:r>
    </w:p>
    <w:p>
      <w:pPr>
        <w:tabs>
          <w:tab w:val="left" w:pos="0"/>
        </w:tabs>
        <w:autoSpaceDN w:val="0"/>
        <w:spacing w:line="360" w:lineRule="auto"/>
        <w:ind w:firstLine="360"/>
        <w:rPr>
          <w:rFonts w:hint="eastAsia" w:ascii="宋体"/>
          <w:sz w:val="24"/>
          <w:szCs w:val="24"/>
        </w:rPr>
      </w:pPr>
      <w:r>
        <w:rPr>
          <w:rFonts w:hint="eastAsia" w:ascii="宋体"/>
          <w:sz w:val="24"/>
          <w:szCs w:val="24"/>
        </w:rPr>
        <w:t>（二）合同固定总价包含的内容：人、材、机费用、图纸深化设计费、工程及材料所须的各种检测费及试验费（不含甲供材料）、各种材料损耗费、材料的现场加工费、负责其它专业承包人施工的收边收口、技术处理费、合同工期内的赶工费、施工水电费、技术措施费</w:t>
      </w:r>
      <w:r>
        <w:rPr>
          <w:rFonts w:hint="eastAsia" w:ascii="宋体"/>
          <w:color w:val="auto"/>
          <w:sz w:val="24"/>
          <w:szCs w:val="24"/>
        </w:rPr>
        <w:t>、</w:t>
      </w:r>
      <w:r>
        <w:rPr>
          <w:rFonts w:hint="eastAsia" w:ascii="宋体"/>
          <w:color w:val="auto"/>
          <w:sz w:val="24"/>
          <w:szCs w:val="24"/>
          <w:lang w:eastAsia="zh-CN"/>
        </w:rPr>
        <w:t>安全</w:t>
      </w:r>
      <w:r>
        <w:rPr>
          <w:rFonts w:hint="eastAsia" w:ascii="宋体"/>
          <w:color w:val="auto"/>
          <w:sz w:val="24"/>
          <w:szCs w:val="24"/>
        </w:rPr>
        <w:t>文</w:t>
      </w:r>
      <w:r>
        <w:rPr>
          <w:rFonts w:hint="eastAsia" w:ascii="宋体"/>
          <w:sz w:val="24"/>
          <w:szCs w:val="24"/>
        </w:rPr>
        <w:t>明施工费、雨季或异常气候施工措施费、利润、税费、垃圾清运到指定点堆放费用及其他一切费用，结算时不再做任何调整。</w:t>
      </w:r>
    </w:p>
    <w:p>
      <w:pPr>
        <w:tabs>
          <w:tab w:val="left" w:pos="0"/>
          <w:tab w:val="left" w:pos="1080"/>
        </w:tabs>
        <w:autoSpaceDN w:val="0"/>
        <w:snapToGrid w:val="0"/>
        <w:spacing w:line="360" w:lineRule="auto"/>
        <w:ind w:firstLine="360" w:firstLineChars="150"/>
        <w:rPr>
          <w:rFonts w:hint="eastAsia" w:ascii="宋体"/>
          <w:sz w:val="24"/>
          <w:szCs w:val="24"/>
        </w:rPr>
      </w:pPr>
      <w:r>
        <w:rPr>
          <w:rFonts w:hint="eastAsia" w:ascii="宋体"/>
          <w:sz w:val="24"/>
          <w:szCs w:val="24"/>
        </w:rPr>
        <w:t>（三）甲方提供水源电源接驳点，水电费由乙方自行承担，。</w:t>
      </w:r>
    </w:p>
    <w:p>
      <w:pPr>
        <w:tabs>
          <w:tab w:val="left" w:pos="1080"/>
        </w:tabs>
        <w:autoSpaceDN w:val="0"/>
        <w:snapToGrid w:val="0"/>
        <w:spacing w:line="360" w:lineRule="auto"/>
        <w:ind w:firstLine="238" w:firstLineChars="99"/>
        <w:rPr>
          <w:rFonts w:hint="eastAsia" w:ascii="宋体"/>
          <w:sz w:val="24"/>
          <w:szCs w:val="24"/>
        </w:rPr>
      </w:pPr>
      <w:r>
        <w:rPr>
          <w:rFonts w:hint="eastAsia" w:ascii="宋体"/>
          <w:sz w:val="24"/>
          <w:szCs w:val="24"/>
        </w:rPr>
        <w:t>三、竣工结算：</w:t>
      </w:r>
    </w:p>
    <w:p>
      <w:pPr>
        <w:tabs>
          <w:tab w:val="left" w:pos="1080"/>
        </w:tabs>
        <w:autoSpaceDN w:val="0"/>
        <w:snapToGrid w:val="0"/>
        <w:spacing w:line="360" w:lineRule="auto"/>
        <w:ind w:firstLine="238" w:firstLineChars="99"/>
        <w:rPr>
          <w:rFonts w:hint="eastAsia" w:ascii="宋体"/>
          <w:sz w:val="24"/>
          <w:szCs w:val="24"/>
        </w:rPr>
      </w:pPr>
      <w:r>
        <w:rPr>
          <w:rFonts w:hint="eastAsia" w:ascii="宋体"/>
          <w:sz w:val="24"/>
          <w:szCs w:val="24"/>
        </w:rPr>
        <w:t>（一）工程完工后，乙方应及时提交结算资料，配合甲方办理竣工结算，竣工结算总价＝合同固定总价±变更、签证造价-应扣费用。</w:t>
      </w:r>
    </w:p>
    <w:p>
      <w:pPr>
        <w:autoSpaceDN w:val="0"/>
        <w:adjustRightInd w:val="0"/>
        <w:snapToGrid w:val="0"/>
        <w:spacing w:line="360" w:lineRule="auto"/>
        <w:ind w:firstLine="240" w:firstLineChars="100"/>
        <w:rPr>
          <w:rFonts w:hint="eastAsia" w:ascii="宋体"/>
          <w:sz w:val="24"/>
          <w:szCs w:val="24"/>
        </w:rPr>
      </w:pPr>
      <w:r>
        <w:rPr>
          <w:rFonts w:hint="eastAsia" w:ascii="宋体"/>
          <w:sz w:val="24"/>
          <w:szCs w:val="24"/>
        </w:rPr>
        <w:t>（二）变更、签证的计价原则：本合同执行期间，合同固定总价不因任何因素而作调整。若因甲方设计原因引起的设计变更，由甲方出具设计变更单。因设计变更引起部分分项工程子目的增加，该子项目的综合单价在合同中（即后附表3工程量清单汇总表）有相同子目的执行相同子目的单价，合同中（即后附表3工程量清单汇总表）中有相近子目的按相近子目执行，若合同中（即后附表3工程量清单汇总表）无适用或类似于变更、签证工程综合单价的，按照《河南省建设工程工程量清单综合单价》（2008版）相关分册及配套的取费文件执行，人工按66元/工日计取，安全文明施工费只计基本费，规费仅计工伤保险，材料按照甲方现场代表确认的与施工时间同期的《河南省建设工程造价信息洛阳专刊》中的平均价格调整差价。实际施工发生主材用料变更，则只调整综合单价中主材费的价差及相应的税金，并参与总价优惠其余一切有关费用不得调整。本工程脚手架及成品保护费等措施费为一次性包干费用，已包含在合同价内，结算时不再调整。</w:t>
      </w:r>
    </w:p>
    <w:p>
      <w:pPr>
        <w:pStyle w:val="7"/>
        <w:numPr>
          <w:ilvl w:val="4"/>
          <w:numId w:val="0"/>
        </w:numPr>
        <w:tabs>
          <w:tab w:val="left" w:pos="3600"/>
          <w:tab w:val="clear" w:pos="0"/>
        </w:tabs>
        <w:autoSpaceDN w:val="0"/>
        <w:snapToGrid w:val="0"/>
        <w:spacing w:before="0" w:after="0" w:line="360" w:lineRule="auto"/>
        <w:rPr>
          <w:rFonts w:hint="eastAsia" w:ascii="宋体"/>
          <w:b w:val="0"/>
          <w:sz w:val="24"/>
          <w:szCs w:val="24"/>
        </w:rPr>
      </w:pPr>
      <w:r>
        <w:rPr>
          <w:rFonts w:hint="eastAsia" w:ascii="宋体"/>
          <w:sz w:val="24"/>
          <w:szCs w:val="24"/>
        </w:rPr>
        <w:t>第九条：付款时间、条件与付款方式</w:t>
      </w:r>
    </w:p>
    <w:p>
      <w:pPr>
        <w:autoSpaceDE w:val="0"/>
        <w:autoSpaceDN w:val="0"/>
        <w:adjustRightInd w:val="0"/>
        <w:snapToGrid w:val="0"/>
        <w:spacing w:line="360" w:lineRule="auto"/>
        <w:ind w:firstLine="446" w:firstLineChars="200"/>
        <w:jc w:val="left"/>
        <w:rPr>
          <w:rFonts w:hint="eastAsia" w:ascii="宋体" w:hAnsi="宋体"/>
          <w:color w:val="auto"/>
          <w:sz w:val="24"/>
          <w:lang w:val="en-US" w:eastAsia="zh-CN"/>
        </w:rPr>
      </w:pPr>
      <w:r>
        <w:rPr>
          <w:rFonts w:hint="eastAsia" w:ascii="宋体"/>
          <w:color w:val="auto"/>
          <w:sz w:val="24"/>
          <w:szCs w:val="24"/>
          <w:lang w:eastAsia="zh-CN"/>
        </w:rPr>
        <w:t>一</w:t>
      </w:r>
      <w:r>
        <w:rPr>
          <w:rFonts w:hint="eastAsia" w:ascii="宋体" w:cs="Times New Roman"/>
          <w:bCs w:val="0"/>
          <w:color w:val="auto"/>
          <w:sz w:val="24"/>
          <w:szCs w:val="24"/>
        </w:rPr>
        <w:t>、</w:t>
      </w:r>
      <w:r>
        <w:rPr>
          <w:rFonts w:hint="eastAsia" w:ascii="宋体" w:hAnsi="宋体"/>
          <w:color w:val="auto"/>
          <w:sz w:val="24"/>
        </w:rPr>
        <w:t>乙方完成墙面板</w:t>
      </w:r>
      <w:r>
        <w:rPr>
          <w:rFonts w:hint="eastAsia" w:ascii="宋体" w:hAnsi="宋体"/>
          <w:color w:val="auto"/>
          <w:sz w:val="24"/>
          <w:lang w:eastAsia="zh-CN"/>
        </w:rPr>
        <w:t>、地面铺装</w:t>
      </w:r>
      <w:r>
        <w:rPr>
          <w:rFonts w:hint="eastAsia" w:ascii="宋体" w:hAnsi="宋体"/>
          <w:color w:val="auto"/>
          <w:sz w:val="24"/>
        </w:rPr>
        <w:t>及吊顶施工，经甲方、监理验收合格后，甲方支付乙</w:t>
      </w:r>
      <w:r>
        <w:rPr>
          <w:rFonts w:hint="eastAsia" w:ascii="宋体" w:hAnsi="宋体"/>
          <w:color w:val="auto"/>
          <w:sz w:val="24"/>
          <w:lang w:val="en-US" w:eastAsia="zh-CN"/>
        </w:rPr>
        <w:t xml:space="preserve">                      </w:t>
      </w:r>
    </w:p>
    <w:p>
      <w:pPr>
        <w:autoSpaceDE w:val="0"/>
        <w:autoSpaceDN w:val="0"/>
        <w:adjustRightInd w:val="0"/>
        <w:snapToGrid w:val="0"/>
        <w:spacing w:line="360" w:lineRule="auto"/>
        <w:jc w:val="left"/>
        <w:rPr>
          <w:rFonts w:ascii="宋体" w:cs="宋体"/>
          <w:color w:val="auto"/>
          <w:sz w:val="24"/>
          <w:szCs w:val="24"/>
        </w:rPr>
      </w:pPr>
      <w:r>
        <w:rPr>
          <w:rFonts w:hint="eastAsia" w:ascii="宋体" w:hAnsi="宋体"/>
          <w:color w:val="auto"/>
          <w:sz w:val="24"/>
          <w:lang w:val="en-US" w:eastAsia="zh-CN"/>
        </w:rPr>
        <w:t xml:space="preserve">        </w:t>
      </w:r>
      <w:r>
        <w:rPr>
          <w:rFonts w:hint="eastAsia" w:ascii="宋体" w:hAnsi="宋体"/>
          <w:color w:val="auto"/>
          <w:sz w:val="24"/>
        </w:rPr>
        <w:t>方合同总价的</w:t>
      </w:r>
      <w:r>
        <w:rPr>
          <w:rFonts w:hint="eastAsia" w:ascii="宋体" w:hAnsi="宋体"/>
          <w:color w:val="auto"/>
          <w:sz w:val="24"/>
          <w:lang w:val="en-US" w:eastAsia="zh-CN"/>
        </w:rPr>
        <w:t>5</w:t>
      </w:r>
      <w:r>
        <w:rPr>
          <w:rFonts w:hint="eastAsia" w:ascii="宋体" w:hAnsi="宋体"/>
          <w:color w:val="auto"/>
          <w:sz w:val="24"/>
        </w:rPr>
        <w:t>0％；</w:t>
      </w:r>
    </w:p>
    <w:p>
      <w:pPr>
        <w:autoSpaceDE w:val="0"/>
        <w:autoSpaceDN w:val="0"/>
        <w:adjustRightInd w:val="0"/>
        <w:snapToGrid w:val="0"/>
        <w:spacing w:line="360" w:lineRule="auto"/>
        <w:ind w:left="953" w:leftChars="225" w:hanging="480" w:hangingChars="200"/>
        <w:jc w:val="left"/>
        <w:rPr>
          <w:rFonts w:hint="eastAsia" w:ascii="宋体" w:hAnsi="宋体"/>
          <w:color w:val="auto"/>
          <w:sz w:val="24"/>
        </w:rPr>
      </w:pPr>
      <w:r>
        <w:rPr>
          <w:rFonts w:hint="eastAsia" w:ascii="宋体" w:cs="Times New Roman"/>
          <w:bCs w:val="0"/>
          <w:color w:val="auto"/>
          <w:sz w:val="24"/>
          <w:szCs w:val="24"/>
          <w:lang w:eastAsia="zh-CN"/>
        </w:rPr>
        <w:t>二</w:t>
      </w:r>
      <w:r>
        <w:rPr>
          <w:rFonts w:hint="eastAsia" w:ascii="宋体" w:cs="Times New Roman"/>
          <w:bCs w:val="0"/>
          <w:color w:val="auto"/>
          <w:sz w:val="24"/>
          <w:szCs w:val="24"/>
        </w:rPr>
        <w:t>、</w:t>
      </w:r>
      <w:r>
        <w:rPr>
          <w:rFonts w:hint="eastAsia" w:ascii="宋体" w:hAnsi="宋体"/>
          <w:color w:val="auto"/>
          <w:sz w:val="24"/>
        </w:rPr>
        <w:t>乙方完成承包范围内所有工程并经甲方及监理验收合格后，甲方支付</w:t>
      </w:r>
      <w:r>
        <w:rPr>
          <w:rFonts w:hint="eastAsia" w:ascii="宋体" w:hAnsi="宋体"/>
          <w:color w:val="auto"/>
          <w:sz w:val="24"/>
          <w:lang w:eastAsia="zh-CN"/>
        </w:rPr>
        <w:t>至</w:t>
      </w:r>
      <w:r>
        <w:rPr>
          <w:rFonts w:hint="eastAsia" w:ascii="宋体" w:hAnsi="宋体"/>
          <w:color w:val="auto"/>
          <w:sz w:val="24"/>
        </w:rPr>
        <w:t>乙方合同总价的</w:t>
      </w:r>
      <w:r>
        <w:rPr>
          <w:rFonts w:hint="eastAsia" w:ascii="宋体" w:hAnsi="宋体"/>
          <w:color w:val="auto"/>
          <w:sz w:val="24"/>
          <w:lang w:val="en-US" w:eastAsia="zh-CN"/>
        </w:rPr>
        <w:t>8</w:t>
      </w:r>
      <w:r>
        <w:rPr>
          <w:rFonts w:hint="eastAsia" w:ascii="宋体" w:hAnsi="宋体"/>
          <w:color w:val="auto"/>
          <w:sz w:val="24"/>
        </w:rPr>
        <w:t>0％；</w:t>
      </w:r>
    </w:p>
    <w:p>
      <w:pPr>
        <w:autoSpaceDN w:val="0"/>
        <w:adjustRightInd w:val="0"/>
        <w:snapToGrid w:val="0"/>
        <w:spacing w:line="360" w:lineRule="auto"/>
        <w:ind w:firstLine="446" w:firstLineChars="200"/>
        <w:jc w:val="both"/>
        <w:rPr>
          <w:rFonts w:hint="eastAsia" w:ascii="宋体" w:hAnsi="Times New Roman"/>
          <w:color w:val="auto"/>
          <w:sz w:val="24"/>
          <w:szCs w:val="24"/>
          <w:lang w:val="en-US" w:eastAsia="zh-CN"/>
        </w:rPr>
      </w:pPr>
      <w:r>
        <w:rPr>
          <w:rFonts w:hint="eastAsia" w:ascii="宋体" w:cs="Times New Roman"/>
          <w:bCs w:val="0"/>
          <w:color w:val="auto"/>
          <w:sz w:val="24"/>
          <w:szCs w:val="24"/>
          <w:lang w:eastAsia="zh-CN"/>
        </w:rPr>
        <w:t>三</w:t>
      </w:r>
      <w:r>
        <w:rPr>
          <w:rFonts w:hint="eastAsia" w:ascii="宋体" w:cs="Times New Roman"/>
          <w:bCs w:val="0"/>
          <w:color w:val="auto"/>
          <w:sz w:val="24"/>
          <w:szCs w:val="24"/>
        </w:rPr>
        <w:t>、</w:t>
      </w:r>
      <w:r>
        <w:rPr>
          <w:rFonts w:hint="eastAsia" w:ascii="宋体" w:hAnsi="Times New Roman"/>
          <w:color w:val="auto"/>
          <w:sz w:val="24"/>
          <w:szCs w:val="24"/>
        </w:rPr>
        <w:t>工程竣工验收并配合甲方办理结算后30天内，甲方向乙方支付至实际结算价款的</w:t>
      </w:r>
      <w:r>
        <w:rPr>
          <w:rFonts w:hint="eastAsia" w:ascii="宋体" w:hAnsi="Times New Roman"/>
          <w:color w:val="auto"/>
          <w:sz w:val="24"/>
          <w:szCs w:val="24"/>
          <w:lang w:val="en-US" w:eastAsia="zh-CN"/>
        </w:rPr>
        <w:t xml:space="preserve"> </w:t>
      </w:r>
    </w:p>
    <w:p>
      <w:pPr>
        <w:autoSpaceDN w:val="0"/>
        <w:adjustRightInd w:val="0"/>
        <w:snapToGrid w:val="0"/>
        <w:spacing w:line="360" w:lineRule="auto"/>
        <w:ind w:firstLine="446" w:firstLineChars="200"/>
        <w:jc w:val="both"/>
        <w:rPr>
          <w:rFonts w:hint="eastAsia" w:ascii="宋体" w:hAnsi="Times New Roman"/>
          <w:color w:val="auto"/>
          <w:sz w:val="24"/>
          <w:szCs w:val="24"/>
        </w:rPr>
      </w:pPr>
      <w:r>
        <w:rPr>
          <w:rFonts w:hint="eastAsia" w:ascii="宋体" w:hAnsi="Times New Roman"/>
          <w:color w:val="auto"/>
          <w:sz w:val="24"/>
          <w:szCs w:val="24"/>
          <w:lang w:val="en-US" w:eastAsia="zh-CN"/>
        </w:rPr>
        <w:t xml:space="preserve">   </w:t>
      </w:r>
      <w:r>
        <w:rPr>
          <w:rFonts w:hint="eastAsia" w:ascii="宋体" w:hAnsi="Times New Roman"/>
          <w:color w:val="auto"/>
          <w:sz w:val="24"/>
          <w:szCs w:val="24"/>
        </w:rPr>
        <w:t>95%。工程结算价款的5%作为质保金，待两年的质保期满后无质量问题则无息付清。</w:t>
      </w:r>
    </w:p>
    <w:p>
      <w:pPr>
        <w:autoSpaceDN w:val="0"/>
        <w:adjustRightInd w:val="0"/>
        <w:snapToGrid w:val="0"/>
        <w:spacing w:line="360" w:lineRule="auto"/>
        <w:ind w:left="0" w:leftChars="0" w:hanging="240" w:hangingChars="100"/>
        <w:jc w:val="both"/>
        <w:rPr>
          <w:rFonts w:hint="eastAsia" w:ascii="宋体" w:cs="Times New Roman"/>
          <w:color w:val="auto"/>
          <w:sz w:val="24"/>
          <w:szCs w:val="24"/>
        </w:rPr>
      </w:pPr>
      <w:r>
        <w:rPr>
          <w:rFonts w:hint="eastAsia" w:ascii="宋体" w:cs="Times New Roman"/>
          <w:color w:val="auto"/>
          <w:sz w:val="24"/>
          <w:szCs w:val="24"/>
          <w:lang w:val="en-US" w:eastAsia="zh-CN"/>
        </w:rPr>
        <w:t xml:space="preserve">       </w:t>
      </w:r>
      <w:r>
        <w:rPr>
          <w:rFonts w:hint="eastAsia" w:ascii="宋体" w:cs="Times New Roman"/>
          <w:color w:val="auto"/>
          <w:sz w:val="24"/>
          <w:szCs w:val="24"/>
        </w:rPr>
        <w:t xml:space="preserve">乙方在领取每一次工程款时须提供相应等额有效的发票。              </w:t>
      </w:r>
    </w:p>
    <w:p>
      <w:pPr>
        <w:pStyle w:val="7"/>
        <w:numPr>
          <w:ilvl w:val="4"/>
          <w:numId w:val="0"/>
        </w:numPr>
        <w:tabs>
          <w:tab w:val="left" w:pos="3600"/>
          <w:tab w:val="clear" w:pos="0"/>
        </w:tabs>
        <w:autoSpaceDN w:val="0"/>
        <w:snapToGrid w:val="0"/>
        <w:spacing w:before="0" w:after="0" w:line="360" w:lineRule="auto"/>
        <w:rPr>
          <w:rFonts w:hint="eastAsia" w:ascii="宋体"/>
          <w:b w:val="0"/>
          <w:sz w:val="24"/>
          <w:szCs w:val="24"/>
        </w:rPr>
      </w:pPr>
      <w:r>
        <w:rPr>
          <w:rFonts w:hint="eastAsia" w:ascii="宋体"/>
          <w:sz w:val="24"/>
          <w:szCs w:val="24"/>
        </w:rPr>
        <w:t>第十条：甲方现场移交标准</w:t>
      </w:r>
    </w:p>
    <w:p>
      <w:pPr>
        <w:autoSpaceDN w:val="0"/>
        <w:adjustRightInd w:val="0"/>
        <w:snapToGrid w:val="0"/>
        <w:spacing w:line="360" w:lineRule="auto"/>
        <w:ind w:firstLine="446" w:firstLineChars="186"/>
        <w:rPr>
          <w:rFonts w:hint="eastAsia" w:ascii="宋体"/>
          <w:sz w:val="24"/>
          <w:szCs w:val="24"/>
        </w:rPr>
      </w:pPr>
      <w:r>
        <w:rPr>
          <w:rFonts w:hint="eastAsia" w:ascii="宋体"/>
          <w:sz w:val="24"/>
          <w:szCs w:val="24"/>
        </w:rPr>
        <w:t>本工程移交界面为工地现状条件，且乙方在投标报价前已充分踏勘现场，对工地现状条件下施工所需的措施费等相关费用已综合考虑在固定合同总价内。</w:t>
      </w:r>
    </w:p>
    <w:p>
      <w:pPr>
        <w:pStyle w:val="7"/>
        <w:numPr>
          <w:ilvl w:val="4"/>
          <w:numId w:val="0"/>
        </w:numPr>
        <w:tabs>
          <w:tab w:val="left" w:pos="3600"/>
          <w:tab w:val="clear" w:pos="0"/>
        </w:tabs>
        <w:autoSpaceDN w:val="0"/>
        <w:snapToGrid w:val="0"/>
        <w:spacing w:before="0" w:after="0" w:line="360" w:lineRule="auto"/>
        <w:rPr>
          <w:rFonts w:hint="eastAsia" w:ascii="宋体"/>
          <w:sz w:val="24"/>
          <w:szCs w:val="24"/>
        </w:rPr>
      </w:pPr>
      <w:r>
        <w:rPr>
          <w:rFonts w:hint="eastAsia" w:ascii="宋体"/>
          <w:sz w:val="24"/>
          <w:szCs w:val="24"/>
        </w:rPr>
        <w:t>第十一条：双方现场代表</w:t>
      </w:r>
    </w:p>
    <w:p>
      <w:pPr>
        <w:tabs>
          <w:tab w:val="left" w:pos="1080"/>
        </w:tabs>
        <w:autoSpaceDN w:val="0"/>
        <w:adjustRightInd w:val="0"/>
        <w:snapToGrid w:val="0"/>
        <w:spacing w:line="360" w:lineRule="auto"/>
        <w:ind w:left="-15" w:leftChars="-7" w:firstLine="480" w:firstLineChars="200"/>
        <w:rPr>
          <w:rFonts w:hint="eastAsia" w:ascii="宋体"/>
          <w:sz w:val="24"/>
          <w:szCs w:val="24"/>
        </w:rPr>
      </w:pPr>
      <w:r>
        <w:rPr>
          <w:rFonts w:hint="eastAsia" w:ascii="宋体"/>
          <w:sz w:val="24"/>
          <w:szCs w:val="24"/>
        </w:rPr>
        <w:t>一、甲方授权</w:t>
      </w:r>
      <w:r>
        <w:rPr>
          <w:rFonts w:hint="eastAsia" w:ascii="宋体"/>
          <w:sz w:val="24"/>
          <w:szCs w:val="24"/>
          <w:u w:val="single"/>
        </w:rPr>
        <w:t>沈小勇</w:t>
      </w:r>
      <w:r>
        <w:rPr>
          <w:rFonts w:hint="eastAsia" w:ascii="宋体"/>
          <w:sz w:val="24"/>
          <w:szCs w:val="24"/>
        </w:rPr>
        <w:t>为现场管理代表，监督检查工程质量、进度、负责设计图纸的变更，工程期间的质量验收、施工现场的管理及其他相关事宜。</w:t>
      </w:r>
    </w:p>
    <w:p>
      <w:pPr>
        <w:tabs>
          <w:tab w:val="left" w:pos="1080"/>
        </w:tabs>
        <w:autoSpaceDN w:val="0"/>
        <w:adjustRightInd w:val="0"/>
        <w:snapToGrid w:val="0"/>
        <w:spacing w:line="360" w:lineRule="auto"/>
        <w:ind w:left="-15" w:leftChars="-7" w:firstLine="480" w:firstLineChars="200"/>
        <w:rPr>
          <w:rFonts w:hint="eastAsia" w:ascii="宋体"/>
          <w:sz w:val="24"/>
          <w:szCs w:val="24"/>
        </w:rPr>
      </w:pPr>
      <w:r>
        <w:rPr>
          <w:rFonts w:hint="eastAsia" w:ascii="宋体"/>
          <w:sz w:val="24"/>
          <w:szCs w:val="24"/>
        </w:rPr>
        <w:t>二、乙方委派</w:t>
      </w:r>
      <w:r>
        <w:rPr>
          <w:rFonts w:hint="eastAsia" w:ascii="宋体"/>
          <w:b w:val="0"/>
          <w:bCs w:val="0"/>
          <w:sz w:val="24"/>
          <w:szCs w:val="24"/>
          <w:u w:val="single"/>
          <w:lang w:eastAsia="zh-CN"/>
        </w:rPr>
        <w:t>马连水</w:t>
      </w:r>
      <w:r>
        <w:rPr>
          <w:rFonts w:hint="eastAsia" w:ascii="宋体"/>
          <w:sz w:val="24"/>
          <w:szCs w:val="24"/>
        </w:rPr>
        <w:t>为现场项目经理。委派的项目经理须持有与工程项目相适应的真实有效的资格证书，负责施工期间的施工质量、进度、安全文明施工及现场管理等问题。</w:t>
      </w:r>
    </w:p>
    <w:p>
      <w:pPr>
        <w:pStyle w:val="7"/>
        <w:numPr>
          <w:ilvl w:val="4"/>
          <w:numId w:val="0"/>
        </w:numPr>
        <w:tabs>
          <w:tab w:val="left" w:pos="3600"/>
          <w:tab w:val="clear" w:pos="0"/>
        </w:tabs>
        <w:autoSpaceDN w:val="0"/>
        <w:snapToGrid w:val="0"/>
        <w:spacing w:before="0" w:after="0" w:line="360" w:lineRule="auto"/>
        <w:rPr>
          <w:rFonts w:hint="eastAsia" w:ascii="宋体"/>
          <w:sz w:val="24"/>
          <w:szCs w:val="24"/>
        </w:rPr>
      </w:pPr>
      <w:r>
        <w:rPr>
          <w:rFonts w:hint="eastAsia" w:ascii="宋体"/>
          <w:sz w:val="24"/>
          <w:szCs w:val="24"/>
        </w:rPr>
        <w:t>第十二条：其它约定</w:t>
      </w:r>
    </w:p>
    <w:p>
      <w:pPr>
        <w:autoSpaceDN w:val="0"/>
        <w:adjustRightInd w:val="0"/>
        <w:snapToGrid w:val="0"/>
        <w:spacing w:line="360" w:lineRule="auto"/>
        <w:ind w:firstLine="384" w:firstLineChars="160"/>
        <w:rPr>
          <w:rFonts w:hint="eastAsia" w:ascii="宋体"/>
          <w:sz w:val="24"/>
          <w:szCs w:val="24"/>
        </w:rPr>
      </w:pPr>
      <w:r>
        <w:rPr>
          <w:rFonts w:hint="eastAsia" w:ascii="宋体"/>
          <w:sz w:val="24"/>
          <w:szCs w:val="24"/>
        </w:rPr>
        <w:t xml:space="preserve"> 一、甲方只负责提供施工现场堆放材料的场地，乙方自行解决施工及管理人员住宿办公场所，甲方不予补偿费用。</w:t>
      </w:r>
    </w:p>
    <w:p>
      <w:pPr>
        <w:tabs>
          <w:tab w:val="left" w:pos="0"/>
          <w:tab w:val="left" w:pos="1080"/>
        </w:tabs>
        <w:autoSpaceDN w:val="0"/>
        <w:adjustRightInd w:val="0"/>
        <w:snapToGrid w:val="0"/>
        <w:spacing w:line="360" w:lineRule="auto"/>
        <w:ind w:firstLine="238" w:firstLineChars="99"/>
        <w:rPr>
          <w:rFonts w:hint="eastAsia" w:ascii="宋体"/>
          <w:sz w:val="24"/>
          <w:szCs w:val="24"/>
        </w:rPr>
      </w:pPr>
      <w:r>
        <w:rPr>
          <w:rFonts w:hint="eastAsia" w:ascii="宋体"/>
          <w:sz w:val="24"/>
          <w:szCs w:val="24"/>
        </w:rPr>
        <w:t xml:space="preserve">  二、乙方负责其它专业的楼板或墙体穿洞</w:t>
      </w:r>
      <w:r>
        <w:rPr>
          <w:rFonts w:hint="eastAsia" w:ascii="宋体"/>
          <w:color w:val="auto"/>
          <w:sz w:val="24"/>
          <w:szCs w:val="24"/>
          <w:lang w:eastAsia="zh-CN"/>
        </w:rPr>
        <w:t>及门窗洞口</w:t>
      </w:r>
      <w:r>
        <w:rPr>
          <w:rFonts w:hint="eastAsia" w:ascii="宋体"/>
          <w:color w:val="auto"/>
          <w:sz w:val="24"/>
          <w:szCs w:val="24"/>
        </w:rPr>
        <w:t>的</w:t>
      </w:r>
      <w:r>
        <w:rPr>
          <w:rFonts w:hint="eastAsia" w:ascii="宋体"/>
          <w:sz w:val="24"/>
          <w:szCs w:val="24"/>
        </w:rPr>
        <w:t>收边收口等工作，此部分费用已包含在合同包干固定总价中，甲方不予另行签证。若乙方因周边围护措施不到位或考虑不周造成的损失由乙方自行承担。</w:t>
      </w:r>
    </w:p>
    <w:p>
      <w:pPr>
        <w:autoSpaceDN w:val="0"/>
        <w:spacing w:line="360" w:lineRule="auto"/>
        <w:ind w:firstLine="384" w:firstLineChars="160"/>
        <w:rPr>
          <w:rFonts w:hint="eastAsia" w:ascii="宋体"/>
          <w:sz w:val="24"/>
          <w:szCs w:val="24"/>
        </w:rPr>
      </w:pPr>
      <w:r>
        <w:rPr>
          <w:rFonts w:hint="eastAsia" w:ascii="宋体"/>
          <w:sz w:val="24"/>
          <w:szCs w:val="24"/>
        </w:rPr>
        <w:t xml:space="preserve"> 三、所有材料进场前其品种、颜色、规格、质量必须得到甲方、监理认可；乙方负责材料检测费用的支出；门窗、天花、地板等的收边收口处理方法需乙方深化设计，并出具书面方案经过甲方确认后方能实施。</w:t>
      </w:r>
    </w:p>
    <w:p>
      <w:pPr>
        <w:autoSpaceDN w:val="0"/>
        <w:spacing w:line="500" w:lineRule="exact"/>
        <w:ind w:firstLine="384" w:firstLineChars="160"/>
        <w:rPr>
          <w:rFonts w:hint="eastAsia" w:ascii="宋体"/>
          <w:sz w:val="24"/>
          <w:szCs w:val="24"/>
        </w:rPr>
      </w:pPr>
      <w:r>
        <w:rPr>
          <w:rFonts w:hint="eastAsia" w:ascii="宋体"/>
          <w:sz w:val="24"/>
          <w:szCs w:val="24"/>
        </w:rPr>
        <w:t xml:space="preserve"> 四、乙方施工工艺要符合国家标准，更要符合甲方设计要求，满足甲方设计功能，质量必须要达到国家验收标准；乙方必须根据甲方现场工程师的要求做到样板先行，每一道工序开工前必须先做样板，待样板经甲方、监理验收合格后，方可开始大面积施工。</w:t>
      </w:r>
    </w:p>
    <w:p>
      <w:pPr>
        <w:autoSpaceDN w:val="0"/>
        <w:spacing w:line="500" w:lineRule="exact"/>
        <w:ind w:firstLine="384" w:firstLineChars="160"/>
        <w:rPr>
          <w:rFonts w:hint="eastAsia" w:ascii="宋体"/>
          <w:sz w:val="24"/>
          <w:szCs w:val="24"/>
        </w:rPr>
      </w:pPr>
      <w:r>
        <w:rPr>
          <w:rFonts w:hint="eastAsia" w:ascii="宋体"/>
          <w:sz w:val="24"/>
          <w:szCs w:val="24"/>
        </w:rPr>
        <w:t xml:space="preserve"> 五、乙方现场必须选用优秀的劳务队伍以保证施工质量及工期，若劳务队伍不能满足甲方要求，甲方可随时要求乙方更换其劳务队伍，乙方必须无条件服从，且不能影响工期。乙方劳务计划见附件5，制定时一定要科学、合理并经甲方及监理单位审核批准，若实际施工人数不能满足现场施工进度时，乙方要严格按照劳务计划增添施工作业人员，甲方将按照此计划表每天清点人数，每缺一人，甲方罚乙方500元。</w:t>
      </w:r>
    </w:p>
    <w:p>
      <w:pPr>
        <w:tabs>
          <w:tab w:val="left" w:pos="1080"/>
        </w:tabs>
        <w:autoSpaceDN w:val="0"/>
        <w:snapToGrid w:val="0"/>
        <w:spacing w:line="500" w:lineRule="exact"/>
        <w:ind w:firstLine="499" w:firstLineChars="208"/>
        <w:rPr>
          <w:rFonts w:hint="eastAsia" w:ascii="宋体"/>
          <w:bCs/>
          <w:sz w:val="24"/>
          <w:szCs w:val="24"/>
        </w:rPr>
      </w:pPr>
      <w:r>
        <w:rPr>
          <w:rFonts w:hint="eastAsia" w:ascii="宋体"/>
          <w:sz w:val="24"/>
          <w:szCs w:val="24"/>
        </w:rPr>
        <w:t>六、</w:t>
      </w:r>
      <w:r>
        <w:rPr>
          <w:rFonts w:hint="eastAsia" w:ascii="宋体"/>
          <w:bCs/>
          <w:sz w:val="24"/>
          <w:szCs w:val="24"/>
        </w:rPr>
        <w:t>甲方应向乙方交付的设计资料及文件</w:t>
      </w:r>
    </w:p>
    <w:p>
      <w:pPr>
        <w:tabs>
          <w:tab w:val="left" w:pos="1080"/>
        </w:tabs>
        <w:autoSpaceDN w:val="0"/>
        <w:snapToGrid w:val="0"/>
        <w:spacing w:line="500" w:lineRule="exact"/>
        <w:rPr>
          <w:rFonts w:hint="eastAsia" w:ascii="宋体"/>
          <w:b/>
          <w:bCs/>
          <w:sz w:val="24"/>
          <w:szCs w:val="24"/>
        </w:rPr>
      </w:pPr>
    </w:p>
    <w:tbl>
      <w:tblPr>
        <w:tblStyle w:val="46"/>
        <w:tblW w:w="9444" w:type="dxa"/>
        <w:tblInd w:w="-7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9"/>
        <w:gridCol w:w="2661"/>
        <w:gridCol w:w="1764"/>
        <w:gridCol w:w="2137"/>
        <w:gridCol w:w="2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59" w:type="dxa"/>
            <w:tcBorders>
              <w:top w:val="single" w:color="auto" w:sz="4" w:space="0"/>
              <w:left w:val="single" w:color="auto" w:sz="4" w:space="0"/>
              <w:bottom w:val="single" w:color="auto" w:sz="4" w:space="0"/>
              <w:right w:val="single" w:color="auto" w:sz="4" w:space="0"/>
            </w:tcBorders>
            <w:vAlign w:val="top"/>
          </w:tcPr>
          <w:p>
            <w:pPr>
              <w:widowControl/>
              <w:autoSpaceDN w:val="0"/>
              <w:spacing w:before="100" w:beforeAutospacing="1" w:after="100" w:afterAutospacing="1" w:line="500" w:lineRule="exact"/>
              <w:jc w:val="left"/>
              <w:rPr>
                <w:rFonts w:hint="eastAsia" w:ascii="宋体"/>
                <w:sz w:val="24"/>
                <w:szCs w:val="24"/>
              </w:rPr>
            </w:pPr>
            <w:r>
              <w:rPr>
                <w:rFonts w:hint="eastAsia" w:ascii="宋体"/>
                <w:sz w:val="24"/>
                <w:szCs w:val="24"/>
              </w:rPr>
              <w:t>序号</w:t>
            </w:r>
          </w:p>
        </w:tc>
        <w:tc>
          <w:tcPr>
            <w:tcW w:w="2661" w:type="dxa"/>
            <w:tcBorders>
              <w:top w:val="single" w:color="auto" w:sz="4" w:space="0"/>
              <w:left w:val="single" w:color="auto" w:sz="4" w:space="0"/>
              <w:bottom w:val="single" w:color="auto" w:sz="4" w:space="0"/>
              <w:right w:val="single" w:color="auto" w:sz="4" w:space="0"/>
            </w:tcBorders>
            <w:vAlign w:val="top"/>
          </w:tcPr>
          <w:p>
            <w:pPr>
              <w:widowControl/>
              <w:autoSpaceDN w:val="0"/>
              <w:spacing w:before="100" w:beforeAutospacing="1" w:after="100" w:afterAutospacing="1" w:line="500" w:lineRule="exact"/>
              <w:ind w:firstLine="480" w:firstLineChars="200"/>
              <w:jc w:val="left"/>
              <w:rPr>
                <w:rFonts w:hint="eastAsia" w:ascii="宋体"/>
                <w:sz w:val="24"/>
                <w:szCs w:val="24"/>
              </w:rPr>
            </w:pPr>
            <w:r>
              <w:rPr>
                <w:rFonts w:hint="eastAsia" w:ascii="宋体"/>
                <w:sz w:val="24"/>
                <w:szCs w:val="24"/>
              </w:rPr>
              <w:t>设计文件名称</w:t>
            </w:r>
          </w:p>
        </w:tc>
        <w:tc>
          <w:tcPr>
            <w:tcW w:w="1764" w:type="dxa"/>
            <w:tcBorders>
              <w:top w:val="single" w:color="auto" w:sz="4" w:space="0"/>
              <w:left w:val="single" w:color="auto" w:sz="4" w:space="0"/>
              <w:bottom w:val="single" w:color="auto" w:sz="4" w:space="0"/>
              <w:right w:val="single" w:color="auto" w:sz="4" w:space="0"/>
            </w:tcBorders>
            <w:vAlign w:val="top"/>
          </w:tcPr>
          <w:p>
            <w:pPr>
              <w:widowControl/>
              <w:autoSpaceDN w:val="0"/>
              <w:spacing w:before="100" w:beforeAutospacing="1" w:after="100" w:afterAutospacing="1" w:line="500" w:lineRule="exact"/>
              <w:ind w:firstLine="593" w:firstLineChars="247"/>
              <w:jc w:val="left"/>
              <w:rPr>
                <w:rFonts w:hint="eastAsia" w:ascii="宋体"/>
                <w:sz w:val="24"/>
                <w:szCs w:val="24"/>
              </w:rPr>
            </w:pPr>
            <w:r>
              <w:rPr>
                <w:rFonts w:hint="eastAsia" w:ascii="宋体"/>
                <w:sz w:val="24"/>
                <w:szCs w:val="24"/>
              </w:rPr>
              <w:t>份数</w:t>
            </w:r>
          </w:p>
        </w:tc>
        <w:tc>
          <w:tcPr>
            <w:tcW w:w="2137" w:type="dxa"/>
            <w:tcBorders>
              <w:top w:val="single" w:color="auto" w:sz="4" w:space="0"/>
              <w:left w:val="single" w:color="auto" w:sz="4" w:space="0"/>
              <w:bottom w:val="single" w:color="auto" w:sz="4" w:space="0"/>
              <w:right w:val="single" w:color="auto" w:sz="4" w:space="0"/>
            </w:tcBorders>
            <w:vAlign w:val="top"/>
          </w:tcPr>
          <w:p>
            <w:pPr>
              <w:widowControl/>
              <w:autoSpaceDN w:val="0"/>
              <w:spacing w:before="100" w:beforeAutospacing="1" w:after="100" w:afterAutospacing="1" w:line="500" w:lineRule="exact"/>
              <w:ind w:firstLine="480" w:firstLineChars="200"/>
              <w:rPr>
                <w:rFonts w:hint="eastAsia" w:ascii="宋体"/>
                <w:sz w:val="24"/>
                <w:szCs w:val="24"/>
              </w:rPr>
            </w:pPr>
            <w:r>
              <w:rPr>
                <w:rFonts w:hint="eastAsia" w:ascii="宋体"/>
                <w:sz w:val="24"/>
                <w:szCs w:val="24"/>
              </w:rPr>
              <w:t>交付日期</w:t>
            </w:r>
          </w:p>
        </w:tc>
        <w:tc>
          <w:tcPr>
            <w:tcW w:w="2123" w:type="dxa"/>
            <w:tcBorders>
              <w:top w:val="single" w:color="auto" w:sz="4" w:space="0"/>
              <w:left w:val="single" w:color="auto" w:sz="4" w:space="0"/>
              <w:bottom w:val="single" w:color="auto" w:sz="4" w:space="0"/>
              <w:right w:val="single" w:color="auto" w:sz="4" w:space="0"/>
            </w:tcBorders>
            <w:vAlign w:val="top"/>
          </w:tcPr>
          <w:p>
            <w:pPr>
              <w:widowControl/>
              <w:autoSpaceDN w:val="0"/>
              <w:spacing w:before="100" w:beforeAutospacing="1" w:after="100" w:afterAutospacing="1" w:line="500" w:lineRule="exact"/>
              <w:ind w:firstLine="600" w:firstLineChars="250"/>
              <w:jc w:val="left"/>
              <w:rPr>
                <w:rFonts w:hint="eastAsia" w:ascii="宋体"/>
                <w:sz w:val="24"/>
                <w:szCs w:val="24"/>
              </w:rPr>
            </w:pPr>
            <w:r>
              <w:rPr>
                <w:rFonts w:hint="eastAsia" w:asci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trPr>
        <w:tc>
          <w:tcPr>
            <w:tcW w:w="759" w:type="dxa"/>
            <w:tcBorders>
              <w:top w:val="single" w:color="auto" w:sz="4" w:space="0"/>
              <w:left w:val="single" w:color="auto" w:sz="4" w:space="0"/>
              <w:bottom w:val="single" w:color="auto" w:sz="4" w:space="0"/>
              <w:right w:val="single" w:color="auto" w:sz="4" w:space="0"/>
            </w:tcBorders>
            <w:vAlign w:val="top"/>
          </w:tcPr>
          <w:p>
            <w:pPr>
              <w:widowControl/>
              <w:autoSpaceDN w:val="0"/>
              <w:spacing w:before="100" w:beforeAutospacing="1" w:after="100" w:afterAutospacing="1" w:line="500" w:lineRule="exact"/>
              <w:ind w:firstLine="120" w:firstLineChars="50"/>
              <w:jc w:val="left"/>
              <w:rPr>
                <w:rFonts w:hint="eastAsia" w:ascii="宋体"/>
                <w:sz w:val="24"/>
                <w:szCs w:val="24"/>
              </w:rPr>
            </w:pPr>
            <w:r>
              <w:rPr>
                <w:rFonts w:hint="eastAsia" w:ascii="宋体"/>
                <w:sz w:val="24"/>
                <w:szCs w:val="24"/>
              </w:rPr>
              <w:t xml:space="preserve"> 1</w:t>
            </w:r>
          </w:p>
        </w:tc>
        <w:tc>
          <w:tcPr>
            <w:tcW w:w="2661" w:type="dxa"/>
            <w:tcBorders>
              <w:top w:val="single" w:color="auto" w:sz="4" w:space="0"/>
              <w:left w:val="single" w:color="auto" w:sz="4" w:space="0"/>
              <w:bottom w:val="single" w:color="auto" w:sz="4" w:space="0"/>
              <w:right w:val="single" w:color="auto" w:sz="4" w:space="0"/>
            </w:tcBorders>
            <w:vAlign w:val="top"/>
          </w:tcPr>
          <w:p>
            <w:pPr>
              <w:widowControl/>
              <w:autoSpaceDN w:val="0"/>
              <w:spacing w:before="100" w:beforeAutospacing="1" w:after="100" w:afterAutospacing="1" w:line="500" w:lineRule="exact"/>
              <w:ind w:firstLine="480" w:firstLineChars="200"/>
              <w:jc w:val="left"/>
              <w:rPr>
                <w:rFonts w:hint="eastAsia" w:ascii="宋体"/>
                <w:sz w:val="24"/>
                <w:szCs w:val="24"/>
              </w:rPr>
            </w:pPr>
            <w:r>
              <w:rPr>
                <w:rFonts w:hint="eastAsia" w:ascii="宋体"/>
                <w:sz w:val="24"/>
                <w:szCs w:val="24"/>
              </w:rPr>
              <w:t>装修施工图</w:t>
            </w:r>
          </w:p>
        </w:tc>
        <w:tc>
          <w:tcPr>
            <w:tcW w:w="1764" w:type="dxa"/>
            <w:tcBorders>
              <w:top w:val="single" w:color="auto" w:sz="4" w:space="0"/>
              <w:left w:val="single" w:color="auto" w:sz="4" w:space="0"/>
              <w:bottom w:val="single" w:color="auto" w:sz="4" w:space="0"/>
              <w:right w:val="single" w:color="auto" w:sz="4" w:space="0"/>
            </w:tcBorders>
            <w:vAlign w:val="top"/>
          </w:tcPr>
          <w:p>
            <w:pPr>
              <w:widowControl/>
              <w:autoSpaceDN w:val="0"/>
              <w:spacing w:before="100" w:beforeAutospacing="1" w:after="100" w:afterAutospacing="1" w:line="500" w:lineRule="exact"/>
              <w:ind w:firstLine="600" w:firstLineChars="250"/>
              <w:jc w:val="left"/>
              <w:rPr>
                <w:rFonts w:hint="eastAsia" w:ascii="宋体"/>
                <w:sz w:val="24"/>
                <w:szCs w:val="24"/>
              </w:rPr>
            </w:pPr>
            <w:r>
              <w:rPr>
                <w:rFonts w:hint="eastAsia" w:ascii="宋体"/>
                <w:sz w:val="24"/>
                <w:szCs w:val="24"/>
              </w:rPr>
              <w:t>1份</w:t>
            </w:r>
          </w:p>
        </w:tc>
        <w:tc>
          <w:tcPr>
            <w:tcW w:w="2137" w:type="dxa"/>
            <w:tcBorders>
              <w:top w:val="single" w:color="auto" w:sz="4" w:space="0"/>
              <w:left w:val="single" w:color="auto" w:sz="4" w:space="0"/>
              <w:bottom w:val="single" w:color="auto" w:sz="4" w:space="0"/>
              <w:right w:val="single" w:color="auto" w:sz="4" w:space="0"/>
            </w:tcBorders>
            <w:vAlign w:val="top"/>
          </w:tcPr>
          <w:p>
            <w:pPr>
              <w:widowControl/>
              <w:autoSpaceDN w:val="0"/>
              <w:spacing w:before="100" w:beforeAutospacing="1" w:after="100" w:afterAutospacing="1" w:line="500" w:lineRule="exact"/>
              <w:jc w:val="left"/>
              <w:rPr>
                <w:rFonts w:hint="eastAsia" w:ascii="宋体"/>
                <w:szCs w:val="21"/>
              </w:rPr>
            </w:pPr>
            <w:r>
              <w:rPr>
                <w:rFonts w:hint="eastAsia" w:ascii="宋体"/>
                <w:szCs w:val="21"/>
              </w:rPr>
              <w:t>本合同生效后三天内</w:t>
            </w:r>
          </w:p>
        </w:tc>
        <w:tc>
          <w:tcPr>
            <w:tcW w:w="2123" w:type="dxa"/>
            <w:tcBorders>
              <w:top w:val="single" w:color="auto" w:sz="4" w:space="0"/>
              <w:left w:val="single" w:color="auto" w:sz="4" w:space="0"/>
              <w:bottom w:val="single" w:color="auto" w:sz="4" w:space="0"/>
              <w:right w:val="single" w:color="auto" w:sz="4" w:space="0"/>
            </w:tcBorders>
            <w:vAlign w:val="top"/>
          </w:tcPr>
          <w:p>
            <w:pPr>
              <w:widowControl/>
              <w:autoSpaceDN w:val="0"/>
              <w:spacing w:before="100" w:beforeAutospacing="1" w:after="100" w:afterAutospacing="1" w:line="500" w:lineRule="exact"/>
              <w:jc w:val="left"/>
              <w:rPr>
                <w:rFonts w:hint="eastAsia" w:ascii="宋体"/>
                <w:sz w:val="24"/>
                <w:szCs w:val="24"/>
              </w:rPr>
            </w:pPr>
            <w:r>
              <w:rPr>
                <w:rFonts w:hint="eastAsia" w:ascii="宋体"/>
                <w:sz w:val="24"/>
                <w:szCs w:val="24"/>
              </w:rPr>
              <w:t xml:space="preserve">  </w:t>
            </w:r>
          </w:p>
        </w:tc>
      </w:tr>
    </w:tbl>
    <w:p>
      <w:pPr>
        <w:autoSpaceDN w:val="0"/>
        <w:spacing w:line="360" w:lineRule="auto"/>
        <w:ind w:firstLine="499" w:firstLineChars="208"/>
        <w:rPr>
          <w:rFonts w:hint="eastAsia" w:ascii="宋体"/>
          <w:sz w:val="24"/>
          <w:szCs w:val="24"/>
        </w:rPr>
      </w:pPr>
      <w:r>
        <w:rPr>
          <w:rFonts w:hint="eastAsia" w:ascii="宋体"/>
          <w:sz w:val="24"/>
          <w:szCs w:val="24"/>
        </w:rPr>
        <w:t>七</w:t>
      </w:r>
      <w:r>
        <w:rPr>
          <w:rFonts w:hint="eastAsia" w:ascii="宋体"/>
          <w:b/>
          <w:bCs/>
          <w:sz w:val="24"/>
          <w:szCs w:val="24"/>
        </w:rPr>
        <w:t>、</w:t>
      </w:r>
      <w:r>
        <w:rPr>
          <w:rFonts w:hint="eastAsia" w:ascii="宋体"/>
          <w:sz w:val="24"/>
          <w:szCs w:val="24"/>
        </w:rPr>
        <w:t>乙方未能按合同约定工期如期竣工验收合格工程的，延迟5天（含5天）以内每延迟1天，乙方向甲方支付1000.00元/天（壹仟元）的违约金；延期超过5天以上的，每延迟1天乙方向甲方支付5000.00元/天（伍仟元）的违约金，同时甲方可自主决定</w:t>
      </w:r>
      <w:bookmarkStart w:id="0" w:name="_GoBack"/>
      <w:bookmarkEnd w:id="0"/>
      <w:r>
        <w:rPr>
          <w:rFonts w:hint="eastAsia" w:ascii="宋体"/>
          <w:sz w:val="24"/>
          <w:szCs w:val="24"/>
        </w:rPr>
        <w:t>解除合同，前期已完工程不再支付任何费用，乙方必须无条件自行退场。若因甲方原因造成工期延误，则工期相应顺延。</w:t>
      </w:r>
    </w:p>
    <w:p>
      <w:pPr>
        <w:tabs>
          <w:tab w:val="left" w:pos="900"/>
          <w:tab w:val="left" w:pos="1440"/>
        </w:tabs>
        <w:autoSpaceDN w:val="0"/>
        <w:spacing w:line="360" w:lineRule="auto"/>
        <w:ind w:left="105" w:leftChars="50" w:firstLine="384" w:firstLineChars="160"/>
        <w:rPr>
          <w:rFonts w:hint="eastAsia" w:ascii="宋体"/>
          <w:sz w:val="24"/>
          <w:szCs w:val="24"/>
        </w:rPr>
      </w:pPr>
      <w:r>
        <w:rPr>
          <w:rFonts w:hint="eastAsia" w:ascii="宋体"/>
          <w:sz w:val="24"/>
          <w:szCs w:val="24"/>
        </w:rPr>
        <w:t>八、若发生下列情况，甲方可解除合同：(1)施工过程中，乙方中途毁约，或任意中断工程；(2)乙方破产，倒闭。</w:t>
      </w:r>
    </w:p>
    <w:p>
      <w:pPr>
        <w:numPr>
          <w:numId w:val="0"/>
        </w:numPr>
        <w:tabs>
          <w:tab w:val="left" w:pos="0"/>
          <w:tab w:val="left" w:pos="900"/>
          <w:tab w:val="left" w:pos="1440"/>
        </w:tabs>
        <w:autoSpaceDN w:val="0"/>
        <w:adjustRightInd w:val="0"/>
        <w:snapToGrid w:val="0"/>
        <w:spacing w:line="360" w:lineRule="auto"/>
        <w:ind w:left="0" w:leftChars="210" w:firstLine="0" w:firstLineChars="0"/>
        <w:rPr>
          <w:rFonts w:hint="eastAsia" w:ascii="宋体"/>
          <w:sz w:val="24"/>
          <w:szCs w:val="24"/>
        </w:rPr>
      </w:pPr>
      <w:r>
        <w:rPr>
          <w:rFonts w:hint="eastAsia" w:ascii="宋体"/>
          <w:sz w:val="24"/>
          <w:szCs w:val="24"/>
          <w:lang w:eastAsia="zh-CN"/>
        </w:rPr>
        <w:t>九、</w:t>
      </w:r>
      <w:r>
        <w:rPr>
          <w:rFonts w:hint="eastAsia" w:ascii="宋体"/>
          <w:sz w:val="24"/>
          <w:szCs w:val="24"/>
        </w:rPr>
        <w:t>乙方项目负责人必须按时参加甲方或者监理组织的定期或者不定期的工地会议，并遵循会议上做出的决议；乙方需派驻现场专职安全员，负责监管现场安全文明施工。</w:t>
      </w:r>
    </w:p>
    <w:p>
      <w:pPr>
        <w:numPr>
          <w:numId w:val="0"/>
        </w:numPr>
        <w:tabs>
          <w:tab w:val="left" w:pos="0"/>
          <w:tab w:val="left" w:pos="900"/>
          <w:tab w:val="left" w:pos="1440"/>
        </w:tabs>
        <w:autoSpaceDN w:val="0"/>
        <w:adjustRightInd w:val="0"/>
        <w:snapToGrid w:val="0"/>
        <w:spacing w:line="360" w:lineRule="auto"/>
        <w:ind w:left="0" w:leftChars="210" w:firstLine="0" w:firstLineChars="0"/>
        <w:rPr>
          <w:rFonts w:hint="eastAsia" w:ascii="宋体"/>
          <w:sz w:val="24"/>
          <w:szCs w:val="24"/>
        </w:rPr>
      </w:pPr>
      <w:r>
        <w:rPr>
          <w:rFonts w:hint="eastAsia" w:ascii="宋体"/>
          <w:sz w:val="24"/>
          <w:szCs w:val="24"/>
          <w:lang w:eastAsia="zh-CN"/>
        </w:rPr>
        <w:t>十、</w:t>
      </w:r>
      <w:r>
        <w:rPr>
          <w:rFonts w:hint="eastAsia" w:ascii="宋体"/>
          <w:sz w:val="24"/>
          <w:szCs w:val="24"/>
        </w:rPr>
        <w:t>其他分包单位（外墙、消防、弱电、新风和空调等）要积极配合乙方施工，乙方负责相应的收口收边工作，收口收边的施工方案和工艺要经过甲方、监理认可方可施行。同时，做好安全文明施工工作，施工人员进出通道由甲方现场指定出入口，施工材料运输通道乙方根据现场情况，制定专项方案，经甲方、监理同意后实施；乙方应做好施工通道附近成品保护措施及卫生清扫工作。以上费用乙方已综合包含在合同固定总价内。</w:t>
      </w:r>
    </w:p>
    <w:p>
      <w:pPr>
        <w:numPr>
          <w:numId w:val="0"/>
        </w:numPr>
        <w:tabs>
          <w:tab w:val="left" w:pos="0"/>
          <w:tab w:val="left" w:pos="900"/>
          <w:tab w:val="left" w:pos="1440"/>
        </w:tabs>
        <w:autoSpaceDN w:val="0"/>
        <w:adjustRightInd w:val="0"/>
        <w:snapToGrid w:val="0"/>
        <w:spacing w:line="360" w:lineRule="auto"/>
        <w:ind w:left="0" w:leftChars="210" w:firstLine="0" w:firstLineChars="0"/>
        <w:rPr>
          <w:rFonts w:hint="eastAsia" w:ascii="宋体"/>
          <w:sz w:val="24"/>
          <w:szCs w:val="24"/>
        </w:rPr>
      </w:pPr>
      <w:r>
        <w:rPr>
          <w:rFonts w:hint="eastAsia" w:ascii="宋体"/>
          <w:sz w:val="24"/>
          <w:szCs w:val="24"/>
          <w:lang w:eastAsia="zh-CN"/>
        </w:rPr>
        <w:t>十一、</w:t>
      </w:r>
      <w:r>
        <w:rPr>
          <w:rFonts w:hint="eastAsia" w:ascii="宋体"/>
          <w:sz w:val="24"/>
          <w:szCs w:val="24"/>
        </w:rPr>
        <w:t>甲方提供一套施工图纸，竣工验收后20日内乙方向甲方移交两套竣工图纸和竣工资料；</w:t>
      </w:r>
    </w:p>
    <w:p>
      <w:pPr>
        <w:numPr>
          <w:numId w:val="0"/>
        </w:numPr>
        <w:tabs>
          <w:tab w:val="left" w:pos="0"/>
          <w:tab w:val="left" w:pos="900"/>
          <w:tab w:val="left" w:pos="1440"/>
        </w:tabs>
        <w:autoSpaceDN w:val="0"/>
        <w:adjustRightInd w:val="0"/>
        <w:snapToGrid w:val="0"/>
        <w:spacing w:line="360" w:lineRule="auto"/>
        <w:ind w:left="0" w:leftChars="210" w:firstLine="0" w:firstLineChars="0"/>
        <w:rPr>
          <w:rFonts w:hint="eastAsia" w:ascii="宋体"/>
          <w:sz w:val="24"/>
          <w:szCs w:val="24"/>
        </w:rPr>
      </w:pPr>
      <w:r>
        <w:rPr>
          <w:rFonts w:hint="eastAsia" w:ascii="宋体"/>
          <w:sz w:val="24"/>
          <w:szCs w:val="24"/>
          <w:lang w:eastAsia="zh-CN"/>
        </w:rPr>
        <w:t>十二、</w:t>
      </w:r>
      <w:r>
        <w:rPr>
          <w:rFonts w:hint="eastAsia" w:ascii="宋体"/>
          <w:sz w:val="24"/>
          <w:szCs w:val="24"/>
        </w:rPr>
        <w:t>招标文件、图纸、招标答疑作为合同不可缺少的附件；</w:t>
      </w:r>
    </w:p>
    <w:p>
      <w:pPr>
        <w:numPr>
          <w:numId w:val="0"/>
        </w:numPr>
        <w:tabs>
          <w:tab w:val="left" w:pos="0"/>
          <w:tab w:val="left" w:pos="900"/>
          <w:tab w:val="left" w:pos="1440"/>
        </w:tabs>
        <w:autoSpaceDN w:val="0"/>
        <w:adjustRightInd w:val="0"/>
        <w:snapToGrid w:val="0"/>
        <w:spacing w:line="360" w:lineRule="auto"/>
        <w:ind w:left="0" w:leftChars="210" w:firstLine="0" w:firstLineChars="0"/>
        <w:rPr>
          <w:rFonts w:hint="eastAsia" w:ascii="宋体"/>
          <w:sz w:val="24"/>
          <w:szCs w:val="24"/>
        </w:rPr>
      </w:pPr>
      <w:r>
        <w:rPr>
          <w:rFonts w:hint="eastAsia" w:ascii="宋体"/>
          <w:sz w:val="24"/>
          <w:szCs w:val="24"/>
          <w:lang w:eastAsia="zh-CN"/>
        </w:rPr>
        <w:t>十三、</w:t>
      </w:r>
      <w:r>
        <w:rPr>
          <w:rFonts w:hint="eastAsia" w:ascii="宋体"/>
          <w:sz w:val="24"/>
          <w:szCs w:val="24"/>
        </w:rPr>
        <w:t>乙方应提前12个工作日上报详细准确的材料需用计划、变更签证确认申请单等，甲方自收到乙方所报上述报表后12个工作日内给予确认。</w:t>
      </w:r>
    </w:p>
    <w:p>
      <w:pPr>
        <w:numPr>
          <w:numId w:val="0"/>
        </w:numPr>
        <w:tabs>
          <w:tab w:val="left" w:pos="0"/>
          <w:tab w:val="left" w:pos="900"/>
          <w:tab w:val="left" w:pos="1440"/>
        </w:tabs>
        <w:autoSpaceDN w:val="0"/>
        <w:adjustRightInd w:val="0"/>
        <w:snapToGrid w:val="0"/>
        <w:spacing w:line="360" w:lineRule="auto"/>
        <w:ind w:left="0" w:leftChars="210" w:firstLine="0" w:firstLineChars="0"/>
        <w:rPr>
          <w:rFonts w:hint="eastAsia" w:ascii="宋体"/>
          <w:sz w:val="24"/>
          <w:szCs w:val="24"/>
        </w:rPr>
      </w:pPr>
      <w:r>
        <w:rPr>
          <w:rFonts w:hint="eastAsia" w:ascii="宋体"/>
          <w:sz w:val="24"/>
          <w:szCs w:val="24"/>
          <w:lang w:eastAsia="zh-CN"/>
        </w:rPr>
        <w:t>十四、</w:t>
      </w:r>
      <w:r>
        <w:rPr>
          <w:rFonts w:hint="eastAsia" w:ascii="宋体"/>
          <w:sz w:val="24"/>
          <w:szCs w:val="24"/>
        </w:rPr>
        <w:t>若实施过程中产生纠纷双方协商解决，若协商不成时，双方约定由项目所在地人民法院裁判。</w:t>
      </w:r>
    </w:p>
    <w:p>
      <w:pPr>
        <w:numPr>
          <w:numId w:val="0"/>
        </w:numPr>
        <w:tabs>
          <w:tab w:val="left" w:pos="0"/>
          <w:tab w:val="left" w:pos="900"/>
          <w:tab w:val="left" w:pos="1440"/>
        </w:tabs>
        <w:autoSpaceDN w:val="0"/>
        <w:adjustRightInd w:val="0"/>
        <w:snapToGrid w:val="0"/>
        <w:spacing w:line="360" w:lineRule="auto"/>
        <w:ind w:left="0" w:leftChars="210" w:firstLine="0" w:firstLineChars="0"/>
        <w:rPr>
          <w:rFonts w:hint="eastAsia" w:ascii="宋体"/>
          <w:sz w:val="24"/>
          <w:szCs w:val="24"/>
        </w:rPr>
      </w:pPr>
      <w:r>
        <w:rPr>
          <w:rFonts w:hint="eastAsia" w:ascii="宋体"/>
          <w:sz w:val="24"/>
          <w:szCs w:val="24"/>
          <w:lang w:eastAsia="zh-CN"/>
        </w:rPr>
        <w:t>十五、</w:t>
      </w:r>
      <w:r>
        <w:rPr>
          <w:rFonts w:hint="eastAsia" w:ascii="宋体"/>
          <w:sz w:val="24"/>
          <w:szCs w:val="24"/>
        </w:rPr>
        <w:t>完工后，乙方提交甲方给符合洛阳市质量监督站要求的竣工资料、竣工图各叁套。</w:t>
      </w:r>
    </w:p>
    <w:p>
      <w:pPr>
        <w:pStyle w:val="7"/>
        <w:numPr>
          <w:ilvl w:val="4"/>
          <w:numId w:val="0"/>
        </w:numPr>
        <w:tabs>
          <w:tab w:val="left" w:pos="3600"/>
          <w:tab w:val="clear" w:pos="0"/>
        </w:tabs>
        <w:autoSpaceDN w:val="0"/>
        <w:snapToGrid w:val="0"/>
        <w:spacing w:before="0" w:after="0" w:line="500" w:lineRule="atLeast"/>
        <w:rPr>
          <w:rFonts w:hint="eastAsia" w:ascii="宋体"/>
          <w:sz w:val="24"/>
          <w:szCs w:val="24"/>
        </w:rPr>
      </w:pPr>
      <w:r>
        <w:rPr>
          <w:rFonts w:hint="eastAsia" w:ascii="宋体"/>
          <w:sz w:val="24"/>
          <w:szCs w:val="24"/>
        </w:rPr>
        <w:t>第十三条：合同生效</w:t>
      </w:r>
    </w:p>
    <w:p>
      <w:pPr>
        <w:tabs>
          <w:tab w:val="left" w:pos="1080"/>
        </w:tabs>
        <w:autoSpaceDN w:val="0"/>
        <w:adjustRightInd w:val="0"/>
        <w:snapToGrid w:val="0"/>
        <w:spacing w:line="500" w:lineRule="atLeast"/>
        <w:ind w:firstLine="384" w:firstLineChars="160"/>
        <w:rPr>
          <w:rFonts w:hint="eastAsia" w:ascii="宋体"/>
          <w:sz w:val="24"/>
          <w:szCs w:val="24"/>
        </w:rPr>
      </w:pPr>
      <w:r>
        <w:rPr>
          <w:rFonts w:hint="eastAsia" w:ascii="宋体"/>
          <w:sz w:val="24"/>
          <w:szCs w:val="24"/>
        </w:rPr>
        <w:t>一、本合同在双方盖章后生效。</w:t>
      </w:r>
    </w:p>
    <w:p>
      <w:pPr>
        <w:tabs>
          <w:tab w:val="left" w:pos="1080"/>
        </w:tabs>
        <w:autoSpaceDN w:val="0"/>
        <w:adjustRightInd w:val="0"/>
        <w:snapToGrid w:val="0"/>
        <w:spacing w:line="500" w:lineRule="atLeast"/>
        <w:ind w:firstLine="384" w:firstLineChars="160"/>
        <w:rPr>
          <w:rFonts w:hint="eastAsia" w:ascii="宋体"/>
          <w:sz w:val="24"/>
          <w:szCs w:val="24"/>
        </w:rPr>
      </w:pPr>
      <w:r>
        <w:rPr>
          <w:rFonts w:hint="eastAsia" w:ascii="宋体"/>
          <w:sz w:val="24"/>
          <w:szCs w:val="24"/>
        </w:rPr>
        <w:t>二、本合同文本壹式陆份，甲方执肆份，乙方执贰份，各份具同等法律效力。</w:t>
      </w:r>
    </w:p>
    <w:p>
      <w:pPr>
        <w:pStyle w:val="7"/>
        <w:numPr>
          <w:ilvl w:val="4"/>
          <w:numId w:val="0"/>
        </w:numPr>
        <w:tabs>
          <w:tab w:val="left" w:pos="3600"/>
          <w:tab w:val="clear" w:pos="0"/>
        </w:tabs>
        <w:autoSpaceDN w:val="0"/>
        <w:snapToGrid w:val="0"/>
        <w:spacing w:before="0" w:after="0" w:line="500" w:lineRule="atLeast"/>
        <w:rPr>
          <w:rFonts w:hint="eastAsia" w:ascii="宋体"/>
          <w:sz w:val="24"/>
          <w:szCs w:val="24"/>
        </w:rPr>
      </w:pPr>
      <w:r>
        <w:rPr>
          <w:rFonts w:hint="eastAsia" w:ascii="宋体"/>
          <w:sz w:val="24"/>
          <w:szCs w:val="24"/>
        </w:rPr>
        <w:t>第十四条：附件</w:t>
      </w:r>
    </w:p>
    <w:p>
      <w:pPr>
        <w:autoSpaceDN w:val="0"/>
        <w:ind w:firstLine="360" w:firstLineChars="150"/>
        <w:rPr>
          <w:rFonts w:hint="eastAsia" w:ascii="宋体"/>
          <w:sz w:val="24"/>
          <w:szCs w:val="24"/>
        </w:rPr>
      </w:pPr>
      <w:r>
        <w:rPr>
          <w:rFonts w:hint="eastAsia" w:ascii="宋体"/>
          <w:sz w:val="24"/>
          <w:szCs w:val="24"/>
        </w:rPr>
        <w:t>附表1：《固定合同总价汇总表》</w:t>
      </w:r>
    </w:p>
    <w:p>
      <w:pPr>
        <w:autoSpaceDN w:val="0"/>
        <w:adjustRightInd w:val="0"/>
        <w:snapToGrid w:val="0"/>
        <w:spacing w:line="500" w:lineRule="atLeast"/>
        <w:ind w:firstLine="0" w:firstLineChars="0"/>
        <w:rPr>
          <w:rFonts w:hint="eastAsia" w:ascii="宋体"/>
          <w:sz w:val="24"/>
          <w:szCs w:val="24"/>
        </w:rPr>
      </w:pPr>
    </w:p>
    <w:p>
      <w:pPr>
        <w:autoSpaceDN w:val="0"/>
        <w:adjustRightInd w:val="0"/>
        <w:snapToGrid w:val="0"/>
        <w:spacing w:line="500" w:lineRule="atLeast"/>
        <w:ind w:firstLine="384" w:firstLineChars="160"/>
        <w:rPr>
          <w:rFonts w:hint="eastAsia" w:ascii="宋体"/>
          <w:sz w:val="24"/>
          <w:szCs w:val="24"/>
        </w:rPr>
      </w:pPr>
      <w:r>
        <w:rPr>
          <w:rFonts w:hint="eastAsia" w:ascii="宋体"/>
          <w:sz w:val="24"/>
          <w:szCs w:val="24"/>
        </w:rPr>
        <w:t>附表</w:t>
      </w:r>
      <w:r>
        <w:rPr>
          <w:rFonts w:hint="eastAsia" w:ascii="宋体"/>
          <w:sz w:val="24"/>
          <w:szCs w:val="24"/>
          <w:lang w:val="en-US" w:eastAsia="zh-CN"/>
        </w:rPr>
        <w:t>2</w:t>
      </w:r>
      <w:r>
        <w:rPr>
          <w:rFonts w:hint="eastAsia" w:ascii="宋体"/>
          <w:sz w:val="24"/>
          <w:szCs w:val="24"/>
        </w:rPr>
        <w:t>：《工程量清单汇总表》。</w:t>
      </w:r>
    </w:p>
    <w:p>
      <w:pPr>
        <w:autoSpaceDN w:val="0"/>
        <w:snapToGrid w:val="0"/>
        <w:spacing w:line="500" w:lineRule="exact"/>
        <w:rPr>
          <w:rFonts w:hint="eastAsia" w:ascii="宋体"/>
          <w:b/>
          <w:bCs/>
          <w:sz w:val="24"/>
          <w:szCs w:val="24"/>
        </w:rPr>
      </w:pPr>
    </w:p>
    <w:p>
      <w:pPr>
        <w:autoSpaceDN w:val="0"/>
        <w:snapToGrid w:val="0"/>
        <w:spacing w:line="500" w:lineRule="exact"/>
        <w:rPr>
          <w:rFonts w:hint="eastAsia" w:ascii="宋体"/>
          <w:b w:val="0"/>
          <w:bCs w:val="0"/>
          <w:sz w:val="24"/>
          <w:szCs w:val="24"/>
        </w:rPr>
      </w:pPr>
      <w:r>
        <w:rPr>
          <w:rFonts w:hint="eastAsia"/>
          <w:bCs/>
          <w:sz w:val="24"/>
          <w:szCs w:val="24"/>
          <w:lang w:val="en-US" w:eastAsia="zh-CN"/>
        </w:rPr>
        <w:t xml:space="preserve">   </w:t>
      </w:r>
      <w:r>
        <w:rPr>
          <w:rFonts w:hint="eastAsia"/>
          <w:bCs/>
          <w:sz w:val="24"/>
          <w:szCs w:val="24"/>
        </w:rPr>
        <w:t>甲方（盖章）：洛阳</w:t>
      </w:r>
      <w:r>
        <w:rPr>
          <w:bCs/>
          <w:sz w:val="24"/>
          <w:szCs w:val="24"/>
        </w:rPr>
        <w:t>浩德鑫置地</w:t>
      </w:r>
      <w:r>
        <w:rPr>
          <w:rFonts w:hint="eastAsia"/>
          <w:bCs/>
          <w:sz w:val="24"/>
          <w:szCs w:val="24"/>
        </w:rPr>
        <w:t xml:space="preserve">      </w:t>
      </w:r>
      <w:r>
        <w:rPr>
          <w:bCs/>
          <w:sz w:val="24"/>
          <w:szCs w:val="24"/>
        </w:rPr>
        <w:t xml:space="preserve">   </w:t>
      </w:r>
      <w:r>
        <w:rPr>
          <w:rFonts w:hint="eastAsia"/>
          <w:bCs/>
          <w:sz w:val="24"/>
          <w:szCs w:val="24"/>
        </w:rPr>
        <w:t xml:space="preserve">  乙方（盖章）：</w:t>
      </w:r>
      <w:r>
        <w:rPr>
          <w:rFonts w:hint="eastAsia" w:ascii="宋体"/>
          <w:b w:val="0"/>
          <w:bCs w:val="0"/>
          <w:kern w:val="24"/>
          <w:sz w:val="24"/>
          <w:szCs w:val="24"/>
        </w:rPr>
        <w:t>河南囯基装饰工程有限</w:t>
      </w:r>
      <w:r>
        <w:rPr>
          <w:rFonts w:hint="eastAsia" w:ascii="宋体"/>
          <w:b w:val="0"/>
          <w:bCs w:val="0"/>
          <w:kern w:val="24"/>
          <w:sz w:val="24"/>
          <w:szCs w:val="24"/>
          <w:lang w:val="en-US" w:eastAsia="zh-CN"/>
        </w:rPr>
        <w:t xml:space="preserve">                                                                   </w:t>
      </w:r>
      <w:r>
        <w:rPr>
          <w:rFonts w:hint="eastAsia" w:ascii="宋体"/>
          <w:b w:val="0"/>
          <w:bCs w:val="0"/>
          <w:sz w:val="24"/>
          <w:szCs w:val="24"/>
        </w:rPr>
        <w:t xml:space="preserve">   </w:t>
      </w:r>
    </w:p>
    <w:p>
      <w:pPr>
        <w:tabs>
          <w:tab w:val="left" w:pos="1080"/>
        </w:tabs>
        <w:autoSpaceDN w:val="0"/>
        <w:snapToGrid w:val="0"/>
        <w:spacing w:line="500" w:lineRule="exact"/>
        <w:ind w:firstLine="470" w:firstLineChars="196"/>
        <w:rPr>
          <w:rFonts w:hint="eastAsia" w:ascii="宋体" w:eastAsia="宋体"/>
          <w:bCs/>
          <w:sz w:val="24"/>
          <w:szCs w:val="24"/>
          <w:lang w:eastAsia="zh-CN"/>
        </w:rPr>
      </w:pPr>
      <w:r>
        <w:rPr>
          <w:rFonts w:hint="eastAsia" w:ascii="宋体"/>
          <w:bCs/>
          <w:sz w:val="24"/>
          <w:szCs w:val="24"/>
          <w:lang w:val="en-US" w:eastAsia="zh-CN"/>
        </w:rPr>
        <w:t xml:space="preserve">             </w:t>
      </w:r>
      <w:r>
        <w:rPr>
          <w:rFonts w:hint="eastAsia" w:ascii="宋体"/>
          <w:bCs/>
          <w:sz w:val="24"/>
          <w:szCs w:val="24"/>
          <w:lang w:eastAsia="zh-CN"/>
        </w:rPr>
        <w:t>有限公司</w:t>
      </w:r>
      <w:r>
        <w:rPr>
          <w:rFonts w:hint="eastAsia" w:ascii="宋体"/>
          <w:bCs/>
          <w:sz w:val="24"/>
          <w:szCs w:val="24"/>
          <w:lang w:val="en-US" w:eastAsia="zh-CN"/>
        </w:rPr>
        <w:t xml:space="preserve">                                </w:t>
      </w:r>
      <w:r>
        <w:rPr>
          <w:rFonts w:hint="eastAsia" w:ascii="宋体"/>
          <w:bCs/>
          <w:sz w:val="24"/>
          <w:szCs w:val="24"/>
          <w:lang w:eastAsia="zh-CN"/>
        </w:rPr>
        <w:t>公司</w:t>
      </w:r>
    </w:p>
    <w:p>
      <w:pPr>
        <w:tabs>
          <w:tab w:val="left" w:pos="1080"/>
        </w:tabs>
        <w:autoSpaceDN w:val="0"/>
        <w:snapToGrid w:val="0"/>
        <w:spacing w:line="500" w:lineRule="exact"/>
        <w:ind w:firstLine="470" w:firstLineChars="196"/>
        <w:rPr>
          <w:rFonts w:hint="eastAsia" w:ascii="宋体"/>
          <w:bCs/>
          <w:sz w:val="24"/>
          <w:szCs w:val="24"/>
        </w:rPr>
      </w:pPr>
    </w:p>
    <w:p>
      <w:pPr>
        <w:tabs>
          <w:tab w:val="left" w:pos="1080"/>
        </w:tabs>
        <w:autoSpaceDN w:val="0"/>
        <w:snapToGrid w:val="0"/>
        <w:spacing w:line="500" w:lineRule="exact"/>
        <w:ind w:firstLine="470" w:firstLineChars="196"/>
        <w:rPr>
          <w:rFonts w:hint="eastAsia" w:ascii="宋体"/>
          <w:bCs/>
          <w:sz w:val="24"/>
          <w:szCs w:val="24"/>
        </w:rPr>
      </w:pPr>
      <w:r>
        <w:rPr>
          <w:rFonts w:hint="eastAsia" w:ascii="宋体"/>
          <w:bCs/>
          <w:sz w:val="24"/>
          <w:szCs w:val="24"/>
        </w:rPr>
        <w:t xml:space="preserve">                           </w:t>
      </w:r>
    </w:p>
    <w:p>
      <w:pPr>
        <w:tabs>
          <w:tab w:val="left" w:pos="1080"/>
        </w:tabs>
        <w:autoSpaceDN w:val="0"/>
        <w:snapToGrid w:val="0"/>
        <w:spacing w:line="500" w:lineRule="exact"/>
        <w:ind w:firstLine="470" w:firstLineChars="196"/>
        <w:rPr>
          <w:rFonts w:hint="eastAsia" w:ascii="宋体"/>
          <w:bCs/>
          <w:sz w:val="24"/>
          <w:szCs w:val="24"/>
        </w:rPr>
      </w:pPr>
      <w:r>
        <w:rPr>
          <w:rFonts w:hint="eastAsia" w:ascii="宋体"/>
          <w:bCs/>
          <w:sz w:val="24"/>
          <w:szCs w:val="24"/>
        </w:rPr>
        <w:t xml:space="preserve">委托人：                                委托人： </w:t>
      </w:r>
    </w:p>
    <w:p>
      <w:pPr>
        <w:tabs>
          <w:tab w:val="left" w:pos="1080"/>
        </w:tabs>
        <w:autoSpaceDN w:val="0"/>
        <w:snapToGrid w:val="0"/>
        <w:spacing w:line="500" w:lineRule="exact"/>
        <w:ind w:firstLine="470" w:firstLineChars="196"/>
        <w:rPr>
          <w:rFonts w:hint="eastAsia" w:ascii="宋体"/>
          <w:bCs/>
          <w:sz w:val="24"/>
          <w:szCs w:val="24"/>
        </w:rPr>
      </w:pPr>
    </w:p>
    <w:p>
      <w:pPr>
        <w:tabs>
          <w:tab w:val="left" w:pos="1080"/>
        </w:tabs>
        <w:autoSpaceDN w:val="0"/>
        <w:snapToGrid w:val="0"/>
        <w:spacing w:line="500" w:lineRule="exact"/>
        <w:ind w:firstLine="470" w:firstLineChars="196"/>
        <w:rPr>
          <w:rFonts w:hint="eastAsia" w:ascii="宋体"/>
          <w:bCs/>
          <w:sz w:val="24"/>
          <w:szCs w:val="24"/>
        </w:rPr>
      </w:pPr>
      <w:r>
        <w:rPr>
          <w:rFonts w:hint="eastAsia" w:ascii="宋体"/>
          <w:bCs/>
          <w:sz w:val="24"/>
          <w:szCs w:val="24"/>
        </w:rPr>
        <w:t>开户行：交行洛阳分行西苑支行            开户行：</w:t>
      </w:r>
    </w:p>
    <w:p>
      <w:pPr>
        <w:tabs>
          <w:tab w:val="left" w:pos="1080"/>
        </w:tabs>
        <w:autoSpaceDN w:val="0"/>
        <w:snapToGrid w:val="0"/>
        <w:spacing w:line="500" w:lineRule="exact"/>
        <w:ind w:firstLine="470" w:firstLineChars="196"/>
        <w:rPr>
          <w:rFonts w:hint="eastAsia" w:ascii="宋体"/>
          <w:bCs/>
          <w:sz w:val="24"/>
          <w:szCs w:val="24"/>
        </w:rPr>
      </w:pPr>
    </w:p>
    <w:p>
      <w:pPr>
        <w:tabs>
          <w:tab w:val="left" w:pos="1080"/>
        </w:tabs>
        <w:autoSpaceDN w:val="0"/>
        <w:snapToGrid w:val="0"/>
        <w:spacing w:line="500" w:lineRule="exact"/>
        <w:ind w:firstLine="470" w:firstLineChars="196"/>
        <w:rPr>
          <w:rFonts w:hint="eastAsia" w:ascii="宋体"/>
          <w:bCs/>
          <w:sz w:val="24"/>
          <w:szCs w:val="24"/>
        </w:rPr>
      </w:pPr>
      <w:r>
        <w:rPr>
          <w:rFonts w:hint="eastAsia" w:ascii="宋体"/>
          <w:bCs/>
          <w:sz w:val="24"/>
          <w:szCs w:val="24"/>
        </w:rPr>
        <w:t>账  号：413062200018170292470          账  号：</w:t>
      </w:r>
    </w:p>
    <w:p>
      <w:pPr>
        <w:tabs>
          <w:tab w:val="left" w:pos="1080"/>
        </w:tabs>
        <w:autoSpaceDN w:val="0"/>
        <w:snapToGrid w:val="0"/>
        <w:spacing w:line="500" w:lineRule="exact"/>
        <w:ind w:firstLine="470" w:firstLineChars="196"/>
        <w:rPr>
          <w:rFonts w:hint="eastAsia" w:ascii="宋体"/>
          <w:bCs/>
          <w:sz w:val="24"/>
          <w:szCs w:val="24"/>
        </w:rPr>
      </w:pPr>
    </w:p>
    <w:p>
      <w:pPr>
        <w:tabs>
          <w:tab w:val="left" w:pos="1080"/>
        </w:tabs>
        <w:autoSpaceDN w:val="0"/>
        <w:snapToGrid w:val="0"/>
        <w:spacing w:line="500" w:lineRule="exact"/>
        <w:ind w:firstLine="470" w:firstLineChars="196"/>
        <w:rPr>
          <w:rFonts w:hint="eastAsia" w:ascii="宋体"/>
          <w:bCs/>
          <w:sz w:val="24"/>
          <w:szCs w:val="24"/>
        </w:rPr>
      </w:pPr>
      <w:r>
        <w:rPr>
          <w:rFonts w:hint="eastAsia" w:ascii="宋体"/>
          <w:bCs/>
          <w:sz w:val="24"/>
          <w:szCs w:val="24"/>
        </w:rPr>
        <w:t>电  话：                               电  话：</w:t>
      </w:r>
    </w:p>
    <w:p>
      <w:pPr>
        <w:tabs>
          <w:tab w:val="left" w:pos="1080"/>
        </w:tabs>
        <w:autoSpaceDN w:val="0"/>
        <w:snapToGrid w:val="0"/>
        <w:spacing w:line="500" w:lineRule="exact"/>
        <w:rPr>
          <w:rFonts w:hint="eastAsia" w:ascii="宋体"/>
          <w:bCs/>
          <w:sz w:val="24"/>
          <w:szCs w:val="24"/>
        </w:rPr>
      </w:pPr>
    </w:p>
    <w:p>
      <w:pPr>
        <w:tabs>
          <w:tab w:val="left" w:pos="1080"/>
        </w:tabs>
        <w:autoSpaceDN w:val="0"/>
        <w:snapToGrid w:val="0"/>
        <w:spacing w:line="500" w:lineRule="exact"/>
        <w:ind w:firstLine="470" w:firstLineChars="196"/>
        <w:rPr>
          <w:rFonts w:hint="eastAsia" w:ascii="宋体"/>
          <w:bCs/>
          <w:sz w:val="24"/>
          <w:szCs w:val="24"/>
        </w:rPr>
      </w:pPr>
      <w:r>
        <w:rPr>
          <w:rFonts w:hint="eastAsia" w:ascii="宋体"/>
          <w:bCs/>
          <w:sz w:val="24"/>
          <w:szCs w:val="24"/>
        </w:rPr>
        <w:t>地  址：洛阳市洛龙区开元壹号</w:t>
      </w:r>
    </w:p>
    <w:p>
      <w:pPr>
        <w:tabs>
          <w:tab w:val="left" w:pos="1080"/>
        </w:tabs>
        <w:autoSpaceDN w:val="0"/>
        <w:snapToGrid w:val="0"/>
        <w:spacing w:line="500" w:lineRule="exact"/>
        <w:ind w:firstLine="961" w:firstLineChars="399"/>
        <w:rPr>
          <w:rFonts w:hint="eastAsia" w:ascii="宋体"/>
          <w:b/>
          <w:bCs/>
          <w:sz w:val="24"/>
          <w:szCs w:val="24"/>
        </w:rPr>
      </w:pPr>
      <w:r>
        <w:rPr>
          <w:rFonts w:hint="eastAsia" w:ascii="宋体"/>
          <w:b/>
          <w:bCs/>
          <w:sz w:val="24"/>
          <w:szCs w:val="24"/>
        </w:rPr>
        <w:t xml:space="preserve">                                     </w:t>
      </w:r>
    </w:p>
    <w:p>
      <w:pPr>
        <w:autoSpaceDN w:val="0"/>
        <w:spacing w:line="440" w:lineRule="exact"/>
        <w:ind w:left="1319" w:leftChars="169" w:hanging="964" w:hangingChars="400"/>
        <w:rPr>
          <w:rFonts w:hint="eastAsia" w:ascii="宋体"/>
          <w:b/>
          <w:bCs/>
          <w:sz w:val="24"/>
          <w:szCs w:val="24"/>
        </w:rPr>
      </w:pPr>
    </w:p>
    <w:p>
      <w:pPr>
        <w:tabs>
          <w:tab w:val="left" w:pos="1080"/>
        </w:tabs>
        <w:autoSpaceDN w:val="0"/>
        <w:snapToGrid w:val="0"/>
        <w:spacing w:line="500" w:lineRule="exact"/>
        <w:rPr>
          <w:rFonts w:hint="eastAsia" w:ascii="宋体"/>
          <w:b/>
          <w:bCs/>
          <w:sz w:val="24"/>
          <w:szCs w:val="24"/>
        </w:rPr>
      </w:pPr>
    </w:p>
    <w:p>
      <w:pPr>
        <w:tabs>
          <w:tab w:val="left" w:pos="1080"/>
        </w:tabs>
        <w:autoSpaceDN w:val="0"/>
        <w:snapToGrid w:val="0"/>
        <w:spacing w:line="500" w:lineRule="exact"/>
        <w:jc w:val="center"/>
        <w:rPr>
          <w:rFonts w:hint="eastAsia" w:ascii="宋体"/>
          <w:b/>
          <w:bCs/>
          <w:sz w:val="24"/>
          <w:szCs w:val="24"/>
        </w:rPr>
      </w:pPr>
      <w:r>
        <w:rPr>
          <w:rFonts w:hint="eastAsia" w:ascii="宋体"/>
          <w:b/>
          <w:bCs/>
          <w:sz w:val="24"/>
          <w:szCs w:val="24"/>
        </w:rPr>
        <w:t xml:space="preserve">签约日期：     年   月   日           </w:t>
      </w:r>
    </w:p>
    <w:p>
      <w:pPr>
        <w:widowControl/>
        <w:jc w:val="left"/>
        <w:rPr>
          <w:rFonts w:hint="eastAsia" w:ascii="宋体" w:cs="宋体"/>
          <w:kern w:val="0"/>
          <w:sz w:val="24"/>
          <w:szCs w:val="24"/>
        </w:rPr>
        <w:sectPr>
          <w:pgSz w:w="12240" w:h="15840"/>
          <w:pgMar w:top="1440" w:right="1800" w:bottom="1440" w:left="1800" w:header="720" w:footer="720" w:gutter="0"/>
          <w:cols w:space="720" w:num="1"/>
          <w:docGrid w:type="linesAndChars" w:linePitch="285" w:charSpace="-3486"/>
        </w:sectPr>
      </w:pPr>
    </w:p>
    <w:p>
      <w:pPr>
        <w:tabs>
          <w:tab w:val="left" w:pos="5145"/>
        </w:tabs>
        <w:autoSpaceDN w:val="0"/>
        <w:spacing w:after="120" w:afterLines="50"/>
        <w:rPr>
          <w:rFonts w:hint="eastAsia" w:ascii="宋体"/>
          <w:sz w:val="24"/>
          <w:szCs w:val="24"/>
        </w:rPr>
      </w:pPr>
    </w:p>
    <w:tbl>
      <w:tblPr>
        <w:tblStyle w:val="46"/>
        <w:tblW w:w="10221" w:type="dxa"/>
        <w:tblInd w:w="-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5"/>
        <w:gridCol w:w="3130"/>
        <w:gridCol w:w="2734"/>
        <w:gridCol w:w="3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trPr>
        <w:tc>
          <w:tcPr>
            <w:tcW w:w="10221" w:type="dxa"/>
            <w:gridSpan w:val="4"/>
            <w:tcBorders>
              <w:top w:val="nil"/>
              <w:left w:val="nil"/>
              <w:bottom w:val="nil"/>
              <w:right w:val="nil"/>
            </w:tcBorders>
            <w:vAlign w:val="bottom"/>
          </w:tcPr>
          <w:p>
            <w:pPr>
              <w:tabs>
                <w:tab w:val="left" w:pos="5145"/>
              </w:tabs>
              <w:autoSpaceDN w:val="0"/>
              <w:spacing w:after="120" w:afterLines="50"/>
              <w:rPr>
                <w:rFonts w:hint="eastAsia" w:ascii="宋体" w:cs="宋体"/>
                <w:b/>
                <w:bCs/>
                <w:kern w:val="0"/>
                <w:sz w:val="44"/>
                <w:szCs w:val="44"/>
              </w:rPr>
            </w:pPr>
            <w:r>
              <w:rPr>
                <w:rFonts w:hint="eastAsia" w:ascii="宋体"/>
                <w:b/>
                <w:bCs/>
                <w:sz w:val="44"/>
                <w:szCs w:val="44"/>
              </w:rPr>
              <w:t xml:space="preserve">附表1：       </w:t>
            </w:r>
            <w:r>
              <w:rPr>
                <w:rFonts w:hint="eastAsia" w:ascii="宋体" w:cs="宋体"/>
                <w:b/>
                <w:bCs/>
                <w:kern w:val="0"/>
                <w:sz w:val="44"/>
                <w:szCs w:val="44"/>
              </w:rPr>
              <w:t>固定合同总价汇总表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815" w:type="dxa"/>
            <w:tcBorders>
              <w:top w:val="nil"/>
              <w:left w:val="nil"/>
              <w:bottom w:val="nil"/>
              <w:right w:val="nil"/>
            </w:tcBorders>
            <w:shd w:val="clear" w:color="auto" w:fill="FFFFFF"/>
            <w:vAlign w:val="bottom"/>
          </w:tcPr>
          <w:p>
            <w:pPr>
              <w:widowControl/>
              <w:autoSpaceDN w:val="0"/>
              <w:jc w:val="center"/>
              <w:rPr>
                <w:rFonts w:hint="eastAsia" w:ascii="宋体" w:cs="宋体"/>
                <w:kern w:val="0"/>
                <w:sz w:val="40"/>
                <w:szCs w:val="40"/>
              </w:rPr>
            </w:pPr>
            <w:r>
              <w:rPr>
                <w:rFonts w:hint="eastAsia" w:ascii="宋体" w:cs="宋体"/>
                <w:kern w:val="0"/>
                <w:sz w:val="40"/>
                <w:szCs w:val="40"/>
              </w:rPr>
              <w:t>　</w:t>
            </w:r>
          </w:p>
        </w:tc>
        <w:tc>
          <w:tcPr>
            <w:tcW w:w="3130" w:type="dxa"/>
            <w:tcBorders>
              <w:top w:val="nil"/>
              <w:left w:val="nil"/>
              <w:bottom w:val="nil"/>
              <w:right w:val="nil"/>
            </w:tcBorders>
            <w:shd w:val="clear" w:color="auto" w:fill="FFFFFF"/>
            <w:vAlign w:val="bottom"/>
          </w:tcPr>
          <w:p>
            <w:pPr>
              <w:widowControl/>
              <w:autoSpaceDN w:val="0"/>
              <w:jc w:val="center"/>
              <w:rPr>
                <w:rFonts w:hint="eastAsia" w:ascii="宋体" w:cs="宋体"/>
                <w:kern w:val="0"/>
                <w:sz w:val="40"/>
                <w:szCs w:val="40"/>
              </w:rPr>
            </w:pPr>
            <w:r>
              <w:rPr>
                <w:rFonts w:hint="eastAsia" w:ascii="宋体" w:cs="宋体"/>
                <w:kern w:val="0"/>
                <w:sz w:val="40"/>
                <w:szCs w:val="40"/>
              </w:rPr>
              <w:t>　</w:t>
            </w:r>
          </w:p>
        </w:tc>
        <w:tc>
          <w:tcPr>
            <w:tcW w:w="2734" w:type="dxa"/>
            <w:tcBorders>
              <w:top w:val="nil"/>
              <w:left w:val="nil"/>
              <w:bottom w:val="nil"/>
              <w:right w:val="nil"/>
            </w:tcBorders>
            <w:shd w:val="clear" w:color="auto" w:fill="FFFFFF"/>
            <w:vAlign w:val="bottom"/>
          </w:tcPr>
          <w:p>
            <w:pPr>
              <w:widowControl/>
              <w:autoSpaceDN w:val="0"/>
              <w:jc w:val="center"/>
              <w:rPr>
                <w:rFonts w:hint="eastAsia" w:ascii="宋体" w:cs="宋体"/>
                <w:kern w:val="0"/>
                <w:sz w:val="40"/>
                <w:szCs w:val="40"/>
              </w:rPr>
            </w:pPr>
            <w:r>
              <w:rPr>
                <w:rFonts w:hint="eastAsia" w:ascii="宋体" w:cs="宋体"/>
                <w:kern w:val="0"/>
                <w:sz w:val="40"/>
                <w:szCs w:val="40"/>
              </w:rPr>
              <w:t>　</w:t>
            </w:r>
          </w:p>
        </w:tc>
        <w:tc>
          <w:tcPr>
            <w:tcW w:w="3542" w:type="dxa"/>
            <w:tcBorders>
              <w:top w:val="nil"/>
              <w:left w:val="nil"/>
              <w:bottom w:val="nil"/>
              <w:right w:val="nil"/>
            </w:tcBorders>
            <w:shd w:val="clear" w:color="auto" w:fill="FFFFFF"/>
            <w:vAlign w:val="bottom"/>
          </w:tcPr>
          <w:p>
            <w:pPr>
              <w:widowControl/>
              <w:autoSpaceDN w:val="0"/>
              <w:jc w:val="center"/>
              <w:rPr>
                <w:rFonts w:hint="eastAsia" w:ascii="宋体" w:cs="宋体"/>
                <w:kern w:val="0"/>
                <w:sz w:val="40"/>
                <w:szCs w:val="40"/>
              </w:rPr>
            </w:pPr>
            <w:r>
              <w:rPr>
                <w:rFonts w:hint="eastAsia" w:ascii="宋体" w:cs="宋体"/>
                <w:kern w:val="0"/>
                <w:sz w:val="40"/>
                <w:szCs w:val="4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8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utoSpaceDN w:val="0"/>
              <w:jc w:val="center"/>
              <w:rPr>
                <w:rFonts w:hint="eastAsia" w:ascii="宋体" w:cs="宋体"/>
                <w:kern w:val="0"/>
                <w:sz w:val="24"/>
                <w:szCs w:val="24"/>
              </w:rPr>
            </w:pPr>
            <w:r>
              <w:rPr>
                <w:rFonts w:hint="eastAsia" w:ascii="宋体" w:cs="宋体"/>
                <w:kern w:val="0"/>
                <w:sz w:val="24"/>
                <w:szCs w:val="24"/>
              </w:rPr>
              <w:t>序号</w:t>
            </w:r>
          </w:p>
        </w:tc>
        <w:tc>
          <w:tcPr>
            <w:tcW w:w="3130" w:type="dxa"/>
            <w:tcBorders>
              <w:top w:val="single" w:color="auto" w:sz="4" w:space="0"/>
              <w:left w:val="nil"/>
              <w:bottom w:val="single" w:color="auto" w:sz="4" w:space="0"/>
              <w:right w:val="single" w:color="auto" w:sz="4" w:space="0"/>
            </w:tcBorders>
            <w:shd w:val="clear" w:color="auto" w:fill="FFFFFF"/>
            <w:vAlign w:val="center"/>
          </w:tcPr>
          <w:p>
            <w:pPr>
              <w:widowControl/>
              <w:autoSpaceDN w:val="0"/>
              <w:jc w:val="center"/>
              <w:rPr>
                <w:rFonts w:hint="eastAsia" w:ascii="宋体" w:cs="宋体"/>
                <w:kern w:val="0"/>
                <w:sz w:val="24"/>
                <w:szCs w:val="24"/>
              </w:rPr>
            </w:pPr>
            <w:r>
              <w:rPr>
                <w:rFonts w:hint="eastAsia" w:ascii="宋体" w:cs="宋体"/>
                <w:kern w:val="0"/>
                <w:sz w:val="24"/>
                <w:szCs w:val="24"/>
              </w:rPr>
              <w:t>施工项目</w:t>
            </w:r>
          </w:p>
        </w:tc>
        <w:tc>
          <w:tcPr>
            <w:tcW w:w="2734" w:type="dxa"/>
            <w:tcBorders>
              <w:top w:val="single" w:color="auto" w:sz="4" w:space="0"/>
              <w:left w:val="nil"/>
              <w:bottom w:val="single" w:color="auto" w:sz="4" w:space="0"/>
              <w:right w:val="single" w:color="auto" w:sz="4" w:space="0"/>
            </w:tcBorders>
            <w:shd w:val="clear" w:color="auto" w:fill="FFFFFF"/>
            <w:vAlign w:val="center"/>
          </w:tcPr>
          <w:p>
            <w:pPr>
              <w:widowControl/>
              <w:autoSpaceDN w:val="0"/>
              <w:jc w:val="center"/>
              <w:rPr>
                <w:rFonts w:hint="eastAsia" w:ascii="宋体" w:cs="宋体"/>
                <w:kern w:val="0"/>
                <w:sz w:val="24"/>
                <w:szCs w:val="24"/>
              </w:rPr>
            </w:pPr>
            <w:r>
              <w:rPr>
                <w:rFonts w:hint="eastAsia" w:ascii="宋体" w:cs="宋体"/>
                <w:kern w:val="0"/>
                <w:sz w:val="24"/>
                <w:szCs w:val="24"/>
              </w:rPr>
              <w:t>合同价款（元）</w:t>
            </w:r>
          </w:p>
        </w:tc>
        <w:tc>
          <w:tcPr>
            <w:tcW w:w="3542" w:type="dxa"/>
            <w:tcBorders>
              <w:top w:val="single" w:color="auto" w:sz="4" w:space="0"/>
              <w:left w:val="nil"/>
              <w:bottom w:val="single" w:color="auto" w:sz="4" w:space="0"/>
              <w:right w:val="single" w:color="auto" w:sz="4" w:space="0"/>
            </w:tcBorders>
            <w:shd w:val="clear" w:color="auto" w:fill="FFFFFF"/>
            <w:vAlign w:val="center"/>
          </w:tcPr>
          <w:p>
            <w:pPr>
              <w:widowControl/>
              <w:autoSpaceDN w:val="0"/>
              <w:jc w:val="center"/>
              <w:rPr>
                <w:rFonts w:hint="eastAsia" w:ascii="宋体" w:cs="宋体"/>
                <w:kern w:val="0"/>
                <w:sz w:val="24"/>
                <w:szCs w:val="24"/>
              </w:rPr>
            </w:pPr>
            <w:r>
              <w:rPr>
                <w:rFonts w:hint="eastAsia" w:ascii="宋体" w:cs="宋体"/>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5" w:hRule="atLeast"/>
        </w:trPr>
        <w:tc>
          <w:tcPr>
            <w:tcW w:w="815" w:type="dxa"/>
            <w:tcBorders>
              <w:top w:val="nil"/>
              <w:left w:val="single" w:color="auto" w:sz="4" w:space="0"/>
              <w:bottom w:val="single" w:color="auto" w:sz="4" w:space="0"/>
              <w:right w:val="single" w:color="auto" w:sz="4" w:space="0"/>
            </w:tcBorders>
            <w:shd w:val="clear" w:color="auto" w:fill="FFFFFF"/>
            <w:vAlign w:val="center"/>
          </w:tcPr>
          <w:p>
            <w:pPr>
              <w:widowControl/>
              <w:autoSpaceDN w:val="0"/>
              <w:jc w:val="center"/>
              <w:rPr>
                <w:rFonts w:hint="eastAsia" w:ascii="宋体" w:cs="宋体"/>
                <w:kern w:val="0"/>
                <w:sz w:val="24"/>
                <w:szCs w:val="24"/>
              </w:rPr>
            </w:pPr>
            <w:r>
              <w:rPr>
                <w:rFonts w:hint="eastAsia" w:ascii="宋体" w:cs="宋体"/>
                <w:kern w:val="0"/>
                <w:sz w:val="24"/>
                <w:szCs w:val="24"/>
              </w:rPr>
              <w:t>1</w:t>
            </w:r>
          </w:p>
        </w:tc>
        <w:tc>
          <w:tcPr>
            <w:tcW w:w="3130" w:type="dxa"/>
            <w:tcBorders>
              <w:top w:val="nil"/>
              <w:left w:val="nil"/>
              <w:bottom w:val="single" w:color="auto" w:sz="4" w:space="0"/>
              <w:right w:val="single" w:color="auto" w:sz="4" w:space="0"/>
            </w:tcBorders>
            <w:shd w:val="clear" w:color="auto" w:fill="FFFFFF"/>
            <w:vAlign w:val="center"/>
          </w:tcPr>
          <w:p>
            <w:pPr>
              <w:widowControl/>
              <w:autoSpaceDN w:val="0"/>
              <w:jc w:val="center"/>
              <w:rPr>
                <w:rFonts w:hint="eastAsia" w:ascii="宋体" w:cs="宋体"/>
                <w:kern w:val="0"/>
                <w:sz w:val="24"/>
                <w:szCs w:val="24"/>
              </w:rPr>
            </w:pPr>
            <w:r>
              <w:rPr>
                <w:rFonts w:hint="eastAsia" w:ascii="宋体" w:cs="宋体"/>
                <w:kern w:val="0"/>
                <w:sz w:val="24"/>
                <w:szCs w:val="24"/>
              </w:rPr>
              <w:t>装饰装修工程</w:t>
            </w:r>
          </w:p>
        </w:tc>
        <w:tc>
          <w:tcPr>
            <w:tcW w:w="273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cs="宋体"/>
                <w:color w:val="0000FF"/>
                <w:kern w:val="0"/>
                <w:sz w:val="24"/>
                <w:szCs w:val="24"/>
                <w:lang w:val="en-US" w:eastAsia="zh-CN"/>
              </w:rPr>
            </w:pPr>
            <w:r>
              <w:rPr>
                <w:rFonts w:hint="eastAsia" w:ascii="宋体" w:hAnsi="宋体" w:eastAsia="宋体" w:cs="宋体"/>
                <w:i w:val="0"/>
                <w:color w:val="000000"/>
                <w:kern w:val="0"/>
                <w:sz w:val="24"/>
                <w:szCs w:val="24"/>
                <w:u w:val="none"/>
                <w:lang w:val="en-US" w:eastAsia="zh-CN" w:bidi="ar-SA"/>
              </w:rPr>
              <w:t>524567.15</w:t>
            </w:r>
          </w:p>
        </w:tc>
        <w:tc>
          <w:tcPr>
            <w:tcW w:w="3542" w:type="dxa"/>
            <w:tcBorders>
              <w:top w:val="nil"/>
              <w:left w:val="nil"/>
              <w:bottom w:val="single" w:color="auto" w:sz="4" w:space="0"/>
              <w:right w:val="single" w:color="auto" w:sz="4" w:space="0"/>
            </w:tcBorders>
            <w:shd w:val="clear" w:color="auto" w:fill="FFFFFF"/>
            <w:vAlign w:val="center"/>
          </w:tcPr>
          <w:p>
            <w:pPr>
              <w:widowControl/>
              <w:autoSpaceDN w:val="0"/>
              <w:jc w:val="left"/>
              <w:rPr>
                <w:rFonts w:hint="eastAsia" w:ascii="宋体" w:cs="宋体"/>
                <w:kern w:val="0"/>
                <w:sz w:val="24"/>
                <w:szCs w:val="24"/>
              </w:rPr>
            </w:pPr>
            <w:r>
              <w:rPr>
                <w:rFonts w:hint="eastAsia" w:ascii="宋体" w:cs="宋体"/>
                <w:kern w:val="0"/>
                <w:sz w:val="24"/>
                <w:szCs w:val="24"/>
              </w:rPr>
              <w:t>详见后附表2，不管是否有缺项、漏项，均视为乙方已综合考虑在固定合同总价内。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0" w:hRule="atLeast"/>
        </w:trPr>
        <w:tc>
          <w:tcPr>
            <w:tcW w:w="815" w:type="dxa"/>
            <w:tcBorders>
              <w:top w:val="nil"/>
              <w:left w:val="single" w:color="auto" w:sz="4" w:space="0"/>
              <w:bottom w:val="single" w:color="auto" w:sz="4" w:space="0"/>
              <w:right w:val="single" w:color="auto" w:sz="4" w:space="0"/>
            </w:tcBorders>
            <w:shd w:val="clear" w:color="auto" w:fill="FFFFFF"/>
            <w:vAlign w:val="center"/>
          </w:tcPr>
          <w:p>
            <w:pPr>
              <w:widowControl/>
              <w:autoSpaceDN w:val="0"/>
              <w:jc w:val="center"/>
              <w:rPr>
                <w:rFonts w:hint="eastAsia" w:ascii="宋体" w:cs="宋体"/>
                <w:kern w:val="0"/>
                <w:sz w:val="24"/>
                <w:szCs w:val="24"/>
              </w:rPr>
            </w:pPr>
            <w:r>
              <w:rPr>
                <w:rFonts w:hint="eastAsia" w:ascii="宋体" w:cs="宋体"/>
                <w:kern w:val="0"/>
                <w:sz w:val="24"/>
                <w:szCs w:val="24"/>
              </w:rPr>
              <w:t>2</w:t>
            </w:r>
          </w:p>
        </w:tc>
        <w:tc>
          <w:tcPr>
            <w:tcW w:w="3130" w:type="dxa"/>
            <w:tcBorders>
              <w:top w:val="nil"/>
              <w:left w:val="nil"/>
              <w:bottom w:val="single" w:color="auto" w:sz="4" w:space="0"/>
              <w:right w:val="single" w:color="auto" w:sz="4" w:space="0"/>
            </w:tcBorders>
            <w:shd w:val="clear" w:color="auto" w:fill="FFFFFF"/>
            <w:vAlign w:val="center"/>
          </w:tcPr>
          <w:p>
            <w:pPr>
              <w:widowControl/>
              <w:autoSpaceDN w:val="0"/>
              <w:jc w:val="center"/>
              <w:rPr>
                <w:rFonts w:hint="eastAsia" w:ascii="宋体" w:cs="宋体"/>
                <w:kern w:val="0"/>
                <w:sz w:val="24"/>
                <w:szCs w:val="24"/>
              </w:rPr>
            </w:pPr>
            <w:r>
              <w:rPr>
                <w:rFonts w:hint="eastAsia" w:ascii="宋体" w:cs="宋体"/>
                <w:kern w:val="0"/>
                <w:sz w:val="24"/>
                <w:szCs w:val="24"/>
              </w:rPr>
              <w:t>安装工程</w:t>
            </w:r>
          </w:p>
        </w:tc>
        <w:tc>
          <w:tcPr>
            <w:tcW w:w="2734"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eastAsia" w:ascii="宋体" w:cs="宋体"/>
                <w:color w:val="0000FF"/>
                <w:kern w:val="0"/>
                <w:sz w:val="24"/>
                <w:szCs w:val="24"/>
                <w:lang w:val="en-US" w:eastAsia="zh-CN"/>
              </w:rPr>
            </w:pPr>
            <w:r>
              <w:rPr>
                <w:rFonts w:hint="eastAsia" w:ascii="宋体" w:hAnsi="宋体" w:eastAsia="宋体" w:cs="宋体"/>
                <w:i w:val="0"/>
                <w:color w:val="000000"/>
                <w:kern w:val="0"/>
                <w:sz w:val="24"/>
                <w:szCs w:val="24"/>
                <w:u w:val="none"/>
                <w:lang w:val="en-US" w:eastAsia="zh-CN" w:bidi="ar-SA"/>
              </w:rPr>
              <w:t>79939.75</w:t>
            </w:r>
          </w:p>
        </w:tc>
        <w:tc>
          <w:tcPr>
            <w:tcW w:w="3542" w:type="dxa"/>
            <w:tcBorders>
              <w:top w:val="nil"/>
              <w:left w:val="nil"/>
              <w:bottom w:val="single" w:color="auto" w:sz="4" w:space="0"/>
              <w:right w:val="single" w:color="auto" w:sz="4" w:space="0"/>
            </w:tcBorders>
            <w:shd w:val="clear" w:color="auto" w:fill="FFFFFF"/>
            <w:vAlign w:val="center"/>
          </w:tcPr>
          <w:p>
            <w:pPr>
              <w:widowControl/>
              <w:autoSpaceDN w:val="0"/>
              <w:jc w:val="left"/>
              <w:rPr>
                <w:rFonts w:hint="eastAsia" w:ascii="宋体" w:cs="宋体"/>
                <w:kern w:val="0"/>
                <w:sz w:val="24"/>
                <w:szCs w:val="24"/>
              </w:rPr>
            </w:pPr>
            <w:r>
              <w:rPr>
                <w:rFonts w:hint="eastAsia" w:ascii="宋体" w:cs="宋体"/>
                <w:kern w:val="0"/>
                <w:sz w:val="24"/>
                <w:szCs w:val="24"/>
              </w:rPr>
              <w:t>详见后附表2，不管是否有缺项、漏项，均视为乙方已综合考虑在固定合同总价内。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5" w:hRule="atLeast"/>
        </w:trPr>
        <w:tc>
          <w:tcPr>
            <w:tcW w:w="3945" w:type="dxa"/>
            <w:gridSpan w:val="2"/>
            <w:tcBorders>
              <w:top w:val="nil"/>
              <w:left w:val="single" w:color="auto" w:sz="4" w:space="0"/>
              <w:bottom w:val="single" w:color="auto" w:sz="4" w:space="0"/>
              <w:right w:val="single" w:color="auto" w:sz="4" w:space="0"/>
            </w:tcBorders>
            <w:shd w:val="clear" w:color="auto" w:fill="FFFFFF"/>
            <w:vAlign w:val="center"/>
          </w:tcPr>
          <w:p>
            <w:pPr>
              <w:widowControl/>
              <w:autoSpaceDN w:val="0"/>
              <w:jc w:val="center"/>
              <w:rPr>
                <w:rFonts w:hint="eastAsia" w:ascii="宋体" w:cs="宋体"/>
                <w:kern w:val="0"/>
                <w:sz w:val="24"/>
                <w:szCs w:val="24"/>
              </w:rPr>
            </w:pPr>
            <w:r>
              <w:rPr>
                <w:rFonts w:hint="eastAsia" w:ascii="宋体" w:cs="宋体"/>
                <w:kern w:val="0"/>
                <w:sz w:val="24"/>
                <w:szCs w:val="24"/>
              </w:rPr>
              <w:t>合计</w:t>
            </w:r>
          </w:p>
        </w:tc>
        <w:tc>
          <w:tcPr>
            <w:tcW w:w="2734"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SA"/>
              </w:rPr>
              <w:t>604506.9</w:t>
            </w:r>
          </w:p>
        </w:tc>
        <w:tc>
          <w:tcPr>
            <w:tcW w:w="3542" w:type="dxa"/>
            <w:tcBorders>
              <w:top w:val="nil"/>
              <w:left w:val="nil"/>
              <w:bottom w:val="single" w:color="auto" w:sz="4" w:space="0"/>
              <w:right w:val="single" w:color="auto" w:sz="4" w:space="0"/>
            </w:tcBorders>
            <w:shd w:val="clear" w:color="auto" w:fill="FFFFFF"/>
            <w:vAlign w:val="bottom"/>
          </w:tcPr>
          <w:p>
            <w:pPr>
              <w:widowControl/>
              <w:autoSpaceDN w:val="0"/>
              <w:jc w:val="left"/>
              <w:rPr>
                <w:rFonts w:hint="eastAsia" w:ascii="宋体" w:cs="宋体"/>
                <w:kern w:val="0"/>
                <w:sz w:val="24"/>
                <w:szCs w:val="24"/>
              </w:rPr>
            </w:pPr>
            <w:r>
              <w:rPr>
                <w:rFonts w:hint="eastAsia" w:ascii="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5" w:hRule="atLeast"/>
        </w:trPr>
        <w:tc>
          <w:tcPr>
            <w:tcW w:w="3945" w:type="dxa"/>
            <w:gridSpan w:val="2"/>
            <w:tcBorders>
              <w:top w:val="nil"/>
              <w:left w:val="single" w:color="auto" w:sz="4" w:space="0"/>
              <w:bottom w:val="single" w:color="auto" w:sz="4" w:space="0"/>
              <w:right w:val="single" w:color="auto" w:sz="4" w:space="0"/>
            </w:tcBorders>
            <w:shd w:val="clear" w:color="auto" w:fill="FFFFFF"/>
            <w:vAlign w:val="center"/>
          </w:tcPr>
          <w:p>
            <w:pPr>
              <w:widowControl/>
              <w:autoSpaceDN w:val="0"/>
              <w:jc w:val="center"/>
              <w:rPr>
                <w:rFonts w:hint="eastAsia" w:ascii="宋体" w:cs="宋体"/>
                <w:b/>
                <w:bCs/>
                <w:kern w:val="0"/>
                <w:sz w:val="24"/>
                <w:szCs w:val="24"/>
              </w:rPr>
            </w:pPr>
            <w:r>
              <w:rPr>
                <w:rFonts w:hint="eastAsia" w:ascii="宋体" w:cs="宋体"/>
                <w:b/>
                <w:bCs/>
                <w:kern w:val="0"/>
                <w:sz w:val="24"/>
                <w:szCs w:val="24"/>
              </w:rPr>
              <w:t>最终优惠后固定合同总价</w:t>
            </w:r>
          </w:p>
        </w:tc>
        <w:tc>
          <w:tcPr>
            <w:tcW w:w="2734" w:type="dxa"/>
            <w:tcBorders>
              <w:top w:val="nil"/>
              <w:left w:val="nil"/>
              <w:bottom w:val="single" w:color="auto" w:sz="4" w:space="0"/>
              <w:right w:val="single" w:color="auto" w:sz="4" w:space="0"/>
            </w:tcBorders>
            <w:shd w:val="clear" w:color="auto" w:fill="FFFFFF"/>
            <w:vAlign w:val="center"/>
          </w:tcPr>
          <w:p>
            <w:pPr>
              <w:widowControl/>
              <w:autoSpaceDN w:val="0"/>
              <w:jc w:val="center"/>
              <w:rPr>
                <w:rFonts w:hint="eastAsia" w:ascii="宋体" w:eastAsia="宋体" w:cs="宋体"/>
                <w:b/>
                <w:bCs/>
                <w:kern w:val="0"/>
                <w:sz w:val="24"/>
                <w:szCs w:val="24"/>
                <w:lang w:val="en-US" w:eastAsia="zh-CN"/>
              </w:rPr>
            </w:pPr>
            <w:r>
              <w:rPr>
                <w:rFonts w:hint="eastAsia" w:ascii="宋体" w:cs="宋体"/>
                <w:b/>
                <w:bCs/>
                <w:kern w:val="0"/>
                <w:sz w:val="24"/>
                <w:szCs w:val="24"/>
                <w:lang w:val="en-US" w:eastAsia="zh-CN"/>
              </w:rPr>
              <w:t>483720</w:t>
            </w:r>
          </w:p>
        </w:tc>
        <w:tc>
          <w:tcPr>
            <w:tcW w:w="3542" w:type="dxa"/>
            <w:tcBorders>
              <w:top w:val="nil"/>
              <w:left w:val="nil"/>
              <w:bottom w:val="single" w:color="auto" w:sz="4" w:space="0"/>
              <w:right w:val="single" w:color="auto" w:sz="4" w:space="0"/>
            </w:tcBorders>
            <w:shd w:val="clear" w:color="auto" w:fill="FFFFFF"/>
            <w:vAlign w:val="bottom"/>
          </w:tcPr>
          <w:p>
            <w:pPr>
              <w:widowControl/>
              <w:autoSpaceDN w:val="0"/>
              <w:jc w:val="left"/>
              <w:rPr>
                <w:rFonts w:hint="eastAsia" w:ascii="宋体" w:cs="宋体"/>
                <w:kern w:val="0"/>
                <w:sz w:val="24"/>
                <w:szCs w:val="24"/>
              </w:rPr>
            </w:pPr>
            <w:r>
              <w:rPr>
                <w:rFonts w:hint="eastAsia" w:ascii="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15" w:type="dxa"/>
            <w:tcBorders>
              <w:top w:val="nil"/>
              <w:left w:val="nil"/>
              <w:bottom w:val="nil"/>
              <w:right w:val="nil"/>
            </w:tcBorders>
            <w:vAlign w:val="bottom"/>
          </w:tcPr>
          <w:p>
            <w:pPr>
              <w:widowControl/>
              <w:autoSpaceDN w:val="0"/>
              <w:jc w:val="left"/>
              <w:rPr>
                <w:rFonts w:hint="eastAsia" w:ascii="宋体" w:cs="宋体"/>
                <w:kern w:val="0"/>
                <w:sz w:val="24"/>
                <w:szCs w:val="24"/>
              </w:rPr>
            </w:pPr>
          </w:p>
        </w:tc>
        <w:tc>
          <w:tcPr>
            <w:tcW w:w="3130" w:type="dxa"/>
            <w:tcBorders>
              <w:top w:val="nil"/>
              <w:left w:val="nil"/>
              <w:bottom w:val="nil"/>
              <w:right w:val="nil"/>
            </w:tcBorders>
            <w:vAlign w:val="bottom"/>
          </w:tcPr>
          <w:p>
            <w:pPr>
              <w:widowControl/>
              <w:autoSpaceDN w:val="0"/>
              <w:jc w:val="left"/>
              <w:rPr>
                <w:rFonts w:hint="eastAsia" w:ascii="宋体" w:cs="宋体"/>
                <w:kern w:val="0"/>
                <w:sz w:val="24"/>
                <w:szCs w:val="24"/>
              </w:rPr>
            </w:pPr>
          </w:p>
        </w:tc>
        <w:tc>
          <w:tcPr>
            <w:tcW w:w="2734" w:type="dxa"/>
            <w:tcBorders>
              <w:top w:val="nil"/>
              <w:left w:val="nil"/>
              <w:bottom w:val="nil"/>
              <w:right w:val="nil"/>
            </w:tcBorders>
            <w:vAlign w:val="bottom"/>
          </w:tcPr>
          <w:p>
            <w:pPr>
              <w:widowControl/>
              <w:autoSpaceDN w:val="0"/>
              <w:jc w:val="left"/>
              <w:rPr>
                <w:rFonts w:hint="eastAsia" w:ascii="宋体" w:cs="宋体"/>
                <w:kern w:val="0"/>
                <w:sz w:val="24"/>
                <w:szCs w:val="24"/>
              </w:rPr>
            </w:pPr>
          </w:p>
        </w:tc>
        <w:tc>
          <w:tcPr>
            <w:tcW w:w="3542" w:type="dxa"/>
            <w:tcBorders>
              <w:top w:val="nil"/>
              <w:left w:val="nil"/>
              <w:bottom w:val="nil"/>
              <w:right w:val="nil"/>
            </w:tcBorders>
            <w:vAlign w:val="bottom"/>
          </w:tcPr>
          <w:p>
            <w:pPr>
              <w:widowControl/>
              <w:autoSpaceDN w:val="0"/>
              <w:jc w:val="left"/>
              <w:rPr>
                <w:rFonts w:hint="eastAsia" w:asci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0" w:hRule="atLeast"/>
        </w:trPr>
        <w:tc>
          <w:tcPr>
            <w:tcW w:w="10221" w:type="dxa"/>
            <w:gridSpan w:val="4"/>
            <w:tcBorders>
              <w:top w:val="nil"/>
              <w:left w:val="nil"/>
              <w:bottom w:val="nil"/>
              <w:right w:val="nil"/>
            </w:tcBorders>
            <w:vAlign w:val="bottom"/>
          </w:tcPr>
          <w:p>
            <w:pPr>
              <w:widowControl/>
              <w:autoSpaceDN w:val="0"/>
              <w:jc w:val="left"/>
              <w:rPr>
                <w:rFonts w:hint="eastAsia" w:ascii="宋体" w:cs="宋体"/>
                <w:kern w:val="0"/>
                <w:sz w:val="24"/>
                <w:szCs w:val="24"/>
              </w:rPr>
            </w:pPr>
            <w:r>
              <w:rPr>
                <w:rFonts w:hint="eastAsia" w:ascii="宋体"/>
                <w:b w:val="0"/>
                <w:bCs w:val="0"/>
                <w:sz w:val="24"/>
                <w:szCs w:val="24"/>
              </w:rPr>
              <w:t>说明：乙方报价</w:t>
            </w:r>
            <w:r>
              <w:rPr>
                <w:rFonts w:hint="eastAsia" w:ascii="宋体" w:hAnsi="宋体" w:eastAsia="宋体" w:cs="宋体"/>
                <w:b/>
                <w:bCs/>
                <w:i w:val="0"/>
                <w:color w:val="000000"/>
                <w:kern w:val="0"/>
                <w:sz w:val="24"/>
                <w:szCs w:val="24"/>
                <w:u w:val="none"/>
                <w:lang w:val="en-US" w:eastAsia="zh-CN" w:bidi="ar-SA"/>
              </w:rPr>
              <w:t>604506.9</w:t>
            </w:r>
            <w:r>
              <w:rPr>
                <w:rFonts w:hint="eastAsia" w:ascii="宋体"/>
                <w:b w:val="0"/>
                <w:bCs w:val="0"/>
                <w:sz w:val="24"/>
                <w:szCs w:val="24"/>
              </w:rPr>
              <w:t>元与最终固定合同总价</w:t>
            </w:r>
            <w:r>
              <w:rPr>
                <w:rFonts w:hint="eastAsia" w:ascii="宋体" w:cs="宋体"/>
                <w:b/>
                <w:bCs/>
                <w:kern w:val="0"/>
                <w:sz w:val="24"/>
                <w:szCs w:val="24"/>
                <w:lang w:val="en-US" w:eastAsia="zh-CN"/>
              </w:rPr>
              <w:t>483720</w:t>
            </w:r>
            <w:r>
              <w:rPr>
                <w:rFonts w:hint="eastAsia" w:ascii="宋体"/>
                <w:b w:val="0"/>
                <w:bCs w:val="0"/>
                <w:sz w:val="24"/>
                <w:szCs w:val="24"/>
              </w:rPr>
              <w:t>元之间的差价</w:t>
            </w:r>
            <w:r>
              <w:rPr>
                <w:rFonts w:hint="eastAsia" w:ascii="宋体"/>
                <w:b/>
                <w:bCs/>
                <w:sz w:val="24"/>
                <w:szCs w:val="24"/>
                <w:lang w:val="en-US" w:eastAsia="zh-CN"/>
              </w:rPr>
              <w:t>120786.9</w:t>
            </w:r>
            <w:r>
              <w:rPr>
                <w:rFonts w:hint="eastAsia" w:ascii="宋体"/>
                <w:b w:val="0"/>
                <w:bCs w:val="0"/>
                <w:sz w:val="24"/>
                <w:szCs w:val="24"/>
              </w:rPr>
              <w:t>元，其做为乙方对甲方的优惠，优惠率</w:t>
            </w:r>
            <w:r>
              <w:rPr>
                <w:rFonts w:hint="eastAsia" w:ascii="宋体"/>
                <w:b/>
                <w:bCs/>
                <w:sz w:val="24"/>
                <w:szCs w:val="24"/>
                <w:lang w:val="en-US" w:eastAsia="zh-CN"/>
              </w:rPr>
              <w:t>19.98</w:t>
            </w:r>
            <w:r>
              <w:rPr>
                <w:rFonts w:hint="eastAsia" w:ascii="宋体"/>
                <w:b/>
                <w:bCs/>
                <w:sz w:val="24"/>
                <w:szCs w:val="24"/>
              </w:rPr>
              <w:t>％</w:t>
            </w:r>
            <w:r>
              <w:rPr>
                <w:rFonts w:hint="eastAsia" w:ascii="宋体"/>
                <w:b w:val="0"/>
                <w:bCs w:val="0"/>
                <w:sz w:val="24"/>
                <w:szCs w:val="24"/>
              </w:rPr>
              <w:t>。该固定总价一次性包干，不随任何因素（除合同约定可调因素外）的变化而调整。其综合单价随总价同比例</w:t>
            </w:r>
            <w:r>
              <w:rPr>
                <w:rFonts w:hint="eastAsia" w:ascii="宋体"/>
                <w:b/>
                <w:bCs/>
                <w:sz w:val="24"/>
                <w:szCs w:val="24"/>
                <w:lang w:val="en-US" w:eastAsia="zh-CN"/>
              </w:rPr>
              <w:t>19.98</w:t>
            </w:r>
            <w:r>
              <w:rPr>
                <w:rFonts w:hint="eastAsia" w:ascii="宋体"/>
                <w:b/>
                <w:bCs/>
                <w:sz w:val="24"/>
                <w:szCs w:val="24"/>
              </w:rPr>
              <w:t>％</w:t>
            </w:r>
            <w:r>
              <w:rPr>
                <w:rFonts w:hint="eastAsia" w:ascii="宋体"/>
                <w:b w:val="0"/>
                <w:bCs w:val="0"/>
                <w:sz w:val="24"/>
                <w:szCs w:val="24"/>
              </w:rPr>
              <w:t>下浮后为最终包干综合单价。</w:t>
            </w:r>
            <w:r>
              <w:rPr>
                <w:rFonts w:hint="eastAsia" w:ascii="宋体"/>
                <w:b/>
                <w:bCs/>
                <w:sz w:val="24"/>
                <w:szCs w:val="24"/>
              </w:rPr>
              <w:t xml:space="preserve">          </w:t>
            </w:r>
          </w:p>
        </w:tc>
      </w:tr>
    </w:tbl>
    <w:p>
      <w:pPr>
        <w:widowControl/>
        <w:autoSpaceDN w:val="0"/>
        <w:rPr>
          <w:rFonts w:hint="eastAsia" w:ascii="宋体"/>
          <w:b/>
          <w:bCs/>
          <w:sz w:val="32"/>
          <w:szCs w:val="32"/>
        </w:rPr>
      </w:pPr>
      <w:r>
        <w:rPr>
          <w:rFonts w:hint="eastAsia" w:ascii="宋体"/>
          <w:sz w:val="24"/>
          <w:szCs w:val="24"/>
        </w:rPr>
        <w:t xml:space="preserve">       </w:t>
      </w:r>
    </w:p>
    <w:p>
      <w:pPr>
        <w:widowControl/>
        <w:jc w:val="left"/>
        <w:rPr>
          <w:rFonts w:hint="eastAsia" w:ascii="宋体" w:cs="宋体"/>
          <w:kern w:val="0"/>
          <w:sz w:val="24"/>
          <w:szCs w:val="24"/>
        </w:rPr>
        <w:sectPr>
          <w:pgSz w:w="12240" w:h="15840"/>
          <w:pgMar w:top="1440" w:right="1800" w:bottom="1440" w:left="1800" w:header="720" w:footer="720" w:gutter="0"/>
          <w:cols w:space="720" w:num="1"/>
          <w:docGrid w:type="linesAndChars" w:linePitch="285" w:charSpace="-3486"/>
        </w:sectPr>
      </w:pPr>
    </w:p>
    <w:p>
      <w:pPr>
        <w:tabs>
          <w:tab w:val="left" w:pos="5145"/>
        </w:tabs>
        <w:autoSpaceDN w:val="0"/>
        <w:spacing w:after="120" w:afterLines="50"/>
        <w:rPr>
          <w:rFonts w:hint="eastAsia" w:ascii="宋体"/>
          <w:b/>
          <w:bCs/>
          <w:sz w:val="44"/>
          <w:szCs w:val="44"/>
          <w:lang w:val="en-US" w:eastAsia="zh-CN"/>
        </w:rPr>
      </w:pPr>
      <w:r>
        <w:rPr>
          <w:rFonts w:hint="eastAsia" w:ascii="宋体"/>
          <w:b/>
          <w:bCs/>
          <w:sz w:val="44"/>
          <w:szCs w:val="44"/>
          <w:lang w:eastAsia="zh-CN"/>
        </w:rPr>
        <w:t>附表</w:t>
      </w:r>
      <w:r>
        <w:rPr>
          <w:rFonts w:hint="eastAsia" w:ascii="宋体"/>
          <w:b/>
          <w:bCs/>
          <w:sz w:val="44"/>
          <w:szCs w:val="44"/>
          <w:lang w:val="en-US" w:eastAsia="zh-CN"/>
        </w:rPr>
        <w:t>2         工程量清单汇总表</w:t>
      </w:r>
    </w:p>
    <w:p>
      <w:pPr>
        <w:tabs>
          <w:tab w:val="left" w:pos="5145"/>
        </w:tabs>
        <w:autoSpaceDN w:val="0"/>
        <w:spacing w:after="120" w:afterLines="50"/>
        <w:rPr>
          <w:rFonts w:hint="eastAsia" w:ascii="宋体"/>
          <w:b/>
          <w:bCs/>
          <w:sz w:val="44"/>
          <w:szCs w:val="44"/>
          <w:lang w:val="en-US" w:eastAsia="zh-CN"/>
        </w:rPr>
      </w:pPr>
      <w:r>
        <w:rPr>
          <w:rFonts w:hint="eastAsia" w:ascii="宋体" w:cs="宋体"/>
          <w:b/>
          <w:bCs/>
          <w:kern w:val="0"/>
          <w:sz w:val="32"/>
          <w:szCs w:val="32"/>
          <w:lang w:val="en-US" w:eastAsia="zh-CN"/>
        </w:rPr>
        <w:t xml:space="preserve">  </w:t>
      </w:r>
    </w:p>
    <w:sectPr>
      <w:headerReference r:id="rId6" w:type="default"/>
      <w:footerReference r:id="rId7" w:type="default"/>
      <w:pgSz w:w="11907" w:h="16840"/>
      <w:pgMar w:top="1247" w:right="1247" w:bottom="1247" w:left="1247" w:header="851"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7"/>
      <w:pBdr>
        <w:top w:val="single" w:color="auto" w:sz="4" w:space="1"/>
      </w:pBdr>
      <w:ind w:left="-141" w:leftChars="-67"/>
    </w:pPr>
    <w:r>
      <w:rPr>
        <w:rFonts w:hint="eastAsia"/>
        <w:b/>
        <w:color w:val="5F5F5F"/>
        <w:sz w:val="21"/>
        <w:szCs w:val="21"/>
      </w:rPr>
      <w:t xml:space="preserve">洛阳浩德鑫置地有限公司   </w:t>
    </w:r>
    <w:r>
      <w:rPr>
        <w:rFonts w:hint="eastAsia"/>
        <w:b/>
        <w:color w:val="5F5F5F"/>
      </w:rPr>
      <w:t>ADD:洛阳市经济开发区开元大道与长夏门街交汇处（开元壹号）项目会所</w:t>
    </w:r>
  </w:p>
  <w:p>
    <w:pPr>
      <w:pStyle w:val="27"/>
      <w:ind w:firstLine="1170" w:firstLineChars="65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7"/>
      <w:framePr w:wrap="around" w:vAnchor="text" w:hAnchor="margin" w:xAlign="right" w:y="1"/>
      <w:rPr>
        <w:rStyle w:val="42"/>
      </w:rPr>
    </w:pPr>
    <w:r>
      <w:rPr>
        <w:rStyle w:val="42"/>
      </w:rPr>
      <w:fldChar w:fldCharType="begin"/>
    </w:r>
    <w:r>
      <w:rPr>
        <w:rStyle w:val="42"/>
      </w:rPr>
      <w:instrText xml:space="preserve">PAGE  </w:instrText>
    </w:r>
    <w:r>
      <w:rPr>
        <w:rStyle w:val="42"/>
      </w:rPr>
      <w:fldChar w:fldCharType="separate"/>
    </w:r>
    <w:r>
      <w:rPr>
        <w:rStyle w:val="42"/>
      </w:rPr>
      <w:t>1</w:t>
    </w:r>
    <w:r>
      <w:rPr>
        <w:rStyle w:val="42"/>
      </w:rPr>
      <w:fldChar w:fldCharType="end"/>
    </w:r>
  </w:p>
  <w:p>
    <w:pPr>
      <w:pStyle w:val="27"/>
      <w:pBdr>
        <w:top w:val="single" w:color="auto" w:sz="4" w:space="1"/>
      </w:pBdr>
      <w:ind w:left="-141" w:leftChars="-67" w:right="360"/>
    </w:pPr>
    <w:r>
      <w:rPr>
        <w:rFonts w:hint="eastAsia"/>
        <w:b/>
        <w:color w:val="5F5F5F"/>
        <w:sz w:val="21"/>
        <w:szCs w:val="21"/>
      </w:rPr>
      <w:t xml:space="preserve">洛阳浩德鑫置地有限公司   </w:t>
    </w:r>
    <w:r>
      <w:rPr>
        <w:rFonts w:hint="eastAsia"/>
        <w:b/>
        <w:color w:val="5F5F5F"/>
      </w:rPr>
      <w:t>ADD:洛阳市经济开发区开元大道与长夏门街交汇处（开元壹号）项目会所</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8"/>
      <w:ind w:right="422" w:firstLine="270" w:firstLineChars="150"/>
      <w:jc w:val="both"/>
      <w:rPr>
        <w:rFonts w:ascii="Batang" w:hAnsi="Batang"/>
        <w:color w:val="999999"/>
        <w:sz w:val="16"/>
        <w:szCs w:val="16"/>
      </w:rPr>
    </w:pPr>
    <w:r>
      <w:rPr>
        <w:rFonts w:hint="eastAsia"/>
      </w:rPr>
      <w:t>　</w:t>
    </w:r>
    <w:r>
      <w:rPr>
        <w:rFonts w:ascii="Calibri" w:hAnsi="Calibri" w:eastAsia="宋体" w:cs="Times New Roman"/>
        <w:kern w:val="0"/>
        <w:sz w:val="18"/>
        <w:szCs w:val="18"/>
        <w:lang w:val="en-US" w:eastAsia="zh-CN" w:bidi="ar-SA"/>
      </w:rPr>
      <w:pict>
        <v:shape id="图片 1" o:spid="_x0000_s1025" type="#_x0000_t75" style="height:24pt;width:148.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r>
      <w:rPr>
        <w:rFonts w:hint="eastAsia"/>
        <w:b/>
        <w:color w:val="5F5F5F"/>
        <w:sz w:val="24"/>
        <w:szCs w:val="24"/>
      </w:rPr>
      <w:t xml:space="preserve">  TEL：0379—62675579</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8"/>
      <w:ind w:right="422" w:firstLine="270" w:firstLineChars="150"/>
      <w:jc w:val="both"/>
      <w:rPr>
        <w:rFonts w:ascii="Batang" w:hAnsi="Batang"/>
        <w:color w:val="999999"/>
        <w:sz w:val="16"/>
        <w:szCs w:val="16"/>
      </w:rPr>
    </w:pPr>
    <w:r>
      <w:rPr>
        <w:rFonts w:ascii="Calibri" w:hAnsi="Calibri" w:eastAsia="宋体" w:cs="Times New Roman"/>
        <w:kern w:val="0"/>
        <w:sz w:val="18"/>
        <w:szCs w:val="18"/>
        <w:lang w:val="en-US" w:eastAsia="zh-CN" w:bidi="ar-SA"/>
      </w:rPr>
      <w:pict>
        <v:shape id="图片 10" o:spid="_x0000_s1026" type="#_x0000_t75" style="height:24pt;width:148.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r>
      <w:rPr>
        <w:rFonts w:hint="eastAsia"/>
        <w:b/>
        <w:color w:val="5F5F5F"/>
        <w:sz w:val="24"/>
        <w:szCs w:val="24"/>
      </w:rPr>
      <w:t xml:space="preserve">  TEL：0379—62675579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500029777">
    <w:nsid w:val="95036D51"/>
    <w:multiLevelType w:val="multilevel"/>
    <w:tmpl w:val="95036D51"/>
    <w:lvl w:ilvl="0" w:tentative="1">
      <w:start w:val="1"/>
      <w:numFmt w:val="chineseCountingThousand"/>
      <w:pStyle w:val="2"/>
      <w:lvlText w:val="%1."/>
      <w:lvlJc w:val="left"/>
      <w:pPr>
        <w:tabs>
          <w:tab w:val="left" w:pos="0"/>
        </w:tabs>
        <w:ind w:left="425" w:hanging="425"/>
      </w:pPr>
    </w:lvl>
    <w:lvl w:ilvl="1" w:tentative="1">
      <w:start w:val="1"/>
      <w:numFmt w:val="decimal"/>
      <w:pStyle w:val="4"/>
      <w:lvlText w:val="%2."/>
      <w:legacy w:legacy="1" w:legacySpace="0" w:legacyIndent="425"/>
      <w:lvlJc w:val="left"/>
      <w:pPr>
        <w:ind w:left="992" w:hanging="425"/>
      </w:pPr>
    </w:lvl>
    <w:lvl w:ilvl="2" w:tentative="1">
      <w:start w:val="1"/>
      <w:numFmt w:val="none"/>
      <w:pStyle w:val="5"/>
      <w:suff w:val="nothing"/>
      <w:lvlText w:val=""/>
      <w:lvlJc w:val="left"/>
      <w:pPr>
        <w:tabs>
          <w:tab w:val="left" w:pos="0"/>
        </w:tabs>
        <w:ind w:left="851" w:hanging="425"/>
      </w:pPr>
    </w:lvl>
    <w:lvl w:ilvl="3" w:tentative="1">
      <w:start w:val="1"/>
      <w:numFmt w:val="lowerLetter"/>
      <w:pStyle w:val="6"/>
      <w:lvlText w:val="%4)"/>
      <w:legacy w:legacy="1" w:legacySpace="0" w:legacyIndent="425"/>
      <w:lvlJc w:val="left"/>
      <w:pPr>
        <w:ind w:left="1700" w:hanging="425"/>
      </w:pPr>
    </w:lvl>
    <w:lvl w:ilvl="4" w:tentative="1">
      <w:start w:val="1"/>
      <w:numFmt w:val="decimal"/>
      <w:pStyle w:val="7"/>
      <w:lvlText w:val="(%5)"/>
      <w:legacy w:legacy="1" w:legacySpace="0" w:legacyIndent="425"/>
      <w:lvlJc w:val="left"/>
      <w:pPr>
        <w:ind w:left="2125" w:hanging="425"/>
      </w:pPr>
    </w:lvl>
    <w:lvl w:ilvl="5" w:tentative="1">
      <w:start w:val="1"/>
      <w:numFmt w:val="lowerLetter"/>
      <w:pStyle w:val="8"/>
      <w:lvlText w:val="(%6)"/>
      <w:legacy w:legacy="1" w:legacySpace="0" w:legacyIndent="425"/>
      <w:lvlJc w:val="left"/>
      <w:pPr>
        <w:ind w:left="2550" w:hanging="425"/>
      </w:pPr>
    </w:lvl>
    <w:lvl w:ilvl="6" w:tentative="1">
      <w:start w:val="1"/>
      <w:numFmt w:val="lowerRoman"/>
      <w:pStyle w:val="9"/>
      <w:lvlText w:val="(%7)"/>
      <w:legacy w:legacy="1" w:legacySpace="0" w:legacyIndent="425"/>
      <w:lvlJc w:val="left"/>
      <w:pPr>
        <w:ind w:left="2975" w:hanging="425"/>
      </w:pPr>
    </w:lvl>
    <w:lvl w:ilvl="7" w:tentative="1">
      <w:start w:val="1"/>
      <w:numFmt w:val="lowerLetter"/>
      <w:pStyle w:val="10"/>
      <w:lvlText w:val="(%8)"/>
      <w:legacy w:legacy="1" w:legacySpace="0" w:legacyIndent="425"/>
      <w:lvlJc w:val="left"/>
      <w:pPr>
        <w:ind w:left="3400" w:hanging="425"/>
      </w:pPr>
    </w:lvl>
    <w:lvl w:ilvl="8" w:tentative="1">
      <w:start w:val="1"/>
      <w:numFmt w:val="lowerRoman"/>
      <w:pStyle w:val="11"/>
      <w:lvlText w:val="(%9)"/>
      <w:legacy w:legacy="1" w:legacySpace="0" w:legacyIndent="425"/>
      <w:lvlJc w:val="left"/>
      <w:pPr>
        <w:ind w:left="3825" w:hanging="425"/>
      </w:pPr>
    </w:lvl>
  </w:abstractNum>
  <w:abstractNum w:abstractNumId="1429342099">
    <w:nsid w:val="55320793"/>
    <w:multiLevelType w:val="multilevel"/>
    <w:tmpl w:val="55320793"/>
    <w:lvl w:ilvl="0" w:tentative="1">
      <w:start w:val="1"/>
      <w:numFmt w:val="japaneseCounting"/>
      <w:lvlText w:val="%1、"/>
      <w:lvlJc w:val="left"/>
      <w:pPr>
        <w:tabs>
          <w:tab w:val="left" w:pos="0"/>
        </w:tabs>
        <w:ind w:left="930" w:hanging="390"/>
      </w:pPr>
    </w:lvl>
    <w:lvl w:ilvl="1" w:tentative="1">
      <w:start w:val="1"/>
      <w:numFmt w:val="lowerLetter"/>
      <w:lvlText w:val="%2)"/>
      <w:lvlJc w:val="left"/>
      <w:pPr>
        <w:tabs>
          <w:tab w:val="left" w:pos="0"/>
        </w:tabs>
        <w:ind w:left="1380" w:hanging="420"/>
      </w:pPr>
    </w:lvl>
    <w:lvl w:ilvl="2" w:tentative="1">
      <w:start w:val="1"/>
      <w:numFmt w:val="lowerRoman"/>
      <w:lvlText w:val="%3."/>
      <w:lvlJc w:val="right"/>
      <w:pPr>
        <w:tabs>
          <w:tab w:val="left" w:pos="0"/>
        </w:tabs>
        <w:ind w:left="1800" w:hanging="420"/>
      </w:pPr>
    </w:lvl>
    <w:lvl w:ilvl="3" w:tentative="1">
      <w:start w:val="1"/>
      <w:numFmt w:val="decimal"/>
      <w:lvlText w:val="%4."/>
      <w:lvlJc w:val="left"/>
      <w:pPr>
        <w:tabs>
          <w:tab w:val="left" w:pos="0"/>
        </w:tabs>
        <w:ind w:left="2220" w:hanging="420"/>
      </w:pPr>
    </w:lvl>
    <w:lvl w:ilvl="4" w:tentative="1">
      <w:start w:val="1"/>
      <w:numFmt w:val="lowerLetter"/>
      <w:lvlText w:val="%5)"/>
      <w:lvlJc w:val="left"/>
      <w:pPr>
        <w:tabs>
          <w:tab w:val="left" w:pos="0"/>
        </w:tabs>
        <w:ind w:left="2640" w:hanging="420"/>
      </w:pPr>
    </w:lvl>
    <w:lvl w:ilvl="5" w:tentative="1">
      <w:start w:val="1"/>
      <w:numFmt w:val="lowerRoman"/>
      <w:lvlText w:val="%6."/>
      <w:lvlJc w:val="right"/>
      <w:pPr>
        <w:tabs>
          <w:tab w:val="left" w:pos="0"/>
        </w:tabs>
        <w:ind w:left="3060" w:hanging="420"/>
      </w:pPr>
    </w:lvl>
    <w:lvl w:ilvl="6" w:tentative="1">
      <w:start w:val="1"/>
      <w:numFmt w:val="decimal"/>
      <w:lvlText w:val="%7."/>
      <w:lvlJc w:val="left"/>
      <w:pPr>
        <w:tabs>
          <w:tab w:val="left" w:pos="0"/>
        </w:tabs>
        <w:ind w:left="3480" w:hanging="420"/>
      </w:pPr>
    </w:lvl>
    <w:lvl w:ilvl="7" w:tentative="1">
      <w:start w:val="1"/>
      <w:numFmt w:val="lowerLetter"/>
      <w:lvlText w:val="%8)"/>
      <w:lvlJc w:val="left"/>
      <w:pPr>
        <w:tabs>
          <w:tab w:val="left" w:pos="0"/>
        </w:tabs>
        <w:ind w:left="3900" w:hanging="420"/>
      </w:pPr>
    </w:lvl>
    <w:lvl w:ilvl="8" w:tentative="1">
      <w:start w:val="1"/>
      <w:numFmt w:val="lowerRoman"/>
      <w:lvlText w:val="%9."/>
      <w:lvlJc w:val="right"/>
      <w:pPr>
        <w:tabs>
          <w:tab w:val="left" w:pos="0"/>
        </w:tabs>
        <w:ind w:left="4320" w:hanging="420"/>
      </w:pPr>
    </w:lvl>
  </w:abstractNum>
  <w:abstractNum w:abstractNumId="1429342088">
    <w:nsid w:val="55320788"/>
    <w:multiLevelType w:val="multilevel"/>
    <w:tmpl w:val="55320788"/>
    <w:lvl w:ilvl="0" w:tentative="1">
      <w:start w:val="2"/>
      <w:numFmt w:val="japaneseCounting"/>
      <w:lvlText w:val="%1、"/>
      <w:lvlJc w:val="left"/>
      <w:pPr>
        <w:tabs>
          <w:tab w:val="left" w:pos="0"/>
        </w:tabs>
        <w:ind w:left="721" w:hanging="480"/>
      </w:pPr>
    </w:lvl>
    <w:lvl w:ilvl="1" w:tentative="1">
      <w:start w:val="1"/>
      <w:numFmt w:val="lowerLetter"/>
      <w:lvlText w:val="%2)"/>
      <w:lvlJc w:val="left"/>
      <w:pPr>
        <w:tabs>
          <w:tab w:val="left" w:pos="0"/>
        </w:tabs>
        <w:ind w:left="1081" w:hanging="420"/>
      </w:pPr>
    </w:lvl>
    <w:lvl w:ilvl="2" w:tentative="1">
      <w:start w:val="1"/>
      <w:numFmt w:val="lowerRoman"/>
      <w:lvlText w:val="%3."/>
      <w:lvlJc w:val="right"/>
      <w:pPr>
        <w:tabs>
          <w:tab w:val="left" w:pos="0"/>
        </w:tabs>
        <w:ind w:left="1501" w:hanging="420"/>
      </w:pPr>
    </w:lvl>
    <w:lvl w:ilvl="3" w:tentative="1">
      <w:start w:val="1"/>
      <w:numFmt w:val="decimal"/>
      <w:lvlText w:val="%4."/>
      <w:lvlJc w:val="left"/>
      <w:pPr>
        <w:tabs>
          <w:tab w:val="left" w:pos="0"/>
        </w:tabs>
        <w:ind w:left="1921" w:hanging="420"/>
      </w:pPr>
    </w:lvl>
    <w:lvl w:ilvl="4" w:tentative="1">
      <w:start w:val="1"/>
      <w:numFmt w:val="lowerLetter"/>
      <w:lvlText w:val="%5)"/>
      <w:lvlJc w:val="left"/>
      <w:pPr>
        <w:tabs>
          <w:tab w:val="left" w:pos="0"/>
        </w:tabs>
        <w:ind w:left="2341" w:hanging="420"/>
      </w:pPr>
    </w:lvl>
    <w:lvl w:ilvl="5" w:tentative="1">
      <w:start w:val="1"/>
      <w:numFmt w:val="lowerRoman"/>
      <w:lvlText w:val="%6."/>
      <w:lvlJc w:val="right"/>
      <w:pPr>
        <w:tabs>
          <w:tab w:val="left" w:pos="0"/>
        </w:tabs>
        <w:ind w:left="2761" w:hanging="420"/>
      </w:pPr>
    </w:lvl>
    <w:lvl w:ilvl="6" w:tentative="1">
      <w:start w:val="1"/>
      <w:numFmt w:val="decimal"/>
      <w:lvlText w:val="%7."/>
      <w:lvlJc w:val="left"/>
      <w:pPr>
        <w:tabs>
          <w:tab w:val="left" w:pos="0"/>
        </w:tabs>
        <w:ind w:left="3181" w:hanging="420"/>
      </w:pPr>
    </w:lvl>
    <w:lvl w:ilvl="7" w:tentative="1">
      <w:start w:val="1"/>
      <w:numFmt w:val="lowerLetter"/>
      <w:lvlText w:val="%8)"/>
      <w:lvlJc w:val="left"/>
      <w:pPr>
        <w:tabs>
          <w:tab w:val="left" w:pos="0"/>
        </w:tabs>
        <w:ind w:left="3601" w:hanging="420"/>
      </w:pPr>
    </w:lvl>
    <w:lvl w:ilvl="8" w:tentative="1">
      <w:start w:val="1"/>
      <w:numFmt w:val="lowerRoman"/>
      <w:lvlText w:val="%9."/>
      <w:lvlJc w:val="right"/>
      <w:pPr>
        <w:tabs>
          <w:tab w:val="left" w:pos="0"/>
        </w:tabs>
        <w:ind w:left="4021" w:hanging="420"/>
      </w:pPr>
    </w:lvl>
  </w:abstractNum>
  <w:num w:numId="1">
    <w:abstractNumId w:val="2500029777"/>
  </w:num>
  <w:num w:numId="2">
    <w:abstractNumId w:val="1429342088"/>
  </w:num>
  <w:num w:numId="3">
    <w:abstractNumId w:val="14293420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doNotBreakWrappedTables/>
    <w:doNotWrapTextWithPunct/>
    <w:doNotUseEastAsianBreakRules/>
    <w:growAutofit/>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42F236B"/>
    <w:rsid w:val="051E41F2"/>
    <w:rsid w:val="06443FD4"/>
    <w:rsid w:val="07277E4A"/>
    <w:rsid w:val="07BF4B46"/>
    <w:rsid w:val="08A3063C"/>
    <w:rsid w:val="097D251D"/>
    <w:rsid w:val="0A960A6B"/>
    <w:rsid w:val="0C337593"/>
    <w:rsid w:val="0D177805"/>
    <w:rsid w:val="117048C5"/>
    <w:rsid w:val="118A2253"/>
    <w:rsid w:val="11A021F8"/>
    <w:rsid w:val="11C0052E"/>
    <w:rsid w:val="12160F3D"/>
    <w:rsid w:val="12B02035"/>
    <w:rsid w:val="12E60311"/>
    <w:rsid w:val="151A37C8"/>
    <w:rsid w:val="162A486A"/>
    <w:rsid w:val="16F7073B"/>
    <w:rsid w:val="170B5EA3"/>
    <w:rsid w:val="17E625C2"/>
    <w:rsid w:val="187212AC"/>
    <w:rsid w:val="19445788"/>
    <w:rsid w:val="1BD937BC"/>
    <w:rsid w:val="1C1945A6"/>
    <w:rsid w:val="1E63486F"/>
    <w:rsid w:val="27F263D0"/>
    <w:rsid w:val="281C391F"/>
    <w:rsid w:val="29BE6110"/>
    <w:rsid w:val="2B122C35"/>
    <w:rsid w:val="2B470F10"/>
    <w:rsid w:val="2B88197A"/>
    <w:rsid w:val="2B937D0B"/>
    <w:rsid w:val="2BA8442D"/>
    <w:rsid w:val="2D71729C"/>
    <w:rsid w:val="31350C4C"/>
    <w:rsid w:val="31576C02"/>
    <w:rsid w:val="346F3BA7"/>
    <w:rsid w:val="35F75996"/>
    <w:rsid w:val="364D63A5"/>
    <w:rsid w:val="382B20B3"/>
    <w:rsid w:val="396665B7"/>
    <w:rsid w:val="3AE138A5"/>
    <w:rsid w:val="3B2D17A6"/>
    <w:rsid w:val="3B6E698C"/>
    <w:rsid w:val="3BDA7340"/>
    <w:rsid w:val="3D0038A0"/>
    <w:rsid w:val="3D2B37EA"/>
    <w:rsid w:val="404E1D8E"/>
    <w:rsid w:val="428D00BE"/>
    <w:rsid w:val="43661FA0"/>
    <w:rsid w:val="437C1F45"/>
    <w:rsid w:val="45743DEB"/>
    <w:rsid w:val="459B1F40"/>
    <w:rsid w:val="49C35B92"/>
    <w:rsid w:val="4B5D163C"/>
    <w:rsid w:val="4D4E4134"/>
    <w:rsid w:val="4E2C224E"/>
    <w:rsid w:val="50327D31"/>
    <w:rsid w:val="510A7E4A"/>
    <w:rsid w:val="51E6586D"/>
    <w:rsid w:val="520F4294"/>
    <w:rsid w:val="52295F56"/>
    <w:rsid w:val="52943970"/>
    <w:rsid w:val="556C60B3"/>
    <w:rsid w:val="5606068F"/>
    <w:rsid w:val="57335A1F"/>
    <w:rsid w:val="57EB51CE"/>
    <w:rsid w:val="5AC445F6"/>
    <w:rsid w:val="5BFF6ACC"/>
    <w:rsid w:val="5C0A6E8C"/>
    <w:rsid w:val="5E8F1627"/>
    <w:rsid w:val="5F4D3766"/>
    <w:rsid w:val="5F821A41"/>
    <w:rsid w:val="620D6B6D"/>
    <w:rsid w:val="629038C3"/>
    <w:rsid w:val="62D1432C"/>
    <w:rsid w:val="68C2756A"/>
    <w:rsid w:val="6A3C4858"/>
    <w:rsid w:val="6D8049B5"/>
    <w:rsid w:val="6D871E5D"/>
    <w:rsid w:val="6DB7708E"/>
    <w:rsid w:val="6E545927"/>
    <w:rsid w:val="6E9047F2"/>
    <w:rsid w:val="6FCA1077"/>
    <w:rsid w:val="6FE05419"/>
    <w:rsid w:val="71717CF1"/>
    <w:rsid w:val="72005413"/>
    <w:rsid w:val="72401A80"/>
    <w:rsid w:val="73DC4D25"/>
    <w:rsid w:val="745436E9"/>
    <w:rsid w:val="76FA6AD5"/>
    <w:rsid w:val="78861E4A"/>
    <w:rsid w:val="7B334F2B"/>
    <w:rsid w:val="7B5E4E76"/>
    <w:rsid w:val="7CEF6506"/>
    <w:rsid w:val="7CFA011A"/>
    <w:rsid w:val="7FE83C6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iPriority="99" w:name="toc 4"/>
    <w:lsdException w:uiPriority="99" w:name="toc 5"/>
    <w:lsdException w:uiPriority="99" w:name="toc 6"/>
    <w:lsdException w:uiPriority="99" w:name="toc 7"/>
    <w:lsdException w:uiPriority="99" w:name="toc 8"/>
    <w:lsdException w:uiPriority="99"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99" w:name="Message Header"/>
    <w:lsdException w:uiPriority="99"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uiPriority="99" w:name="Strong"/>
    <w:lsdException w:uiPriority="99"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uiPriority w:val="0"/>
    <w:pPr>
      <w:keepNext/>
      <w:keepLines/>
      <w:widowControl w:val="0"/>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4">
    <w:name w:val="heading 2"/>
    <w:basedOn w:val="1"/>
    <w:next w:val="3"/>
    <w:uiPriority w:val="0"/>
    <w:pPr>
      <w:keepNext/>
      <w:keepLines/>
      <w:widowControl w:val="0"/>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5">
    <w:name w:val="heading 3"/>
    <w:basedOn w:val="1"/>
    <w:next w:val="3"/>
    <w:uiPriority w:val="0"/>
    <w:pPr>
      <w:keepNext/>
      <w:keepLines/>
      <w:widowControl w:val="0"/>
      <w:numPr>
        <w:ilvl w:val="2"/>
        <w:numId w:val="1"/>
      </w:numPr>
      <w:tabs>
        <w:tab w:val="left" w:pos="360"/>
      </w:tabs>
      <w:adjustRightInd w:val="0"/>
      <w:spacing w:before="160" w:after="160" w:line="160" w:lineRule="atLeast"/>
      <w:ind w:left="851" w:hanging="284"/>
      <w:textAlignment w:val="baseline"/>
      <w:outlineLvl w:val="2"/>
    </w:pPr>
    <w:rPr>
      <w:rFonts w:ascii="黑体" w:eastAsia="黑体"/>
      <w:kern w:val="0"/>
      <w:sz w:val="28"/>
      <w:szCs w:val="20"/>
    </w:rPr>
  </w:style>
  <w:style w:type="paragraph" w:styleId="6">
    <w:name w:val="heading 4"/>
    <w:basedOn w:val="1"/>
    <w:next w:val="1"/>
    <w:uiPriority w:val="0"/>
    <w:pPr>
      <w:keepNext/>
      <w:keepLines/>
      <w:widowControl w:val="0"/>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uiPriority w:val="0"/>
    <w:pPr>
      <w:keepNext/>
      <w:keepLines/>
      <w:widowControl w:val="0"/>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8">
    <w:name w:val="heading 6"/>
    <w:basedOn w:val="1"/>
    <w:next w:val="1"/>
    <w:uiPriority w:val="0"/>
    <w:pPr>
      <w:keepNext/>
      <w:keepLines/>
      <w:widowControl w:val="0"/>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uiPriority w:val="0"/>
    <w:pPr>
      <w:keepNext/>
      <w:keepLines/>
      <w:widowControl w:val="0"/>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 w:val="24"/>
      <w:szCs w:val="20"/>
    </w:rPr>
  </w:style>
  <w:style w:type="paragraph" w:styleId="10">
    <w:name w:val="heading 8"/>
    <w:basedOn w:val="1"/>
    <w:next w:val="1"/>
    <w:uiPriority w:val="0"/>
    <w:pPr>
      <w:keepNext/>
      <w:keepLines/>
      <w:widowControl w:val="0"/>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uiPriority w:val="0"/>
    <w:pPr>
      <w:keepNext/>
      <w:keepLines/>
      <w:widowControl w:val="0"/>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1">
    <w:name w:val="Default Paragraph Font"/>
    <w:uiPriority w:val="0"/>
  </w:style>
  <w:style w:type="table" w:default="1" w:styleId="46">
    <w:name w:val="Normal Table"/>
    <w:unhideWhenUsed/>
    <w:uiPriority w:val="99"/>
    <w:tblPr>
      <w:tblStyle w:val="46"/>
      <w:tblLayout w:type="fixed"/>
      <w:tblCellMar>
        <w:top w:w="0" w:type="dxa"/>
        <w:left w:w="108" w:type="dxa"/>
        <w:bottom w:w="0" w:type="dxa"/>
        <w:right w:w="108" w:type="dxa"/>
      </w:tblCellMar>
    </w:tblPr>
    <w:tcPr>
      <w:textDirection w:val="lrTb"/>
    </w:tcPr>
  </w:style>
  <w:style w:type="paragraph" w:customStyle="1" w:styleId="3">
    <w:name w:val="文档正文"/>
    <w:basedOn w:val="1"/>
    <w:uiPriority w:val="0"/>
    <w:pPr>
      <w:adjustRightInd w:val="0"/>
      <w:spacing w:line="480" w:lineRule="atLeast"/>
      <w:ind w:firstLine="567"/>
      <w:textAlignment w:val="baseline"/>
    </w:pPr>
    <w:rPr>
      <w:rFonts w:ascii="仿宋_GB2312" w:eastAsia="仿宋_GB2312"/>
      <w:kern w:val="0"/>
      <w:sz w:val="28"/>
      <w:szCs w:val="20"/>
    </w:rPr>
  </w:style>
  <w:style w:type="paragraph" w:styleId="12">
    <w:name w:val="List 3"/>
    <w:basedOn w:val="1"/>
    <w:uiPriority w:val="0"/>
    <w:pPr>
      <w:ind w:left="600" w:leftChars="400" w:hanging="200" w:hangingChars="200"/>
    </w:pPr>
    <w:rPr>
      <w:rFonts w:ascii="Times New Roman" w:hAnsi="Times New Roman"/>
      <w:szCs w:val="20"/>
    </w:rPr>
  </w:style>
  <w:style w:type="paragraph" w:styleId="13">
    <w:name w:val="annotation subject"/>
    <w:basedOn w:val="14"/>
    <w:next w:val="14"/>
    <w:uiPriority w:val="0"/>
    <w:rPr>
      <w:b/>
      <w:bCs/>
    </w:rPr>
  </w:style>
  <w:style w:type="paragraph" w:styleId="14">
    <w:name w:val="annotation text"/>
    <w:basedOn w:val="1"/>
    <w:uiPriority w:val="0"/>
    <w:pPr>
      <w:jc w:val="left"/>
    </w:pPr>
  </w:style>
  <w:style w:type="paragraph" w:styleId="15">
    <w:name w:val="Normal Indent"/>
    <w:basedOn w:val="1"/>
    <w:uiPriority w:val="0"/>
    <w:pPr>
      <w:ind w:firstLine="420"/>
    </w:pPr>
    <w:rPr>
      <w:rFonts w:ascii="Times New Roman" w:hAnsi="Times New Roman"/>
      <w:sz w:val="28"/>
      <w:szCs w:val="20"/>
    </w:rPr>
  </w:style>
  <w:style w:type="paragraph" w:styleId="16">
    <w:name w:val="caption"/>
    <w:basedOn w:val="1"/>
    <w:next w:val="1"/>
    <w:uiPriority w:val="0"/>
    <w:pPr>
      <w:spacing w:before="152" w:after="160"/>
    </w:pPr>
    <w:rPr>
      <w:rFonts w:ascii="Arial" w:hAnsi="Arial" w:eastAsia="黑体" w:cs="Arial"/>
      <w:sz w:val="20"/>
      <w:szCs w:val="20"/>
    </w:rPr>
  </w:style>
  <w:style w:type="paragraph" w:styleId="17">
    <w:name w:val="Body Text 3"/>
    <w:basedOn w:val="1"/>
    <w:uiPriority w:val="0"/>
    <w:pPr>
      <w:spacing w:after="120"/>
    </w:pPr>
    <w:rPr>
      <w:rFonts w:ascii="Times New Roman" w:hAnsi="Times New Roman"/>
      <w:sz w:val="16"/>
      <w:szCs w:val="16"/>
    </w:rPr>
  </w:style>
  <w:style w:type="paragraph" w:styleId="18">
    <w:name w:val="Body Text"/>
    <w:basedOn w:val="1"/>
    <w:uiPriority w:val="0"/>
    <w:pPr>
      <w:spacing w:line="360" w:lineRule="auto"/>
    </w:pPr>
    <w:rPr>
      <w:rFonts w:ascii="Times New Roman" w:hAnsi="Times New Roman"/>
      <w:sz w:val="24"/>
      <w:szCs w:val="20"/>
    </w:rPr>
  </w:style>
  <w:style w:type="paragraph" w:styleId="19">
    <w:name w:val="Body Text Indent"/>
    <w:basedOn w:val="1"/>
    <w:uiPriority w:val="0"/>
    <w:pPr>
      <w:ind w:firstLine="645"/>
    </w:pPr>
    <w:rPr>
      <w:rFonts w:ascii="宋体"/>
      <w:sz w:val="32"/>
      <w:szCs w:val="20"/>
    </w:rPr>
  </w:style>
  <w:style w:type="paragraph" w:styleId="20">
    <w:name w:val="List 2"/>
    <w:basedOn w:val="1"/>
    <w:uiPriority w:val="0"/>
    <w:pPr>
      <w:ind w:left="400" w:leftChars="200" w:hanging="200" w:hangingChars="200"/>
    </w:pPr>
    <w:rPr>
      <w:rFonts w:ascii="Times New Roman" w:hAnsi="Times New Roman"/>
      <w:szCs w:val="20"/>
    </w:rPr>
  </w:style>
  <w:style w:type="paragraph" w:styleId="21">
    <w:name w:val="toc 3"/>
    <w:basedOn w:val="1"/>
    <w:next w:val="1"/>
    <w:uiPriority w:val="0"/>
    <w:pPr>
      <w:tabs>
        <w:tab w:val="right" w:leader="dot" w:pos="8776"/>
      </w:tabs>
      <w:spacing w:line="400" w:lineRule="exact"/>
      <w:ind w:left="400" w:leftChars="400" w:firstLine="200" w:firstLineChars="200"/>
    </w:pPr>
    <w:rPr>
      <w:rFonts w:ascii="宋体"/>
      <w:bCs/>
      <w:sz w:val="18"/>
      <w:szCs w:val="18"/>
    </w:rPr>
  </w:style>
  <w:style w:type="paragraph" w:styleId="22">
    <w:name w:val="Plain Text"/>
    <w:basedOn w:val="1"/>
    <w:uiPriority w:val="0"/>
    <w:pPr>
      <w:spacing w:line="360" w:lineRule="auto"/>
      <w:ind w:firstLine="200" w:firstLineChars="200"/>
    </w:pPr>
    <w:rPr>
      <w:rFonts w:ascii="宋体" w:hAnsi="宋体" w:eastAsia="仿宋_GB2312" w:cs="Courier New"/>
      <w:sz w:val="24"/>
      <w:szCs w:val="21"/>
    </w:rPr>
  </w:style>
  <w:style w:type="paragraph" w:styleId="23">
    <w:name w:val="Date"/>
    <w:basedOn w:val="1"/>
    <w:next w:val="1"/>
    <w:uiPriority w:val="0"/>
    <w:pPr>
      <w:ind w:left="2500" w:leftChars="2500"/>
    </w:pPr>
  </w:style>
  <w:style w:type="paragraph" w:styleId="24">
    <w:name w:val="Body Text Indent 2"/>
    <w:basedOn w:val="1"/>
    <w:uiPriority w:val="0"/>
    <w:pPr>
      <w:ind w:firstLine="630"/>
    </w:pPr>
    <w:rPr>
      <w:rFonts w:ascii="宋体"/>
      <w:sz w:val="32"/>
      <w:szCs w:val="20"/>
    </w:rPr>
  </w:style>
  <w:style w:type="paragraph" w:styleId="25">
    <w:name w:val="List Continue 5"/>
    <w:basedOn w:val="1"/>
    <w:uiPriority w:val="0"/>
    <w:pPr>
      <w:spacing w:after="120"/>
      <w:ind w:left="1000" w:leftChars="1000"/>
    </w:pPr>
    <w:rPr>
      <w:rFonts w:ascii="Times New Roman" w:hAnsi="Times New Roman"/>
      <w:szCs w:val="20"/>
    </w:rPr>
  </w:style>
  <w:style w:type="paragraph" w:styleId="26">
    <w:name w:val="Balloon Text"/>
    <w:basedOn w:val="1"/>
    <w:uiPriority w:val="0"/>
    <w:rPr>
      <w:sz w:val="18"/>
      <w:szCs w:val="18"/>
    </w:rPr>
  </w:style>
  <w:style w:type="paragraph" w:styleId="27">
    <w:name w:val="footer"/>
    <w:basedOn w:val="1"/>
    <w:uiPriority w:val="0"/>
    <w:pPr>
      <w:tabs>
        <w:tab w:val="center" w:pos="4153"/>
        <w:tab w:val="right" w:pos="8306"/>
      </w:tabs>
      <w:snapToGrid w:val="0"/>
      <w:jc w:val="left"/>
    </w:pPr>
    <w:rPr>
      <w:kern w:val="0"/>
      <w:sz w:val="18"/>
      <w:szCs w:val="18"/>
    </w:rPr>
  </w:style>
  <w:style w:type="paragraph" w:styleId="28">
    <w:name w:val="header"/>
    <w:basedOn w:val="1"/>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uiPriority w:val="0"/>
    <w:pPr>
      <w:tabs>
        <w:tab w:val="right" w:leader="dot" w:pos="8776"/>
      </w:tabs>
      <w:spacing w:line="360" w:lineRule="exact"/>
      <w:ind w:firstLine="200" w:firstLineChars="200"/>
    </w:pPr>
    <w:rPr>
      <w:rFonts w:ascii="华文中宋" w:eastAsia="华文中宋"/>
      <w:b/>
      <w:sz w:val="24"/>
      <w:szCs w:val="24"/>
    </w:rPr>
  </w:style>
  <w:style w:type="paragraph" w:styleId="30">
    <w:name w:val="List Continue 4"/>
    <w:basedOn w:val="1"/>
    <w:uiPriority w:val="0"/>
    <w:pPr>
      <w:spacing w:after="120"/>
      <w:ind w:left="800" w:leftChars="800"/>
    </w:pPr>
    <w:rPr>
      <w:rFonts w:ascii="Times New Roman" w:hAnsi="Times New Roman"/>
      <w:szCs w:val="20"/>
    </w:rPr>
  </w:style>
  <w:style w:type="paragraph" w:styleId="31">
    <w:name w:val="List"/>
    <w:basedOn w:val="1"/>
    <w:uiPriority w:val="0"/>
    <w:pPr>
      <w:ind w:left="200" w:hanging="200" w:hangingChars="200"/>
    </w:pPr>
    <w:rPr>
      <w:rFonts w:ascii="Times New Roman" w:hAnsi="Times New Roman"/>
      <w:szCs w:val="20"/>
    </w:rPr>
  </w:style>
  <w:style w:type="paragraph" w:styleId="32">
    <w:name w:val="footnote text"/>
    <w:basedOn w:val="1"/>
    <w:uiPriority w:val="0"/>
    <w:pPr>
      <w:adjustRightInd w:val="0"/>
      <w:spacing w:line="312" w:lineRule="atLeast"/>
      <w:jc w:val="left"/>
    </w:pPr>
    <w:rPr>
      <w:rFonts w:ascii="Times New Roman" w:hAnsi="Times New Roman"/>
      <w:kern w:val="0"/>
      <w:sz w:val="18"/>
      <w:szCs w:val="20"/>
    </w:rPr>
  </w:style>
  <w:style w:type="paragraph" w:styleId="33">
    <w:name w:val="List 5"/>
    <w:basedOn w:val="1"/>
    <w:uiPriority w:val="0"/>
    <w:pPr>
      <w:ind w:left="1000" w:leftChars="800" w:hanging="200" w:hangingChars="200"/>
    </w:pPr>
    <w:rPr>
      <w:rFonts w:ascii="Times New Roman" w:hAnsi="Times New Roman"/>
      <w:szCs w:val="20"/>
    </w:rPr>
  </w:style>
  <w:style w:type="paragraph" w:styleId="34">
    <w:name w:val="Body Text Indent 3"/>
    <w:basedOn w:val="1"/>
    <w:uiPriority w:val="0"/>
    <w:pPr>
      <w:spacing w:line="360" w:lineRule="auto"/>
      <w:ind w:firstLine="468"/>
    </w:pPr>
    <w:rPr>
      <w:rFonts w:ascii="Times New Roman" w:hAnsi="Times New Roman"/>
      <w:sz w:val="24"/>
      <w:szCs w:val="20"/>
    </w:rPr>
  </w:style>
  <w:style w:type="paragraph" w:styleId="35">
    <w:name w:val="toc 2"/>
    <w:basedOn w:val="1"/>
    <w:next w:val="1"/>
    <w:uiPriority w:val="0"/>
    <w:pPr>
      <w:tabs>
        <w:tab w:val="right" w:leader="dot" w:pos="8776"/>
      </w:tabs>
      <w:spacing w:line="360" w:lineRule="auto"/>
      <w:ind w:left="200" w:leftChars="200" w:firstLine="200" w:firstLineChars="200"/>
      <w:jc w:val="distribute"/>
    </w:pPr>
    <w:rPr>
      <w:rFonts w:ascii="华文中宋" w:eastAsia="华文中宋"/>
      <w:sz w:val="24"/>
      <w:szCs w:val="24"/>
    </w:rPr>
  </w:style>
  <w:style w:type="paragraph" w:styleId="36">
    <w:name w:val="Body Text 2"/>
    <w:basedOn w:val="1"/>
    <w:uiPriority w:val="0"/>
    <w:pPr>
      <w:spacing w:after="120" w:line="480" w:lineRule="auto"/>
    </w:pPr>
    <w:rPr>
      <w:rFonts w:ascii="Times New Roman" w:hAnsi="Times New Roman"/>
      <w:szCs w:val="20"/>
    </w:rPr>
  </w:style>
  <w:style w:type="paragraph" w:styleId="37">
    <w:name w:val="List 4"/>
    <w:basedOn w:val="1"/>
    <w:uiPriority w:val="0"/>
    <w:pPr>
      <w:ind w:left="800" w:leftChars="600" w:hanging="200" w:hangingChars="200"/>
    </w:pPr>
    <w:rPr>
      <w:rFonts w:ascii="Times New Roman" w:hAnsi="Times New Roman"/>
      <w:szCs w:val="20"/>
    </w:rPr>
  </w:style>
  <w:style w:type="paragraph" w:styleId="38">
    <w:name w:val="List Continue 2"/>
    <w:basedOn w:val="1"/>
    <w:uiPriority w:val="0"/>
    <w:pPr>
      <w:spacing w:after="120"/>
      <w:ind w:left="400" w:leftChars="400"/>
    </w:pPr>
    <w:rPr>
      <w:rFonts w:ascii="Times New Roman" w:hAnsi="Times New Roman"/>
      <w:szCs w:val="20"/>
    </w:rPr>
  </w:style>
  <w:style w:type="paragraph" w:styleId="39">
    <w:name w:val="Normal (Web)"/>
    <w:basedOn w:val="1"/>
    <w:uiPriority w:val="0"/>
    <w:pPr>
      <w:widowControl/>
      <w:spacing w:before="100" w:beforeAutospacing="1" w:after="100" w:afterAutospacing="1"/>
      <w:jc w:val="left"/>
    </w:pPr>
    <w:rPr>
      <w:rFonts w:ascii="宋体"/>
      <w:kern w:val="0"/>
      <w:sz w:val="24"/>
      <w:szCs w:val="24"/>
    </w:rPr>
  </w:style>
  <w:style w:type="paragraph" w:styleId="40">
    <w:name w:val="List Continue 3"/>
    <w:basedOn w:val="1"/>
    <w:uiPriority w:val="0"/>
    <w:pPr>
      <w:spacing w:after="120"/>
      <w:ind w:left="600" w:leftChars="600"/>
    </w:pPr>
    <w:rPr>
      <w:rFonts w:ascii="Times New Roman" w:hAnsi="Times New Roman"/>
      <w:szCs w:val="20"/>
    </w:rPr>
  </w:style>
  <w:style w:type="character" w:styleId="42">
    <w:name w:val="page number"/>
    <w:basedOn w:val="41"/>
    <w:uiPriority w:val="0"/>
    <w:rPr/>
  </w:style>
  <w:style w:type="character" w:styleId="43">
    <w:name w:val="FollowedHyperlink"/>
    <w:basedOn w:val="41"/>
    <w:uiPriority w:val="0"/>
    <w:rPr>
      <w:color w:val="800080"/>
      <w:u w:val="single"/>
    </w:rPr>
  </w:style>
  <w:style w:type="character" w:styleId="44">
    <w:name w:val="Hyperlink"/>
    <w:basedOn w:val="41"/>
    <w:uiPriority w:val="0"/>
    <w:rPr>
      <w:color w:val="0000FF"/>
      <w:u w:val="single"/>
    </w:rPr>
  </w:style>
  <w:style w:type="character" w:styleId="45">
    <w:name w:val="annotation reference"/>
    <w:basedOn w:val="41"/>
    <w:uiPriority w:val="0"/>
    <w:rPr>
      <w:sz w:val="21"/>
      <w:szCs w:val="21"/>
    </w:rPr>
  </w:style>
  <w:style w:type="paragraph" w:customStyle="1" w:styleId="47">
    <w:name w:val="表格"/>
    <w:basedOn w:val="1"/>
    <w:uiPriority w:val="0"/>
    <w:pPr>
      <w:adjustRightInd w:val="0"/>
      <w:spacing w:line="400" w:lineRule="atLeast"/>
      <w:textAlignment w:val="baseline"/>
    </w:pPr>
    <w:rPr>
      <w:rFonts w:ascii="仿宋_GB2312" w:eastAsia="仿宋_GB2312"/>
      <w:kern w:val="0"/>
      <w:sz w:val="28"/>
      <w:szCs w:val="20"/>
    </w:rPr>
  </w:style>
  <w:style w:type="paragraph" w:customStyle="1" w:styleId="48">
    <w:name w:val="简单回函地址"/>
    <w:basedOn w:val="1"/>
    <w:uiPriority w:val="0"/>
    <w:rPr>
      <w:rFonts w:ascii="Times New Roman" w:hAnsi="Times New Roman"/>
      <w:szCs w:val="20"/>
    </w:rPr>
  </w:style>
  <w:style w:type="paragraph" w:customStyle="1" w:styleId="49">
    <w:name w:val="Blockquote"/>
    <w:basedOn w:val="1"/>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0">
    <w:name w:val="font5"/>
    <w:basedOn w:val="1"/>
    <w:uiPriority w:val="0"/>
    <w:pPr>
      <w:widowControl/>
      <w:spacing w:before="100" w:beforeAutospacing="1" w:after="100" w:afterAutospacing="1" w:line="360" w:lineRule="auto"/>
      <w:ind w:firstLine="200" w:firstLineChars="200"/>
      <w:jc w:val="left"/>
    </w:pPr>
    <w:rPr>
      <w:rFonts w:ascii="宋体" w:hAnsi="宋体" w:eastAsia="仿宋_GB2312" w:cs="Arial Unicode MS"/>
      <w:kern w:val="0"/>
      <w:sz w:val="24"/>
      <w:szCs w:val="24"/>
    </w:rPr>
  </w:style>
  <w:style w:type="paragraph" w:customStyle="1" w:styleId="51">
    <w:name w:val="font6"/>
    <w:basedOn w:val="1"/>
    <w:uiPriority w:val="0"/>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52">
    <w:name w:val="font7"/>
    <w:basedOn w:val="1"/>
    <w:uiPriority w:val="0"/>
    <w:pPr>
      <w:widowControl/>
      <w:spacing w:before="100" w:beforeAutospacing="1" w:after="100" w:afterAutospacing="1" w:line="360" w:lineRule="auto"/>
      <w:ind w:firstLine="200" w:firstLineChars="200"/>
      <w:jc w:val="left"/>
    </w:pPr>
    <w:rPr>
      <w:rFonts w:ascii="仿宋_GB2312" w:hAnsi="仿宋_GB2312" w:eastAsia="Arial Unicode MS"/>
      <w:kern w:val="0"/>
      <w:sz w:val="24"/>
      <w:szCs w:val="24"/>
    </w:rPr>
  </w:style>
  <w:style w:type="paragraph" w:customStyle="1" w:styleId="53">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Arial Unicode MS" w:cs="Arial Unicode MS"/>
      <w:kern w:val="0"/>
      <w:sz w:val="24"/>
      <w:szCs w:val="24"/>
    </w:rPr>
  </w:style>
  <w:style w:type="paragraph" w:customStyle="1" w:styleId="54">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Arial Unicode MS" w:cs="Arial Unicode MS"/>
      <w:kern w:val="0"/>
      <w:sz w:val="24"/>
      <w:szCs w:val="24"/>
    </w:rPr>
  </w:style>
  <w:style w:type="paragraph" w:customStyle="1" w:styleId="55">
    <w:name w:val="xl2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Arial Unicode MS" w:cs="Arial Unicode MS"/>
      <w:kern w:val="0"/>
      <w:sz w:val="18"/>
      <w:szCs w:val="18"/>
    </w:rPr>
  </w:style>
  <w:style w:type="paragraph" w:customStyle="1" w:styleId="56">
    <w:name w:val="正文内容"/>
    <w:basedOn w:val="1"/>
    <w:uiPriority w:val="0"/>
    <w:pPr>
      <w:widowControl/>
      <w:jc w:val="left"/>
    </w:pPr>
    <w:rPr>
      <w:rFonts w:ascii="宋体" w:cs="宋体"/>
      <w:kern w:val="0"/>
      <w:sz w:val="28"/>
      <w:szCs w:val="24"/>
    </w:rPr>
  </w:style>
  <w:style w:type="paragraph" w:customStyle="1" w:styleId="57">
    <w:name w:val="Default Text"/>
    <w:basedOn w:val="1"/>
    <w:uiPriority w:val="0"/>
    <w:pPr>
      <w:widowControl/>
      <w:overflowPunct w:val="0"/>
      <w:autoSpaceDE w:val="0"/>
      <w:autoSpaceDN w:val="0"/>
      <w:adjustRightInd w:val="0"/>
      <w:jc w:val="left"/>
      <w:textAlignment w:val="baseline"/>
    </w:pPr>
    <w:rPr>
      <w:rFonts w:ascii="Times New Roman" w:hAnsi="Times New Roman"/>
      <w:kern w:val="0"/>
      <w:sz w:val="24"/>
      <w:szCs w:val="24"/>
    </w:rPr>
  </w:style>
  <w:style w:type="paragraph" w:customStyle="1" w:styleId="58">
    <w:name w:val="_Style 6"/>
    <w:basedOn w:val="1"/>
    <w:uiPriority w:val="0"/>
    <w:pPr>
      <w:adjustRightInd w:val="0"/>
      <w:spacing w:line="360" w:lineRule="atLeast"/>
    </w:pPr>
    <w:rPr>
      <w:rFonts w:ascii="Times New Roman" w:hAnsi="Times New Roman"/>
      <w:szCs w:val="24"/>
    </w:rPr>
  </w:style>
  <w:style w:type="paragraph" w:customStyle="1" w:styleId="59">
    <w:name w:val="p0"/>
    <w:basedOn w:val="1"/>
    <w:uiPriority w:val="0"/>
    <w:pPr>
      <w:widowControl/>
    </w:pPr>
    <w:rPr>
      <w:rFonts w:ascii="Times New Roman" w:hAnsi="Times New Roman"/>
      <w:kern w:val="0"/>
      <w:szCs w:val="21"/>
    </w:rPr>
  </w:style>
  <w:style w:type="character" w:customStyle="1" w:styleId="60">
    <w:name w:val="1051"/>
    <w:basedOn w:val="41"/>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44</Pages>
  <Words>17492</Words>
  <Characters>18922</Characters>
  <Lines>2387</Lines>
  <Paragraphs>1090</Paragraphs>
  <ScaleCrop>false</ScaleCrop>
  <LinksUpToDate>false</LinksUpToDate>
  <CharactersWithSpaces>0</CharactersWithSpaces>
  <Application>WPS Office_9.1.0.5108_{F1E327BC-269C-435d-A152-05C5408002CA}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Administrator</cp:lastModifiedBy>
  <cp:lastPrinted>2012-05-18T09:29:00Z</cp:lastPrinted>
  <dcterms:modified xsi:type="dcterms:W3CDTF">2015-06-25T03:19:36Z</dcterms:modified>
  <dc:title>洛</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