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szCs w:val="24"/>
        </w:rPr>
      </w:pPr>
      <w:r>
        <w:rPr>
          <w:rFonts w:hint="eastAsia" w:ascii="宋体" w:hAnsi="宋体"/>
          <w:szCs w:val="24"/>
        </w:rPr>
        <w:t xml:space="preserve">       </w:t>
      </w:r>
    </w:p>
    <w:p>
      <w:pPr>
        <w:rPr>
          <w:rFonts w:ascii="宋体" w:hAnsi="宋体"/>
          <w:szCs w:val="24"/>
        </w:rPr>
      </w:pPr>
    </w:p>
    <w:p>
      <w:pPr>
        <w:rPr>
          <w:rFonts w:ascii="宋体" w:hAnsi="宋体"/>
          <w:szCs w:val="24"/>
        </w:rPr>
      </w:pPr>
    </w:p>
    <w:p>
      <w:pPr>
        <w:rPr>
          <w:rFonts w:ascii="宋体" w:hAnsi="宋体"/>
          <w:szCs w:val="24"/>
        </w:rPr>
      </w:pPr>
    </w:p>
    <w:p>
      <w:pPr>
        <w:rPr>
          <w:rFonts w:ascii="宋体" w:hAnsi="宋体"/>
          <w:szCs w:val="24"/>
        </w:rPr>
      </w:pPr>
    </w:p>
    <w:p>
      <w:pPr>
        <w:jc w:val="center"/>
        <w:rPr>
          <w:rFonts w:ascii="宋体" w:hAnsi="宋体"/>
          <w:sz w:val="44"/>
          <w:szCs w:val="44"/>
        </w:rPr>
      </w:pPr>
      <w:r>
        <w:rPr>
          <w:rFonts w:hint="eastAsia" w:ascii="宋体" w:hAnsi="宋体"/>
          <w:sz w:val="44"/>
          <w:szCs w:val="44"/>
        </w:rPr>
        <w:t>洛阳市洛龙区伊河湾项目形象墙</w:t>
      </w:r>
    </w:p>
    <w:p>
      <w:pPr>
        <w:jc w:val="center"/>
        <w:rPr>
          <w:rFonts w:ascii="宋体" w:hAnsi="宋体"/>
          <w:sz w:val="44"/>
          <w:szCs w:val="44"/>
        </w:rPr>
      </w:pPr>
      <w:r>
        <w:rPr>
          <w:rFonts w:hint="eastAsia" w:ascii="宋体" w:hAnsi="宋体"/>
          <w:sz w:val="44"/>
          <w:szCs w:val="44"/>
        </w:rPr>
        <w:t>制作及安装合同</w:t>
      </w:r>
    </w:p>
    <w:p>
      <w:pPr>
        <w:rPr>
          <w:rFonts w:ascii="宋体" w:hAnsi="宋体"/>
          <w:szCs w:val="24"/>
        </w:rPr>
      </w:pPr>
    </w:p>
    <w:p>
      <w:pPr>
        <w:rPr>
          <w:rFonts w:ascii="宋体" w:hAnsi="宋体"/>
          <w:szCs w:val="24"/>
        </w:rPr>
      </w:pPr>
    </w:p>
    <w:p>
      <w:pPr>
        <w:rPr>
          <w:rFonts w:ascii="宋体" w:hAnsi="宋体"/>
          <w:szCs w:val="24"/>
        </w:rPr>
      </w:pPr>
    </w:p>
    <w:p>
      <w:pPr>
        <w:rPr>
          <w:rFonts w:ascii="宋体" w:hAnsi="宋体"/>
          <w:szCs w:val="24"/>
        </w:rPr>
      </w:pPr>
    </w:p>
    <w:p>
      <w:pPr>
        <w:rPr>
          <w:rFonts w:ascii="宋体" w:hAnsi="宋体"/>
          <w:szCs w:val="24"/>
        </w:rPr>
      </w:pPr>
    </w:p>
    <w:p>
      <w:pPr>
        <w:rPr>
          <w:rFonts w:ascii="宋体" w:hAnsi="宋体" w:cs="宋体"/>
          <w:sz w:val="30"/>
          <w:szCs w:val="30"/>
        </w:rPr>
      </w:pPr>
      <w:r>
        <w:rPr>
          <w:rFonts w:hint="eastAsia" w:ascii="宋体" w:hAnsi="宋体" w:cs="宋体"/>
          <w:sz w:val="30"/>
          <w:szCs w:val="30"/>
        </w:rPr>
        <w:t xml:space="preserve">                  </w:t>
      </w:r>
    </w:p>
    <w:p>
      <w:pPr>
        <w:rPr>
          <w:rFonts w:ascii="宋体" w:hAnsi="宋体" w:cs="宋体"/>
          <w:sz w:val="30"/>
          <w:szCs w:val="30"/>
        </w:rPr>
      </w:pPr>
    </w:p>
    <w:p>
      <w:pPr>
        <w:rPr>
          <w:rFonts w:ascii="宋体" w:hAnsi="宋体" w:cs="宋体"/>
          <w:sz w:val="30"/>
          <w:szCs w:val="30"/>
        </w:rPr>
      </w:pPr>
    </w:p>
    <w:p>
      <w:pPr>
        <w:rPr>
          <w:rFonts w:ascii="宋体" w:hAnsi="宋体" w:cs="宋体"/>
          <w:sz w:val="30"/>
          <w:szCs w:val="30"/>
        </w:rPr>
      </w:pPr>
    </w:p>
    <w:p>
      <w:pPr>
        <w:rPr>
          <w:rFonts w:ascii="宋体" w:hAnsi="宋体" w:cs="宋体"/>
          <w:sz w:val="30"/>
          <w:szCs w:val="30"/>
        </w:rPr>
      </w:pPr>
    </w:p>
    <w:p>
      <w:pPr>
        <w:rPr>
          <w:rFonts w:ascii="宋体" w:hAnsi="宋体" w:cs="宋体"/>
          <w:sz w:val="30"/>
          <w:szCs w:val="30"/>
        </w:rPr>
      </w:pPr>
    </w:p>
    <w:p>
      <w:pPr>
        <w:ind w:firstLine="1500" w:firstLineChars="500"/>
        <w:rPr>
          <w:rFonts w:ascii="宋体" w:hAnsi="宋体" w:cs="宋体"/>
          <w:sz w:val="30"/>
          <w:szCs w:val="30"/>
          <w:u w:val="single"/>
        </w:rPr>
      </w:pPr>
      <w:r>
        <w:rPr>
          <w:rFonts w:hint="eastAsia" w:ascii="宋体" w:hAnsi="宋体" w:cs="宋体"/>
          <w:sz w:val="30"/>
          <w:szCs w:val="30"/>
        </w:rPr>
        <w:t>合同编号：</w:t>
      </w:r>
      <w:r>
        <w:rPr>
          <w:rFonts w:hint="eastAsia" w:ascii="宋体" w:hAnsi="宋体" w:cs="宋体"/>
          <w:sz w:val="30"/>
          <w:szCs w:val="30"/>
          <w:u w:val="single"/>
        </w:rPr>
        <w:t>YHW.C06</w:t>
      </w:r>
      <w:r>
        <w:rPr>
          <w:rFonts w:ascii="宋体" w:hAnsi="宋体" w:cs="宋体"/>
          <w:sz w:val="30"/>
          <w:szCs w:val="30"/>
          <w:u w:val="single"/>
        </w:rPr>
        <w:t>-</w:t>
      </w:r>
      <w:r>
        <w:rPr>
          <w:rFonts w:hint="eastAsia" w:ascii="宋体" w:hAnsi="宋体" w:cs="宋体"/>
          <w:sz w:val="30"/>
          <w:szCs w:val="30"/>
          <w:u w:val="single"/>
        </w:rPr>
        <w:t>YX-</w:t>
      </w:r>
      <w:r>
        <w:rPr>
          <w:rFonts w:ascii="宋体" w:hAnsi="宋体" w:cs="宋体"/>
          <w:sz w:val="30"/>
          <w:szCs w:val="30"/>
          <w:u w:val="single"/>
        </w:rPr>
        <w:t>0</w:t>
      </w:r>
      <w:r>
        <w:rPr>
          <w:rFonts w:hint="eastAsia" w:ascii="宋体" w:hAnsi="宋体" w:cs="宋体"/>
          <w:sz w:val="30"/>
          <w:szCs w:val="30"/>
          <w:u w:val="single"/>
        </w:rPr>
        <w:t>08</w:t>
      </w:r>
    </w:p>
    <w:p>
      <w:pPr>
        <w:ind w:firstLine="1500" w:firstLineChars="500"/>
        <w:rPr>
          <w:rFonts w:ascii="宋体" w:hAnsi="宋体" w:cs="宋体"/>
          <w:sz w:val="30"/>
          <w:szCs w:val="30"/>
        </w:rPr>
      </w:pPr>
      <w:r>
        <w:rPr>
          <w:rFonts w:hint="eastAsia" w:ascii="宋体" w:hAnsi="宋体" w:cs="宋体"/>
          <w:sz w:val="30"/>
          <w:szCs w:val="30"/>
        </w:rPr>
        <w:t>甲方：</w:t>
      </w:r>
      <w:r>
        <w:rPr>
          <w:rFonts w:hint="eastAsia" w:ascii="宋体" w:hAnsi="宋体" w:cs="宋体"/>
          <w:sz w:val="30"/>
          <w:szCs w:val="30"/>
          <w:u w:val="single"/>
        </w:rPr>
        <w:t>河南浩德新澜置业有限公司</w:t>
      </w:r>
    </w:p>
    <w:p>
      <w:pPr>
        <w:ind w:firstLine="1500" w:firstLineChars="500"/>
        <w:rPr>
          <w:rFonts w:ascii="宋体" w:hAnsi="宋体" w:cs="微软雅黑"/>
          <w:sz w:val="30"/>
          <w:szCs w:val="30"/>
          <w:u w:val="single"/>
        </w:rPr>
      </w:pPr>
      <w:r>
        <w:rPr>
          <w:rFonts w:hint="eastAsia" w:ascii="宋体" w:hAnsi="宋体" w:cs="宋体"/>
          <w:sz w:val="30"/>
          <w:szCs w:val="30"/>
        </w:rPr>
        <w:t>乙方：</w:t>
      </w:r>
      <w:r>
        <w:rPr>
          <w:rFonts w:hint="eastAsia" w:ascii="宋体" w:hAnsi="宋体" w:cs="宋体"/>
          <w:sz w:val="30"/>
          <w:szCs w:val="30"/>
          <w:u w:val="single"/>
        </w:rPr>
        <w:t>河南万企广告有限公司</w:t>
      </w:r>
    </w:p>
    <w:tbl>
      <w:tblPr>
        <w:tblStyle w:val="9"/>
        <w:tblpPr w:leftFromText="187" w:rightFromText="187" w:horzAnchor="margin" w:tblpXSpec="center" w:tblpYSpec="bottom"/>
        <w:tblW w:w="0" w:type="auto"/>
        <w:tblInd w:w="0" w:type="dxa"/>
        <w:tblLayout w:type="fixed"/>
        <w:tblCellMar>
          <w:top w:w="0" w:type="dxa"/>
          <w:left w:w="108" w:type="dxa"/>
          <w:bottom w:w="0" w:type="dxa"/>
          <w:right w:w="108" w:type="dxa"/>
        </w:tblCellMar>
      </w:tblPr>
      <w:tblGrid>
        <w:gridCol w:w="10420"/>
      </w:tblGrid>
      <w:tr>
        <w:tblPrEx>
          <w:tblCellMar>
            <w:top w:w="0" w:type="dxa"/>
            <w:left w:w="108" w:type="dxa"/>
            <w:bottom w:w="0" w:type="dxa"/>
            <w:right w:w="108" w:type="dxa"/>
          </w:tblCellMar>
        </w:tblPrEx>
        <w:tc>
          <w:tcPr>
            <w:tcW w:w="10420" w:type="dxa"/>
          </w:tcPr>
          <w:p>
            <w:pPr>
              <w:pStyle w:val="17"/>
              <w:spacing w:line="360" w:lineRule="auto"/>
              <w:rPr>
                <w:rFonts w:ascii="宋体" w:hAnsi="宋体" w:cs="宋体"/>
                <w:sz w:val="30"/>
                <w:szCs w:val="30"/>
              </w:rPr>
            </w:pPr>
          </w:p>
        </w:tc>
      </w:tr>
    </w:tbl>
    <w:p>
      <w:pPr>
        <w:ind w:firstLine="1500" w:firstLineChars="500"/>
        <w:rPr>
          <w:rFonts w:ascii="宋体" w:hAnsi="宋体" w:cs="宋体"/>
          <w:sz w:val="30"/>
          <w:szCs w:val="30"/>
        </w:rPr>
      </w:pPr>
      <w:r>
        <w:rPr>
          <w:rFonts w:hint="eastAsia" w:ascii="宋体" w:hAnsi="宋体" w:cs="宋体"/>
          <w:sz w:val="30"/>
          <w:szCs w:val="30"/>
        </w:rPr>
        <w:t>签订时间：2</w:t>
      </w:r>
      <w:r>
        <w:rPr>
          <w:rFonts w:ascii="宋体" w:hAnsi="宋体" w:cs="宋体"/>
          <w:sz w:val="30"/>
          <w:szCs w:val="30"/>
        </w:rPr>
        <w:t>02</w:t>
      </w:r>
      <w:r>
        <w:rPr>
          <w:rFonts w:hint="eastAsia" w:ascii="宋体" w:hAnsi="宋体" w:cs="宋体"/>
          <w:sz w:val="30"/>
          <w:szCs w:val="30"/>
        </w:rPr>
        <w:t>3年</w:t>
      </w:r>
      <w:r>
        <w:rPr>
          <w:rFonts w:ascii="宋体" w:hAnsi="宋体" w:cs="宋体"/>
          <w:sz w:val="30"/>
          <w:szCs w:val="30"/>
        </w:rPr>
        <w:t>4</w:t>
      </w:r>
      <w:r>
        <w:rPr>
          <w:rFonts w:hint="eastAsia" w:ascii="宋体" w:hAnsi="宋体" w:cs="宋体"/>
          <w:sz w:val="30"/>
          <w:szCs w:val="30"/>
        </w:rPr>
        <w:t>月</w:t>
      </w:r>
    </w:p>
    <w:p>
      <w:pPr>
        <w:rPr>
          <w:rFonts w:ascii="宋体" w:hAnsi="宋体"/>
          <w:szCs w:val="24"/>
        </w:rPr>
      </w:pPr>
    </w:p>
    <w:p>
      <w:pPr>
        <w:widowControl/>
        <w:spacing w:line="240" w:lineRule="auto"/>
        <w:jc w:val="left"/>
        <w:rPr>
          <w:rFonts w:ascii="宋体" w:hAnsi="宋体" w:cs="微软雅黑"/>
          <w:b/>
          <w:szCs w:val="24"/>
        </w:rPr>
      </w:pPr>
      <w:r>
        <w:rPr>
          <w:rFonts w:ascii="宋体" w:hAnsi="宋体" w:cs="微软雅黑"/>
          <w:b/>
          <w:szCs w:val="24"/>
        </w:rPr>
        <w:br w:type="page"/>
      </w:r>
    </w:p>
    <w:p>
      <w:pPr>
        <w:jc w:val="center"/>
        <w:rPr>
          <w:rFonts w:ascii="宋体" w:hAnsi="宋体"/>
          <w:b/>
          <w:bCs/>
          <w:sz w:val="30"/>
          <w:szCs w:val="30"/>
        </w:rPr>
      </w:pPr>
      <w:r>
        <w:rPr>
          <w:rFonts w:hint="eastAsia" w:ascii="宋体" w:hAnsi="宋体"/>
          <w:b/>
          <w:bCs/>
          <w:sz w:val="30"/>
          <w:szCs w:val="30"/>
        </w:rPr>
        <w:t>洛阳市洛龙区伊河湾项目形象墙制作及安装合同</w:t>
      </w:r>
    </w:p>
    <w:p>
      <w:pPr>
        <w:rPr>
          <w:rFonts w:ascii="宋体" w:hAnsi="宋体" w:cs="微软雅黑"/>
          <w:b/>
          <w:szCs w:val="24"/>
        </w:rPr>
      </w:pPr>
      <w:r>
        <w:rPr>
          <w:rFonts w:hint="eastAsia" w:ascii="宋体" w:hAnsi="宋体" w:cs="微软雅黑"/>
          <w:szCs w:val="24"/>
        </w:rPr>
        <w:t>甲方：</w:t>
      </w:r>
      <w:r>
        <w:rPr>
          <w:rFonts w:hint="eastAsia" w:ascii="宋体" w:hAnsi="宋体" w:cs="微软雅黑"/>
          <w:szCs w:val="24"/>
          <w:u w:val="single"/>
        </w:rPr>
        <w:t>河南浩德新澜置业有限公司</w:t>
      </w:r>
      <w:r>
        <w:rPr>
          <w:rFonts w:hint="eastAsia" w:ascii="宋体" w:hAnsi="宋体" w:cs="微软雅黑"/>
          <w:szCs w:val="24"/>
        </w:rPr>
        <w:t>(以下简称甲方)</w:t>
      </w:r>
    </w:p>
    <w:p>
      <w:pPr>
        <w:rPr>
          <w:rFonts w:ascii="宋体" w:hAnsi="宋体" w:cs="微软雅黑"/>
          <w:szCs w:val="24"/>
        </w:rPr>
      </w:pPr>
      <w:r>
        <w:rPr>
          <w:rFonts w:hint="eastAsia" w:ascii="宋体" w:hAnsi="宋体" w:cs="微软雅黑"/>
          <w:szCs w:val="24"/>
        </w:rPr>
        <w:t>乙方：</w:t>
      </w:r>
      <w:r>
        <w:rPr>
          <w:rFonts w:hint="eastAsia" w:ascii="宋体" w:hAnsi="宋体" w:cs="宋体"/>
          <w:szCs w:val="24"/>
          <w:u w:val="single"/>
        </w:rPr>
        <w:t>河南万企广告有限公司</w:t>
      </w:r>
      <w:r>
        <w:rPr>
          <w:rFonts w:hint="eastAsia" w:ascii="宋体" w:hAnsi="宋体" w:cs="微软雅黑"/>
          <w:szCs w:val="24"/>
          <w:u w:val="single"/>
        </w:rPr>
        <w:t>(</w:t>
      </w:r>
      <w:r>
        <w:rPr>
          <w:rFonts w:hint="eastAsia" w:ascii="宋体" w:hAnsi="宋体" w:cs="微软雅黑"/>
          <w:szCs w:val="24"/>
        </w:rPr>
        <w:t>以下简称乙方)</w:t>
      </w:r>
    </w:p>
    <w:p>
      <w:pPr>
        <w:rPr>
          <w:rFonts w:ascii="宋体" w:hAnsi="宋体"/>
          <w:szCs w:val="24"/>
        </w:rPr>
      </w:pPr>
      <w:r>
        <w:rPr>
          <w:rFonts w:hint="eastAsia" w:ascii="宋体" w:hAnsi="宋体"/>
          <w:szCs w:val="24"/>
        </w:rPr>
        <w:t>根据《中华人民共和国民法典》等法律、法规规定，甲乙双方经友好协商，现就乙方为甲方提供制作及安装事宜，签订本合同，以资共同遵守。</w:t>
      </w:r>
    </w:p>
    <w:p>
      <w:pPr>
        <w:rPr>
          <w:rFonts w:ascii="宋体" w:hAnsi="宋体"/>
          <w:b/>
          <w:bCs/>
          <w:szCs w:val="24"/>
        </w:rPr>
      </w:pPr>
      <w:r>
        <w:rPr>
          <w:rFonts w:hint="eastAsia" w:ascii="宋体" w:hAnsi="宋体"/>
          <w:b/>
          <w:bCs/>
          <w:szCs w:val="24"/>
        </w:rPr>
        <w:t>第一条：活动服务内容概况</w:t>
      </w:r>
    </w:p>
    <w:p>
      <w:pPr>
        <w:ind w:firstLine="480" w:firstLineChars="200"/>
        <w:jc w:val="left"/>
        <w:rPr>
          <w:rFonts w:ascii="宋体" w:hAnsi="宋体"/>
          <w:szCs w:val="24"/>
        </w:rPr>
      </w:pPr>
      <w:r>
        <w:rPr>
          <w:rFonts w:hint="eastAsia" w:ascii="宋体" w:hAnsi="宋体"/>
          <w:szCs w:val="24"/>
        </w:rPr>
        <w:t>1、乙方为甲方营销中心品牌墙提供制作及安装服务，具体内容如下：</w:t>
      </w:r>
    </w:p>
    <w:p>
      <w:pPr>
        <w:ind w:firstLine="480" w:firstLineChars="200"/>
        <w:jc w:val="left"/>
        <w:rPr>
          <w:rFonts w:ascii="宋体" w:hAnsi="宋体"/>
          <w:szCs w:val="24"/>
        </w:rPr>
      </w:pPr>
      <w:r>
        <w:rPr>
          <w:rFonts w:hint="eastAsia" w:ascii="宋体" w:hAnsi="宋体"/>
          <w:szCs w:val="24"/>
        </w:rPr>
        <w:t>1</w:t>
      </w:r>
      <w:r>
        <w:rPr>
          <w:rFonts w:ascii="宋体" w:hAnsi="宋体"/>
          <w:szCs w:val="24"/>
        </w:rPr>
        <w:t>.1</w:t>
      </w:r>
      <w:r>
        <w:rPr>
          <w:rFonts w:hint="eastAsia" w:ascii="宋体" w:hAnsi="宋体"/>
          <w:szCs w:val="24"/>
        </w:rPr>
        <w:t>、伊河湾项目售楼部形象墙制作清单（见附件）</w:t>
      </w:r>
    </w:p>
    <w:p>
      <w:pPr>
        <w:ind w:firstLine="480" w:firstLineChars="200"/>
        <w:jc w:val="left"/>
        <w:rPr>
          <w:rFonts w:ascii="宋体" w:hAnsi="宋体"/>
          <w:szCs w:val="24"/>
        </w:rPr>
      </w:pPr>
      <w:r>
        <w:rPr>
          <w:rFonts w:hint="eastAsia" w:ascii="宋体" w:hAnsi="宋体"/>
          <w:szCs w:val="24"/>
        </w:rPr>
        <w:t>1</w:t>
      </w:r>
      <w:r>
        <w:rPr>
          <w:rFonts w:ascii="宋体" w:hAnsi="宋体"/>
          <w:szCs w:val="24"/>
        </w:rPr>
        <w:t>.2</w:t>
      </w:r>
      <w:r>
        <w:rPr>
          <w:rFonts w:hint="eastAsia" w:ascii="宋体" w:hAnsi="宋体"/>
          <w:szCs w:val="24"/>
        </w:rPr>
        <w:t>、施工地点：洛阳伊河湾项目售楼部</w:t>
      </w:r>
    </w:p>
    <w:p>
      <w:pPr>
        <w:ind w:firstLine="480" w:firstLineChars="200"/>
        <w:jc w:val="left"/>
        <w:rPr>
          <w:rFonts w:ascii="宋体" w:hAnsi="宋体"/>
          <w:szCs w:val="24"/>
        </w:rPr>
      </w:pPr>
      <w:r>
        <w:rPr>
          <w:rFonts w:ascii="宋体" w:hAnsi="宋体"/>
          <w:szCs w:val="24"/>
        </w:rPr>
        <w:t>1.3</w:t>
      </w:r>
      <w:r>
        <w:rPr>
          <w:rFonts w:hint="eastAsia" w:ascii="宋体" w:hAnsi="宋体"/>
          <w:szCs w:val="24"/>
        </w:rPr>
        <w:t>、工期要求：15天（现场具备施工条件，自甲方通知开工之日起算，至甲方对品牌墙验收合格之日止）</w:t>
      </w:r>
    </w:p>
    <w:p>
      <w:pPr>
        <w:ind w:firstLine="480" w:firstLineChars="200"/>
        <w:jc w:val="left"/>
        <w:rPr>
          <w:rFonts w:ascii="宋体" w:hAnsi="宋体"/>
          <w:szCs w:val="24"/>
        </w:rPr>
      </w:pPr>
      <w:r>
        <w:rPr>
          <w:rFonts w:hint="eastAsia" w:ascii="宋体" w:hAnsi="宋体"/>
          <w:szCs w:val="24"/>
        </w:rPr>
        <w:t>交货方式：乙方送货并安装完成交于甲方验收</w:t>
      </w:r>
    </w:p>
    <w:p>
      <w:pPr>
        <w:ind w:firstLine="480" w:firstLineChars="200"/>
        <w:jc w:val="left"/>
        <w:rPr>
          <w:rFonts w:ascii="宋体" w:hAnsi="宋体"/>
          <w:szCs w:val="24"/>
        </w:rPr>
      </w:pPr>
      <w:r>
        <w:rPr>
          <w:rFonts w:hint="eastAsia" w:ascii="宋体" w:hAnsi="宋体"/>
          <w:szCs w:val="24"/>
        </w:rPr>
        <w:t>交货地点：洛阳伊河湾项目售楼部</w:t>
      </w:r>
    </w:p>
    <w:p>
      <w:pPr>
        <w:rPr>
          <w:rFonts w:ascii="宋体" w:hAnsi="宋体"/>
          <w:b/>
          <w:bCs/>
          <w:szCs w:val="24"/>
        </w:rPr>
      </w:pPr>
      <w:r>
        <w:rPr>
          <w:rFonts w:hint="eastAsia" w:ascii="宋体" w:hAnsi="宋体"/>
          <w:b/>
          <w:bCs/>
          <w:szCs w:val="24"/>
        </w:rPr>
        <w:t>第二条、合同价款及付款方式</w:t>
      </w:r>
    </w:p>
    <w:p>
      <w:pPr>
        <w:ind w:firstLine="480" w:firstLineChars="200"/>
        <w:jc w:val="left"/>
        <w:rPr>
          <w:rFonts w:ascii="宋体" w:hAnsi="宋体"/>
          <w:szCs w:val="24"/>
        </w:rPr>
      </w:pPr>
      <w:r>
        <w:rPr>
          <w:rFonts w:hint="eastAsia" w:ascii="宋体" w:hAnsi="宋体"/>
          <w:szCs w:val="24"/>
        </w:rPr>
        <w:t>1、合同固定价款：</w:t>
      </w:r>
      <w:r>
        <w:rPr>
          <w:rFonts w:hint="eastAsia" w:ascii="宋体" w:hAnsi="宋体" w:cs="宋体"/>
          <w:szCs w:val="24"/>
        </w:rPr>
        <w:t>合同总价款：人民币￥</w:t>
      </w:r>
      <w:r>
        <w:rPr>
          <w:rFonts w:hint="eastAsia" w:ascii="宋体" w:hAnsi="宋体" w:cs="宋体"/>
          <w:szCs w:val="24"/>
          <w:u w:val="single"/>
        </w:rPr>
        <w:t xml:space="preserve"> 128000</w:t>
      </w:r>
      <w:r>
        <w:rPr>
          <w:rFonts w:ascii="宋体" w:hAnsi="宋体" w:cs="宋体"/>
          <w:szCs w:val="24"/>
          <w:u w:val="single"/>
        </w:rPr>
        <w:t>.00</w:t>
      </w:r>
      <w:r>
        <w:rPr>
          <w:rFonts w:hint="eastAsia" w:ascii="宋体" w:hAnsi="宋体" w:cs="宋体"/>
          <w:szCs w:val="24"/>
          <w:u w:val="single"/>
        </w:rPr>
        <w:t xml:space="preserve"> </w:t>
      </w:r>
      <w:r>
        <w:rPr>
          <w:rFonts w:hint="eastAsia" w:ascii="宋体" w:hAnsi="宋体" w:cs="宋体"/>
          <w:szCs w:val="24"/>
        </w:rPr>
        <w:t>元，（大写）：</w:t>
      </w:r>
      <w:r>
        <w:rPr>
          <w:rFonts w:hint="eastAsia" w:ascii="宋体" w:hAnsi="宋体" w:cs="宋体"/>
          <w:szCs w:val="24"/>
          <w:u w:val="single"/>
        </w:rPr>
        <w:t>壹万贰仟捌佰元整</w:t>
      </w:r>
      <w:r>
        <w:rPr>
          <w:rFonts w:hint="eastAsia" w:ascii="宋体" w:hAnsi="宋体" w:cs="宋体"/>
          <w:szCs w:val="24"/>
        </w:rPr>
        <w:t>。</w:t>
      </w:r>
      <w:r>
        <w:rPr>
          <w:rFonts w:hint="eastAsia" w:ascii="宋体" w:hAnsi="宋体"/>
          <w:szCs w:val="24"/>
        </w:rPr>
        <w:t>上述金额为含税价格。其中，不含税金额为【120754.72】元，增值税率为【</w:t>
      </w:r>
      <w:r>
        <w:rPr>
          <w:rFonts w:ascii="宋体" w:hAnsi="宋体"/>
          <w:szCs w:val="24"/>
        </w:rPr>
        <w:t>6</w:t>
      </w:r>
      <w:r>
        <w:rPr>
          <w:rFonts w:hint="eastAsia" w:ascii="宋体" w:hAnsi="宋体"/>
          <w:szCs w:val="24"/>
        </w:rPr>
        <w:t>】</w:t>
      </w:r>
      <w:r>
        <w:rPr>
          <w:rFonts w:ascii="宋体" w:hAnsi="宋体"/>
          <w:szCs w:val="24"/>
        </w:rPr>
        <w:t>%</w:t>
      </w:r>
      <w:r>
        <w:rPr>
          <w:rFonts w:hint="eastAsia" w:ascii="宋体" w:hAnsi="宋体"/>
          <w:szCs w:val="24"/>
        </w:rPr>
        <w:t>，税款为【7245.28】元。</w:t>
      </w:r>
      <w:r>
        <w:rPr>
          <w:rFonts w:hint="eastAsia" w:ascii="宋体" w:hAnsi="宋体" w:cs="宋体"/>
          <w:szCs w:val="24"/>
        </w:rPr>
        <w:t>上述价格包括包工、包料（含运输）、包工期、包质量、包深化设计、包安全、包文明施工、包市场风险、包扬尘治理、包疫情增加费、包税金、包交工资料、包通过验收直至交付使用等所有费用。工作内容中</w:t>
      </w:r>
      <w:r>
        <w:rPr>
          <w:rFonts w:hint="eastAsia" w:ascii="宋体" w:hAnsi="宋体" w:cs="宋体"/>
          <w:kern w:val="0"/>
          <w:szCs w:val="24"/>
        </w:rPr>
        <w:t>不管是否有缺项、漏项，均视为乙方已综合考虑在固定合同总价内。</w:t>
      </w:r>
    </w:p>
    <w:p>
      <w:pPr>
        <w:ind w:firstLine="480" w:firstLineChars="200"/>
        <w:jc w:val="left"/>
        <w:rPr>
          <w:rFonts w:ascii="宋体" w:hAnsi="宋体"/>
          <w:szCs w:val="24"/>
        </w:rPr>
      </w:pPr>
      <w:r>
        <w:rPr>
          <w:rFonts w:hint="eastAsia" w:ascii="宋体" w:hAnsi="宋体"/>
          <w:szCs w:val="24"/>
        </w:rPr>
        <w:t>2、付款方式</w:t>
      </w:r>
    </w:p>
    <w:p>
      <w:pPr>
        <w:snapToGrid w:val="0"/>
        <w:ind w:firstLine="480" w:firstLineChars="200"/>
        <w:outlineLvl w:val="2"/>
        <w:rPr>
          <w:rFonts w:ascii="宋体" w:hAnsi="宋体" w:cs="宋体"/>
          <w:bCs/>
        </w:rPr>
      </w:pPr>
      <w:r>
        <w:rPr>
          <w:rFonts w:hint="eastAsia" w:ascii="宋体" w:hAnsi="宋体" w:cs="宋体"/>
          <w:bCs/>
        </w:rPr>
        <w:t>（1）合同签订后 10 个工作日内甲方支付合同总价款 30%作为预付款；</w:t>
      </w:r>
    </w:p>
    <w:p>
      <w:pPr>
        <w:snapToGrid w:val="0"/>
        <w:ind w:firstLine="480" w:firstLineChars="200"/>
        <w:outlineLvl w:val="2"/>
        <w:rPr>
          <w:rFonts w:ascii="宋体" w:hAnsi="宋体" w:cs="宋体"/>
          <w:bCs/>
        </w:rPr>
      </w:pPr>
      <w:r>
        <w:rPr>
          <w:rFonts w:hint="eastAsia" w:ascii="宋体" w:hAnsi="宋体" w:cs="宋体"/>
          <w:bCs/>
        </w:rPr>
        <w:t xml:space="preserve">（2）施工完成，甲方验收确认合格后 10 个工作日内甲方支付至合同总价款 80%； </w:t>
      </w:r>
    </w:p>
    <w:p>
      <w:pPr>
        <w:snapToGrid w:val="0"/>
        <w:ind w:firstLine="480" w:firstLineChars="200"/>
        <w:outlineLvl w:val="2"/>
        <w:rPr>
          <w:rFonts w:ascii="宋体" w:hAnsi="宋体" w:cs="宋体"/>
          <w:bCs/>
        </w:rPr>
      </w:pPr>
      <w:r>
        <w:rPr>
          <w:rFonts w:hint="eastAsia" w:ascii="宋体" w:hAnsi="宋体" w:cs="宋体"/>
          <w:bCs/>
        </w:rPr>
        <w:t xml:space="preserve">（3）结算完成后 10 个工作日内甲方支付至合同结算价款的 97%； </w:t>
      </w:r>
    </w:p>
    <w:p>
      <w:pPr>
        <w:snapToGrid w:val="0"/>
        <w:ind w:firstLine="480" w:firstLineChars="200"/>
        <w:outlineLvl w:val="2"/>
        <w:rPr>
          <w:rFonts w:ascii="宋体" w:hAnsi="宋体"/>
          <w:szCs w:val="24"/>
        </w:rPr>
      </w:pPr>
      <w:r>
        <w:rPr>
          <w:rFonts w:hint="eastAsia" w:ascii="宋体" w:hAnsi="宋体" w:cs="宋体"/>
          <w:bCs/>
        </w:rPr>
        <w:t xml:space="preserve">（4）工程剩余金额（即结算金额的 3%）留为质保金。工程质保期为 2 年，甲方验收合格之日起开始计算。质保期满且无质量问题无息退还剩余款项（若有）。质保期内，如因质量问题、维修或乙方其他违约行为等导致乙方存在应支付未支付款项或甲方代乙方支出的款项的，甲方有权在工程质保金中直接扣除，质保金不足以弥补甲方损失的，乙方应负责赔偿。 </w:t>
      </w:r>
    </w:p>
    <w:p>
      <w:pPr>
        <w:rPr>
          <w:rFonts w:ascii="宋体" w:hAnsi="宋体"/>
          <w:b/>
          <w:bCs/>
          <w:szCs w:val="24"/>
        </w:rPr>
      </w:pPr>
      <w:r>
        <w:rPr>
          <w:rFonts w:hint="eastAsia" w:ascii="宋体" w:hAnsi="宋体"/>
          <w:b/>
          <w:bCs/>
          <w:szCs w:val="24"/>
        </w:rPr>
        <w:t>第三条、涉税条款</w:t>
      </w:r>
    </w:p>
    <w:p>
      <w:pPr>
        <w:snapToGrid w:val="0"/>
        <w:ind w:firstLine="480" w:firstLineChars="200"/>
        <w:jc w:val="left"/>
        <w:rPr>
          <w:rFonts w:ascii="宋体" w:hAnsi="宋体"/>
          <w:szCs w:val="32"/>
        </w:rPr>
      </w:pPr>
      <w:r>
        <w:rPr>
          <w:rFonts w:hint="eastAsia" w:ascii="宋体" w:hAnsi="宋体"/>
        </w:rPr>
        <w:t>1、乙方应提供真实、合法、有效的增值税专用发票</w:t>
      </w:r>
      <w:r>
        <w:rPr>
          <w:rFonts w:hint="eastAsia" w:ascii="宋体" w:hAnsi="宋体"/>
          <w:szCs w:val="32"/>
        </w:rPr>
        <w:t>。乙方开具发票不合规时出现税务问题，供应商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snapToGrid w:val="0"/>
        <w:ind w:firstLine="480" w:firstLineChars="200"/>
        <w:jc w:val="left"/>
        <w:rPr>
          <w:rFonts w:ascii="宋体" w:hAnsi="宋体"/>
          <w:szCs w:val="32"/>
        </w:rPr>
      </w:pPr>
      <w:r>
        <w:rPr>
          <w:rFonts w:ascii="宋体" w:hAnsi="宋体"/>
          <w:szCs w:val="32"/>
        </w:rPr>
        <w:t>2</w:t>
      </w:r>
      <w:r>
        <w:rPr>
          <w:rFonts w:hint="eastAsia" w:ascii="宋体" w:hAnsi="宋体"/>
          <w:szCs w:val="32"/>
        </w:rPr>
        <w:t>、乙方提供的发票为增值税专用发票的，因乙方迟延送达、开具错误等原因导致其提供的增值税专用发票没有通过税务部门认证，造成甲方不能抵扣的，甲方有权拒绝接收。</w:t>
      </w:r>
    </w:p>
    <w:p>
      <w:pPr>
        <w:snapToGrid w:val="0"/>
        <w:ind w:firstLine="480" w:firstLineChars="200"/>
        <w:jc w:val="left"/>
        <w:rPr>
          <w:rFonts w:ascii="宋体" w:hAnsi="宋体"/>
          <w:szCs w:val="32"/>
        </w:rPr>
      </w:pPr>
      <w:r>
        <w:rPr>
          <w:rFonts w:ascii="宋体" w:hAnsi="宋体"/>
          <w:szCs w:val="32"/>
        </w:rPr>
        <w:t>3</w:t>
      </w:r>
      <w:r>
        <w:rPr>
          <w:rFonts w:hint="eastAsia" w:ascii="宋体" w:hAnsi="宋体"/>
          <w:szCs w:val="32"/>
        </w:rPr>
        <w:t>、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snapToGrid w:val="0"/>
        <w:ind w:firstLine="480" w:firstLineChars="200"/>
        <w:jc w:val="left"/>
        <w:rPr>
          <w:rFonts w:ascii="宋体" w:hAnsi="宋体"/>
          <w:szCs w:val="32"/>
        </w:rPr>
      </w:pPr>
      <w:r>
        <w:rPr>
          <w:rFonts w:ascii="宋体" w:hAnsi="宋体"/>
          <w:szCs w:val="32"/>
        </w:rPr>
        <w:t>4</w:t>
      </w:r>
      <w:r>
        <w:rPr>
          <w:rFonts w:hint="eastAsia" w:ascii="宋体" w:hAnsi="宋体"/>
          <w:szCs w:val="32"/>
        </w:rPr>
        <w:t>、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额。</w:t>
      </w:r>
      <w:r>
        <w:rPr>
          <w:rFonts w:hint="eastAsia" w:ascii="宋体" w:hAnsi="宋体"/>
          <w:szCs w:val="32"/>
        </w:rPr>
        <w:cr/>
      </w:r>
      <w:r>
        <w:rPr>
          <w:rFonts w:hint="eastAsia" w:ascii="宋体" w:hAnsi="宋体"/>
          <w:szCs w:val="32"/>
        </w:rPr>
        <w:t>若非因国家税收政策变动，乙方未按合同约定开具增值税专用发票或实际开具的增值税专用发票税率低于合同中约定税率的，乙方除应向甲方支付无法抵扣部分的税款金额外，乙方还应向甲方支付合同总价20%的违约金，违约金不足以弥补甲方损失的，乙方应予赔偿，甲方有权终止合同。</w:t>
      </w:r>
    </w:p>
    <w:p>
      <w:pPr>
        <w:snapToGrid w:val="0"/>
        <w:ind w:firstLine="480" w:firstLineChars="200"/>
        <w:jc w:val="left"/>
        <w:rPr>
          <w:rFonts w:ascii="宋体" w:hAnsi="宋体"/>
          <w:szCs w:val="32"/>
        </w:rPr>
      </w:pPr>
      <w:r>
        <w:rPr>
          <w:rFonts w:ascii="宋体" w:hAnsi="宋体"/>
          <w:szCs w:val="32"/>
        </w:rPr>
        <w:t>5</w:t>
      </w:r>
      <w:r>
        <w:rPr>
          <w:rFonts w:hint="eastAsia" w:ascii="宋体" w:hAnsi="宋体"/>
          <w:szCs w:val="32"/>
        </w:rPr>
        <w:t>、其它税务风险的合同约定</w:t>
      </w:r>
    </w:p>
    <w:p>
      <w:pPr>
        <w:snapToGrid w:val="0"/>
        <w:ind w:firstLine="480" w:firstLineChars="200"/>
        <w:jc w:val="left"/>
        <w:rPr>
          <w:rFonts w:ascii="宋体" w:hAnsi="宋体"/>
          <w:szCs w:val="32"/>
        </w:rPr>
      </w:pPr>
      <w:r>
        <w:rPr>
          <w:rFonts w:hint="eastAsia" w:ascii="宋体" w:hAnsi="宋体"/>
          <w:szCs w:val="32"/>
        </w:rPr>
        <w:t>如果甲方丢失增值税专用发票联和抵扣联，乙方应向甲方提供专用发票记账联复印件，并加盖乙方发票专用章。</w:t>
      </w:r>
    </w:p>
    <w:p>
      <w:pPr>
        <w:ind w:firstLine="480" w:firstLineChars="200"/>
        <w:jc w:val="left"/>
        <w:rPr>
          <w:rFonts w:ascii="宋体" w:hAnsi="宋体"/>
          <w:szCs w:val="32"/>
        </w:rPr>
      </w:pPr>
      <w:r>
        <w:rPr>
          <w:rFonts w:hint="eastAsia" w:ascii="宋体" w:hAnsi="宋体"/>
          <w:szCs w:val="32"/>
        </w:rPr>
        <w:t>如果获得开具的汇总专用发票，则乙方应提供其防伪税控系统开具的《销售货物或者提供应税劳务清单》，并加盖发票专用章。</w:t>
      </w:r>
    </w:p>
    <w:p>
      <w:pPr>
        <w:jc w:val="left"/>
        <w:rPr>
          <w:rFonts w:ascii="宋体" w:hAnsi="宋体"/>
          <w:b/>
          <w:bCs/>
          <w:szCs w:val="24"/>
        </w:rPr>
      </w:pPr>
      <w:r>
        <w:rPr>
          <w:rFonts w:hint="eastAsia" w:ascii="宋体" w:hAnsi="宋体"/>
          <w:b/>
          <w:bCs/>
          <w:szCs w:val="24"/>
        </w:rPr>
        <w:t>第四条、双方的权利义务</w:t>
      </w:r>
    </w:p>
    <w:p>
      <w:pPr>
        <w:ind w:firstLine="480" w:firstLineChars="200"/>
        <w:jc w:val="left"/>
        <w:rPr>
          <w:rFonts w:ascii="宋体" w:hAnsi="宋体"/>
          <w:szCs w:val="24"/>
        </w:rPr>
      </w:pPr>
      <w:r>
        <w:rPr>
          <w:rFonts w:hint="eastAsia" w:ascii="宋体" w:hAnsi="宋体"/>
          <w:szCs w:val="24"/>
        </w:rPr>
        <w:t>1、甲方权利义务</w:t>
      </w:r>
    </w:p>
    <w:p>
      <w:pPr>
        <w:ind w:firstLine="480" w:firstLineChars="200"/>
        <w:jc w:val="left"/>
        <w:rPr>
          <w:rFonts w:ascii="宋体" w:hAnsi="宋体"/>
          <w:szCs w:val="24"/>
        </w:rPr>
      </w:pPr>
      <w:r>
        <w:rPr>
          <w:rFonts w:hint="eastAsia" w:ascii="宋体" w:hAnsi="宋体"/>
          <w:szCs w:val="24"/>
        </w:rPr>
        <w:t>（1）向乙方提供设计制作项目清单，参与确定制作的程序及步骤，以及设计制作的执行方案。</w:t>
      </w:r>
    </w:p>
    <w:p>
      <w:pPr>
        <w:ind w:firstLine="480" w:firstLineChars="200"/>
        <w:jc w:val="left"/>
        <w:rPr>
          <w:rFonts w:ascii="宋体" w:hAnsi="宋体"/>
          <w:szCs w:val="24"/>
        </w:rPr>
      </w:pPr>
      <w:r>
        <w:rPr>
          <w:rFonts w:hint="eastAsia" w:ascii="宋体" w:hAnsi="宋体"/>
          <w:szCs w:val="24"/>
        </w:rPr>
        <w:t>（2）甲方有权调整设计制作的计划、内容、范围等事项，但应在制作前15日书面通知乙方。</w:t>
      </w:r>
    </w:p>
    <w:p>
      <w:pPr>
        <w:ind w:firstLine="480" w:firstLineChars="200"/>
        <w:jc w:val="left"/>
        <w:rPr>
          <w:rFonts w:ascii="宋体" w:hAnsi="宋体"/>
          <w:szCs w:val="24"/>
        </w:rPr>
      </w:pPr>
      <w:r>
        <w:rPr>
          <w:rFonts w:hint="eastAsia" w:ascii="宋体" w:hAnsi="宋体"/>
          <w:szCs w:val="24"/>
        </w:rPr>
        <w:t>（3）负责协调场地及用电等相关问题，保证乙方进场、制作等工作顺利进行。</w:t>
      </w:r>
    </w:p>
    <w:p>
      <w:pPr>
        <w:ind w:firstLine="480" w:firstLineChars="200"/>
        <w:jc w:val="left"/>
        <w:rPr>
          <w:rFonts w:ascii="宋体" w:hAnsi="宋体"/>
          <w:szCs w:val="24"/>
        </w:rPr>
      </w:pPr>
      <w:r>
        <w:rPr>
          <w:rFonts w:hint="eastAsia" w:ascii="宋体" w:hAnsi="宋体"/>
          <w:szCs w:val="24"/>
        </w:rPr>
        <w:t>（4）甲方应按照合同约定向乙方支付合同价款。</w:t>
      </w:r>
    </w:p>
    <w:p>
      <w:pPr>
        <w:ind w:firstLine="480" w:firstLineChars="200"/>
        <w:jc w:val="left"/>
        <w:rPr>
          <w:rFonts w:ascii="宋体" w:hAnsi="宋体"/>
          <w:szCs w:val="24"/>
        </w:rPr>
      </w:pPr>
      <w:r>
        <w:rPr>
          <w:rFonts w:hint="eastAsia" w:ascii="宋体" w:hAnsi="宋体"/>
          <w:szCs w:val="24"/>
        </w:rPr>
        <w:t>2、乙方权利义务</w:t>
      </w:r>
    </w:p>
    <w:p>
      <w:pPr>
        <w:ind w:firstLine="480" w:firstLineChars="200"/>
        <w:jc w:val="left"/>
        <w:rPr>
          <w:rFonts w:ascii="宋体" w:hAnsi="宋体"/>
          <w:szCs w:val="24"/>
        </w:rPr>
      </w:pPr>
      <w:r>
        <w:rPr>
          <w:rFonts w:hint="eastAsia" w:ascii="宋体" w:hAnsi="宋体"/>
          <w:szCs w:val="24"/>
        </w:rPr>
        <w:t>（1）向甲方提供制作物料等清单，与甲方沟通确定设计制作的程序及步骤，提出具体的服务方案，与甲方共同确认设计制作的执行方案。</w:t>
      </w:r>
    </w:p>
    <w:p>
      <w:pPr>
        <w:ind w:firstLine="480" w:firstLineChars="200"/>
        <w:jc w:val="left"/>
        <w:rPr>
          <w:rFonts w:ascii="宋体" w:hAnsi="宋体"/>
          <w:szCs w:val="24"/>
        </w:rPr>
      </w:pPr>
      <w:r>
        <w:rPr>
          <w:rFonts w:hint="eastAsia" w:ascii="宋体" w:hAnsi="宋体"/>
          <w:szCs w:val="24"/>
        </w:rPr>
        <w:t>（2）按照合同约定提供服务，并自行承担因提供服务产生的一切费用。</w:t>
      </w:r>
    </w:p>
    <w:p>
      <w:pPr>
        <w:ind w:firstLine="480" w:firstLineChars="200"/>
        <w:jc w:val="left"/>
        <w:rPr>
          <w:rFonts w:ascii="宋体" w:hAnsi="宋体"/>
          <w:szCs w:val="24"/>
        </w:rPr>
      </w:pPr>
      <w:r>
        <w:rPr>
          <w:rFonts w:hint="eastAsia" w:ascii="宋体" w:hAnsi="宋体"/>
          <w:szCs w:val="24"/>
        </w:rPr>
        <w:t>（3）乙方负责制作安装现场的安全管理工作，现场如有高空作业的，作业人员应拥有高空作业证书。乙方应按照国家规定购买现场的施工人员的相关保险并承担费用，出现安全事故乙方承担全部责任，由此给甲方造成损失的，乙方予以赔偿。</w:t>
      </w:r>
    </w:p>
    <w:p>
      <w:pPr>
        <w:ind w:firstLine="480" w:firstLineChars="200"/>
        <w:jc w:val="left"/>
        <w:rPr>
          <w:rFonts w:ascii="宋体" w:hAnsi="宋体"/>
          <w:szCs w:val="24"/>
        </w:rPr>
      </w:pPr>
      <w:r>
        <w:rPr>
          <w:rFonts w:hint="eastAsia" w:ascii="宋体" w:hAnsi="宋体"/>
          <w:szCs w:val="24"/>
        </w:rPr>
        <w:t>（4）乙方在施工中应做好规范运作、安全生产，提供安全可靠的制作物料为甲方提供服务。</w:t>
      </w:r>
    </w:p>
    <w:p>
      <w:pPr>
        <w:pStyle w:val="2"/>
        <w:ind w:firstLine="480" w:firstLineChars="200"/>
        <w:rPr>
          <w:rFonts w:ascii="宋体" w:hAnsi="宋体"/>
          <w:szCs w:val="24"/>
        </w:rPr>
      </w:pPr>
      <w:r>
        <w:rPr>
          <w:rFonts w:hint="eastAsia"/>
        </w:rPr>
        <w:t>（5）乙方应按照合同进行制作安装，因质量和要求不符合合同约定，乙方负责整改，由此导致的工期延误由乙方承担。</w:t>
      </w:r>
    </w:p>
    <w:p>
      <w:pPr>
        <w:jc w:val="left"/>
        <w:rPr>
          <w:rFonts w:ascii="宋体" w:hAnsi="宋体"/>
          <w:b/>
          <w:bCs/>
          <w:szCs w:val="24"/>
        </w:rPr>
      </w:pPr>
      <w:r>
        <w:rPr>
          <w:rFonts w:hint="eastAsia" w:ascii="宋体" w:hAnsi="宋体"/>
          <w:b/>
          <w:bCs/>
          <w:szCs w:val="24"/>
        </w:rPr>
        <w:t>第五条、质量保证：</w:t>
      </w:r>
    </w:p>
    <w:p>
      <w:pPr>
        <w:ind w:firstLine="480" w:firstLineChars="200"/>
        <w:jc w:val="left"/>
        <w:rPr>
          <w:rFonts w:ascii="宋体" w:hAnsi="宋体"/>
          <w:szCs w:val="24"/>
        </w:rPr>
      </w:pPr>
      <w:r>
        <w:rPr>
          <w:rFonts w:hint="eastAsia" w:ascii="宋体" w:hAnsi="宋体"/>
          <w:szCs w:val="24"/>
        </w:rPr>
        <w:t>乙方对甲方供货产品质量保证</w:t>
      </w:r>
      <w:r>
        <w:rPr>
          <w:rFonts w:ascii="宋体" w:hAnsi="宋体"/>
          <w:szCs w:val="24"/>
        </w:rPr>
        <w:t>2</w:t>
      </w:r>
      <w:r>
        <w:rPr>
          <w:rFonts w:hint="eastAsia" w:ascii="宋体" w:hAnsi="宋体"/>
          <w:szCs w:val="24"/>
        </w:rPr>
        <w:t>年，质保期从产品安装完毕并经甲方验收合格之日起算。期间如出现制作和产品质量问题，乙方负责维修或更新，乙方应在接到甲方通知后1</w:t>
      </w:r>
      <w:r>
        <w:rPr>
          <w:rFonts w:ascii="宋体" w:hAnsi="宋体"/>
          <w:szCs w:val="24"/>
        </w:rPr>
        <w:t>2</w:t>
      </w:r>
      <w:r>
        <w:rPr>
          <w:rFonts w:hint="eastAsia" w:ascii="宋体" w:hAnsi="宋体"/>
          <w:szCs w:val="24"/>
        </w:rPr>
        <w:t>小时到达甲方现场进行维修或更新，并在2</w:t>
      </w:r>
      <w:r>
        <w:rPr>
          <w:rFonts w:ascii="宋体" w:hAnsi="宋体"/>
          <w:szCs w:val="24"/>
        </w:rPr>
        <w:t>4</w:t>
      </w:r>
      <w:r>
        <w:rPr>
          <w:rFonts w:hint="eastAsia" w:ascii="宋体" w:hAnsi="宋体"/>
          <w:szCs w:val="24"/>
        </w:rPr>
        <w:t>小时内维修完毕，否则甲方有权自行维修或委托第三方进行维修，由此产生的费用由乙方承担。因质量问题给甲方造成损失的，乙方承担赔偿责任。人为损坏情况，甲方可以与乙方协商解决。</w:t>
      </w:r>
    </w:p>
    <w:p>
      <w:pPr>
        <w:rPr>
          <w:rFonts w:ascii="宋体" w:hAnsi="宋体"/>
          <w:b/>
          <w:bCs/>
          <w:szCs w:val="24"/>
        </w:rPr>
      </w:pPr>
      <w:r>
        <w:rPr>
          <w:rFonts w:hint="eastAsia" w:ascii="宋体" w:hAnsi="宋体"/>
          <w:b/>
          <w:bCs/>
          <w:szCs w:val="24"/>
        </w:rPr>
        <w:t>第六条、知识产权及商业秘密保护</w:t>
      </w:r>
    </w:p>
    <w:p>
      <w:pPr>
        <w:ind w:firstLine="480" w:firstLineChars="200"/>
        <w:jc w:val="left"/>
        <w:rPr>
          <w:rFonts w:ascii="宋体" w:hAnsi="宋体"/>
          <w:szCs w:val="24"/>
        </w:rPr>
      </w:pPr>
      <w:r>
        <w:rPr>
          <w:rFonts w:hint="eastAsia" w:ascii="宋体" w:hAnsi="宋体"/>
          <w:szCs w:val="24"/>
        </w:rPr>
        <w:t>1、制作内容及相关信息画面因履行本合同产生的知识产权均归甲方所有，未经甲方书面许可，乙方不得以任何方式使用、泄露或许可第三方使用。且乙方应保证上述知识产权的真实性、合法性，且不侵犯第三人的知识产权，如因此造成侵犯他人知识产权或其他权利的，由乙方承担责任，给甲方造成损失的，乙方予以赔偿。但因甲方提供资料造成侵权的除外。</w:t>
      </w:r>
    </w:p>
    <w:p>
      <w:pPr>
        <w:ind w:firstLine="480" w:firstLineChars="200"/>
        <w:jc w:val="left"/>
        <w:rPr>
          <w:rFonts w:ascii="宋体" w:hAnsi="宋体"/>
          <w:szCs w:val="24"/>
        </w:rPr>
      </w:pPr>
      <w:r>
        <w:rPr>
          <w:rFonts w:hint="eastAsia" w:ascii="宋体" w:hAnsi="宋体"/>
          <w:szCs w:val="24"/>
        </w:rPr>
        <w:t>2、甲方向乙方提供的所有信息和资料，均属于甲方的商业秘密。甲方基于本合同向乙方披露的行为不认为是任何形式的转让或无限制许可使用。未经甲方书面许可，乙方不得以任何方式使用、泄露或许可第三方使用。</w:t>
      </w:r>
    </w:p>
    <w:p>
      <w:pPr>
        <w:rPr>
          <w:rFonts w:ascii="宋体" w:hAnsi="宋体"/>
          <w:b/>
          <w:bCs/>
          <w:szCs w:val="24"/>
        </w:rPr>
      </w:pPr>
      <w:r>
        <w:rPr>
          <w:rFonts w:hint="eastAsia" w:ascii="宋体" w:hAnsi="宋体"/>
          <w:b/>
          <w:bCs/>
          <w:szCs w:val="24"/>
        </w:rPr>
        <w:t>第七条、违约责任</w:t>
      </w:r>
    </w:p>
    <w:p>
      <w:pPr>
        <w:ind w:firstLine="480" w:firstLineChars="200"/>
        <w:jc w:val="left"/>
        <w:rPr>
          <w:rFonts w:ascii="宋体" w:hAnsi="宋体"/>
          <w:szCs w:val="24"/>
        </w:rPr>
      </w:pPr>
      <w:r>
        <w:rPr>
          <w:rFonts w:hint="eastAsia" w:ascii="宋体" w:hAnsi="宋体"/>
          <w:szCs w:val="24"/>
        </w:rPr>
        <w:t>1、合同履行过程中，若甲方变更服务内容，应及时向乙方通知；若乙方已完成有形服务且该服务仅能用于甲方活动的，甲方应对乙方支出的该部分成本费用进行补偿。</w:t>
      </w:r>
    </w:p>
    <w:p>
      <w:pPr>
        <w:ind w:firstLine="480" w:firstLineChars="200"/>
        <w:jc w:val="left"/>
        <w:rPr>
          <w:rFonts w:ascii="宋体" w:hAnsi="宋体"/>
          <w:szCs w:val="24"/>
        </w:rPr>
      </w:pPr>
      <w:r>
        <w:rPr>
          <w:rFonts w:ascii="宋体" w:hAnsi="宋体"/>
          <w:szCs w:val="24"/>
        </w:rPr>
        <w:t>2</w:t>
      </w:r>
      <w:r>
        <w:rPr>
          <w:rFonts w:hint="eastAsia" w:ascii="宋体" w:hAnsi="宋体"/>
          <w:szCs w:val="24"/>
        </w:rPr>
        <w:t>、乙方未按照合同约定工期完工的（包括因竣工验收不合格返工造成的延期），每逾期一天，应向甲方支付违约金2000元。逾期超过3日的，甲方有权解除本合同，乙方除承担违约责任外，还应向甲方支付合同总价款的20%作为违约金。</w:t>
      </w:r>
    </w:p>
    <w:p>
      <w:pPr>
        <w:rPr>
          <w:rFonts w:ascii="宋体" w:hAnsi="宋体"/>
          <w:b/>
          <w:bCs/>
          <w:szCs w:val="24"/>
        </w:rPr>
      </w:pPr>
      <w:r>
        <w:rPr>
          <w:rFonts w:hint="eastAsia" w:ascii="宋体" w:hAnsi="宋体"/>
          <w:b/>
          <w:bCs/>
          <w:szCs w:val="24"/>
        </w:rPr>
        <w:t>第八条、质量零容忍</w:t>
      </w:r>
    </w:p>
    <w:p>
      <w:pPr>
        <w:ind w:firstLine="480" w:firstLineChars="200"/>
        <w:jc w:val="left"/>
        <w:rPr>
          <w:rFonts w:ascii="宋体" w:hAnsi="宋体"/>
          <w:szCs w:val="24"/>
        </w:rPr>
      </w:pPr>
      <w:r>
        <w:rPr>
          <w:rFonts w:hint="eastAsia" w:ascii="宋体" w:hAnsi="宋体"/>
          <w:szCs w:val="24"/>
        </w:rPr>
        <w:t>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材料费用等损失由乙方自行承担，同时甲方还有权根据本合同相关条款追究乙方的违约责任，并向乙方主张包括但不限于因索赔产生的诉讼费、保全费、保全担保费、律师费等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该惩罚性赔偿不足伍万元的，按伍万元计）。除此之外，乙方应当勤勉尽责的履行工程质量保修义务，并在甲方通知的期限内完成保修事项并经甲方书面认可，乙方按期完成保修事项并经甲方书面认可的，该部分工程量在质保期满后给予结算100%，乙方拒不履行保修责任或未按期完成保修事项的，该部分工程量甲方不予结算。</w:t>
      </w:r>
    </w:p>
    <w:p>
      <w:pPr>
        <w:rPr>
          <w:rFonts w:ascii="宋体" w:hAnsi="宋体"/>
          <w:b/>
          <w:bCs/>
          <w:szCs w:val="24"/>
        </w:rPr>
      </w:pPr>
      <w:r>
        <w:rPr>
          <w:rFonts w:hint="eastAsia" w:ascii="宋体" w:hAnsi="宋体"/>
          <w:b/>
          <w:bCs/>
          <w:szCs w:val="24"/>
        </w:rPr>
        <w:t>第九条、合同的变更和解除</w:t>
      </w:r>
    </w:p>
    <w:p>
      <w:pPr>
        <w:rPr>
          <w:rFonts w:ascii="宋体" w:hAnsi="宋体"/>
          <w:szCs w:val="24"/>
        </w:rPr>
      </w:pPr>
      <w:r>
        <w:rPr>
          <w:rFonts w:hint="eastAsia" w:ascii="宋体" w:hAnsi="宋体"/>
          <w:szCs w:val="24"/>
        </w:rPr>
        <w:t>1、除法律规定或双方约定外，未经双方协商一致，任何一方不得单方变更或解除本合同。</w:t>
      </w:r>
    </w:p>
    <w:p>
      <w:pPr>
        <w:rPr>
          <w:rFonts w:ascii="宋体" w:hAnsi="宋体"/>
          <w:szCs w:val="24"/>
        </w:rPr>
      </w:pPr>
      <w:r>
        <w:rPr>
          <w:rFonts w:hint="eastAsia" w:ascii="宋体" w:hAnsi="宋体"/>
          <w:szCs w:val="24"/>
        </w:rPr>
        <w:t>2、因不可抗力等原因致使合同无法履行的，甲乙双方可协商变更或解除本合同。</w:t>
      </w:r>
    </w:p>
    <w:p>
      <w:pPr>
        <w:rPr>
          <w:rFonts w:ascii="宋体" w:hAnsi="宋体"/>
          <w:szCs w:val="24"/>
        </w:rPr>
      </w:pPr>
      <w:r>
        <w:rPr>
          <w:rFonts w:hint="eastAsia" w:ascii="宋体" w:hAnsi="宋体"/>
          <w:szCs w:val="24"/>
        </w:rPr>
        <w:t>3、合同履行期限内，因甲方自身原因确需解除合同的（不可抗力、政府等因素除外），甲方应提前5日通知乙方。</w:t>
      </w:r>
    </w:p>
    <w:p>
      <w:pPr>
        <w:rPr>
          <w:rFonts w:ascii="宋体" w:hAnsi="宋体"/>
          <w:szCs w:val="24"/>
        </w:rPr>
      </w:pPr>
      <w:r>
        <w:rPr>
          <w:rFonts w:hint="eastAsia" w:ascii="宋体" w:hAnsi="宋体"/>
          <w:szCs w:val="24"/>
        </w:rPr>
        <w:t>4、乙方购置不符合合同约定的品牌、厂家、产地、材质、工艺、规格、型号等标准的产品或者假冒伪劣产品用于本工程，甲方有权解除本合同。甲方选择解除合同的，乙方同时应向甲方支付合同总价款的20%作为违约金。</w:t>
      </w:r>
    </w:p>
    <w:p>
      <w:pPr>
        <w:rPr>
          <w:rFonts w:ascii="宋体" w:hAnsi="宋体" w:cs="微软雅黑"/>
          <w:b/>
          <w:szCs w:val="24"/>
        </w:rPr>
      </w:pPr>
      <w:r>
        <w:rPr>
          <w:rFonts w:hint="eastAsia" w:ascii="宋体" w:hAnsi="宋体"/>
          <w:b/>
          <w:bCs/>
          <w:szCs w:val="24"/>
        </w:rPr>
        <w:t>第十条、</w:t>
      </w:r>
      <w:r>
        <w:rPr>
          <w:rFonts w:hint="eastAsia" w:ascii="宋体" w:hAnsi="宋体" w:cs="微软雅黑"/>
          <w:b/>
          <w:szCs w:val="24"/>
        </w:rPr>
        <w:t>送达条款</w:t>
      </w:r>
    </w:p>
    <w:p>
      <w:pPr>
        <w:rPr>
          <w:rFonts w:ascii="宋体" w:hAnsi="宋体" w:cs="微软雅黑"/>
          <w:szCs w:val="24"/>
        </w:rPr>
      </w:pPr>
      <w:r>
        <w:rPr>
          <w:rFonts w:hint="eastAsia" w:ascii="宋体" w:hAnsi="宋体" w:cs="微软雅黑"/>
          <w:szCs w:val="24"/>
        </w:rPr>
        <w:t>双方明确送达信息如下：</w:t>
      </w:r>
    </w:p>
    <w:p>
      <w:pPr>
        <w:numPr>
          <w:ilvl w:val="0"/>
          <w:numId w:val="1"/>
        </w:numPr>
        <w:rPr>
          <w:rFonts w:ascii="宋体" w:hAnsi="宋体"/>
          <w:szCs w:val="32"/>
        </w:rPr>
      </w:pPr>
      <w:r>
        <w:rPr>
          <w:rFonts w:hint="eastAsia" w:ascii="宋体" w:hAnsi="宋体"/>
          <w:szCs w:val="32"/>
        </w:rPr>
        <w:t>甲方确认的送达信息为：</w:t>
      </w:r>
      <w:r>
        <w:rPr>
          <w:rFonts w:hint="eastAsia" w:ascii="宋体" w:hAnsi="宋体"/>
          <w:szCs w:val="32"/>
        </w:rPr>
        <w:cr/>
      </w:r>
      <w:r>
        <w:rPr>
          <w:rFonts w:hint="eastAsia" w:ascii="宋体" w:hAnsi="宋体"/>
          <w:szCs w:val="32"/>
        </w:rPr>
        <w:t>送达地址：洛阳市洛龙区关林西路 8 号中浩德控股集团 1 楼</w:t>
      </w:r>
    </w:p>
    <w:p>
      <w:pPr>
        <w:rPr>
          <w:rFonts w:ascii="宋体" w:hAnsi="宋体"/>
          <w:szCs w:val="32"/>
        </w:rPr>
      </w:pPr>
      <w:r>
        <w:rPr>
          <w:rFonts w:hint="eastAsia" w:ascii="宋体" w:hAnsi="宋体"/>
          <w:szCs w:val="32"/>
        </w:rPr>
        <w:t>联系人及联系方式：</w:t>
      </w:r>
      <w:r>
        <w:rPr>
          <w:rFonts w:hint="eastAsia" w:ascii="宋体" w:hAnsi="宋体" w:cs="宋体"/>
          <w:bCs/>
        </w:rPr>
        <w:t>胡敏杰 18570654055</w:t>
      </w:r>
      <w:r>
        <w:rPr>
          <w:rFonts w:hint="eastAsia" w:ascii="宋体" w:hAnsi="宋体"/>
          <w:szCs w:val="32"/>
        </w:rPr>
        <w:t xml:space="preserve">                                      </w:t>
      </w:r>
    </w:p>
    <w:p>
      <w:pPr>
        <w:rPr>
          <w:rFonts w:ascii="宋体" w:hAnsi="宋体"/>
          <w:szCs w:val="32"/>
        </w:rPr>
      </w:pPr>
      <w:r>
        <w:rPr>
          <w:rFonts w:hint="eastAsia" w:ascii="宋体" w:hAnsi="宋体"/>
          <w:szCs w:val="32"/>
        </w:rPr>
        <w:t>2、乙方确认的送达信息为：</w:t>
      </w:r>
    </w:p>
    <w:p>
      <w:pPr>
        <w:ind w:firstLine="360" w:firstLineChars="150"/>
        <w:rPr>
          <w:rFonts w:ascii="宋体" w:hAnsi="宋体"/>
          <w:szCs w:val="32"/>
        </w:rPr>
      </w:pPr>
      <w:r>
        <w:rPr>
          <w:rFonts w:hint="eastAsia" w:ascii="宋体" w:hAnsi="宋体"/>
          <w:szCs w:val="32"/>
        </w:rPr>
        <w:t>送达地址： 郑州市惠济区王寨街长兴路交叉口西岸酒店旁3楼3300室</w:t>
      </w:r>
    </w:p>
    <w:p>
      <w:pPr>
        <w:ind w:firstLine="360" w:firstLineChars="150"/>
        <w:rPr>
          <w:rFonts w:ascii="宋体" w:hAnsi="宋体"/>
          <w:szCs w:val="32"/>
        </w:rPr>
      </w:pPr>
      <w:r>
        <w:rPr>
          <w:rFonts w:hint="eastAsia" w:ascii="宋体" w:hAnsi="宋体"/>
          <w:szCs w:val="32"/>
        </w:rPr>
        <w:t>联系人及联系方式：张建丰13523455687</w:t>
      </w:r>
    </w:p>
    <w:p>
      <w:pPr>
        <w:ind w:firstLine="480" w:firstLineChars="200"/>
        <w:rPr>
          <w:rFonts w:ascii="宋体" w:hAnsi="宋体" w:cs="微软雅黑"/>
          <w:szCs w:val="24"/>
        </w:rPr>
      </w:pPr>
      <w:r>
        <w:rPr>
          <w:rFonts w:hint="eastAsia" w:ascii="宋体" w:hAnsi="宋体" w:cs="微软雅黑"/>
          <w:szCs w:val="24"/>
        </w:rPr>
        <w:t>双方在此共同确认，上述送达信息将作为双方在合同项下邮寄往来通知、函件等任何文件资料和法律诉讼文书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rPr>
          <w:rFonts w:ascii="宋体" w:hAnsi="宋体"/>
          <w:b/>
          <w:bCs/>
          <w:szCs w:val="24"/>
        </w:rPr>
      </w:pPr>
      <w:r>
        <w:rPr>
          <w:rFonts w:hint="eastAsia" w:ascii="宋体" w:hAnsi="宋体"/>
          <w:b/>
          <w:bCs/>
          <w:szCs w:val="24"/>
        </w:rPr>
        <w:t>第十一条、争议解决</w:t>
      </w:r>
    </w:p>
    <w:p>
      <w:pPr>
        <w:numPr>
          <w:ilvl w:val="0"/>
          <w:numId w:val="1"/>
        </w:numPr>
        <w:jc w:val="left"/>
        <w:rPr>
          <w:rFonts w:ascii="宋体" w:hAnsi="宋体"/>
          <w:szCs w:val="24"/>
        </w:rPr>
      </w:pPr>
      <w:r>
        <w:rPr>
          <w:rFonts w:hint="eastAsia" w:ascii="宋体" w:hAnsi="宋体"/>
          <w:szCs w:val="24"/>
        </w:rPr>
        <w:t>本合同履行过程中发生争议的，由双方友好协商解决；协商不成的，通过合同签订地（</w:t>
      </w:r>
      <w:r>
        <w:rPr>
          <w:rFonts w:hint="eastAsia" w:ascii="宋体" w:hAnsi="宋体"/>
          <w:szCs w:val="32"/>
        </w:rPr>
        <w:t>洛阳市洛龙区关林西路 8 号中浩德控股集团 1 楼</w:t>
      </w:r>
      <w:r>
        <w:rPr>
          <w:rFonts w:hint="eastAsia" w:ascii="宋体" w:hAnsi="宋体"/>
          <w:szCs w:val="24"/>
        </w:rPr>
        <w:t>）所在的人民法院诉讼解决。</w:t>
      </w:r>
    </w:p>
    <w:p>
      <w:pPr>
        <w:jc w:val="left"/>
        <w:rPr>
          <w:rFonts w:ascii="宋体" w:hAnsi="宋体"/>
          <w:b/>
          <w:bCs/>
          <w:szCs w:val="24"/>
        </w:rPr>
      </w:pPr>
      <w:r>
        <w:rPr>
          <w:rFonts w:hint="eastAsia" w:ascii="宋体" w:hAnsi="宋体"/>
          <w:b/>
          <w:bCs/>
          <w:szCs w:val="24"/>
        </w:rPr>
        <w:t>第十二条、其他</w:t>
      </w:r>
    </w:p>
    <w:p>
      <w:pPr>
        <w:ind w:firstLine="480" w:firstLineChars="200"/>
        <w:jc w:val="left"/>
        <w:rPr>
          <w:rFonts w:ascii="宋体" w:hAnsi="宋体"/>
          <w:szCs w:val="24"/>
        </w:rPr>
      </w:pPr>
      <w:r>
        <w:rPr>
          <w:rFonts w:hint="eastAsia" w:ascii="宋体" w:hAnsi="宋体"/>
          <w:szCs w:val="24"/>
        </w:rPr>
        <w:t>1、本合同自双方代表签字并加盖单位印章后生效；本合同一式 陆份，甲方持肆份，乙方持贰份,具备同等法律效力。</w:t>
      </w:r>
    </w:p>
    <w:p>
      <w:pPr>
        <w:ind w:firstLine="480" w:firstLineChars="200"/>
        <w:jc w:val="left"/>
        <w:rPr>
          <w:rFonts w:ascii="宋体" w:hAnsi="宋体"/>
          <w:szCs w:val="24"/>
        </w:rPr>
      </w:pPr>
      <w:r>
        <w:rPr>
          <w:rFonts w:hint="eastAsia" w:ascii="宋体" w:hAnsi="宋体"/>
          <w:szCs w:val="24"/>
        </w:rPr>
        <w:t>2、未尽事宜，双方另行协商或签订补充协议。</w:t>
      </w:r>
    </w:p>
    <w:p>
      <w:pPr>
        <w:rPr>
          <w:rFonts w:ascii="宋体" w:hAnsi="宋体"/>
          <w:szCs w:val="24"/>
        </w:rPr>
      </w:pPr>
    </w:p>
    <w:p>
      <w:pPr>
        <w:rPr>
          <w:rFonts w:ascii="宋体" w:hAnsi="宋体"/>
          <w:szCs w:val="24"/>
        </w:rPr>
      </w:pPr>
    </w:p>
    <w:p>
      <w:pPr>
        <w:pStyle w:val="2"/>
        <w:rPr>
          <w:rFonts w:ascii="宋体" w:hAnsi="宋体"/>
          <w:szCs w:val="24"/>
        </w:rPr>
      </w:pPr>
    </w:p>
    <w:p>
      <w:pPr>
        <w:pStyle w:val="2"/>
        <w:rPr>
          <w:rFonts w:ascii="宋体" w:hAnsi="宋体"/>
          <w:szCs w:val="24"/>
        </w:rPr>
      </w:pPr>
    </w:p>
    <w:p>
      <w:pPr>
        <w:pStyle w:val="2"/>
        <w:rPr>
          <w:rFonts w:ascii="宋体" w:hAnsi="宋体"/>
          <w:szCs w:val="24"/>
        </w:rPr>
      </w:pPr>
    </w:p>
    <w:p>
      <w:pPr>
        <w:pStyle w:val="2"/>
        <w:rPr>
          <w:rFonts w:hint="eastAsia" w:ascii="宋体" w:hAnsi="宋体"/>
          <w:szCs w:val="24"/>
          <w:lang w:eastAsia="zh-CN"/>
        </w:rPr>
      </w:pPr>
      <w:r>
        <w:rPr>
          <w:rFonts w:hint="eastAsia" w:ascii="宋体" w:hAnsi="宋体"/>
          <w:szCs w:val="24"/>
          <w:lang w:eastAsia="zh-CN"/>
        </w:rPr>
        <w:t>此页无正</w:t>
      </w:r>
    </w:p>
    <w:p>
      <w:pPr>
        <w:pStyle w:val="2"/>
        <w:rPr>
          <w:rFonts w:hint="eastAsia" w:ascii="宋体" w:hAnsi="宋体"/>
          <w:szCs w:val="24"/>
          <w:lang w:eastAsia="zh-CN"/>
        </w:rPr>
      </w:pPr>
      <w:bookmarkStart w:id="0" w:name="_GoBack"/>
      <w:bookmarkEnd w:id="0"/>
    </w:p>
    <w:p>
      <w:pPr>
        <w:pStyle w:val="2"/>
        <w:rPr>
          <w:rFonts w:hint="eastAsia" w:ascii="宋体" w:hAnsi="宋体"/>
          <w:szCs w:val="24"/>
          <w:lang w:eastAsia="zh-CN"/>
        </w:rPr>
      </w:pPr>
    </w:p>
    <w:p>
      <w:pPr>
        <w:pStyle w:val="2"/>
        <w:rPr>
          <w:rFonts w:hint="eastAsia" w:ascii="宋体" w:hAnsi="宋体"/>
          <w:szCs w:val="24"/>
          <w:lang w:eastAsia="zh-CN"/>
        </w:rPr>
        <w:sectPr>
          <w:headerReference r:id="rId5" w:type="default"/>
          <w:footerReference r:id="rId6" w:type="default"/>
          <w:pgSz w:w="11906" w:h="16838"/>
          <w:pgMar w:top="1440" w:right="1440" w:bottom="1440" w:left="1440" w:header="851" w:footer="992" w:gutter="0"/>
          <w:cols w:space="425" w:num="1"/>
          <w:docGrid w:type="lines" w:linePitch="312" w:charSpace="0"/>
        </w:sectPr>
      </w:pPr>
    </w:p>
    <w:p>
      <w:pPr>
        <w:rPr>
          <w:rFonts w:ascii="宋体" w:hAnsi="宋体"/>
          <w:szCs w:val="32"/>
        </w:rPr>
      </w:pPr>
      <w:r>
        <w:rPr>
          <w:rFonts w:hint="eastAsia" w:ascii="宋体" w:hAnsi="宋体"/>
          <w:szCs w:val="32"/>
        </w:rPr>
        <w:t>甲 方（盖章）：</w:t>
      </w:r>
      <w:r>
        <w:rPr>
          <w:rFonts w:hint="eastAsia" w:ascii="宋体" w:hAnsi="宋体" w:cs="宋体"/>
          <w:bCs/>
          <w:u w:val="single"/>
        </w:rPr>
        <w:t>河南浩德新澜置业有限公司</w:t>
      </w:r>
      <w:r>
        <w:rPr>
          <w:rFonts w:hint="eastAsia" w:ascii="宋体" w:hAnsi="宋体"/>
          <w:szCs w:val="32"/>
        </w:rPr>
        <w:t xml:space="preserve"> </w:t>
      </w:r>
    </w:p>
    <w:p>
      <w:pPr>
        <w:rPr>
          <w:rFonts w:ascii="宋体" w:hAnsi="宋体"/>
          <w:szCs w:val="32"/>
        </w:rPr>
      </w:pPr>
      <w:r>
        <w:rPr>
          <w:rFonts w:hint="eastAsia" w:ascii="宋体" w:hAnsi="宋体"/>
          <w:szCs w:val="32"/>
        </w:rPr>
        <w:t>法 人 代 表：</w:t>
      </w:r>
    </w:p>
    <w:p>
      <w:pPr>
        <w:rPr>
          <w:rFonts w:ascii="宋体" w:hAnsi="宋体"/>
          <w:szCs w:val="32"/>
        </w:rPr>
      </w:pPr>
      <w:r>
        <w:rPr>
          <w:rFonts w:hint="eastAsia" w:ascii="宋体" w:hAnsi="宋体"/>
          <w:szCs w:val="32"/>
        </w:rPr>
        <w:t>或授权委托人：</w:t>
      </w:r>
    </w:p>
    <w:p>
      <w:pPr>
        <w:rPr>
          <w:rFonts w:ascii="宋体" w:hAnsi="宋体"/>
          <w:szCs w:val="32"/>
        </w:rPr>
      </w:pPr>
      <w:r>
        <w:rPr>
          <w:rFonts w:hint="eastAsia" w:ascii="宋体" w:hAnsi="宋体"/>
          <w:szCs w:val="32"/>
        </w:rPr>
        <w:t>税号：</w:t>
      </w:r>
      <w:r>
        <w:rPr>
          <w:rFonts w:hint="eastAsia" w:ascii="宋体" w:hAnsi="宋体"/>
          <w:szCs w:val="32"/>
          <w:u w:val="single"/>
        </w:rPr>
        <w:t xml:space="preserve">91410300MA9LXU59XK </w:t>
      </w:r>
    </w:p>
    <w:p>
      <w:pPr>
        <w:rPr>
          <w:rFonts w:ascii="宋体" w:hAnsi="宋体"/>
          <w:szCs w:val="32"/>
          <w:u w:val="single"/>
        </w:rPr>
      </w:pPr>
      <w:r>
        <w:rPr>
          <w:rFonts w:hint="eastAsia" w:ascii="宋体" w:hAnsi="宋体"/>
          <w:szCs w:val="32"/>
        </w:rPr>
        <w:t>账户：</w:t>
      </w:r>
      <w:r>
        <w:rPr>
          <w:rFonts w:hint="eastAsia" w:ascii="宋体" w:hAnsi="宋体" w:cs="宋体"/>
          <w:bCs/>
          <w:u w:val="single"/>
        </w:rPr>
        <w:t>410311010110000101</w:t>
      </w:r>
    </w:p>
    <w:p>
      <w:pPr>
        <w:rPr>
          <w:rFonts w:ascii="宋体" w:hAnsi="宋体"/>
          <w:szCs w:val="32"/>
        </w:rPr>
      </w:pPr>
      <w:r>
        <w:rPr>
          <w:rFonts w:hint="eastAsia" w:ascii="宋体" w:hAnsi="宋体"/>
          <w:szCs w:val="32"/>
        </w:rPr>
        <w:t>开户行：</w:t>
      </w:r>
      <w:r>
        <w:rPr>
          <w:rFonts w:hint="eastAsia" w:ascii="宋体" w:hAnsi="宋体" w:cs="宋体"/>
          <w:bCs/>
        </w:rPr>
        <w:t>中原银行股份有限公司</w:t>
      </w:r>
      <w:r>
        <w:rPr>
          <w:rFonts w:hint="eastAsia" w:hAnsi="宋体" w:cs="宋体"/>
          <w:bCs/>
          <w:szCs w:val="24"/>
        </w:rPr>
        <w:t>洛阳万豪中心支行</w:t>
      </w:r>
    </w:p>
    <w:p>
      <w:pPr>
        <w:rPr>
          <w:rFonts w:asciiTheme="minorEastAsia" w:hAnsiTheme="minorEastAsia"/>
          <w:szCs w:val="24"/>
          <w:u w:val="single"/>
        </w:rPr>
      </w:pPr>
      <w:r>
        <w:rPr>
          <w:rFonts w:hint="eastAsia" w:ascii="宋体" w:hAnsi="宋体"/>
          <w:szCs w:val="32"/>
        </w:rPr>
        <w:t>乙 方（盖章）：</w:t>
      </w:r>
      <w:r>
        <w:rPr>
          <w:rFonts w:hint="eastAsia" w:asciiTheme="minorEastAsia" w:hAnsiTheme="minorEastAsia"/>
          <w:szCs w:val="24"/>
          <w:u w:val="single"/>
        </w:rPr>
        <w:t>河南万企广告有限公司</w:t>
      </w:r>
    </w:p>
    <w:p>
      <w:pPr>
        <w:rPr>
          <w:rFonts w:ascii="宋体" w:hAnsi="宋体"/>
          <w:szCs w:val="32"/>
        </w:rPr>
      </w:pPr>
      <w:r>
        <w:rPr>
          <w:rFonts w:hint="eastAsia" w:ascii="宋体" w:hAnsi="宋体"/>
          <w:szCs w:val="32"/>
        </w:rPr>
        <w:t>法 人 代 表：</w:t>
      </w:r>
    </w:p>
    <w:p>
      <w:pPr>
        <w:rPr>
          <w:rFonts w:hint="eastAsia" w:ascii="宋体" w:hAnsi="宋体"/>
          <w:szCs w:val="32"/>
        </w:rPr>
      </w:pPr>
      <w:r>
        <w:rPr>
          <w:rFonts w:hint="eastAsia" w:ascii="宋体" w:hAnsi="宋体"/>
          <w:szCs w:val="32"/>
        </w:rPr>
        <w:t>或授权委托人：</w:t>
      </w:r>
    </w:p>
    <w:p>
      <w:pPr>
        <w:rPr>
          <w:rFonts w:ascii="宋体" w:hAnsi="宋体"/>
          <w:szCs w:val="32"/>
          <w:u w:val="single"/>
        </w:rPr>
      </w:pPr>
      <w:r>
        <w:rPr>
          <w:rFonts w:hint="eastAsia" w:ascii="宋体" w:hAnsi="宋体"/>
          <w:szCs w:val="32"/>
        </w:rPr>
        <w:t>税号：</w:t>
      </w:r>
      <w:r>
        <w:rPr>
          <w:rFonts w:ascii="宋体" w:hAnsi="宋体"/>
          <w:szCs w:val="32"/>
          <w:u w:val="single"/>
        </w:rPr>
        <w:t>91410</w:t>
      </w:r>
      <w:r>
        <w:rPr>
          <w:rFonts w:hint="eastAsia" w:ascii="宋体" w:hAnsi="宋体"/>
          <w:szCs w:val="32"/>
          <w:u w:val="single"/>
        </w:rPr>
        <w:t>108317531694X</w:t>
      </w:r>
    </w:p>
    <w:p>
      <w:pPr>
        <w:rPr>
          <w:rFonts w:ascii="宋体" w:hAnsi="宋体"/>
          <w:szCs w:val="32"/>
          <w:u w:val="single"/>
        </w:rPr>
      </w:pPr>
      <w:r>
        <w:rPr>
          <w:rFonts w:hint="eastAsia" w:ascii="宋体" w:hAnsi="宋体"/>
          <w:szCs w:val="32"/>
        </w:rPr>
        <w:t>账户：</w:t>
      </w:r>
      <w:r>
        <w:rPr>
          <w:rFonts w:hint="eastAsia" w:ascii="宋体" w:hAnsi="宋体"/>
          <w:szCs w:val="32"/>
          <w:u w:val="single"/>
        </w:rPr>
        <w:t>411061200018170389684</w:t>
      </w:r>
    </w:p>
    <w:p>
      <w:pPr>
        <w:rPr>
          <w:rFonts w:ascii="宋体" w:hAnsi="宋体"/>
          <w:szCs w:val="32"/>
        </w:rPr>
        <w:sectPr>
          <w:type w:val="continuous"/>
          <w:pgSz w:w="11906" w:h="16838"/>
          <w:pgMar w:top="851" w:right="851" w:bottom="851" w:left="851" w:header="851" w:footer="992" w:gutter="0"/>
          <w:cols w:space="720" w:num="2"/>
          <w:docGrid w:type="lines" w:linePitch="312" w:charSpace="0"/>
        </w:sectPr>
      </w:pPr>
      <w:r>
        <w:rPr>
          <w:rFonts w:hint="eastAsia" w:ascii="宋体" w:hAnsi="宋体"/>
          <w:szCs w:val="32"/>
        </w:rPr>
        <w:t>开户行： 交通银行郑州南阳路支行</w:t>
      </w:r>
    </w:p>
    <w:p>
      <w:pPr>
        <w:widowControl/>
        <w:spacing w:line="240" w:lineRule="auto"/>
        <w:jc w:val="left"/>
        <w:rPr>
          <w:rFonts w:ascii="宋体" w:hAnsi="宋体"/>
          <w:szCs w:val="24"/>
        </w:rPr>
      </w:pPr>
      <w:r>
        <w:rPr>
          <w:rFonts w:ascii="宋体" w:hAnsi="宋体"/>
          <w:szCs w:val="24"/>
        </w:rPr>
        <w:br w:type="page"/>
      </w:r>
    </w:p>
    <w:p>
      <w:pPr>
        <w:jc w:val="center"/>
        <w:rPr>
          <w:rFonts w:ascii="宋体" w:hAnsi="宋体"/>
          <w:b/>
          <w:bCs/>
          <w:szCs w:val="24"/>
        </w:rPr>
      </w:pPr>
      <w:r>
        <w:rPr>
          <w:rFonts w:hint="eastAsia" w:ascii="宋体" w:hAnsi="宋体"/>
          <w:b/>
          <w:bCs/>
          <w:szCs w:val="24"/>
        </w:rPr>
        <w:t>廉政合作协议</w:t>
      </w:r>
    </w:p>
    <w:p>
      <w:pPr>
        <w:rPr>
          <w:rFonts w:ascii="宋体" w:hAnsi="宋体" w:cs="宋体"/>
          <w:szCs w:val="24"/>
        </w:rPr>
      </w:pPr>
    </w:p>
    <w:p>
      <w:pPr>
        <w:rPr>
          <w:rFonts w:ascii="宋体" w:hAnsi="宋体" w:cs="宋体"/>
          <w:szCs w:val="24"/>
        </w:rPr>
      </w:pPr>
      <w:r>
        <w:rPr>
          <w:rFonts w:hint="eastAsia" w:ascii="宋体" w:hAnsi="宋体" w:cs="宋体"/>
          <w:szCs w:val="24"/>
        </w:rPr>
        <w:t>甲方：</w:t>
      </w:r>
      <w:r>
        <w:rPr>
          <w:rFonts w:hint="eastAsia" w:ascii="宋体" w:hAnsi="宋体" w:cs="宋体"/>
          <w:bCs/>
          <w:u w:val="single"/>
        </w:rPr>
        <w:t>河南浩德新澜置业有限公司</w:t>
      </w:r>
      <w:r>
        <w:rPr>
          <w:rFonts w:hint="eastAsia" w:ascii="宋体" w:hAnsi="宋体" w:cs="宋体"/>
          <w:szCs w:val="24"/>
          <w:u w:val="single"/>
        </w:rPr>
        <w:t xml:space="preserve"> </w:t>
      </w:r>
    </w:p>
    <w:p>
      <w:pPr>
        <w:rPr>
          <w:rFonts w:asciiTheme="minorEastAsia" w:hAnsiTheme="minorEastAsia"/>
          <w:szCs w:val="24"/>
        </w:rPr>
      </w:pPr>
      <w:r>
        <w:rPr>
          <w:rFonts w:hint="eastAsia" w:ascii="宋体" w:hAnsi="宋体" w:cs="宋体"/>
          <w:szCs w:val="24"/>
        </w:rPr>
        <w:t>乙方：</w:t>
      </w:r>
      <w:r>
        <w:rPr>
          <w:rFonts w:hint="eastAsia" w:asciiTheme="minorEastAsia" w:hAnsiTheme="minorEastAsia"/>
          <w:szCs w:val="24"/>
          <w:u w:val="single"/>
        </w:rPr>
        <w:t>河南万企广告有限公司</w:t>
      </w:r>
    </w:p>
    <w:p>
      <w:pPr>
        <w:ind w:firstLine="720" w:firstLineChars="300"/>
        <w:rPr>
          <w:rFonts w:ascii="宋体" w:hAnsi="宋体" w:cs="宋体"/>
          <w:szCs w:val="24"/>
        </w:rPr>
      </w:pPr>
      <w:r>
        <w:rPr>
          <w:rFonts w:hint="eastAsia" w:ascii="宋体" w:hAnsi="宋体" w:cs="宋体"/>
          <w:szCs w:val="24"/>
        </w:rPr>
        <w:t>为加强工程项目建设期间的廉政管理，确保项目高效优质按期竣工，甲、乙双方经协商签定本协议并做为双方共同遵守的廉政行为准则。</w:t>
      </w:r>
    </w:p>
    <w:p>
      <w:pPr>
        <w:ind w:firstLine="482" w:firstLineChars="200"/>
        <w:rPr>
          <w:rFonts w:ascii="宋体" w:hAnsi="宋体" w:cs="宋体"/>
          <w:b/>
          <w:bCs/>
          <w:szCs w:val="24"/>
        </w:rPr>
      </w:pPr>
      <w:r>
        <w:rPr>
          <w:rFonts w:hint="eastAsia" w:ascii="宋体" w:hAnsi="宋体" w:cs="宋体"/>
          <w:b/>
          <w:bCs/>
          <w:szCs w:val="24"/>
        </w:rPr>
        <w:t>一．甲方责任</w:t>
      </w:r>
    </w:p>
    <w:p>
      <w:pPr>
        <w:ind w:firstLine="480" w:firstLineChars="200"/>
        <w:rPr>
          <w:rFonts w:ascii="宋体" w:hAnsi="宋体" w:cs="宋体"/>
          <w:szCs w:val="24"/>
        </w:rPr>
      </w:pPr>
      <w:r>
        <w:rPr>
          <w:rFonts w:hint="eastAsia" w:ascii="宋体" w:hAnsi="宋体" w:cs="宋体"/>
          <w:szCs w:val="24"/>
        </w:rPr>
        <w:t>1．甲方有责任向乙方介绍本单位有关廉政管理的各项制度和规定。</w:t>
      </w:r>
    </w:p>
    <w:p>
      <w:pPr>
        <w:ind w:firstLine="480" w:firstLineChars="200"/>
        <w:rPr>
          <w:rFonts w:ascii="宋体" w:hAnsi="宋体" w:cs="宋体"/>
          <w:szCs w:val="24"/>
        </w:rPr>
      </w:pPr>
      <w:r>
        <w:rPr>
          <w:rFonts w:hint="eastAsia" w:ascii="宋体" w:hAnsi="宋体" w:cs="宋体"/>
          <w:szCs w:val="24"/>
        </w:rPr>
        <w:t>2．甲方有责任对本单位项目管理人员进行廉政教育。</w:t>
      </w:r>
    </w:p>
    <w:p>
      <w:pPr>
        <w:ind w:firstLine="480" w:firstLineChars="200"/>
        <w:rPr>
          <w:rFonts w:ascii="宋体" w:hAnsi="宋体" w:cs="宋体"/>
          <w:szCs w:val="24"/>
        </w:rPr>
      </w:pPr>
      <w:r>
        <w:rPr>
          <w:rFonts w:hint="eastAsia" w:ascii="宋体" w:hAnsi="宋体" w:cs="宋体"/>
          <w:szCs w:val="24"/>
        </w:rPr>
        <w:t>3．甲方人员应严格遵守本单位有关廉政管理的规定，不得接受乙方的宴请，不得接受任何形式的实物、现金或礼券。</w:t>
      </w:r>
    </w:p>
    <w:p>
      <w:pPr>
        <w:ind w:firstLine="480" w:firstLineChars="200"/>
        <w:rPr>
          <w:rFonts w:ascii="宋体" w:hAnsi="宋体" w:cs="宋体"/>
          <w:szCs w:val="24"/>
        </w:rPr>
      </w:pPr>
      <w:r>
        <w:rPr>
          <w:rFonts w:hint="eastAsia" w:ascii="宋体" w:hAnsi="宋体" w:cs="宋体"/>
          <w:szCs w:val="24"/>
        </w:rPr>
        <w:t>4．甲方在项目建设期间发现甲方人员任何形式的索贿受贿行为，均应及时采取措施予以制止，并及时通报乙方单位领导。</w:t>
      </w:r>
    </w:p>
    <w:p>
      <w:pPr>
        <w:ind w:firstLine="480" w:firstLineChars="200"/>
        <w:rPr>
          <w:rFonts w:ascii="宋体" w:hAnsi="宋体" w:cs="宋体"/>
          <w:szCs w:val="24"/>
        </w:rPr>
      </w:pPr>
      <w:r>
        <w:rPr>
          <w:rFonts w:hint="eastAsia" w:ascii="宋体" w:hAnsi="宋体" w:cs="宋体"/>
          <w:szCs w:val="24"/>
        </w:rPr>
        <w:t>5．甲方人员如违反廉政管理制度及本协议规定，甲方应视情节轻重、影响大小给予处罚。</w:t>
      </w:r>
    </w:p>
    <w:p>
      <w:pPr>
        <w:ind w:firstLine="480" w:firstLineChars="200"/>
        <w:rPr>
          <w:rFonts w:ascii="宋体" w:hAnsi="宋体" w:cs="宋体"/>
          <w:szCs w:val="24"/>
        </w:rPr>
      </w:pPr>
      <w:r>
        <w:rPr>
          <w:rFonts w:hint="eastAsia" w:ascii="宋体" w:hAnsi="宋体" w:cs="宋体"/>
          <w:szCs w:val="24"/>
        </w:rPr>
        <w:t>6．对于乙方举报甲方人员违反廉政规定的情况，甲方应及时进行调查，根据调查情况进行处理。</w:t>
      </w:r>
    </w:p>
    <w:p>
      <w:pPr>
        <w:ind w:firstLine="482" w:firstLineChars="200"/>
        <w:rPr>
          <w:rFonts w:ascii="宋体" w:hAnsi="宋体" w:cs="宋体"/>
          <w:b/>
          <w:bCs/>
          <w:szCs w:val="24"/>
        </w:rPr>
      </w:pPr>
      <w:r>
        <w:rPr>
          <w:rFonts w:hint="eastAsia" w:ascii="宋体" w:hAnsi="宋体" w:cs="宋体"/>
          <w:b/>
          <w:bCs/>
          <w:szCs w:val="24"/>
        </w:rPr>
        <w:t>二．乙方责任</w:t>
      </w:r>
    </w:p>
    <w:p>
      <w:pPr>
        <w:ind w:firstLine="480" w:firstLineChars="200"/>
        <w:rPr>
          <w:rFonts w:ascii="宋体" w:hAnsi="宋体" w:cs="宋体"/>
          <w:szCs w:val="24"/>
        </w:rPr>
      </w:pPr>
      <w:r>
        <w:rPr>
          <w:rFonts w:hint="eastAsia" w:ascii="宋体" w:hAnsi="宋体" w:cs="宋体"/>
          <w:szCs w:val="24"/>
        </w:rPr>
        <w:t>1．乙方应保证乙方有关人员了解甲方有关廉政管理的各项制度及本协议的规定，并遵照执行。</w:t>
      </w:r>
    </w:p>
    <w:p>
      <w:pPr>
        <w:ind w:firstLine="480" w:firstLineChars="200"/>
        <w:rPr>
          <w:rFonts w:ascii="宋体" w:hAnsi="宋体" w:cs="宋体"/>
          <w:szCs w:val="24"/>
        </w:rPr>
      </w:pPr>
      <w:r>
        <w:rPr>
          <w:rFonts w:hint="eastAsia" w:ascii="宋体" w:hAnsi="宋体" w:cs="宋体"/>
          <w:szCs w:val="24"/>
        </w:rPr>
        <w:t>2．乙方不得宴请甲方人员，不得以任何形式赠送实物、现金或礼券。</w:t>
      </w:r>
    </w:p>
    <w:p>
      <w:pPr>
        <w:ind w:firstLine="480" w:firstLineChars="200"/>
        <w:rPr>
          <w:rFonts w:ascii="宋体" w:hAnsi="宋体" w:cs="宋体"/>
          <w:szCs w:val="24"/>
        </w:rPr>
      </w:pPr>
      <w:r>
        <w:rPr>
          <w:rFonts w:hint="eastAsia" w:ascii="宋体" w:hAnsi="宋体" w:cs="宋体"/>
          <w:szCs w:val="24"/>
        </w:rPr>
        <w:t>3．乙方在项目建设期间发现乙方人员任何向甲方人员行贿行为，均应及时采取措施予以制止，并及时通报甲方单位领导。</w:t>
      </w:r>
    </w:p>
    <w:p>
      <w:pPr>
        <w:ind w:firstLine="480" w:firstLineChars="200"/>
        <w:rPr>
          <w:rFonts w:ascii="宋体" w:hAnsi="宋体" w:cs="宋体"/>
          <w:szCs w:val="24"/>
        </w:rPr>
      </w:pPr>
      <w:r>
        <w:rPr>
          <w:rFonts w:hint="eastAsia" w:ascii="宋体" w:hAnsi="宋体" w:cs="宋体"/>
          <w:szCs w:val="24"/>
        </w:rPr>
        <w:t>4．乙方有责任接受甲方对乙方在项目建设期间廉政管理执行情况的监督。</w:t>
      </w:r>
    </w:p>
    <w:p>
      <w:pPr>
        <w:ind w:firstLine="480" w:firstLineChars="200"/>
        <w:rPr>
          <w:rFonts w:ascii="宋体" w:hAnsi="宋体" w:cs="宋体"/>
          <w:szCs w:val="24"/>
        </w:rPr>
      </w:pPr>
      <w:r>
        <w:rPr>
          <w:rFonts w:hint="eastAsia" w:ascii="宋体" w:hAnsi="宋体" w:cs="宋体"/>
          <w:szCs w:val="24"/>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ind w:firstLine="480" w:firstLineChars="200"/>
        <w:rPr>
          <w:rFonts w:ascii="宋体" w:hAnsi="宋体" w:cs="宋体"/>
          <w:szCs w:val="24"/>
        </w:rPr>
      </w:pPr>
      <w:r>
        <w:rPr>
          <w:rFonts w:hint="eastAsia" w:ascii="宋体" w:hAnsi="宋体" w:cs="宋体"/>
          <w:szCs w:val="24"/>
        </w:rPr>
        <w:t>6．如因乙方或其人员在项目建设期间贿赂甲方人员，被检查机关立案查处的，甲方有权中止合同履行或解除合同，由此给甲方造成的损失，均由乙方负责赔偿。</w:t>
      </w:r>
    </w:p>
    <w:p>
      <w:pPr>
        <w:rPr>
          <w:rFonts w:ascii="宋体" w:hAnsi="宋体" w:cs="宋体"/>
          <w:b/>
          <w:bCs/>
          <w:szCs w:val="24"/>
        </w:rPr>
      </w:pPr>
      <w:r>
        <w:rPr>
          <w:rFonts w:ascii="宋体" w:hAnsi="宋体"/>
          <w:szCs w:val="24"/>
        </w:rPr>
        <w:drawing>
          <wp:anchor distT="0" distB="0" distL="114300" distR="114300" simplePos="0" relativeHeight="251659264" behindDoc="0" locked="0" layoutInCell="1" allowOverlap="1">
            <wp:simplePos x="0" y="0"/>
            <wp:positionH relativeFrom="column">
              <wp:posOffset>4318635</wp:posOffset>
            </wp:positionH>
            <wp:positionV relativeFrom="paragraph">
              <wp:posOffset>294005</wp:posOffset>
            </wp:positionV>
            <wp:extent cx="1495425" cy="1495425"/>
            <wp:effectExtent l="0" t="0" r="9525" b="952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495425" cy="1495425"/>
                    </a:xfrm>
                    <a:prstGeom prst="rect">
                      <a:avLst/>
                    </a:prstGeom>
                    <a:noFill/>
                    <a:ln>
                      <a:noFill/>
                    </a:ln>
                  </pic:spPr>
                </pic:pic>
              </a:graphicData>
            </a:graphic>
          </wp:anchor>
        </w:drawing>
      </w:r>
      <w:r>
        <w:rPr>
          <w:rFonts w:hint="eastAsia" w:ascii="宋体" w:hAnsi="宋体" w:cs="宋体"/>
          <w:szCs w:val="24"/>
        </w:rPr>
        <w:t xml:space="preserve"> </w:t>
      </w:r>
      <w:r>
        <w:rPr>
          <w:rFonts w:hint="eastAsia" w:ascii="宋体" w:hAnsi="宋体" w:cs="宋体"/>
          <w:b/>
          <w:bCs/>
          <w:szCs w:val="24"/>
        </w:rPr>
        <w:t>三、为维护甲乙双方的合法利益，营造良好的商务环境，甲方建立多种举报渠道（如下）。甲方内控审计监察人员将恪守职业道德，严格履行保密义务！</w:t>
      </w:r>
    </w:p>
    <w:p>
      <w:pPr>
        <w:ind w:firstLine="480" w:firstLineChars="200"/>
        <w:rPr>
          <w:rFonts w:ascii="宋体" w:hAnsi="宋体" w:cs="宋体"/>
          <w:szCs w:val="24"/>
        </w:rPr>
      </w:pPr>
      <w:r>
        <w:rPr>
          <w:rFonts w:hint="eastAsia" w:ascii="宋体" w:hAnsi="宋体" w:cs="宋体"/>
          <w:szCs w:val="24"/>
        </w:rPr>
        <w:t>（1）电话：王先生：18638357973</w:t>
      </w:r>
    </w:p>
    <w:p>
      <w:pPr>
        <w:ind w:firstLine="480" w:firstLineChars="200"/>
        <w:rPr>
          <w:rFonts w:ascii="宋体" w:hAnsi="宋体" w:cs="宋体"/>
          <w:szCs w:val="24"/>
        </w:rPr>
      </w:pPr>
      <w:r>
        <w:rPr>
          <w:rFonts w:hint="eastAsia" w:ascii="宋体" w:hAnsi="宋体" w:cs="宋体"/>
          <w:szCs w:val="24"/>
        </w:rPr>
        <w:t>（2）电话：杨先生：15670305910</w:t>
      </w:r>
    </w:p>
    <w:p>
      <w:pPr>
        <w:ind w:firstLine="480" w:firstLineChars="200"/>
        <w:rPr>
          <w:rFonts w:ascii="宋体" w:hAnsi="宋体" w:cs="宋体"/>
          <w:szCs w:val="24"/>
        </w:rPr>
      </w:pPr>
      <w:r>
        <w:rPr>
          <w:rFonts w:hint="eastAsia" w:ascii="宋体" w:hAnsi="宋体" w:cs="宋体"/>
          <w:szCs w:val="24"/>
        </w:rPr>
        <w:t>（3）邮箱：</w:t>
      </w:r>
      <w:r>
        <w:rPr>
          <w:rFonts w:hint="eastAsia"/>
        </w:rPr>
        <w:fldChar w:fldCharType="begin"/>
      </w:r>
      <w:r>
        <w:instrText xml:space="preserve"> HYPERLINK "mailto:hddcfkb@Foxmail.com" </w:instrText>
      </w:r>
      <w:r>
        <w:rPr>
          <w:rFonts w:hint="eastAsia"/>
        </w:rPr>
        <w:fldChar w:fldCharType="separate"/>
      </w:r>
      <w:r>
        <w:rPr>
          <w:rStyle w:val="11"/>
          <w:rFonts w:hint="eastAsia" w:ascii="宋体" w:hAnsi="宋体" w:cs="宋体"/>
          <w:szCs w:val="24"/>
        </w:rPr>
        <w:t>hddcfkb@Foxmail.com</w:t>
      </w:r>
      <w:r>
        <w:rPr>
          <w:rStyle w:val="11"/>
          <w:rFonts w:hint="eastAsia" w:ascii="宋体" w:hAnsi="宋体" w:cs="宋体"/>
          <w:szCs w:val="24"/>
        </w:rPr>
        <w:fldChar w:fldCharType="end"/>
      </w:r>
    </w:p>
    <w:p>
      <w:pPr>
        <w:ind w:firstLine="480" w:firstLineChars="200"/>
        <w:rPr>
          <w:rFonts w:ascii="宋体" w:hAnsi="宋体" w:cs="宋体"/>
          <w:szCs w:val="24"/>
        </w:rPr>
      </w:pPr>
      <w:r>
        <w:rPr>
          <w:rFonts w:hint="eastAsia" w:ascii="宋体" w:hAnsi="宋体" w:cs="宋体"/>
          <w:szCs w:val="24"/>
        </w:rPr>
        <w:t>（</w:t>
      </w:r>
      <w:r>
        <w:rPr>
          <w:rFonts w:ascii="宋体" w:hAnsi="宋体" w:cs="宋体"/>
          <w:szCs w:val="24"/>
        </w:rPr>
        <w:t>4</w:t>
      </w:r>
      <w:r>
        <w:rPr>
          <w:rFonts w:hint="eastAsia" w:ascii="宋体" w:hAnsi="宋体" w:cs="宋体"/>
          <w:szCs w:val="24"/>
        </w:rPr>
        <w:t>）直接和督查督办人员约定场所当面举报。</w:t>
      </w:r>
    </w:p>
    <w:p>
      <w:pPr>
        <w:ind w:firstLine="482" w:firstLineChars="200"/>
        <w:rPr>
          <w:rFonts w:ascii="宋体" w:hAnsi="宋体" w:cs="宋体"/>
          <w:b/>
          <w:bCs/>
          <w:szCs w:val="24"/>
        </w:rPr>
      </w:pPr>
      <w:r>
        <w:rPr>
          <w:rFonts w:hint="eastAsia" w:ascii="宋体" w:hAnsi="宋体" w:cs="宋体"/>
          <w:b/>
          <w:bCs/>
          <w:szCs w:val="24"/>
        </w:rPr>
        <w:t>四、甲乙双方发现对方工作人员有下列行为之一的，可通过第三条约定的渠道进行举报：</w:t>
      </w:r>
    </w:p>
    <w:p>
      <w:pPr>
        <w:ind w:firstLine="480" w:firstLineChars="200"/>
        <w:rPr>
          <w:rFonts w:ascii="宋体" w:hAnsi="宋体" w:cs="宋体"/>
          <w:szCs w:val="24"/>
        </w:rPr>
      </w:pPr>
      <w:r>
        <w:rPr>
          <w:rFonts w:hint="eastAsia" w:ascii="宋体" w:hAnsi="宋体" w:cs="宋体"/>
          <w:szCs w:val="24"/>
        </w:rPr>
        <w:t>1.推诿扯皮、有责不负、处事消极、渎职失职、弄虚作假等行为。</w:t>
      </w:r>
    </w:p>
    <w:p>
      <w:pPr>
        <w:ind w:firstLine="480" w:firstLineChars="200"/>
        <w:rPr>
          <w:rFonts w:ascii="宋体" w:hAnsi="宋体" w:cs="宋体"/>
          <w:szCs w:val="24"/>
        </w:rPr>
      </w:pPr>
      <w:r>
        <w:rPr>
          <w:rFonts w:hint="eastAsia" w:ascii="宋体" w:hAnsi="宋体" w:cs="宋体"/>
          <w:szCs w:val="24"/>
        </w:rPr>
        <w:t>2.以权谋私、滥用职权、处事不公、隐瞒事故、违章指挥造成公司严重事故隐患的行为。</w:t>
      </w:r>
    </w:p>
    <w:p>
      <w:pPr>
        <w:ind w:firstLine="480" w:firstLineChars="200"/>
        <w:rPr>
          <w:rFonts w:ascii="宋体" w:hAnsi="宋体" w:cs="宋体"/>
          <w:szCs w:val="24"/>
        </w:rPr>
      </w:pPr>
      <w:r>
        <w:rPr>
          <w:rFonts w:hint="eastAsia" w:ascii="宋体" w:hAnsi="宋体" w:cs="宋体"/>
          <w:szCs w:val="24"/>
        </w:rPr>
        <w:t>3.贪污、受贿、盗窃、欺上瞒下等违法乱纪行为。</w:t>
      </w:r>
    </w:p>
    <w:p>
      <w:pPr>
        <w:ind w:firstLine="480" w:firstLineChars="200"/>
        <w:rPr>
          <w:rFonts w:ascii="宋体" w:hAnsi="宋体" w:cs="宋体"/>
          <w:szCs w:val="24"/>
        </w:rPr>
      </w:pPr>
      <w:r>
        <w:rPr>
          <w:rFonts w:hint="eastAsia" w:ascii="宋体" w:hAnsi="宋体" w:cs="宋体"/>
          <w:szCs w:val="24"/>
        </w:rPr>
        <w:t>4.出卖、泄露公司商业机密等危害公司行为。</w:t>
      </w:r>
    </w:p>
    <w:p>
      <w:pPr>
        <w:ind w:firstLine="480" w:firstLineChars="200"/>
        <w:rPr>
          <w:rFonts w:ascii="宋体" w:hAnsi="宋体" w:cs="宋体"/>
          <w:szCs w:val="24"/>
        </w:rPr>
      </w:pPr>
      <w:r>
        <w:rPr>
          <w:rFonts w:hint="eastAsia" w:ascii="宋体" w:hAnsi="宋体" w:cs="宋体"/>
          <w:szCs w:val="24"/>
        </w:rPr>
        <w:t>5.重大经济活动未按公司制度、流程执行的违规违纪行为。</w:t>
      </w:r>
    </w:p>
    <w:p>
      <w:pPr>
        <w:ind w:firstLine="480" w:firstLineChars="200"/>
        <w:rPr>
          <w:rFonts w:ascii="宋体" w:hAnsi="宋体" w:cs="宋体"/>
          <w:szCs w:val="24"/>
        </w:rPr>
      </w:pPr>
      <w:r>
        <w:rPr>
          <w:rFonts w:hint="eastAsia" w:ascii="宋体" w:hAnsi="宋体" w:cs="宋体"/>
          <w:szCs w:val="24"/>
        </w:rPr>
        <w:t>6.利用职权，任人唯亲，拉帮结派，搞小利益团体或对同事正当行使权利进行打击报复的行为。</w:t>
      </w:r>
    </w:p>
    <w:p>
      <w:pPr>
        <w:ind w:firstLine="480" w:firstLineChars="200"/>
        <w:rPr>
          <w:rFonts w:ascii="宋体" w:hAnsi="宋体" w:cs="宋体"/>
          <w:szCs w:val="24"/>
        </w:rPr>
      </w:pPr>
      <w:r>
        <w:rPr>
          <w:rFonts w:hint="eastAsia" w:ascii="宋体" w:hAnsi="宋体" w:cs="宋体"/>
          <w:szCs w:val="24"/>
        </w:rPr>
        <w:t>7.故意涂改公司文件或以公司名义谋私利，损害公司荣誉和利益的行为。</w:t>
      </w:r>
    </w:p>
    <w:p>
      <w:pPr>
        <w:ind w:firstLine="480" w:firstLineChars="200"/>
        <w:rPr>
          <w:rFonts w:ascii="宋体" w:hAnsi="宋体" w:cs="宋体"/>
          <w:szCs w:val="24"/>
        </w:rPr>
      </w:pPr>
      <w:r>
        <w:rPr>
          <w:rFonts w:hint="eastAsia" w:ascii="宋体" w:hAnsi="宋体" w:cs="宋体"/>
          <w:szCs w:val="24"/>
        </w:rPr>
        <w:t>8.私自侵占、挪用公司财物，损坏公司重要设备或资产的行为。</w:t>
      </w:r>
    </w:p>
    <w:p>
      <w:pPr>
        <w:ind w:firstLine="480" w:firstLineChars="200"/>
        <w:rPr>
          <w:rFonts w:ascii="宋体" w:hAnsi="宋体" w:cs="宋体"/>
          <w:szCs w:val="24"/>
        </w:rPr>
      </w:pPr>
      <w:r>
        <w:rPr>
          <w:rFonts w:hint="eastAsia" w:ascii="宋体" w:hAnsi="宋体" w:cs="宋体"/>
          <w:szCs w:val="24"/>
        </w:rPr>
        <w:t>9.破坏团队和谐，故意挑拨员工之间关系，对同事恶意侮辱、陷害、制造事端的行为。</w:t>
      </w:r>
    </w:p>
    <w:p>
      <w:pPr>
        <w:ind w:firstLine="480" w:firstLineChars="200"/>
        <w:rPr>
          <w:rFonts w:ascii="宋体" w:hAnsi="宋体" w:cs="宋体"/>
          <w:szCs w:val="24"/>
        </w:rPr>
      </w:pPr>
      <w:r>
        <w:rPr>
          <w:rFonts w:hint="eastAsia" w:ascii="宋体" w:hAnsi="宋体" w:cs="宋体"/>
          <w:szCs w:val="24"/>
        </w:rPr>
        <w:t>10.妄议集团经营、管理、决策部署、会议决议，对正当行使职权的执法部门、员工进行设置障碍、诋毁、恶意侮辱的行为。</w:t>
      </w:r>
    </w:p>
    <w:p>
      <w:pPr>
        <w:ind w:firstLine="480" w:firstLineChars="200"/>
        <w:rPr>
          <w:rFonts w:ascii="宋体" w:hAnsi="宋体" w:cs="宋体"/>
          <w:szCs w:val="24"/>
        </w:rPr>
      </w:pPr>
      <w:r>
        <w:rPr>
          <w:rFonts w:hint="eastAsia" w:ascii="宋体" w:hAnsi="宋体" w:cs="宋体"/>
          <w:szCs w:val="24"/>
        </w:rPr>
        <w:t>11.其它违反法律或者招标人公司相关制度的行为。</w:t>
      </w:r>
    </w:p>
    <w:p>
      <w:pPr>
        <w:ind w:firstLine="480" w:firstLineChars="200"/>
        <w:rPr>
          <w:rFonts w:ascii="宋体" w:hAnsi="宋体" w:cs="宋体"/>
          <w:szCs w:val="24"/>
        </w:rPr>
      </w:pPr>
      <w:r>
        <w:rPr>
          <w:rFonts w:hint="eastAsia" w:ascii="宋体" w:hAnsi="宋体" w:cs="宋体"/>
          <w:szCs w:val="24"/>
        </w:rPr>
        <w:t>（以下无正文）</w:t>
      </w:r>
    </w:p>
    <w:p>
      <w:pPr>
        <w:ind w:firstLine="480" w:firstLineChars="200"/>
        <w:rPr>
          <w:rFonts w:ascii="宋体" w:hAnsi="宋体" w:cs="宋体"/>
          <w:szCs w:val="24"/>
        </w:rPr>
      </w:pPr>
    </w:p>
    <w:p>
      <w:pPr>
        <w:rPr>
          <w:rFonts w:ascii="宋体" w:hAnsi="宋体" w:cs="宋体"/>
          <w:szCs w:val="24"/>
        </w:rPr>
      </w:pPr>
      <w:r>
        <w:rPr>
          <w:rFonts w:hint="eastAsia" w:ascii="宋体" w:hAnsi="宋体" w:cs="宋体"/>
          <w:szCs w:val="24"/>
        </w:rPr>
        <w:t>甲方：</w:t>
      </w:r>
      <w:r>
        <w:rPr>
          <w:rFonts w:hint="eastAsia" w:ascii="宋体" w:hAnsi="宋体" w:cs="宋体"/>
          <w:bCs/>
          <w:u w:val="single"/>
        </w:rPr>
        <w:t>河南浩德新澜置业有限公司</w:t>
      </w:r>
      <w:r>
        <w:rPr>
          <w:rFonts w:ascii="宋体" w:hAnsi="宋体" w:cs="宋体"/>
          <w:szCs w:val="24"/>
        </w:rPr>
        <w:t xml:space="preserve">  </w:t>
      </w:r>
      <w:r>
        <w:rPr>
          <w:rFonts w:hint="eastAsia" w:ascii="宋体" w:hAnsi="宋体" w:cs="宋体"/>
          <w:szCs w:val="24"/>
        </w:rPr>
        <w:t>乙方：</w:t>
      </w:r>
      <w:r>
        <w:rPr>
          <w:rFonts w:hint="eastAsia" w:asciiTheme="minorEastAsia" w:hAnsiTheme="minorEastAsia"/>
          <w:szCs w:val="24"/>
          <w:u w:val="single"/>
        </w:rPr>
        <w:t>河南万企广告有限公司</w:t>
      </w:r>
    </w:p>
    <w:p>
      <w:pPr>
        <w:rPr>
          <w:rFonts w:ascii="宋体" w:hAnsi="宋体" w:cs="宋体"/>
          <w:szCs w:val="24"/>
        </w:rPr>
      </w:pPr>
      <w:r>
        <w:rPr>
          <w:rFonts w:hint="eastAsia" w:ascii="宋体" w:hAnsi="宋体" w:cs="宋体"/>
          <w:szCs w:val="24"/>
        </w:rPr>
        <w:t>签署日期：</w:t>
      </w:r>
      <w:r>
        <w:rPr>
          <w:rFonts w:ascii="宋体" w:hAnsi="宋体" w:cs="宋体"/>
          <w:szCs w:val="24"/>
        </w:rPr>
        <w:t>2021</w:t>
      </w:r>
      <w:r>
        <w:rPr>
          <w:rFonts w:hint="eastAsia" w:ascii="宋体" w:hAnsi="宋体" w:cs="宋体"/>
          <w:szCs w:val="24"/>
        </w:rPr>
        <w:t>年</w:t>
      </w:r>
      <w:r>
        <w:rPr>
          <w:rFonts w:ascii="宋体" w:hAnsi="宋体" w:cs="宋体"/>
          <w:szCs w:val="24"/>
        </w:rPr>
        <w:t>4</w:t>
      </w:r>
      <w:r>
        <w:rPr>
          <w:rFonts w:hint="eastAsia" w:ascii="宋体" w:hAnsi="宋体" w:cs="宋体"/>
          <w:szCs w:val="24"/>
        </w:rPr>
        <w:t xml:space="preserve"> 月   </w:t>
      </w:r>
      <w:r>
        <w:rPr>
          <w:rFonts w:ascii="宋体" w:hAnsi="宋体" w:cs="宋体"/>
          <w:szCs w:val="24"/>
        </w:rPr>
        <w:t xml:space="preserve">  </w:t>
      </w:r>
      <w:r>
        <w:rPr>
          <w:rFonts w:hint="eastAsia" w:ascii="宋体" w:hAnsi="宋体" w:cs="宋体"/>
          <w:szCs w:val="24"/>
        </w:rPr>
        <w:t xml:space="preserve">       签署日期：2</w:t>
      </w:r>
      <w:r>
        <w:rPr>
          <w:rFonts w:ascii="宋体" w:hAnsi="宋体" w:cs="宋体"/>
          <w:szCs w:val="24"/>
        </w:rPr>
        <w:t>021</w:t>
      </w:r>
      <w:r>
        <w:rPr>
          <w:rFonts w:hint="eastAsia" w:ascii="宋体" w:hAnsi="宋体" w:cs="宋体"/>
          <w:szCs w:val="24"/>
        </w:rPr>
        <w:t>年</w:t>
      </w:r>
      <w:r>
        <w:rPr>
          <w:rFonts w:ascii="宋体" w:hAnsi="宋体" w:cs="宋体"/>
          <w:szCs w:val="24"/>
        </w:rPr>
        <w:t>4月</w:t>
      </w:r>
    </w:p>
    <w:p>
      <w:pPr>
        <w:pStyle w:val="2"/>
        <w:rPr>
          <w:rFonts w:ascii="宋体" w:hAnsi="宋体" w:cs="宋体"/>
          <w:szCs w:val="24"/>
        </w:rPr>
      </w:pPr>
    </w:p>
    <w:tbl>
      <w:tblPr>
        <w:tblStyle w:val="9"/>
        <w:tblW w:w="9333" w:type="dxa"/>
        <w:tblInd w:w="-392" w:type="dxa"/>
        <w:tblLayout w:type="fixed"/>
        <w:tblCellMar>
          <w:top w:w="0" w:type="dxa"/>
          <w:left w:w="108" w:type="dxa"/>
          <w:bottom w:w="0" w:type="dxa"/>
          <w:right w:w="108" w:type="dxa"/>
        </w:tblCellMar>
      </w:tblPr>
      <w:tblGrid>
        <w:gridCol w:w="516"/>
        <w:gridCol w:w="617"/>
        <w:gridCol w:w="1300"/>
        <w:gridCol w:w="1933"/>
        <w:gridCol w:w="765"/>
        <w:gridCol w:w="635"/>
        <w:gridCol w:w="1034"/>
        <w:gridCol w:w="1033"/>
        <w:gridCol w:w="628"/>
        <w:gridCol w:w="872"/>
      </w:tblGrid>
      <w:tr>
        <w:tblPrEx>
          <w:tblCellMar>
            <w:top w:w="0" w:type="dxa"/>
            <w:left w:w="108" w:type="dxa"/>
            <w:bottom w:w="0" w:type="dxa"/>
            <w:right w:w="108" w:type="dxa"/>
          </w:tblCellMar>
        </w:tblPrEx>
        <w:trPr>
          <w:trHeight w:val="390" w:hRule="atLeast"/>
        </w:trPr>
        <w:tc>
          <w:tcPr>
            <w:tcW w:w="9333"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36"/>
                <w:szCs w:val="36"/>
              </w:rPr>
            </w:pPr>
            <w:r>
              <w:rPr>
                <w:rFonts w:hint="eastAsia" w:ascii="宋体" w:hAnsi="宋体" w:cs="宋体"/>
                <w:color w:val="000000"/>
                <w:kern w:val="0"/>
                <w:sz w:val="36"/>
                <w:szCs w:val="36"/>
                <w:lang w:bidi="ar"/>
              </w:rPr>
              <w:t>洛阳伊河项目售楼部形象墙清单</w:t>
            </w:r>
          </w:p>
        </w:tc>
      </w:tr>
      <w:tr>
        <w:tblPrEx>
          <w:tblCellMar>
            <w:top w:w="0" w:type="dxa"/>
            <w:left w:w="108" w:type="dxa"/>
            <w:bottom w:w="0" w:type="dxa"/>
            <w:right w:w="108" w:type="dxa"/>
          </w:tblCellMar>
        </w:tblPrEx>
        <w:trPr>
          <w:trHeight w:val="390" w:hRule="atLeast"/>
        </w:trPr>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8"/>
                <w:szCs w:val="28"/>
              </w:rPr>
            </w:pPr>
            <w:r>
              <w:rPr>
                <w:rFonts w:hint="eastAsia" w:ascii="宋体" w:hAnsi="宋体" w:cs="宋体"/>
                <w:color w:val="000000"/>
                <w:kern w:val="0"/>
                <w:sz w:val="20"/>
                <w:szCs w:val="20"/>
                <w:lang w:bidi="ar"/>
              </w:rPr>
              <w:t>施工单位</w:t>
            </w:r>
          </w:p>
        </w:tc>
        <w:tc>
          <w:tcPr>
            <w:tcW w:w="820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cs="宋体"/>
                <w:color w:val="000000"/>
                <w:sz w:val="28"/>
                <w:szCs w:val="28"/>
              </w:rPr>
            </w:pPr>
            <w:r>
              <w:rPr>
                <w:rFonts w:hint="eastAsia" w:asciiTheme="minorEastAsia" w:hAnsiTheme="minorEastAsia"/>
                <w:szCs w:val="24"/>
                <w:u w:val="single"/>
              </w:rPr>
              <w:t>河南万企广告有限公司</w:t>
            </w:r>
          </w:p>
        </w:tc>
      </w:tr>
      <w:tr>
        <w:tblPrEx>
          <w:tblCellMar>
            <w:top w:w="0" w:type="dxa"/>
            <w:left w:w="108" w:type="dxa"/>
            <w:bottom w:w="0" w:type="dxa"/>
            <w:right w:w="108" w:type="dxa"/>
          </w:tblCellMar>
        </w:tblPrEx>
        <w:trPr>
          <w:trHeight w:val="1157"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项目名称</w:t>
            </w:r>
          </w:p>
        </w:tc>
        <w:tc>
          <w:tcPr>
            <w:tcW w:w="1300"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材质工艺/规格型号</w:t>
            </w:r>
          </w:p>
        </w:tc>
        <w:tc>
          <w:tcPr>
            <w:tcW w:w="1933"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尺寸、材质及工艺说明</w:t>
            </w:r>
          </w:p>
        </w:tc>
        <w:tc>
          <w:tcPr>
            <w:tcW w:w="765"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数量</w:t>
            </w:r>
          </w:p>
        </w:tc>
        <w:tc>
          <w:tcPr>
            <w:tcW w:w="635"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单位</w:t>
            </w:r>
          </w:p>
        </w:tc>
        <w:tc>
          <w:tcPr>
            <w:tcW w:w="1034"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不含税单价(元)</w:t>
            </w:r>
          </w:p>
        </w:tc>
        <w:tc>
          <w:tcPr>
            <w:tcW w:w="1033"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不含税总价(元)</w:t>
            </w:r>
          </w:p>
        </w:tc>
        <w:tc>
          <w:tcPr>
            <w:tcW w:w="628"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税点</w:t>
            </w:r>
          </w:p>
        </w:tc>
        <w:tc>
          <w:tcPr>
            <w:tcW w:w="872"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含税总价(元)</w:t>
            </w:r>
          </w:p>
        </w:tc>
      </w:tr>
      <w:tr>
        <w:tblPrEx>
          <w:tblCellMar>
            <w:top w:w="0" w:type="dxa"/>
            <w:left w:w="108" w:type="dxa"/>
            <w:bottom w:w="0" w:type="dxa"/>
            <w:right w:w="108" w:type="dxa"/>
          </w:tblCellMar>
        </w:tblPrEx>
        <w:trPr>
          <w:trHeight w:val="582"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墙1</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品牌墙</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钢结构焊接基础层</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4*6cm镀锌方管焊接做框架4m*2m</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8</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180 </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1440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1526 </w:t>
            </w:r>
          </w:p>
        </w:tc>
      </w:tr>
      <w:tr>
        <w:tblPrEx>
          <w:tblCellMar>
            <w:top w:w="0" w:type="dxa"/>
            <w:left w:w="108" w:type="dxa"/>
            <w:bottom w:w="0" w:type="dxa"/>
            <w:right w:w="108" w:type="dxa"/>
          </w:tblCellMar>
        </w:tblPrEx>
        <w:trPr>
          <w:trHeight w:val="39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阻燃板基层造型</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18毫米厚阻燃板4m*2m，灯箱位置开洞</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8</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140 </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1120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1187 </w:t>
            </w:r>
          </w:p>
        </w:tc>
      </w:tr>
      <w:tr>
        <w:tblPrEx>
          <w:tblCellMar>
            <w:top w:w="0" w:type="dxa"/>
            <w:left w:w="108" w:type="dxa"/>
            <w:bottom w:w="0" w:type="dxa"/>
            <w:right w:w="108" w:type="dxa"/>
          </w:tblCellMar>
        </w:tblPrEx>
        <w:trPr>
          <w:trHeight w:val="1227"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亚克力人造石饰面</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12毫米亚克力碳粉人造石无缝拼接抛光4m*2m</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8</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980 </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7840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8310 </w:t>
            </w:r>
          </w:p>
        </w:tc>
      </w:tr>
      <w:tr>
        <w:tblPrEx>
          <w:tblCellMar>
            <w:top w:w="0" w:type="dxa"/>
            <w:left w:w="108" w:type="dxa"/>
            <w:bottom w:w="0" w:type="dxa"/>
            <w:right w:w="108" w:type="dxa"/>
          </w:tblCellMar>
        </w:tblPrEx>
        <w:trPr>
          <w:trHeight w:val="582"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人造石面层粗打磨、细打磨、面层结晶</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4m*2m</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8</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200 </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1600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1696 </w:t>
            </w:r>
          </w:p>
        </w:tc>
      </w:tr>
      <w:tr>
        <w:tblPrEx>
          <w:tblCellMar>
            <w:top w:w="0" w:type="dxa"/>
            <w:left w:w="108" w:type="dxa"/>
            <w:bottom w:w="0" w:type="dxa"/>
            <w:right w:w="108" w:type="dxa"/>
          </w:tblCellMar>
        </w:tblPrEx>
        <w:trPr>
          <w:trHeight w:val="582"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标题发光字</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2cm厚亚克力洗槽布灯带贴背板 12cm*4个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48</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cm</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336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356 </w:t>
            </w:r>
          </w:p>
        </w:tc>
      </w:tr>
      <w:tr>
        <w:tblPrEx>
          <w:tblCellMar>
            <w:top w:w="0" w:type="dxa"/>
            <w:left w:w="108" w:type="dxa"/>
            <w:bottom w:w="0" w:type="dxa"/>
            <w:right w:w="108" w:type="dxa"/>
          </w:tblCellMar>
        </w:tblPrEx>
        <w:trPr>
          <w:trHeight w:val="582"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标题英文发光字</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1.5cm厚亚克力洗槽布灯带贴背板  4cm*10个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40</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cm</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280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297 </w:t>
            </w:r>
          </w:p>
        </w:tc>
      </w:tr>
      <w:tr>
        <w:tblPrEx>
          <w:tblCellMar>
            <w:top w:w="0" w:type="dxa"/>
            <w:left w:w="108" w:type="dxa"/>
            <w:bottom w:w="0" w:type="dxa"/>
            <w:right w:w="108" w:type="dxa"/>
          </w:tblCellMar>
        </w:tblPrEx>
        <w:trPr>
          <w:trHeight w:val="582"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立体logo烤漆</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1cm厚亚克力 0.8*0.15</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1cm厚亚克力 0.5*0.15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500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500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530 </w:t>
            </w:r>
          </w:p>
        </w:tc>
      </w:tr>
      <w:tr>
        <w:tblPrEx>
          <w:tblCellMar>
            <w:top w:w="0" w:type="dxa"/>
            <w:left w:w="108" w:type="dxa"/>
            <w:bottom w:w="0" w:type="dxa"/>
            <w:right w:w="108" w:type="dxa"/>
          </w:tblCellMar>
        </w:tblPrEx>
        <w:trPr>
          <w:trHeight w:val="582"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背光烤漆字</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2cm厚亚克力洗槽布灯带贴背板</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毛笔字标题 17cm*13个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221</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cm</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1547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1640 </w:t>
            </w:r>
          </w:p>
        </w:tc>
      </w:tr>
      <w:tr>
        <w:tblPrEx>
          <w:tblCellMar>
            <w:top w:w="0" w:type="dxa"/>
            <w:left w:w="108" w:type="dxa"/>
            <w:bottom w:w="0" w:type="dxa"/>
            <w:right w:w="108" w:type="dxa"/>
          </w:tblCellMar>
        </w:tblPrEx>
        <w:trPr>
          <w:trHeight w:val="582"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烤漆背光标题</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2cm厚亚克力洗槽布灯带贴背板 8.5cm*24个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204</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cm</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1428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1514 </w:t>
            </w:r>
          </w:p>
        </w:tc>
      </w:tr>
      <w:tr>
        <w:tblPrEx>
          <w:tblCellMar>
            <w:top w:w="0" w:type="dxa"/>
            <w:left w:w="108" w:type="dxa"/>
            <w:bottom w:w="0" w:type="dxa"/>
            <w:right w:w="108" w:type="dxa"/>
          </w:tblCellMar>
        </w:tblPrEx>
        <w:trPr>
          <w:trHeight w:val="39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丝网印刷</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450目定制网版，4m*2m</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8</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1600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1696 </w:t>
            </w:r>
          </w:p>
        </w:tc>
      </w:tr>
      <w:tr>
        <w:tblPrEx>
          <w:tblCellMar>
            <w:top w:w="0" w:type="dxa"/>
            <w:left w:w="108" w:type="dxa"/>
            <w:bottom w:w="0" w:type="dxa"/>
            <w:right w:w="108" w:type="dxa"/>
          </w:tblCellMar>
        </w:tblPrEx>
        <w:trPr>
          <w:trHeight w:val="86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内嵌式发光灯箱</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内部做框架布灯带，5mm乳白亚克力UV打印55cm*2个</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24cm*5个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230</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cm</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1610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1707 </w:t>
            </w:r>
          </w:p>
        </w:tc>
      </w:tr>
      <w:tr>
        <w:tblPrEx>
          <w:tblCellMar>
            <w:top w:w="0" w:type="dxa"/>
            <w:left w:w="108" w:type="dxa"/>
            <w:bottom w:w="0" w:type="dxa"/>
            <w:right w:w="108" w:type="dxa"/>
          </w:tblCellMar>
        </w:tblPrEx>
        <w:trPr>
          <w:trHeight w:val="39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立体烤漆字</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3.5cm*40个 厚度：5mm</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140</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cm</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700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742 </w:t>
            </w:r>
          </w:p>
        </w:tc>
      </w:tr>
      <w:tr>
        <w:tblPrEx>
          <w:tblCellMar>
            <w:top w:w="0" w:type="dxa"/>
            <w:left w:w="108" w:type="dxa"/>
            <w:bottom w:w="0" w:type="dxa"/>
            <w:right w:w="108" w:type="dxa"/>
          </w:tblCellMar>
        </w:tblPrEx>
        <w:trPr>
          <w:trHeight w:val="39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06钛黑金属边条</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3cm边条折L型与2cm边条折L型</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25</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38</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950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1007 </w:t>
            </w:r>
          </w:p>
        </w:tc>
      </w:tr>
      <w:tr>
        <w:tblPrEx>
          <w:tblCellMar>
            <w:top w:w="0" w:type="dxa"/>
            <w:left w:w="108" w:type="dxa"/>
            <w:bottom w:w="0" w:type="dxa"/>
            <w:right w:w="108" w:type="dxa"/>
          </w:tblCellMar>
        </w:tblPrEx>
        <w:trPr>
          <w:trHeight w:val="582"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墙2</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工法展示区</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钢结构焊接基础层</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4*6cm镀锌方管焊接做框架（3.65*2）m</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7.3</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180 </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1314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1393 </w:t>
            </w:r>
          </w:p>
        </w:tc>
      </w:tr>
      <w:tr>
        <w:tblPrEx>
          <w:tblCellMar>
            <w:top w:w="0" w:type="dxa"/>
            <w:left w:w="108" w:type="dxa"/>
            <w:bottom w:w="0" w:type="dxa"/>
            <w:right w:w="108" w:type="dxa"/>
          </w:tblCellMar>
        </w:tblPrEx>
        <w:trPr>
          <w:trHeight w:val="582"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阻燃板基层造型</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18毫米厚阻燃板（3.65*2）m，插座管材位置与灯带位置开洞</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7.3</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140 </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1022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1083 </w:t>
            </w:r>
          </w:p>
        </w:tc>
      </w:tr>
      <w:tr>
        <w:tblPrEx>
          <w:tblCellMar>
            <w:top w:w="0" w:type="dxa"/>
            <w:left w:w="108" w:type="dxa"/>
            <w:bottom w:w="0" w:type="dxa"/>
            <w:right w:w="108" w:type="dxa"/>
          </w:tblCellMar>
        </w:tblPrEx>
        <w:trPr>
          <w:trHeight w:val="86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人造石亚克力人造石饰面</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12毫米亚克力碳粉人造石无缝拼接抛光 ，插座管材灯带位置开洞（3.65*2）m</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7.3</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980 </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7154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7583 </w:t>
            </w:r>
          </w:p>
        </w:tc>
      </w:tr>
      <w:tr>
        <w:tblPrEx>
          <w:tblCellMar>
            <w:top w:w="0" w:type="dxa"/>
            <w:left w:w="108" w:type="dxa"/>
            <w:bottom w:w="0" w:type="dxa"/>
            <w:right w:w="108" w:type="dxa"/>
          </w:tblCellMar>
        </w:tblPrEx>
        <w:trPr>
          <w:trHeight w:val="582"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面层粗打磨、细打磨、面层结晶</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（3.65*2）m</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7.3</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200 </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1460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1548 </w:t>
            </w:r>
          </w:p>
        </w:tc>
      </w:tr>
      <w:tr>
        <w:tblPrEx>
          <w:tblCellMar>
            <w:top w:w="0" w:type="dxa"/>
            <w:left w:w="108" w:type="dxa"/>
            <w:bottom w:w="0" w:type="dxa"/>
            <w:right w:w="108" w:type="dxa"/>
          </w:tblCellMar>
        </w:tblPrEx>
        <w:trPr>
          <w:trHeight w:val="582"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标题发光字</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2cm厚亚克力洗槽布灯带贴背板 12cm*8个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96</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cm</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672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712 </w:t>
            </w:r>
          </w:p>
        </w:tc>
      </w:tr>
      <w:tr>
        <w:tblPrEx>
          <w:tblCellMar>
            <w:top w:w="0" w:type="dxa"/>
            <w:left w:w="108" w:type="dxa"/>
            <w:bottom w:w="0" w:type="dxa"/>
            <w:right w:w="108" w:type="dxa"/>
          </w:tblCellMar>
        </w:tblPrEx>
        <w:trPr>
          <w:trHeight w:val="582"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英文发光字</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1.5cm厚亚克力洗槽布灯带贴背板</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标题 4cm*28个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112</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cm</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784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831 </w:t>
            </w:r>
          </w:p>
        </w:tc>
      </w:tr>
      <w:tr>
        <w:tblPrEx>
          <w:tblCellMar>
            <w:top w:w="0" w:type="dxa"/>
            <w:left w:w="108" w:type="dxa"/>
            <w:bottom w:w="0" w:type="dxa"/>
            <w:right w:w="108" w:type="dxa"/>
          </w:tblCellMar>
        </w:tblPrEx>
        <w:trPr>
          <w:trHeight w:val="39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立体烤漆字</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3.5cm*33个 厚度：10mm</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115.5</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cm</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5 </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578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612 </w:t>
            </w:r>
          </w:p>
        </w:tc>
      </w:tr>
      <w:tr>
        <w:tblPrEx>
          <w:tblCellMar>
            <w:top w:w="0" w:type="dxa"/>
            <w:left w:w="108" w:type="dxa"/>
            <w:bottom w:w="0" w:type="dxa"/>
            <w:right w:w="108" w:type="dxa"/>
          </w:tblCellMar>
        </w:tblPrEx>
        <w:trPr>
          <w:trHeight w:val="39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丝网印刷</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450目定制网版，3.65*2 </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7.3</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200 </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1460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1548 </w:t>
            </w:r>
          </w:p>
        </w:tc>
      </w:tr>
      <w:tr>
        <w:tblPrEx>
          <w:tblCellMar>
            <w:top w:w="0" w:type="dxa"/>
            <w:left w:w="108" w:type="dxa"/>
            <w:bottom w:w="0" w:type="dxa"/>
            <w:right w:w="108" w:type="dxa"/>
          </w:tblCellMar>
        </w:tblPrEx>
        <w:trPr>
          <w:trHeight w:val="39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立体烤漆图案</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1.66*0.4 厚度：5mm烤漆</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300 </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300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318 </w:t>
            </w:r>
          </w:p>
        </w:tc>
      </w:tr>
      <w:tr>
        <w:tblPrEx>
          <w:tblCellMar>
            <w:top w:w="0" w:type="dxa"/>
            <w:left w:w="108" w:type="dxa"/>
            <w:bottom w:w="0" w:type="dxa"/>
            <w:right w:w="108" w:type="dxa"/>
          </w:tblCellMar>
        </w:tblPrEx>
        <w:trPr>
          <w:trHeight w:val="39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LED炫彩流水灯</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22 </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44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47 </w:t>
            </w:r>
          </w:p>
        </w:tc>
      </w:tr>
      <w:tr>
        <w:tblPrEx>
          <w:tblCellMar>
            <w:top w:w="0" w:type="dxa"/>
            <w:left w:w="108" w:type="dxa"/>
            <w:bottom w:w="0" w:type="dxa"/>
            <w:right w:w="108" w:type="dxa"/>
          </w:tblCellMar>
        </w:tblPrEx>
        <w:trPr>
          <w:trHeight w:val="39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编程流水控制器</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200 </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200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212 </w:t>
            </w:r>
          </w:p>
        </w:tc>
      </w:tr>
      <w:tr>
        <w:tblPrEx>
          <w:tblCellMar>
            <w:top w:w="0" w:type="dxa"/>
            <w:left w:w="108" w:type="dxa"/>
            <w:bottom w:w="0" w:type="dxa"/>
            <w:right w:w="108" w:type="dxa"/>
          </w:tblCellMar>
        </w:tblPrEx>
        <w:trPr>
          <w:trHeight w:val="582"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门</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60cm*80cm，</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FF0000"/>
                <w:sz w:val="20"/>
                <w:szCs w:val="20"/>
              </w:rPr>
            </w:pPr>
            <w:r>
              <w:rPr>
                <w:rFonts w:hint="eastAsia" w:ascii="宋体" w:hAnsi="宋体" w:cs="宋体"/>
                <w:color w:val="FF0000"/>
                <w:kern w:val="0"/>
                <w:sz w:val="20"/>
                <w:szCs w:val="20"/>
                <w:lang w:bidi="ar"/>
              </w:rPr>
              <w:t>甲方提供</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0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0 </w:t>
            </w:r>
          </w:p>
        </w:tc>
      </w:tr>
      <w:tr>
        <w:tblPrEx>
          <w:tblCellMar>
            <w:top w:w="0" w:type="dxa"/>
            <w:left w:w="108" w:type="dxa"/>
            <w:bottom w:w="0" w:type="dxa"/>
            <w:right w:w="108" w:type="dxa"/>
          </w:tblCellMar>
        </w:tblPrEx>
        <w:trPr>
          <w:trHeight w:val="582"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窗</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60cm*80cm含隔音降噪设备</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FF0000"/>
                <w:sz w:val="20"/>
                <w:szCs w:val="20"/>
              </w:rPr>
            </w:pPr>
            <w:r>
              <w:rPr>
                <w:rFonts w:hint="eastAsia" w:ascii="宋体" w:hAnsi="宋体" w:cs="宋体"/>
                <w:color w:val="FF0000"/>
                <w:kern w:val="0"/>
                <w:sz w:val="20"/>
                <w:szCs w:val="20"/>
                <w:lang w:bidi="ar"/>
              </w:rPr>
              <w:t>甲方提供</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0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0 </w:t>
            </w:r>
          </w:p>
        </w:tc>
      </w:tr>
      <w:tr>
        <w:tblPrEx>
          <w:tblCellMar>
            <w:top w:w="0" w:type="dxa"/>
            <w:left w:w="108" w:type="dxa"/>
            <w:bottom w:w="0" w:type="dxa"/>
            <w:right w:w="108" w:type="dxa"/>
          </w:tblCellMar>
        </w:tblPrEx>
        <w:trPr>
          <w:trHeight w:val="582"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开关插座</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6</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个</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FF0000"/>
                <w:sz w:val="20"/>
                <w:szCs w:val="20"/>
              </w:rPr>
            </w:pPr>
            <w:r>
              <w:rPr>
                <w:rFonts w:hint="eastAsia" w:ascii="宋体" w:hAnsi="宋体" w:cs="宋体"/>
                <w:color w:val="FF0000"/>
                <w:kern w:val="0"/>
                <w:sz w:val="20"/>
                <w:szCs w:val="20"/>
                <w:lang w:bidi="ar"/>
              </w:rPr>
              <w:t>甲方提供</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0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0 </w:t>
            </w:r>
          </w:p>
        </w:tc>
      </w:tr>
      <w:tr>
        <w:tblPrEx>
          <w:tblCellMar>
            <w:top w:w="0" w:type="dxa"/>
            <w:left w:w="108" w:type="dxa"/>
            <w:bottom w:w="0" w:type="dxa"/>
            <w:right w:w="108" w:type="dxa"/>
          </w:tblCellMar>
        </w:tblPrEx>
        <w:trPr>
          <w:trHeight w:val="582"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电缆管材</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FF0000"/>
                <w:sz w:val="20"/>
                <w:szCs w:val="20"/>
              </w:rPr>
            </w:pPr>
            <w:r>
              <w:rPr>
                <w:rFonts w:hint="eastAsia" w:ascii="宋体" w:hAnsi="宋体" w:cs="宋体"/>
                <w:color w:val="FF0000"/>
                <w:kern w:val="0"/>
                <w:sz w:val="20"/>
                <w:szCs w:val="20"/>
                <w:lang w:bidi="ar"/>
              </w:rPr>
              <w:t>甲方提供</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0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0 </w:t>
            </w:r>
          </w:p>
        </w:tc>
      </w:tr>
      <w:tr>
        <w:tblPrEx>
          <w:tblCellMar>
            <w:top w:w="0" w:type="dxa"/>
            <w:left w:w="108" w:type="dxa"/>
            <w:bottom w:w="0" w:type="dxa"/>
            <w:right w:w="108" w:type="dxa"/>
          </w:tblCellMar>
        </w:tblPrEx>
        <w:trPr>
          <w:trHeight w:val="134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外墙功法</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pvc或其他材质填充，烤漆等60cm*80cm</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4500 </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4500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4770 </w:t>
            </w:r>
          </w:p>
        </w:tc>
      </w:tr>
      <w:tr>
        <w:tblPrEx>
          <w:tblCellMar>
            <w:top w:w="0" w:type="dxa"/>
            <w:left w:w="108" w:type="dxa"/>
            <w:bottom w:w="0" w:type="dxa"/>
            <w:right w:w="108" w:type="dxa"/>
          </w:tblCellMar>
        </w:tblPrEx>
        <w:trPr>
          <w:trHeight w:val="582"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屋面工法</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pvc或其他材质填充，烤漆等 60cm*80cm</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4500 </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4500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4770 </w:t>
            </w:r>
          </w:p>
        </w:tc>
      </w:tr>
      <w:tr>
        <w:tblPrEx>
          <w:tblCellMar>
            <w:top w:w="0" w:type="dxa"/>
            <w:left w:w="108" w:type="dxa"/>
            <w:bottom w:w="0" w:type="dxa"/>
            <w:right w:w="108" w:type="dxa"/>
          </w:tblCellMar>
        </w:tblPrEx>
        <w:trPr>
          <w:trHeight w:val="39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钛黑金属边条</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3cm边条折L型与2cm边条折L型</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27.1</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38 </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1030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1092 </w:t>
            </w:r>
          </w:p>
        </w:tc>
      </w:tr>
      <w:tr>
        <w:tblPrEx>
          <w:tblCellMar>
            <w:top w:w="0" w:type="dxa"/>
            <w:left w:w="108" w:type="dxa"/>
            <w:bottom w:w="0" w:type="dxa"/>
            <w:right w:w="108" w:type="dxa"/>
          </w:tblCellMar>
        </w:tblPrEx>
        <w:trPr>
          <w:trHeight w:val="582"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墙3</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智能化</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钢结构焊接基础层</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4*6cm镀锌方管焊接做框架（6.7*2）m</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12.4</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180 </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2232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2366 </w:t>
            </w:r>
          </w:p>
        </w:tc>
      </w:tr>
      <w:tr>
        <w:tblPrEx>
          <w:tblCellMar>
            <w:top w:w="0" w:type="dxa"/>
            <w:left w:w="108" w:type="dxa"/>
            <w:bottom w:w="0" w:type="dxa"/>
            <w:right w:w="108" w:type="dxa"/>
          </w:tblCellMar>
        </w:tblPrEx>
        <w:trPr>
          <w:trHeight w:val="582"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阻燃板基层造型</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18毫米厚阻燃板（6.7*2）m 灯带 显示器 模型等位置 开洞</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12.4</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140 </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1736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1840 </w:t>
            </w:r>
          </w:p>
        </w:tc>
      </w:tr>
      <w:tr>
        <w:tblPrEx>
          <w:tblCellMar>
            <w:top w:w="0" w:type="dxa"/>
            <w:left w:w="108" w:type="dxa"/>
            <w:bottom w:w="0" w:type="dxa"/>
            <w:right w:w="108" w:type="dxa"/>
          </w:tblCellMar>
        </w:tblPrEx>
        <w:trPr>
          <w:trHeight w:val="86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人造石亚克力人造石饰面</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12毫米亚克力碳粉人造石无缝拼接抛光（6.7*2）m，灯带 显示器 模型等位置 开洞</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12.4</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980 </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12152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12881 </w:t>
            </w:r>
          </w:p>
        </w:tc>
      </w:tr>
      <w:tr>
        <w:tblPrEx>
          <w:tblCellMar>
            <w:top w:w="0" w:type="dxa"/>
            <w:left w:w="108" w:type="dxa"/>
            <w:bottom w:w="0" w:type="dxa"/>
            <w:right w:w="108" w:type="dxa"/>
          </w:tblCellMar>
        </w:tblPrEx>
        <w:trPr>
          <w:trHeight w:val="582"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面层粗打磨、细打磨、面层结晶</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（6.7*2）m</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12.4</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200 </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2480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2629 </w:t>
            </w:r>
          </w:p>
        </w:tc>
      </w:tr>
      <w:tr>
        <w:tblPrEx>
          <w:tblCellMar>
            <w:top w:w="0" w:type="dxa"/>
            <w:left w:w="108" w:type="dxa"/>
            <w:bottom w:w="0" w:type="dxa"/>
            <w:right w:w="108" w:type="dxa"/>
          </w:tblCellMar>
        </w:tblPrEx>
        <w:trPr>
          <w:trHeight w:val="582"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标题发光字</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2cm厚亚克力洗槽布灯带贴背板 12cm*4个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48</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cm</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7 </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336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356 </w:t>
            </w:r>
          </w:p>
        </w:tc>
      </w:tr>
      <w:tr>
        <w:tblPrEx>
          <w:tblCellMar>
            <w:top w:w="0" w:type="dxa"/>
            <w:left w:w="108" w:type="dxa"/>
            <w:bottom w:w="0" w:type="dxa"/>
            <w:right w:w="108" w:type="dxa"/>
          </w:tblCellMar>
        </w:tblPrEx>
        <w:trPr>
          <w:trHeight w:val="582"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标题英文发光字</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1.5cm厚亚克力洗槽布灯带贴背板 4cm*14个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56</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cm</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7 </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392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416 </w:t>
            </w:r>
          </w:p>
        </w:tc>
      </w:tr>
      <w:tr>
        <w:tblPrEx>
          <w:tblCellMar>
            <w:top w:w="0" w:type="dxa"/>
            <w:left w:w="108" w:type="dxa"/>
            <w:bottom w:w="0" w:type="dxa"/>
            <w:right w:w="108" w:type="dxa"/>
          </w:tblCellMar>
        </w:tblPrEx>
        <w:trPr>
          <w:trHeight w:val="39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06钛黑金属边条</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3cm边条折L型与2cm边条折L型</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28</w:t>
            </w:r>
          </w:p>
        </w:tc>
        <w:tc>
          <w:tcPr>
            <w:tcW w:w="635" w:type="dxa"/>
            <w:tcBorders>
              <w:top w:val="single" w:color="000000" w:sz="4" w:space="0"/>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38 </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1064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1128 </w:t>
            </w:r>
          </w:p>
        </w:tc>
      </w:tr>
      <w:tr>
        <w:tblPrEx>
          <w:tblCellMar>
            <w:top w:w="0" w:type="dxa"/>
            <w:left w:w="108" w:type="dxa"/>
            <w:bottom w:w="0" w:type="dxa"/>
            <w:right w:w="108" w:type="dxa"/>
          </w:tblCellMar>
        </w:tblPrEx>
        <w:trPr>
          <w:trHeight w:val="39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LED炫彩流水灯</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15</w:t>
            </w:r>
          </w:p>
        </w:tc>
        <w:tc>
          <w:tcPr>
            <w:tcW w:w="635" w:type="dxa"/>
            <w:tcBorders>
              <w:top w:val="single" w:color="000000" w:sz="4" w:space="0"/>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m</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22 </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330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350 </w:t>
            </w:r>
          </w:p>
        </w:tc>
      </w:tr>
      <w:tr>
        <w:tblPrEx>
          <w:tblCellMar>
            <w:top w:w="0" w:type="dxa"/>
            <w:left w:w="108" w:type="dxa"/>
            <w:bottom w:w="0" w:type="dxa"/>
            <w:right w:w="108" w:type="dxa"/>
          </w:tblCellMar>
        </w:tblPrEx>
        <w:trPr>
          <w:trHeight w:val="39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编程流水控制器</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635" w:type="dxa"/>
            <w:tcBorders>
              <w:top w:val="single" w:color="000000" w:sz="4" w:space="0"/>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200 </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200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212 </w:t>
            </w:r>
          </w:p>
        </w:tc>
      </w:tr>
      <w:tr>
        <w:tblPrEx>
          <w:tblCellMar>
            <w:top w:w="0" w:type="dxa"/>
            <w:left w:w="108" w:type="dxa"/>
            <w:bottom w:w="0" w:type="dxa"/>
            <w:right w:w="108" w:type="dxa"/>
          </w:tblCellMar>
        </w:tblPrEx>
        <w:trPr>
          <w:trHeight w:val="582"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内嵌60寸显示器</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635" w:type="dxa"/>
            <w:tcBorders>
              <w:top w:val="single" w:color="000000" w:sz="4" w:space="0"/>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台</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FF0000"/>
                <w:sz w:val="20"/>
                <w:szCs w:val="20"/>
              </w:rPr>
            </w:pPr>
            <w:r>
              <w:rPr>
                <w:rFonts w:hint="eastAsia" w:ascii="宋体" w:hAnsi="宋体" w:cs="宋体"/>
                <w:color w:val="FF0000"/>
                <w:kern w:val="0"/>
                <w:sz w:val="20"/>
                <w:szCs w:val="20"/>
                <w:lang w:bidi="ar"/>
              </w:rPr>
              <w:t>甲方提供</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0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0 </w:t>
            </w:r>
          </w:p>
        </w:tc>
      </w:tr>
      <w:tr>
        <w:tblPrEx>
          <w:tblCellMar>
            <w:top w:w="0" w:type="dxa"/>
            <w:left w:w="108" w:type="dxa"/>
            <w:bottom w:w="0" w:type="dxa"/>
            <w:right w:w="108" w:type="dxa"/>
          </w:tblCellMar>
        </w:tblPrEx>
        <w:trPr>
          <w:trHeight w:val="582"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电动跑道灯光模型（人物与灯光同步）</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4*1.3m，内部轨道，传感器，电机等，外部跑道，微缩景观等</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等线" w:hAnsi="等线" w:eastAsia="等线" w:cs="等线"/>
                <w:color w:val="000000"/>
                <w:sz w:val="22"/>
              </w:rPr>
            </w:pPr>
            <w:r>
              <w:rPr>
                <w:rFonts w:hint="eastAsia" w:ascii="宋体" w:hAnsi="宋体" w:cs="宋体"/>
                <w:color w:val="000000"/>
                <w:kern w:val="0"/>
                <w:sz w:val="20"/>
                <w:szCs w:val="20"/>
                <w:lang w:bidi="ar"/>
              </w:rPr>
              <w:t>1</w:t>
            </w:r>
          </w:p>
        </w:tc>
        <w:tc>
          <w:tcPr>
            <w:tcW w:w="635" w:type="dxa"/>
            <w:tcBorders>
              <w:top w:val="single" w:color="000000" w:sz="4" w:space="0"/>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40000 </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40000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42400 </w:t>
            </w:r>
          </w:p>
        </w:tc>
      </w:tr>
      <w:tr>
        <w:tblPrEx>
          <w:tblCellMar>
            <w:top w:w="0" w:type="dxa"/>
            <w:left w:w="108" w:type="dxa"/>
            <w:bottom w:w="0" w:type="dxa"/>
            <w:right w:w="108" w:type="dxa"/>
          </w:tblCellMar>
        </w:tblPrEx>
        <w:trPr>
          <w:trHeight w:val="582"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总计</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436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033" w:type="dxa"/>
            <w:tcBorders>
              <w:top w:val="single" w:color="000000" w:sz="4" w:space="0"/>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106890.3</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113304 </w:t>
            </w:r>
          </w:p>
        </w:tc>
      </w:tr>
      <w:tr>
        <w:tblPrEx>
          <w:tblCellMar>
            <w:top w:w="0" w:type="dxa"/>
            <w:left w:w="108" w:type="dxa"/>
            <w:bottom w:w="0" w:type="dxa"/>
            <w:right w:w="108" w:type="dxa"/>
          </w:tblCellMar>
        </w:tblPrEx>
        <w:trPr>
          <w:trHeight w:val="1157" w:hRule="atLeast"/>
        </w:trPr>
        <w:tc>
          <w:tcPr>
            <w:tcW w:w="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基础部分</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安装人工</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电工、普通安装工、美工、木工、焊工、石材安装工(电子设备安装)</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 </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8000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8480 </w:t>
            </w:r>
          </w:p>
        </w:tc>
      </w:tr>
      <w:tr>
        <w:tblPrEx>
          <w:tblCellMar>
            <w:top w:w="0" w:type="dxa"/>
            <w:left w:w="108" w:type="dxa"/>
            <w:bottom w:w="0" w:type="dxa"/>
            <w:right w:w="108" w:type="dxa"/>
          </w:tblCellMar>
        </w:tblPrEx>
        <w:trPr>
          <w:trHeight w:val="582" w:hRule="atLeast"/>
        </w:trPr>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人员差旅费</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住宿、交通</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 </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2000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2120 </w:t>
            </w:r>
          </w:p>
        </w:tc>
      </w:tr>
      <w:tr>
        <w:tblPrEx>
          <w:tblCellMar>
            <w:top w:w="0" w:type="dxa"/>
            <w:left w:w="108" w:type="dxa"/>
            <w:bottom w:w="0" w:type="dxa"/>
            <w:right w:w="108" w:type="dxa"/>
          </w:tblCellMar>
        </w:tblPrEx>
        <w:trPr>
          <w:trHeight w:val="363" w:hRule="atLeast"/>
        </w:trPr>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运费</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异地5m货车运输</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 </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3000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3180 </w:t>
            </w:r>
          </w:p>
        </w:tc>
      </w:tr>
      <w:tr>
        <w:tblPrEx>
          <w:tblCellMar>
            <w:top w:w="0" w:type="dxa"/>
            <w:left w:w="108" w:type="dxa"/>
            <w:bottom w:w="0" w:type="dxa"/>
            <w:right w:w="108" w:type="dxa"/>
          </w:tblCellMar>
        </w:tblPrEx>
        <w:trPr>
          <w:trHeight w:val="400" w:hRule="atLeast"/>
        </w:trPr>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综合布线</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 </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2000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2120 </w:t>
            </w:r>
          </w:p>
        </w:tc>
      </w:tr>
      <w:tr>
        <w:tblPrEx>
          <w:tblCellMar>
            <w:top w:w="0" w:type="dxa"/>
            <w:left w:w="108" w:type="dxa"/>
            <w:bottom w:w="0" w:type="dxa"/>
            <w:right w:w="108" w:type="dxa"/>
          </w:tblCellMar>
        </w:tblPrEx>
        <w:trPr>
          <w:trHeight w:val="400" w:hRule="atLeast"/>
        </w:trPr>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辅料</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0"/>
                <w:szCs w:val="20"/>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 </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1000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1060 </w:t>
            </w:r>
          </w:p>
        </w:tc>
      </w:tr>
      <w:tr>
        <w:tblPrEx>
          <w:tblCellMar>
            <w:top w:w="0" w:type="dxa"/>
            <w:left w:w="108" w:type="dxa"/>
            <w:bottom w:w="0" w:type="dxa"/>
            <w:right w:w="108" w:type="dxa"/>
          </w:tblCellMar>
        </w:tblPrEx>
        <w:trPr>
          <w:trHeight w:val="582" w:hRule="atLeast"/>
        </w:trPr>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现场清洁费用</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ascii="宋体" w:hAnsi="宋体" w:cs="宋体"/>
                <w:color w:val="000000"/>
                <w:sz w:val="20"/>
                <w:szCs w:val="20"/>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 </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800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848 </w:t>
            </w:r>
          </w:p>
        </w:tc>
      </w:tr>
      <w:tr>
        <w:tblPrEx>
          <w:tblCellMar>
            <w:top w:w="0" w:type="dxa"/>
            <w:left w:w="108" w:type="dxa"/>
            <w:bottom w:w="0" w:type="dxa"/>
            <w:right w:w="108" w:type="dxa"/>
          </w:tblCellMar>
        </w:tblPrEx>
        <w:trPr>
          <w:trHeight w:val="582" w:hRule="atLeast"/>
        </w:trPr>
        <w:tc>
          <w:tcPr>
            <w:tcW w:w="24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税率</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不含税</w:t>
            </w:r>
          </w:p>
        </w:tc>
        <w:tc>
          <w:tcPr>
            <w:tcW w:w="20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16800 </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含税单价</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17808</w:t>
            </w:r>
          </w:p>
        </w:tc>
      </w:tr>
      <w:tr>
        <w:tblPrEx>
          <w:tblCellMar>
            <w:top w:w="0" w:type="dxa"/>
            <w:left w:w="108" w:type="dxa"/>
            <w:bottom w:w="0" w:type="dxa"/>
            <w:right w:w="108" w:type="dxa"/>
          </w:tblCellMar>
        </w:tblPrEx>
        <w:trPr>
          <w:trHeight w:val="582" w:hRule="atLeast"/>
        </w:trPr>
        <w:tc>
          <w:tcPr>
            <w:tcW w:w="243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合计</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不含税</w:t>
            </w:r>
          </w:p>
        </w:tc>
        <w:tc>
          <w:tcPr>
            <w:tcW w:w="20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123690 </w:t>
            </w:r>
          </w:p>
        </w:tc>
        <w:tc>
          <w:tcPr>
            <w:tcW w:w="628"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含税合计</w:t>
            </w:r>
          </w:p>
        </w:tc>
        <w:tc>
          <w:tcPr>
            <w:tcW w:w="872"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131112 </w:t>
            </w:r>
          </w:p>
        </w:tc>
      </w:tr>
      <w:tr>
        <w:tblPrEx>
          <w:tblCellMar>
            <w:top w:w="0" w:type="dxa"/>
            <w:left w:w="108" w:type="dxa"/>
            <w:bottom w:w="0" w:type="dxa"/>
            <w:right w:w="108" w:type="dxa"/>
          </w:tblCellMar>
        </w:tblPrEx>
        <w:trPr>
          <w:trHeight w:val="406" w:hRule="atLeast"/>
        </w:trPr>
        <w:tc>
          <w:tcPr>
            <w:tcW w:w="243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优惠后含税合计</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4967"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128000 </w:t>
            </w:r>
          </w:p>
        </w:tc>
      </w:tr>
    </w:tbl>
    <w:p>
      <w:pPr>
        <w:pStyle w:val="2"/>
        <w:rPr>
          <w:rFonts w:ascii="宋体" w:hAnsi="宋体" w:cs="宋体"/>
          <w:szCs w:val="24"/>
        </w:rPr>
      </w:pPr>
    </w:p>
    <w:sectPr>
      <w:type w:val="continuous"/>
      <w:pgSz w:w="11906" w:h="16838"/>
      <w:pgMar w:top="1440" w:right="1440" w:bottom="144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宋体" w:hAnsi="宋体"/>
        <w:sz w:val="21"/>
        <w:szCs w:val="21"/>
      </w:rPr>
      <w:id w:val="301280559"/>
    </w:sdtPr>
    <w:sdtEndPr>
      <w:rPr>
        <w:rFonts w:ascii="宋体" w:hAnsi="宋体"/>
        <w:sz w:val="21"/>
        <w:szCs w:val="21"/>
      </w:rPr>
    </w:sdtEndPr>
    <w:sdtContent>
      <w:sdt>
        <w:sdtPr>
          <w:rPr>
            <w:rFonts w:ascii="宋体" w:hAnsi="宋体"/>
            <w:sz w:val="21"/>
            <w:szCs w:val="21"/>
          </w:rPr>
          <w:id w:val="1728636285"/>
        </w:sdtPr>
        <w:sdtEndPr>
          <w:rPr>
            <w:rFonts w:ascii="宋体" w:hAnsi="宋体"/>
            <w:sz w:val="21"/>
            <w:szCs w:val="21"/>
          </w:rPr>
        </w:sdtEndPr>
        <w:sdtContent>
          <w:p>
            <w:pPr>
              <w:pStyle w:val="6"/>
              <w:jc w:val="center"/>
              <w:rPr>
                <w:rFonts w:ascii="宋体" w:hAnsi="宋体"/>
                <w:sz w:val="21"/>
                <w:szCs w:val="21"/>
              </w:rPr>
            </w:pPr>
            <w:r>
              <w:rPr>
                <w:rFonts w:ascii="宋体" w:hAnsi="宋体"/>
                <w:sz w:val="21"/>
                <w:szCs w:val="21"/>
                <w:lang w:val="zh-CN"/>
              </w:rPr>
              <w:t xml:space="preserve"> </w:t>
            </w:r>
            <w:r>
              <w:rPr>
                <w:rFonts w:ascii="宋体" w:hAnsi="宋体"/>
                <w:b/>
                <w:bCs/>
                <w:sz w:val="21"/>
                <w:szCs w:val="21"/>
              </w:rPr>
              <w:fldChar w:fldCharType="begin"/>
            </w:r>
            <w:r>
              <w:rPr>
                <w:rFonts w:ascii="宋体" w:hAnsi="宋体"/>
                <w:b/>
                <w:bCs/>
                <w:sz w:val="21"/>
                <w:szCs w:val="21"/>
              </w:rPr>
              <w:instrText xml:space="preserve">PAGE</w:instrText>
            </w:r>
            <w:r>
              <w:rPr>
                <w:rFonts w:ascii="宋体" w:hAnsi="宋体"/>
                <w:b/>
                <w:bCs/>
                <w:sz w:val="21"/>
                <w:szCs w:val="21"/>
              </w:rPr>
              <w:fldChar w:fldCharType="separate"/>
            </w:r>
            <w:r>
              <w:rPr>
                <w:rFonts w:ascii="宋体" w:hAnsi="宋体"/>
                <w:b/>
                <w:bCs/>
                <w:sz w:val="21"/>
                <w:szCs w:val="21"/>
              </w:rPr>
              <w:t>3</w:t>
            </w:r>
            <w:r>
              <w:rPr>
                <w:rFonts w:ascii="宋体" w:hAnsi="宋体"/>
                <w:b/>
                <w:bCs/>
                <w:sz w:val="21"/>
                <w:szCs w:val="21"/>
              </w:rPr>
              <w:fldChar w:fldCharType="end"/>
            </w:r>
            <w:r>
              <w:rPr>
                <w:rFonts w:ascii="宋体" w:hAnsi="宋体"/>
                <w:sz w:val="21"/>
                <w:szCs w:val="21"/>
                <w:lang w:val="zh-CN"/>
              </w:rPr>
              <w:t xml:space="preserve"> / </w:t>
            </w:r>
            <w:r>
              <w:rPr>
                <w:rFonts w:ascii="宋体" w:hAnsi="宋体"/>
                <w:b/>
                <w:bCs/>
                <w:sz w:val="21"/>
                <w:szCs w:val="21"/>
              </w:rPr>
              <w:fldChar w:fldCharType="begin"/>
            </w:r>
            <w:r>
              <w:rPr>
                <w:rFonts w:ascii="宋体" w:hAnsi="宋体"/>
                <w:b/>
                <w:bCs/>
                <w:sz w:val="21"/>
                <w:szCs w:val="21"/>
              </w:rPr>
              <w:instrText xml:space="preserve">NUMPAGES</w:instrText>
            </w:r>
            <w:r>
              <w:rPr>
                <w:rFonts w:ascii="宋体" w:hAnsi="宋体"/>
                <w:b/>
                <w:bCs/>
                <w:sz w:val="21"/>
                <w:szCs w:val="21"/>
              </w:rPr>
              <w:fldChar w:fldCharType="separate"/>
            </w:r>
            <w:r>
              <w:rPr>
                <w:rFonts w:ascii="宋体" w:hAnsi="宋体"/>
                <w:b/>
                <w:bCs/>
                <w:sz w:val="21"/>
                <w:szCs w:val="21"/>
              </w:rPr>
              <w:t>15</w:t>
            </w:r>
            <w:r>
              <w:rPr>
                <w:rFonts w:ascii="宋体" w:hAnsi="宋体"/>
                <w:b/>
                <w:bCs/>
                <w:sz w:val="21"/>
                <w:szCs w:val="21"/>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pPr>
    <w:r>
      <w:drawing>
        <wp:inline distT="0" distB="0" distL="0" distR="0">
          <wp:extent cx="1192530" cy="511810"/>
          <wp:effectExtent l="0" t="0" r="762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92530" cy="51181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692B42"/>
    <w:multiLevelType w:val="singleLevel"/>
    <w:tmpl w:val="D1692B4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trackRevisions w:val="1"/>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ZmOGQwYTUyODg5ZmZkOGQ0YjI1MmExYzRlNDc0ZDIifQ=="/>
  </w:docVars>
  <w:rsids>
    <w:rsidRoot w:val="00ED7046"/>
    <w:rsid w:val="00057928"/>
    <w:rsid w:val="00062C5A"/>
    <w:rsid w:val="000662BE"/>
    <w:rsid w:val="00070A10"/>
    <w:rsid w:val="00085DAB"/>
    <w:rsid w:val="000D6196"/>
    <w:rsid w:val="000E6F9E"/>
    <w:rsid w:val="00103127"/>
    <w:rsid w:val="001B39E8"/>
    <w:rsid w:val="001B7704"/>
    <w:rsid w:val="001F123B"/>
    <w:rsid w:val="0024500C"/>
    <w:rsid w:val="002B6A7A"/>
    <w:rsid w:val="002D3781"/>
    <w:rsid w:val="002D4C4A"/>
    <w:rsid w:val="00307F5A"/>
    <w:rsid w:val="00384562"/>
    <w:rsid w:val="00395DE6"/>
    <w:rsid w:val="003A4945"/>
    <w:rsid w:val="003F4AA0"/>
    <w:rsid w:val="00407694"/>
    <w:rsid w:val="00457BE1"/>
    <w:rsid w:val="004700BB"/>
    <w:rsid w:val="00475244"/>
    <w:rsid w:val="004838B6"/>
    <w:rsid w:val="00495213"/>
    <w:rsid w:val="004C279A"/>
    <w:rsid w:val="00534079"/>
    <w:rsid w:val="0053407E"/>
    <w:rsid w:val="006308B7"/>
    <w:rsid w:val="00632FDA"/>
    <w:rsid w:val="00634A43"/>
    <w:rsid w:val="006A4D41"/>
    <w:rsid w:val="006B2C56"/>
    <w:rsid w:val="006B7924"/>
    <w:rsid w:val="006F5DB7"/>
    <w:rsid w:val="006F6F15"/>
    <w:rsid w:val="00703668"/>
    <w:rsid w:val="007060E2"/>
    <w:rsid w:val="00762698"/>
    <w:rsid w:val="007F45B1"/>
    <w:rsid w:val="00817B45"/>
    <w:rsid w:val="008A2043"/>
    <w:rsid w:val="008C3FC1"/>
    <w:rsid w:val="0090567E"/>
    <w:rsid w:val="00911B55"/>
    <w:rsid w:val="00923801"/>
    <w:rsid w:val="00956480"/>
    <w:rsid w:val="00984ABA"/>
    <w:rsid w:val="009956CF"/>
    <w:rsid w:val="009965CA"/>
    <w:rsid w:val="009E2C34"/>
    <w:rsid w:val="00A15F33"/>
    <w:rsid w:val="00A26AE4"/>
    <w:rsid w:val="00A41681"/>
    <w:rsid w:val="00AD47F8"/>
    <w:rsid w:val="00B53F82"/>
    <w:rsid w:val="00B56513"/>
    <w:rsid w:val="00B63D85"/>
    <w:rsid w:val="00B931BD"/>
    <w:rsid w:val="00BB5F6A"/>
    <w:rsid w:val="00BD2F28"/>
    <w:rsid w:val="00BF2ABE"/>
    <w:rsid w:val="00BF7D13"/>
    <w:rsid w:val="00C11F40"/>
    <w:rsid w:val="00C43455"/>
    <w:rsid w:val="00CC1D6B"/>
    <w:rsid w:val="00CF31DE"/>
    <w:rsid w:val="00D01BBD"/>
    <w:rsid w:val="00D22923"/>
    <w:rsid w:val="00D408DE"/>
    <w:rsid w:val="00D45E65"/>
    <w:rsid w:val="00D6410E"/>
    <w:rsid w:val="00D6787C"/>
    <w:rsid w:val="00D97CDD"/>
    <w:rsid w:val="00DB2218"/>
    <w:rsid w:val="00DC2AE3"/>
    <w:rsid w:val="00E23A84"/>
    <w:rsid w:val="00ED7046"/>
    <w:rsid w:val="00EF5804"/>
    <w:rsid w:val="00F0589F"/>
    <w:rsid w:val="00F27518"/>
    <w:rsid w:val="00F43E4C"/>
    <w:rsid w:val="00FD2E54"/>
    <w:rsid w:val="049A7BD3"/>
    <w:rsid w:val="15D34758"/>
    <w:rsid w:val="17E873F1"/>
    <w:rsid w:val="1A48164D"/>
    <w:rsid w:val="1B3D7D8D"/>
    <w:rsid w:val="1B593387"/>
    <w:rsid w:val="20436F19"/>
    <w:rsid w:val="22EA05CC"/>
    <w:rsid w:val="2BC361A7"/>
    <w:rsid w:val="3DD82F3F"/>
    <w:rsid w:val="403A4003"/>
    <w:rsid w:val="575812F3"/>
    <w:rsid w:val="61ED1192"/>
    <w:rsid w:val="64946690"/>
    <w:rsid w:val="76367A32"/>
    <w:rsid w:val="76FA2A9A"/>
    <w:rsid w:val="76FA74A7"/>
    <w:rsid w:val="79EA1A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Calibri" w:hAnsi="Calibri" w:eastAsia="宋体" w:cs="Times New Roman"/>
      <w:kern w:val="2"/>
      <w:sz w:val="24"/>
      <w:szCs w:val="22"/>
      <w:lang w:val="en-US" w:eastAsia="zh-CN" w:bidi="ar-SA"/>
    </w:rPr>
  </w:style>
  <w:style w:type="paragraph" w:styleId="3">
    <w:name w:val="heading 1"/>
    <w:basedOn w:val="1"/>
    <w:next w:val="1"/>
    <w:link w:val="13"/>
    <w:qFormat/>
    <w:uiPriority w:val="0"/>
    <w:pPr>
      <w:keepNext/>
      <w:keepLines/>
      <w:jc w:val="left"/>
      <w:outlineLvl w:val="0"/>
    </w:pPr>
    <w:rPr>
      <w:rFonts w:asciiTheme="minorHAnsi" w:hAnsiTheme="minorHAnsi" w:eastAsiaTheme="minorEastAsia" w:cstheme="minorBidi"/>
      <w:b/>
      <w:bCs/>
      <w:kern w:val="44"/>
      <w:szCs w:val="44"/>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customStyle="1" w:styleId="2">
    <w:name w:val="无间隔1"/>
    <w:basedOn w:val="1"/>
    <w:qFormat/>
    <w:uiPriority w:val="1"/>
  </w:style>
  <w:style w:type="paragraph" w:styleId="4">
    <w:name w:val="annotation text"/>
    <w:basedOn w:val="1"/>
    <w:link w:val="19"/>
    <w:semiHidden/>
    <w:unhideWhenUsed/>
    <w:qFormat/>
    <w:uiPriority w:val="99"/>
    <w:pPr>
      <w:jc w:val="left"/>
    </w:pPr>
  </w:style>
  <w:style w:type="paragraph" w:styleId="5">
    <w:name w:val="Balloon Text"/>
    <w:basedOn w:val="1"/>
    <w:link w:val="21"/>
    <w:semiHidden/>
    <w:unhideWhenUsed/>
    <w:qFormat/>
    <w:uiPriority w:val="99"/>
    <w:pPr>
      <w:spacing w:line="240" w:lineRule="auto"/>
    </w:pPr>
    <w:rPr>
      <w:sz w:val="18"/>
      <w:szCs w:val="18"/>
    </w:rPr>
  </w:style>
  <w:style w:type="paragraph" w:styleId="6">
    <w:name w:val="footer"/>
    <w:basedOn w:val="1"/>
    <w:link w:val="15"/>
    <w:unhideWhenUsed/>
    <w:qFormat/>
    <w:uiPriority w:val="99"/>
    <w:pPr>
      <w:tabs>
        <w:tab w:val="center" w:pos="4153"/>
        <w:tab w:val="right" w:pos="8306"/>
      </w:tabs>
      <w:snapToGrid w:val="0"/>
      <w:spacing w:line="240" w:lineRule="auto"/>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8">
    <w:name w:val="annotation subject"/>
    <w:basedOn w:val="4"/>
    <w:next w:val="4"/>
    <w:link w:val="20"/>
    <w:semiHidden/>
    <w:unhideWhenUsed/>
    <w:qFormat/>
    <w:uiPriority w:val="99"/>
    <w:rPr>
      <w:b/>
      <w:bCs/>
    </w:rPr>
  </w:style>
  <w:style w:type="character" w:styleId="11">
    <w:name w:val="Hyperlink"/>
    <w:unhideWhenUsed/>
    <w:qFormat/>
    <w:uiPriority w:val="99"/>
    <w:rPr>
      <w:color w:val="0000FF"/>
      <w:u w:val="single"/>
    </w:rPr>
  </w:style>
  <w:style w:type="character" w:styleId="12">
    <w:name w:val="annotation reference"/>
    <w:basedOn w:val="10"/>
    <w:semiHidden/>
    <w:unhideWhenUsed/>
    <w:qFormat/>
    <w:uiPriority w:val="99"/>
    <w:rPr>
      <w:sz w:val="21"/>
      <w:szCs w:val="21"/>
    </w:rPr>
  </w:style>
  <w:style w:type="character" w:customStyle="1" w:styleId="13">
    <w:name w:val="标题 1 字符"/>
    <w:basedOn w:val="10"/>
    <w:link w:val="3"/>
    <w:qFormat/>
    <w:uiPriority w:val="0"/>
    <w:rPr>
      <w:b/>
      <w:bCs/>
      <w:kern w:val="44"/>
      <w:sz w:val="24"/>
      <w:szCs w:val="44"/>
    </w:rPr>
  </w:style>
  <w:style w:type="character" w:customStyle="1" w:styleId="14">
    <w:name w:val="页眉 字符"/>
    <w:basedOn w:val="10"/>
    <w:link w:val="7"/>
    <w:qFormat/>
    <w:uiPriority w:val="99"/>
    <w:rPr>
      <w:rFonts w:ascii="Calibri" w:hAnsi="Calibri" w:eastAsia="宋体" w:cs="Times New Roman"/>
      <w:sz w:val="18"/>
      <w:szCs w:val="18"/>
    </w:rPr>
  </w:style>
  <w:style w:type="character" w:customStyle="1" w:styleId="15">
    <w:name w:val="页脚 字符"/>
    <w:basedOn w:val="10"/>
    <w:link w:val="6"/>
    <w:qFormat/>
    <w:uiPriority w:val="99"/>
    <w:rPr>
      <w:rFonts w:ascii="Calibri" w:hAnsi="Calibri" w:eastAsia="宋体" w:cs="Times New Roman"/>
      <w:sz w:val="18"/>
      <w:szCs w:val="18"/>
    </w:rPr>
  </w:style>
  <w:style w:type="character" w:customStyle="1" w:styleId="16">
    <w:name w:val="无间隔 字符"/>
    <w:link w:val="17"/>
    <w:qFormat/>
    <w:locked/>
    <w:uiPriority w:val="1"/>
    <w:rPr>
      <w:rFonts w:ascii="Calibri" w:hAnsi="Calibri"/>
      <w:sz w:val="22"/>
    </w:rPr>
  </w:style>
  <w:style w:type="paragraph" w:styleId="17">
    <w:name w:val="No Spacing"/>
    <w:link w:val="16"/>
    <w:qFormat/>
    <w:uiPriority w:val="1"/>
    <w:rPr>
      <w:rFonts w:ascii="Calibri" w:hAnsi="Calibri" w:eastAsiaTheme="minorEastAsia" w:cstheme="minorBidi"/>
      <w:kern w:val="2"/>
      <w:sz w:val="22"/>
      <w:szCs w:val="22"/>
      <w:lang w:val="en-US" w:eastAsia="zh-CN" w:bidi="ar-SA"/>
    </w:rPr>
  </w:style>
  <w:style w:type="paragraph" w:customStyle="1" w:styleId="18">
    <w:name w:val="正文1"/>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character" w:customStyle="1" w:styleId="19">
    <w:name w:val="批注文字 字符"/>
    <w:basedOn w:val="10"/>
    <w:link w:val="4"/>
    <w:semiHidden/>
    <w:qFormat/>
    <w:uiPriority w:val="99"/>
    <w:rPr>
      <w:rFonts w:ascii="Calibri" w:hAnsi="Calibri" w:eastAsia="宋体" w:cs="Times New Roman"/>
      <w:kern w:val="2"/>
      <w:sz w:val="24"/>
      <w:szCs w:val="22"/>
    </w:rPr>
  </w:style>
  <w:style w:type="character" w:customStyle="1" w:styleId="20">
    <w:name w:val="批注主题 字符"/>
    <w:basedOn w:val="19"/>
    <w:link w:val="8"/>
    <w:semiHidden/>
    <w:qFormat/>
    <w:uiPriority w:val="99"/>
    <w:rPr>
      <w:rFonts w:ascii="Calibri" w:hAnsi="Calibri" w:eastAsia="宋体" w:cs="Times New Roman"/>
      <w:b/>
      <w:bCs/>
      <w:kern w:val="2"/>
      <w:sz w:val="24"/>
      <w:szCs w:val="22"/>
    </w:rPr>
  </w:style>
  <w:style w:type="character" w:customStyle="1" w:styleId="21">
    <w:name w:val="批注框文本 字符"/>
    <w:basedOn w:val="10"/>
    <w:link w:val="5"/>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0825F-75FF-4F71-BF51-424DFDD6982A}">
  <ds:schemaRefs/>
</ds:datastoreItem>
</file>

<file path=docProps/app.xml><?xml version="1.0" encoding="utf-8"?>
<Properties xmlns="http://schemas.openxmlformats.org/officeDocument/2006/extended-properties" xmlns:vt="http://schemas.openxmlformats.org/officeDocument/2006/docPropsVTypes">
  <Template>Normal</Template>
  <Pages>15</Pages>
  <Words>1292</Words>
  <Characters>7365</Characters>
  <Lines>61</Lines>
  <Paragraphs>17</Paragraphs>
  <TotalTime>20</TotalTime>
  <ScaleCrop>false</ScaleCrop>
  <LinksUpToDate>false</LinksUpToDate>
  <CharactersWithSpaces>8640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2021-04-06T02:24:00Z</dcterms:created>
  <dc:creator>Administrator</dc:creator>
  <cp:lastModifiedBy>HMJ</cp:lastModifiedBy>
  <dcterms:modified xsi:type="dcterms:W3CDTF">2023-04-20T06:39:48Z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9782FE8DA5F647ACACDCD826786866C0_13</vt:lpwstr>
  </property>
</Properties>
</file>