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675"/>
          <w:tab w:val="center" w:pos="4215"/>
        </w:tabs>
        <w:wordWrap w:val="0"/>
        <w:jc w:val="center"/>
        <w:rPr>
          <w:rFonts w:ascii="宋体" w:hAnsi="宋体" w:eastAsia="宋体" w:cs="宋体"/>
          <w:sz w:val="32"/>
          <w:szCs w:val="32"/>
        </w:rPr>
      </w:pPr>
      <w:r>
        <w:rPr>
          <w:rFonts w:hint="eastAsia" w:ascii="宋体" w:hAnsi="宋体" w:eastAsia="宋体" w:cs="宋体"/>
          <w:kern w:val="28"/>
          <w:sz w:val="32"/>
          <w:szCs w:val="32"/>
        </w:rPr>
        <w:t>洛阳市洛龙区伊河湾项目好到家分销合作合同</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single"/>
        </w:rPr>
        <w:t>河南浩德新澜置业有限公司</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洛阳祐嘉房产经纪有限公司</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rPr>
        <w:t>3年签署了合同编号为</w:t>
      </w:r>
      <w:r>
        <w:rPr>
          <w:rFonts w:hint="eastAsia" w:ascii="宋体" w:hAnsi="宋体" w:eastAsia="宋体" w:cs="宋体"/>
          <w:color w:val="000000"/>
          <w:sz w:val="28"/>
          <w:szCs w:val="28"/>
        </w:rPr>
        <w:t>YHW.C06-YX-0</w:t>
      </w:r>
      <w:r>
        <w:rPr>
          <w:rFonts w:hint="eastAsia" w:ascii="宋体" w:hAnsi="宋体" w:eastAsia="宋体" w:cs="宋体"/>
          <w:color w:val="000000"/>
          <w:sz w:val="28"/>
          <w:szCs w:val="28"/>
          <w:lang w:val="en-US" w:eastAsia="zh-CN"/>
        </w:rPr>
        <w:t>20</w:t>
      </w:r>
      <w:r>
        <w:rPr>
          <w:rFonts w:hint="eastAsia" w:ascii="宋体" w:hAnsi="宋体" w:eastAsia="宋体" w:cs="宋体"/>
          <w:sz w:val="24"/>
          <w:szCs w:val="24"/>
        </w:rPr>
        <w:t>的《洛阳市洛龙区伊河湾项目祐嘉分销合同》（以下简称“原合同”），原合同约定甲方委托乙方为甲方开发的伊河湾项目提供居间代理服务。</w:t>
      </w:r>
    </w:p>
    <w:p>
      <w:pPr>
        <w:spacing w:line="480" w:lineRule="auto"/>
        <w:ind w:firstLine="480" w:firstLineChars="200"/>
        <w:jc w:val="left"/>
        <w:rPr>
          <w:rFonts w:asciiTheme="minorEastAsia" w:hAnsiTheme="minorEastAsia"/>
        </w:rPr>
      </w:pPr>
      <w:r>
        <w:rPr>
          <w:rFonts w:hint="eastAsia" w:ascii="宋体" w:hAnsi="宋体" w:eastAsia="宋体" w:cs="宋体"/>
          <w:sz w:val="24"/>
          <w:szCs w:val="24"/>
        </w:rPr>
        <w:t>现甲乙双方协商一致，就原合同中佣金费率条款作出如下补充，并承诺共同遵守执行</w:t>
      </w:r>
      <w:r>
        <w:rPr>
          <w:rFonts w:hint="eastAsia" w:cs="宋体" w:asciiTheme="minorEastAsia" w:hAnsiTheme="minorEastAsia"/>
          <w:sz w:val="24"/>
          <w:szCs w:val="24"/>
        </w:rPr>
        <w:t>：</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一、原合同第四条佣金费率做出如下变更：2023年</w:t>
      </w:r>
      <w:r>
        <w:rPr>
          <w:rFonts w:hint="eastAsia" w:ascii="宋体" w:hAnsi="宋体" w:eastAsia="宋体" w:cs="宋体"/>
          <w:sz w:val="24"/>
          <w:szCs w:val="24"/>
          <w:lang w:val="en-US" w:eastAsia="zh-CN"/>
        </w:rPr>
        <w:t>5</w:t>
      </w:r>
      <w:r>
        <w:rPr>
          <w:rFonts w:hint="eastAsia" w:ascii="宋体" w:hAnsi="宋体" w:eastAsia="宋体" w:cs="宋体"/>
          <w:sz w:val="24"/>
          <w:szCs w:val="24"/>
        </w:rPr>
        <w:t>月1</w:t>
      </w:r>
      <w:r>
        <w:rPr>
          <w:rFonts w:hint="eastAsia" w:ascii="宋体" w:hAnsi="宋体" w:eastAsia="宋体" w:cs="宋体"/>
          <w:sz w:val="24"/>
          <w:szCs w:val="24"/>
          <w:lang w:val="en-US" w:eastAsia="zh-CN"/>
        </w:rPr>
        <w:t>6</w:t>
      </w:r>
      <w:r>
        <w:rPr>
          <w:rFonts w:hint="eastAsia" w:ascii="宋体" w:hAnsi="宋体" w:eastAsia="宋体" w:cs="宋体"/>
          <w:sz w:val="24"/>
          <w:szCs w:val="24"/>
        </w:rPr>
        <w:t>日至</w:t>
      </w:r>
      <w:r>
        <w:rPr>
          <w:rFonts w:hint="eastAsia" w:ascii="宋体" w:hAnsi="宋体" w:eastAsia="宋体" w:cs="宋体"/>
          <w:sz w:val="24"/>
          <w:szCs w:val="24"/>
          <w:lang w:val="en-US" w:eastAsia="zh-CN"/>
        </w:rPr>
        <w:t>6</w:t>
      </w:r>
      <w:r>
        <w:rPr>
          <w:rFonts w:hint="eastAsia" w:ascii="宋体" w:hAnsi="宋体" w:eastAsia="宋体" w:cs="宋体"/>
          <w:sz w:val="24"/>
          <w:szCs w:val="24"/>
        </w:rPr>
        <w:t>月3</w:t>
      </w:r>
      <w:r>
        <w:rPr>
          <w:rFonts w:hint="eastAsia" w:ascii="宋体" w:hAnsi="宋体" w:eastAsia="宋体" w:cs="宋体"/>
          <w:sz w:val="24"/>
          <w:szCs w:val="24"/>
          <w:lang w:val="en-US" w:eastAsia="zh-CN"/>
        </w:rPr>
        <w:t>0</w:t>
      </w:r>
      <w:r>
        <w:rPr>
          <w:rFonts w:hint="eastAsia" w:ascii="宋体" w:hAnsi="宋体" w:eastAsia="宋体" w:cs="宋体"/>
          <w:sz w:val="24"/>
          <w:szCs w:val="24"/>
        </w:rPr>
        <w:t>日期间，单月住宅累计成交套数1-</w:t>
      </w:r>
      <w:r>
        <w:rPr>
          <w:rFonts w:hint="eastAsia" w:ascii="宋体" w:hAnsi="宋体" w:eastAsia="宋体" w:cs="宋体"/>
          <w:sz w:val="24"/>
          <w:szCs w:val="24"/>
          <w:lang w:val="en-US" w:eastAsia="zh-CN"/>
        </w:rPr>
        <w:t>10</w:t>
      </w:r>
      <w:r>
        <w:rPr>
          <w:rFonts w:hint="eastAsia" w:ascii="宋体" w:hAnsi="宋体" w:eastAsia="宋体" w:cs="宋体"/>
          <w:sz w:val="24"/>
          <w:szCs w:val="24"/>
        </w:rPr>
        <w:t>套的，佣金为</w:t>
      </w:r>
      <w:r>
        <w:rPr>
          <w:rFonts w:hint="eastAsia" w:ascii="宋体" w:hAnsi="宋体" w:eastAsia="宋体" w:cs="宋体"/>
          <w:sz w:val="24"/>
          <w:szCs w:val="24"/>
          <w:lang w:eastAsia="zh-CN"/>
        </w:rPr>
        <w:t>高层</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1.5%</w:t>
      </w:r>
      <w:r>
        <w:rPr>
          <w:rFonts w:hint="eastAsia" w:ascii="宋体" w:hAnsi="宋体" w:eastAsia="宋体" w:cs="宋体"/>
          <w:sz w:val="24"/>
          <w:szCs w:val="24"/>
        </w:rPr>
        <w:t>。单月住宅累计成交套数</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套的，超过</w:t>
      </w:r>
      <w:r>
        <w:rPr>
          <w:rFonts w:hint="eastAsia" w:ascii="宋体" w:hAnsi="宋体" w:eastAsia="宋体" w:cs="宋体"/>
          <w:sz w:val="24"/>
          <w:szCs w:val="24"/>
          <w:lang w:val="en-US" w:eastAsia="zh-CN"/>
        </w:rPr>
        <w:t>10</w:t>
      </w:r>
      <w:r>
        <w:rPr>
          <w:rFonts w:hint="eastAsia" w:ascii="宋体" w:hAnsi="宋体" w:eastAsia="宋体" w:cs="宋体"/>
          <w:sz w:val="24"/>
          <w:szCs w:val="24"/>
        </w:rPr>
        <w:t>套（含第</w:t>
      </w:r>
      <w:r>
        <w:rPr>
          <w:rFonts w:hint="eastAsia" w:ascii="宋体" w:hAnsi="宋体" w:eastAsia="宋体" w:cs="宋体"/>
          <w:sz w:val="24"/>
          <w:szCs w:val="24"/>
          <w:lang w:val="en-US" w:eastAsia="zh-CN"/>
        </w:rPr>
        <w:t>10</w:t>
      </w:r>
      <w:r>
        <w:rPr>
          <w:rFonts w:hint="eastAsia" w:ascii="宋体" w:hAnsi="宋体" w:eastAsia="宋体" w:cs="宋体"/>
          <w:sz w:val="24"/>
          <w:szCs w:val="24"/>
        </w:rPr>
        <w:t>套）部分的佣金为</w:t>
      </w:r>
      <w:r>
        <w:rPr>
          <w:rFonts w:hint="eastAsia" w:ascii="宋体" w:hAnsi="宋体" w:eastAsia="宋体" w:cs="宋体"/>
          <w:sz w:val="24"/>
          <w:szCs w:val="24"/>
          <w:lang w:eastAsia="zh-CN"/>
        </w:rPr>
        <w:t>高层</w:t>
      </w: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2.0%</w:t>
      </w:r>
      <w:r>
        <w:rPr>
          <w:rFonts w:hint="eastAsia" w:ascii="宋体" w:hAnsi="宋体" w:eastAsia="宋体" w:cs="宋体"/>
          <w:sz w:val="24"/>
          <w:szCs w:val="24"/>
        </w:rPr>
        <w:t>；单月住宅累计成交套数</w:t>
      </w:r>
      <w:r>
        <w:rPr>
          <w:rFonts w:hint="eastAsia" w:ascii="宋体" w:hAnsi="宋体" w:eastAsia="宋体" w:cs="宋体"/>
          <w:sz w:val="24"/>
          <w:szCs w:val="24"/>
          <w:lang w:val="en-US" w:eastAsia="zh-CN"/>
        </w:rPr>
        <w:t>20</w:t>
      </w:r>
      <w:r>
        <w:rPr>
          <w:rFonts w:hint="eastAsia" w:ascii="宋体" w:hAnsi="宋体" w:eastAsia="宋体" w:cs="宋体"/>
          <w:sz w:val="24"/>
          <w:szCs w:val="24"/>
        </w:rPr>
        <w:t>套及以上的，超过</w:t>
      </w:r>
      <w:r>
        <w:rPr>
          <w:rFonts w:hint="eastAsia" w:ascii="宋体" w:hAnsi="宋体" w:eastAsia="宋体" w:cs="宋体"/>
          <w:sz w:val="24"/>
          <w:szCs w:val="24"/>
          <w:lang w:val="en-US" w:eastAsia="zh-CN"/>
        </w:rPr>
        <w:t>20</w:t>
      </w:r>
      <w:r>
        <w:rPr>
          <w:rFonts w:hint="eastAsia" w:ascii="宋体" w:hAnsi="宋体" w:eastAsia="宋体" w:cs="宋体"/>
          <w:sz w:val="24"/>
          <w:szCs w:val="24"/>
        </w:rPr>
        <w:t>套（含第</w:t>
      </w:r>
      <w:r>
        <w:rPr>
          <w:rFonts w:hint="eastAsia" w:ascii="宋体" w:hAnsi="宋体" w:eastAsia="宋体" w:cs="宋体"/>
          <w:sz w:val="24"/>
          <w:szCs w:val="24"/>
          <w:lang w:val="en-US" w:eastAsia="zh-CN"/>
        </w:rPr>
        <w:t>20</w:t>
      </w:r>
      <w:r>
        <w:rPr>
          <w:rFonts w:hint="eastAsia" w:ascii="宋体" w:hAnsi="宋体" w:eastAsia="宋体" w:cs="宋体"/>
          <w:sz w:val="24"/>
          <w:szCs w:val="24"/>
        </w:rPr>
        <w:t>套）部分的佣金为</w:t>
      </w:r>
      <w:r>
        <w:rPr>
          <w:rFonts w:hint="eastAsia" w:ascii="宋体" w:hAnsi="宋体" w:eastAsia="宋体" w:cs="宋体"/>
          <w:sz w:val="24"/>
          <w:szCs w:val="24"/>
          <w:lang w:eastAsia="zh-CN"/>
        </w:rPr>
        <w:t>高层</w:t>
      </w:r>
      <w:r>
        <w:rPr>
          <w:rFonts w:hint="eastAsia" w:ascii="宋体" w:hAnsi="宋体" w:eastAsia="宋体" w:cs="宋体"/>
          <w:sz w:val="24"/>
          <w:szCs w:val="24"/>
          <w:lang w:val="en-US" w:eastAsia="zh-CN"/>
        </w:rPr>
        <w:t>3.0</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2.0%</w:t>
      </w:r>
      <w:r>
        <w:rPr>
          <w:rFonts w:hint="eastAsia" w:ascii="宋体" w:hAnsi="宋体" w:eastAsia="宋体" w:cs="宋体"/>
          <w:sz w:val="24"/>
          <w:szCs w:val="24"/>
        </w:rPr>
        <w:t>；</w:t>
      </w:r>
    </w:p>
    <w:p>
      <w:pPr>
        <w:pStyle w:val="15"/>
        <w:numPr>
          <w:ilvl w:val="255"/>
          <w:numId w:val="0"/>
        </w:numPr>
        <w:tabs>
          <w:tab w:val="left" w:pos="420"/>
        </w:tabs>
        <w:wordWrap w:val="0"/>
        <w:snapToGrid w:val="0"/>
        <w:spacing w:line="48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48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w:t>
      </w:r>
      <w:bookmarkStart w:id="0" w:name="_GoBack"/>
      <w:bookmarkEnd w:id="0"/>
      <w:r>
        <w:rPr>
          <w:rFonts w:hint="eastAsia" w:ascii="宋体" w:hAnsi="宋体" w:eastAsia="宋体" w:cs="宋体"/>
          <w:sz w:val="24"/>
          <w:szCs w:val="24"/>
        </w:rPr>
        <w:t>律效力。</w:t>
      </w:r>
    </w:p>
    <w:p>
      <w:pPr>
        <w:pStyle w:val="5"/>
        <w:tabs>
          <w:tab w:val="left" w:pos="1206"/>
        </w:tabs>
        <w:spacing w:line="480" w:lineRule="auto"/>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480" w:lineRule="auto"/>
        <w:ind w:left="840" w:hanging="840" w:hangingChars="350"/>
        <w:jc w:val="left"/>
        <w:rPr>
          <w:rFonts w:ascii="宋体" w:hAnsi="宋体" w:cs="宋体"/>
          <w:sz w:val="24"/>
          <w:szCs w:val="24"/>
        </w:rPr>
      </w:pPr>
      <w:r>
        <w:rPr>
          <w:rFonts w:hint="eastAsia" w:ascii="宋体" w:hAnsi="宋体" w:eastAsia="宋体" w:cs="宋体"/>
          <w:sz w:val="24"/>
          <w:szCs w:val="24"/>
        </w:rPr>
        <w:t xml:space="preserve">甲 方：河南浩德新澜置业限公司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 方：洛阳祐嘉房产经纪有限公司</w:t>
      </w:r>
    </w:p>
    <w:p>
      <w:pPr>
        <w:snapToGrid w:val="0"/>
        <w:spacing w:line="480" w:lineRule="auto"/>
        <w:ind w:left="840" w:hanging="840" w:hangingChars="350"/>
        <w:jc w:val="left"/>
        <w:rPr>
          <w:rFonts w:hint="eastAsia" w:ascii="宋体" w:hAnsi="宋体" w:eastAsia="宋体" w:cs="宋体"/>
          <w:sz w:val="24"/>
          <w:szCs w:val="24"/>
        </w:rPr>
      </w:pPr>
      <w:r>
        <w:rPr>
          <w:rFonts w:hint="eastAsia" w:cs="微软雅黑" w:asciiTheme="minorEastAsia" w:hAnsiTheme="minorEastAsia"/>
          <w:sz w:val="24"/>
          <w:szCs w:val="24"/>
        </w:rPr>
        <w:t>2023年</w:t>
      </w:r>
      <w:r>
        <w:rPr>
          <w:rFonts w:hint="eastAsia" w:cs="微软雅黑" w:asciiTheme="minorEastAsia" w:hAnsiTheme="minorEastAsia"/>
          <w:sz w:val="24"/>
          <w:szCs w:val="24"/>
          <w:lang w:val="en-US" w:eastAsia="zh-CN"/>
        </w:rPr>
        <w:t>5</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1日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微软雅黑" w:asciiTheme="minorEastAsia" w:hAnsiTheme="minorEastAsia"/>
          <w:sz w:val="24"/>
          <w:szCs w:val="24"/>
        </w:rPr>
        <w:t>2023年</w:t>
      </w:r>
      <w:r>
        <w:rPr>
          <w:rFonts w:hint="eastAsia" w:cs="微软雅黑" w:asciiTheme="minorEastAsia" w:hAnsiTheme="minorEastAsia"/>
          <w:sz w:val="24"/>
          <w:szCs w:val="24"/>
          <w:lang w:val="en-US" w:eastAsia="zh-CN"/>
        </w:rPr>
        <w:t>5</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1日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MGIwYWY1MDBkMTA4OTA2YTFkNzBhOWVjNmM0YzIifQ=="/>
  </w:docVars>
  <w:rsids>
    <w:rsidRoot w:val="00820CAA"/>
    <w:rsid w:val="00055C77"/>
    <w:rsid w:val="0011076C"/>
    <w:rsid w:val="00125193"/>
    <w:rsid w:val="00145014"/>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33E3"/>
    <w:rsid w:val="006C7748"/>
    <w:rsid w:val="006D0FBD"/>
    <w:rsid w:val="00710EB1"/>
    <w:rsid w:val="007476F1"/>
    <w:rsid w:val="007C581E"/>
    <w:rsid w:val="007D6C43"/>
    <w:rsid w:val="007F0024"/>
    <w:rsid w:val="00820CAA"/>
    <w:rsid w:val="00874362"/>
    <w:rsid w:val="008F53ED"/>
    <w:rsid w:val="00930E31"/>
    <w:rsid w:val="0093536D"/>
    <w:rsid w:val="00937428"/>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61933"/>
    <w:rsid w:val="0ADC7D92"/>
    <w:rsid w:val="0F940549"/>
    <w:rsid w:val="141D5683"/>
    <w:rsid w:val="157F0000"/>
    <w:rsid w:val="15BE564C"/>
    <w:rsid w:val="26B645C3"/>
    <w:rsid w:val="29D82DC8"/>
    <w:rsid w:val="2FB76529"/>
    <w:rsid w:val="32B25E44"/>
    <w:rsid w:val="34CD0497"/>
    <w:rsid w:val="363A5DC6"/>
    <w:rsid w:val="37662E05"/>
    <w:rsid w:val="394F35C4"/>
    <w:rsid w:val="44650943"/>
    <w:rsid w:val="4F43054A"/>
    <w:rsid w:val="533F3F0F"/>
    <w:rsid w:val="600318FC"/>
    <w:rsid w:val="66B61137"/>
    <w:rsid w:val="69164A27"/>
    <w:rsid w:val="6B906905"/>
    <w:rsid w:val="7040659E"/>
    <w:rsid w:val="72844B91"/>
    <w:rsid w:val="779F6F2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unhideWhenUsed/>
    <w:qFormat/>
    <w:uiPriority w:val="99"/>
    <w:pPr>
      <w:ind w:firstLine="420" w:firstLineChars="200"/>
    </w:pPr>
  </w:style>
  <w:style w:type="paragraph" w:styleId="6">
    <w:name w:val="Body Text Indent"/>
    <w:basedOn w:val="1"/>
    <w:next w:val="2"/>
    <w:unhideWhenUsed/>
    <w:qFormat/>
    <w:uiPriority w:val="99"/>
    <w:pPr>
      <w:spacing w:after="120"/>
      <w:ind w:left="420" w:leftChars="200"/>
    </w:pPr>
  </w:style>
  <w:style w:type="paragraph" w:styleId="8">
    <w:name w:val="annotation text"/>
    <w:basedOn w:val="1"/>
    <w:qFormat/>
    <w:uiPriority w:val="0"/>
    <w:pPr>
      <w:jc w:val="left"/>
    </w:pPr>
  </w:style>
  <w:style w:type="paragraph" w:styleId="9">
    <w:name w:val="Balloon Text"/>
    <w:basedOn w:val="1"/>
    <w:link w:val="1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4">
    <w:name w:val="annotation reference"/>
    <w:basedOn w:val="13"/>
    <w:qFormat/>
    <w:uiPriority w:val="0"/>
    <w:rPr>
      <w:sz w:val="21"/>
      <w:szCs w:val="21"/>
    </w:rPr>
  </w:style>
  <w:style w:type="paragraph" w:customStyle="1" w:styleId="15">
    <w:name w:val="列出段落1"/>
    <w:basedOn w:val="1"/>
    <w:unhideWhenUsed/>
    <w:qFormat/>
    <w:uiPriority w:val="0"/>
    <w:pPr>
      <w:ind w:firstLine="420" w:firstLineChars="200"/>
    </w:pPr>
  </w:style>
  <w:style w:type="paragraph" w:customStyle="1" w:styleId="16">
    <w:name w:val="列出段落3"/>
    <w:basedOn w:val="1"/>
    <w:qFormat/>
    <w:uiPriority w:val="99"/>
    <w:pPr>
      <w:ind w:firstLine="420" w:firstLineChars="200"/>
    </w:pPr>
  </w:style>
  <w:style w:type="character" w:customStyle="1" w:styleId="17">
    <w:name w:val="批注框文本 字符"/>
    <w:basedOn w:val="13"/>
    <w:link w:val="9"/>
    <w:qFormat/>
    <w:uiPriority w:val="0"/>
    <w:rPr>
      <w:rFonts w:asciiTheme="minorHAnsi" w:hAnsiTheme="minorHAnsi" w:eastAsiaTheme="minorEastAsia" w:cstheme="minorBidi"/>
      <w:kern w:val="2"/>
      <w:sz w:val="18"/>
      <w:szCs w:val="18"/>
    </w:rPr>
  </w:style>
  <w:style w:type="character" w:customStyle="1" w:styleId="18">
    <w:name w:val="页眉 字符"/>
    <w:basedOn w:val="13"/>
    <w:link w:val="11"/>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LyYc</Company>
  <Pages>1</Pages>
  <Words>93</Words>
  <Characters>532</Characters>
  <Lines>4</Lines>
  <Paragraphs>1</Paragraphs>
  <TotalTime>0</TotalTime>
  <ScaleCrop>false</ScaleCrop>
  <LinksUpToDate>false</LinksUpToDate>
  <CharactersWithSpaces>624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红鲤鱼与绿鲤鱼与驴</cp:lastModifiedBy>
  <dcterms:modified xsi:type="dcterms:W3CDTF">2023-05-31T10:17:10Z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FD350A0B963D43BFA544FAEE07CCC612</vt:lpwstr>
  </property>
</Properties>
</file>