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p>
    <w:p>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pPr>
        <w:spacing w:line="800" w:lineRule="exact"/>
        <w:jc w:val="center"/>
        <w:rPr>
          <w:rFonts w:ascii="微软雅黑" w:hAnsi="微软雅黑" w:eastAsia="微软雅黑"/>
          <w:b/>
          <w:szCs w:val="21"/>
        </w:rPr>
      </w:pPr>
      <w:r>
        <w:rPr>
          <w:rFonts w:hint="eastAsia" w:ascii="微软雅黑" w:hAnsi="微软雅黑" w:eastAsia="微软雅黑"/>
          <w:b/>
          <w:sz w:val="52"/>
          <w:szCs w:val="52"/>
        </w:rPr>
        <w:t>地产ERP运维服务合同</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p>
    <w:p>
      <w:pPr>
        <w:spacing w:line="400" w:lineRule="exact"/>
        <w:rPr>
          <w:rFonts w:ascii="微软雅黑" w:hAnsi="微软雅黑" w:eastAsia="微软雅黑"/>
          <w:i/>
          <w:szCs w:val="21"/>
        </w:rPr>
      </w:pPr>
    </w:p>
    <w:p>
      <w:pPr>
        <w:spacing w:line="400" w:lineRule="exact"/>
        <w:jc w:val="center"/>
        <w:rPr>
          <w:rFonts w:hint="eastAsia" w:ascii="微软雅黑" w:hAnsi="微软雅黑" w:eastAsia="微软雅黑" w:cs="微软雅黑"/>
          <w:i w:val="0"/>
          <w:iCs/>
          <w:sz w:val="32"/>
          <w:szCs w:val="32"/>
        </w:rPr>
      </w:pPr>
      <w:r>
        <w:rPr>
          <w:rFonts w:hint="eastAsia" w:ascii="微软雅黑" w:hAnsi="微软雅黑" w:eastAsia="微软雅黑" w:cs="微软雅黑"/>
          <w:i w:val="0"/>
          <w:iCs/>
          <w:sz w:val="32"/>
          <w:szCs w:val="32"/>
          <w:lang w:eastAsia="zh-CN"/>
        </w:rPr>
        <w:t>合同编号：</w:t>
      </w:r>
      <w:r>
        <w:rPr>
          <w:rFonts w:hint="eastAsia" w:ascii="微软雅黑" w:hAnsi="微软雅黑" w:eastAsia="微软雅黑" w:cs="微软雅黑"/>
          <w:i w:val="0"/>
          <w:iCs/>
          <w:sz w:val="32"/>
          <w:szCs w:val="32"/>
        </w:rPr>
        <w:t>YHW.C06-YX-032</w:t>
      </w: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spacing w:line="400" w:lineRule="exact"/>
        <w:rPr>
          <w:rFonts w:ascii="微软雅黑" w:hAnsi="微软雅黑" w:eastAsia="微软雅黑"/>
          <w:i/>
          <w:szCs w:val="21"/>
        </w:rPr>
      </w:pPr>
    </w:p>
    <w:p>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ascii="微软雅黑" w:hAnsi="微软雅黑" w:eastAsia="微软雅黑"/>
          <w:b/>
          <w:szCs w:val="21"/>
          <w:u w:val="single"/>
        </w:rPr>
        <w:t>3</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lang w:val="en-US" w:eastAsia="zh-CN"/>
        </w:rPr>
        <w:t>6</w:t>
      </w:r>
      <w:r>
        <w:rPr>
          <w:rFonts w:hint="eastAsia" w:ascii="微软雅黑" w:hAnsi="微软雅黑" w:eastAsia="微软雅黑"/>
          <w:b/>
          <w:szCs w:val="21"/>
        </w:rPr>
        <w:t>月·郑州区域</w:t>
      </w:r>
    </w:p>
    <w:p>
      <w:pPr>
        <w:spacing w:line="400" w:lineRule="exact"/>
        <w:jc w:val="center"/>
        <w:rPr>
          <w:rFonts w:ascii="微软雅黑" w:hAnsi="微软雅黑" w:eastAsia="微软雅黑"/>
          <w:szCs w:val="21"/>
        </w:rPr>
      </w:pPr>
    </w:p>
    <w:p>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2050"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rPr>
        <w:t>河南浩德新澜置业有限公司 </w:t>
      </w:r>
    </w:p>
    <w:p>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rPr>
        <w:t>郑州市云拓明源软件科技有限公司</w:t>
      </w:r>
    </w:p>
    <w:p>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2051"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ascii="微软雅黑" w:hAnsi="微软雅黑" w:eastAsia="微软雅黑"/>
          <w:u w:val="single"/>
        </w:rPr>
        <w:t>3</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ascii="微软雅黑" w:hAnsi="微软雅黑" w:eastAsia="微软雅黑"/>
          <w:u w:val="single"/>
        </w:rPr>
        <w:t>4</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auto" w:fill="auto"/>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p>
          <w:p>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restart"/>
            <w:shd w:val="clear" w:color="000000" w:fill="FFFFFF"/>
            <w:vAlign w:val="center"/>
          </w:tcPr>
          <w:p>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pPr>
              <w:jc w:val="center"/>
              <w:rPr>
                <w:rFonts w:ascii="微软雅黑" w:eastAsia="微软雅黑" w:cs="微软雅黑"/>
                <w:kern w:val="0"/>
                <w:sz w:val="18"/>
                <w:szCs w:val="18"/>
              </w:rPr>
            </w:pPr>
          </w:p>
        </w:tc>
        <w:tc>
          <w:tcPr>
            <w:tcW w:w="282" w:type="pct"/>
            <w:vMerge w:val="continue"/>
            <w:shd w:val="clear" w:color="000000" w:fill="FFFFFF"/>
            <w:vAlign w:val="center"/>
          </w:tcPr>
          <w:p>
            <w:pPr>
              <w:jc w:val="center"/>
              <w:rPr>
                <w:rFonts w:ascii="微软雅黑" w:eastAsia="微软雅黑" w:cs="微软雅黑"/>
                <w:kern w:val="0"/>
                <w:sz w:val="18"/>
                <w:szCs w:val="18"/>
              </w:rPr>
            </w:pPr>
          </w:p>
        </w:tc>
        <w:tc>
          <w:tcPr>
            <w:tcW w:w="481" w:type="pct"/>
            <w:vMerge w:val="continue"/>
            <w:shd w:val="clear" w:color="000000" w:fill="FFFFFF"/>
            <w:vAlign w:val="center"/>
          </w:tcPr>
          <w:p>
            <w:pPr>
              <w:widowControl/>
              <w:jc w:val="center"/>
              <w:rPr>
                <w:rFonts w:ascii="微软雅黑" w:eastAsia="微软雅黑" w:cs="微软雅黑"/>
                <w:bCs/>
                <w:kern w:val="0"/>
                <w:sz w:val="18"/>
                <w:szCs w:val="18"/>
              </w:rPr>
            </w:pPr>
          </w:p>
        </w:tc>
        <w:tc>
          <w:tcPr>
            <w:tcW w:w="2542" w:type="pct"/>
            <w:shd w:val="clear" w:color="000000" w:fill="FFFFFF"/>
            <w:vAlign w:val="center"/>
          </w:tcPr>
          <w:p>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pPr>
              <w:widowControl/>
              <w:rPr>
                <w:rFonts w:hint="default" w:ascii="微软雅黑" w:eastAsia="微软雅黑" w:cs="微软雅黑"/>
                <w:kern w:val="0"/>
                <w:sz w:val="18"/>
                <w:szCs w:val="18"/>
                <w:lang w:val="en-US" w:eastAsia="zh-CN"/>
              </w:rPr>
            </w:pPr>
            <w:r>
              <w:rPr>
                <w:rFonts w:hint="eastAsia" w:ascii="微软雅黑" w:eastAsia="微软雅黑" w:cs="微软雅黑"/>
                <w:kern w:val="0"/>
                <w:sz w:val="18"/>
                <w:szCs w:val="18"/>
              </w:rPr>
              <w:t>合同约定金额：￥</w:t>
            </w:r>
            <w:r>
              <w:rPr>
                <w:rFonts w:hint="eastAsia" w:ascii="微软雅黑" w:eastAsia="微软雅黑" w:cs="微软雅黑"/>
                <w:kern w:val="0"/>
                <w:sz w:val="18"/>
                <w:szCs w:val="18"/>
                <w:lang w:val="en-US" w:eastAsia="zh-CN"/>
              </w:rPr>
              <w:t>15000</w:t>
            </w:r>
          </w:p>
        </w:tc>
      </w:tr>
    </w:tbl>
    <w:p>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pPr>
        <w:pStyle w:val="13"/>
        <w:numPr>
          <w:ilvl w:val="0"/>
          <w:numId w:val="7"/>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w:t>
      </w:r>
      <w:r>
        <w:rPr>
          <w:rFonts w:hint="eastAsia" w:ascii="微软雅黑" w:hAnsi="微软雅黑" w:eastAsia="微软雅黑"/>
          <w:szCs w:val="21"/>
          <w:lang w:val="en-US" w:eastAsia="zh-CN"/>
        </w:rPr>
        <w:t>15</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lang w:val="en-US" w:eastAsia="zh-CN"/>
        </w:rPr>
        <w:t>壹</w:t>
      </w:r>
      <w:r>
        <w:rPr>
          <w:rFonts w:hint="eastAsia" w:ascii="微软雅黑" w:hAnsi="微软雅黑" w:eastAsia="微软雅黑"/>
          <w:szCs w:val="21"/>
          <w:u w:val="single"/>
        </w:rPr>
        <w:t>万</w:t>
      </w:r>
      <w:r>
        <w:rPr>
          <w:rFonts w:hint="eastAsia" w:ascii="微软雅黑" w:hAnsi="微软雅黑" w:eastAsia="微软雅黑"/>
          <w:szCs w:val="21"/>
          <w:u w:val="single"/>
          <w:lang w:val="en-US" w:eastAsia="zh-CN"/>
        </w:rPr>
        <w:t>伍仟</w:t>
      </w:r>
      <w:r>
        <w:rPr>
          <w:rFonts w:hint="eastAsia" w:ascii="微软雅黑" w:hAnsi="微软雅黑" w:eastAsia="微软雅黑"/>
          <w:szCs w:val="21"/>
          <w:u w:val="single"/>
        </w:rPr>
        <w:t>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乙方向甲方提供与付款金额等额的含增值税普通发票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bookmarkStart w:id="10" w:name="_GoBack"/>
      <w:bookmarkEnd w:id="10"/>
    </w:p>
    <w:p>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郑州市云拓明源软件科技有限公司</w:t>
      </w:r>
    </w:p>
    <w:p>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招商银行股份有限公司郑州文化路支行</w:t>
      </w:r>
    </w:p>
    <w:p>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371906917010701</w:t>
      </w:r>
    </w:p>
    <w:bookmarkEnd w:id="3"/>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如需现场服务，甲方须承担乙方顾问的食宿费用，交通工具以飞机和高铁为标准，住宿不低于当地快捷连锁酒店标准（如家、</w:t>
      </w:r>
      <w:r>
        <w:rPr>
          <w:rFonts w:ascii="微软雅黑" w:hAnsi="微软雅黑" w:eastAsia="微软雅黑"/>
          <w:szCs w:val="21"/>
        </w:rPr>
        <w:t>7</w:t>
      </w:r>
      <w:r>
        <w:rPr>
          <w:rFonts w:hint="eastAsia" w:ascii="微软雅黑" w:hAnsi="微软雅黑" w:eastAsia="微软雅黑"/>
          <w:szCs w:val="21"/>
        </w:rPr>
        <w:t>天、汉庭等）。</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w:t>
      </w:r>
      <w:r>
        <w:rPr>
          <w:rFonts w:ascii="微软雅黑" w:hAnsi="微软雅黑" w:eastAsia="微软雅黑"/>
          <w:szCs w:val="21"/>
        </w:rPr>
        <w:t>。</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p>
    <w:p>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甲方所在地仲裁委员会</w:t>
      </w:r>
      <w:r>
        <w:rPr>
          <w:rFonts w:ascii="微软雅黑" w:hAnsi="微软雅黑" w:eastAsia="微软雅黑"/>
          <w:szCs w:val="21"/>
        </w:rPr>
        <w:t>裁决。仲裁裁决是终局的，对双方均有约束力；仲裁费用由败诉方承担</w:t>
      </w:r>
      <w:r>
        <w:rPr>
          <w:rFonts w:hint="eastAsia" w:ascii="微软雅黑" w:hAnsi="微软雅黑" w:eastAsia="微软雅黑"/>
          <w:szCs w:val="21"/>
        </w:rPr>
        <w:t>，除非仲裁裁决另有裁定</w:t>
      </w:r>
      <w:r>
        <w:rPr>
          <w:rFonts w:ascii="微软雅黑" w:hAnsi="微软雅黑" w:eastAsia="微软雅黑"/>
          <w:szCs w:val="21"/>
        </w:rPr>
        <w:t>。</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本合同自双方授权代表签字并加盖公章或合同专用章之日起成立并生效；本合同壹式肆份，双方各执贰份，具有同等法律效力；</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rPr>
        <w:t>本合同涉及的所有赔偿，双方的赔偿责任均为有限责任，赔偿金额不超过本合同实际履行金额。</w:t>
      </w:r>
    </w:p>
    <w:p>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w:t>
      </w:r>
      <w:r>
        <w:rPr>
          <w:rFonts w:ascii="微软雅黑" w:hAnsi="微软雅黑" w:eastAsia="微软雅黑"/>
          <w:szCs w:val="21"/>
        </w:rPr>
        <w:t xml:space="preserve"> </w:t>
      </w:r>
    </w:p>
    <w:p>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河南浩德新澜置业有限公司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rPr>
        <w:t>郑州市云拓明源软件科技有限公司</w:t>
      </w:r>
    </w:p>
    <w:p>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4MGIwYWY1MDBkMTA4OTA2YTFkNzBhOWVjNmM0YzI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68472F9"/>
    <w:rsid w:val="16E71056"/>
    <w:rsid w:val="17C14AAE"/>
    <w:rsid w:val="1FD80FDF"/>
    <w:rsid w:val="208F0A3E"/>
    <w:rsid w:val="3BD33E2F"/>
    <w:rsid w:val="49D6350D"/>
    <w:rsid w:val="4B842F48"/>
    <w:rsid w:val="525F6BDF"/>
    <w:rsid w:val="584645C5"/>
    <w:rsid w:val="59486D73"/>
    <w:rsid w:val="6005776C"/>
    <w:rsid w:val="68570199"/>
    <w:rsid w:val="6A8F1D84"/>
    <w:rsid w:val="743010C6"/>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915</Words>
  <Characters>5220</Characters>
  <Lines>43</Lines>
  <Paragraphs>12</Paragraphs>
  <TotalTime>2125</TotalTime>
  <ScaleCrop>false</ScaleCrop>
  <LinksUpToDate>false</LinksUpToDate>
  <CharactersWithSpaces>6123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红鲤鱼与绿鲤鱼与驴</cp:lastModifiedBy>
  <dcterms:modified xsi:type="dcterms:W3CDTF">2023-06-12T02:35:12Z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A3E4D2DF3A6D472AA7FDA01B4F7957F7</vt:lpwstr>
  </property>
</Properties>
</file>