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等线" w:hAnsi="等线" w:eastAsia="等线" w:cs="Tahoma"/>
          <w:b/>
          <w:sz w:val="48"/>
          <w:szCs w:val="48"/>
        </w:rPr>
      </w:pPr>
      <w:r>
        <w:rPr>
          <w:rFonts w:hint="eastAsia" w:ascii="宋体" w:hAnsi="宋体" w:cs="宋体"/>
          <w:b/>
          <w:bCs/>
          <w:sz w:val="44"/>
          <w:szCs w:val="40"/>
        </w:rPr>
        <w:t xml:space="preserve">                    </w:t>
      </w:r>
    </w:p>
    <w:p>
      <w:pPr>
        <w:spacing w:line="360" w:lineRule="auto"/>
        <w:rPr>
          <w:rFonts w:ascii="宋体" w:hAnsi="宋体" w:cs="Tahoma"/>
          <w:b/>
          <w:sz w:val="48"/>
          <w:szCs w:val="48"/>
        </w:rPr>
      </w:pPr>
    </w:p>
    <w:p>
      <w:pPr>
        <w:spacing w:line="360" w:lineRule="auto"/>
        <w:jc w:val="center"/>
        <w:rPr>
          <w:rFonts w:ascii="宋体" w:hAnsi="宋体" w:cs="Tahoma"/>
          <w:b/>
          <w:sz w:val="48"/>
          <w:szCs w:val="48"/>
        </w:rPr>
      </w:pPr>
      <w:r>
        <w:rPr>
          <w:rFonts w:hint="eastAsia" w:ascii="宋体" w:hAnsi="宋体" w:cs="Tahoma"/>
          <w:b/>
          <w:sz w:val="48"/>
          <w:szCs w:val="48"/>
        </w:rPr>
        <w:t>开元壹号62#地块55#楼节能检测、室内环境检测工程施工合同</w:t>
      </w: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cs="宋体"/>
          <w:b/>
          <w:sz w:val="28"/>
          <w:szCs w:val="28"/>
        </w:rPr>
      </w:pPr>
      <w:r>
        <w:rPr>
          <w:rFonts w:hint="eastAsia" w:ascii="宋体" w:hAnsi="宋体" w:cs="宋体"/>
          <w:sz w:val="30"/>
          <w:szCs w:val="30"/>
        </w:rPr>
        <w:t xml:space="preserve">         </w:t>
      </w:r>
      <w:bookmarkStart w:id="0" w:name="_Hlk36566518"/>
      <w:r>
        <w:rPr>
          <w:rFonts w:ascii="宋体" w:hAnsi="宋体" w:cs="宋体"/>
          <w:sz w:val="30"/>
          <w:szCs w:val="30"/>
        </w:rPr>
        <w:t xml:space="preserve">    </w:t>
      </w:r>
      <w:r>
        <w:rPr>
          <w:rFonts w:hint="eastAsia" w:ascii="宋体" w:hAnsi="宋体" w:cs="宋体"/>
          <w:b/>
          <w:sz w:val="28"/>
          <w:szCs w:val="28"/>
        </w:rPr>
        <w:t>成本代码： 3.2.1</w:t>
      </w:r>
    </w:p>
    <w:p>
      <w:pPr>
        <w:spacing w:line="360" w:lineRule="auto"/>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合同编号：KYYH.66-JA- </w:t>
      </w:r>
    </w:p>
    <w:p>
      <w:pPr>
        <w:spacing w:line="360" w:lineRule="auto"/>
        <w:rPr>
          <w:rFonts w:ascii="宋体" w:hAnsi="宋体" w:cs="宋体"/>
          <w:b/>
          <w:sz w:val="28"/>
          <w:szCs w:val="28"/>
        </w:rPr>
      </w:pPr>
    </w:p>
    <w:p>
      <w:pPr>
        <w:pStyle w:val="31"/>
        <w:ind w:firstLine="562"/>
        <w:rPr>
          <w:rFonts w:hAnsi="宋体" w:cs="宋体"/>
          <w:b w:val="0"/>
          <w:sz w:val="28"/>
          <w:szCs w:val="28"/>
        </w:rPr>
      </w:pPr>
    </w:p>
    <w:p>
      <w:pPr>
        <w:pStyle w:val="31"/>
        <w:ind w:firstLine="562"/>
        <w:rPr>
          <w:rFonts w:hAnsi="宋体" w:cs="宋体"/>
          <w:b w:val="0"/>
          <w:sz w:val="28"/>
          <w:szCs w:val="28"/>
        </w:rPr>
      </w:pPr>
    </w:p>
    <w:p>
      <w:pPr>
        <w:pStyle w:val="31"/>
        <w:ind w:firstLine="562"/>
        <w:rPr>
          <w:rFonts w:hAnsi="宋体" w:cs="宋体"/>
          <w:b w:val="0"/>
          <w:sz w:val="28"/>
          <w:szCs w:val="28"/>
        </w:rPr>
      </w:pPr>
    </w:p>
    <w:p>
      <w:pPr>
        <w:spacing w:line="360" w:lineRule="auto"/>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甲方：</w:t>
      </w:r>
      <w:r>
        <w:rPr>
          <w:rFonts w:hint="eastAsia" w:ascii="宋体" w:hAnsi="宋体" w:cs="宋体"/>
          <w:b/>
          <w:sz w:val="28"/>
          <w:szCs w:val="28"/>
          <w:u w:val="single"/>
        </w:rPr>
        <w:t>洛阳浩德鑫置地有限公司</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乙方：</w:t>
      </w:r>
      <w:r>
        <w:rPr>
          <w:rFonts w:hint="eastAsia" w:ascii="宋体" w:hAnsi="宋体" w:cs="宋体"/>
          <w:b/>
          <w:sz w:val="28"/>
          <w:szCs w:val="28"/>
          <w:u w:val="single"/>
        </w:rPr>
        <w:t>洛阳业丰建设工程服务有限公司</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签订日期： </w:t>
      </w:r>
      <w:r>
        <w:rPr>
          <w:rFonts w:hint="eastAsia" w:ascii="宋体" w:hAnsi="宋体" w:cs="宋体"/>
          <w:b/>
          <w:sz w:val="28"/>
          <w:szCs w:val="28"/>
          <w:u w:val="single"/>
        </w:rPr>
        <w:t>2023年6月</w:t>
      </w:r>
      <w:bookmarkEnd w:id="0"/>
      <w:r>
        <w:rPr>
          <w:rFonts w:hint="eastAsia" w:ascii="宋体" w:hAnsi="宋体" w:cs="宋体"/>
          <w:b/>
          <w:sz w:val="28"/>
          <w:szCs w:val="28"/>
          <w:u w:val="single"/>
        </w:rPr>
        <w:t>15日</w:t>
      </w:r>
    </w:p>
    <w:p>
      <w:pPr>
        <w:pStyle w:val="31"/>
        <w:ind w:firstLine="600"/>
        <w:rPr>
          <w:rFonts w:hAnsi="宋体" w:cs="宋体"/>
          <w:sz w:val="30"/>
          <w:szCs w:val="30"/>
        </w:rPr>
      </w:pPr>
    </w:p>
    <w:p>
      <w:pPr>
        <w:rPr>
          <w:rFonts w:ascii="宋体" w:hAnsi="宋体" w:cs="宋体"/>
          <w:sz w:val="32"/>
          <w:szCs w:val="32"/>
        </w:rPr>
        <w:sectPr>
          <w:headerReference r:id="rId3" w:type="default"/>
          <w:footerReference r:id="rId4" w:type="default"/>
          <w:pgSz w:w="11906" w:h="16838"/>
          <w:pgMar w:top="1304" w:right="1304" w:bottom="1304" w:left="1304" w:header="851" w:footer="850" w:gutter="0"/>
          <w:cols w:space="720" w:num="1"/>
          <w:docGrid w:type="lines" w:linePitch="312" w:charSpace="0"/>
        </w:sectPr>
      </w:pPr>
    </w:p>
    <w:p>
      <w:pPr>
        <w:spacing w:line="360" w:lineRule="auto"/>
        <w:jc w:val="center"/>
        <w:rPr>
          <w:rFonts w:ascii="宋体" w:hAnsi="宋体" w:cs="宋体"/>
          <w:b/>
          <w:kern w:val="2"/>
          <w:sz w:val="28"/>
          <w:szCs w:val="28"/>
        </w:rPr>
      </w:pPr>
      <w:r>
        <w:rPr>
          <w:rFonts w:hint="eastAsia" w:ascii="宋体" w:hAnsi="宋体" w:cs="宋体"/>
          <w:b/>
          <w:kern w:val="2"/>
          <w:sz w:val="28"/>
          <w:szCs w:val="28"/>
        </w:rPr>
        <w:t>开元壹号62#地块55#楼节能检测、室内环境检测工程施工合同</w:t>
      </w:r>
    </w:p>
    <w:p>
      <w:pPr>
        <w:spacing w:line="360" w:lineRule="auto"/>
        <w:rPr>
          <w:rFonts w:ascii="宋体" w:hAnsi="宋体" w:cs="宋体"/>
          <w:u w:val="single"/>
        </w:rPr>
      </w:pPr>
      <w:r>
        <w:rPr>
          <w:rFonts w:hint="eastAsia" w:ascii="宋体" w:hAnsi="宋体" w:cs="宋体"/>
        </w:rPr>
        <w:t>甲方：</w:t>
      </w:r>
      <w:r>
        <w:rPr>
          <w:rFonts w:hint="eastAsia" w:ascii="宋体" w:hAnsi="宋体" w:cs="宋体"/>
          <w:u w:val="single"/>
        </w:rPr>
        <w:t>洛阳浩德鑫置地有限公司</w:t>
      </w:r>
    </w:p>
    <w:p>
      <w:pPr>
        <w:spacing w:line="360" w:lineRule="auto"/>
        <w:rPr>
          <w:rFonts w:ascii="宋体" w:hAnsi="宋体" w:cs="宋体"/>
          <w:u w:val="single"/>
        </w:rPr>
      </w:pPr>
      <w:r>
        <w:rPr>
          <w:rFonts w:hint="eastAsia" w:ascii="宋体" w:hAnsi="宋体" w:cs="宋体"/>
          <w:u w:val="single"/>
        </w:rPr>
        <w:t>统一社会信用代码：914103005542480325</w:t>
      </w:r>
    </w:p>
    <w:p>
      <w:pPr>
        <w:spacing w:line="360" w:lineRule="auto"/>
        <w:rPr>
          <w:rFonts w:ascii="宋体" w:hAnsi="宋体" w:cs="宋体"/>
          <w:u w:val="single"/>
        </w:rPr>
      </w:pPr>
      <w:r>
        <w:rPr>
          <w:rFonts w:hint="eastAsia" w:ascii="宋体" w:hAnsi="宋体" w:cs="宋体"/>
        </w:rPr>
        <w:t>乙方：</w:t>
      </w:r>
      <w:r>
        <w:rPr>
          <w:rFonts w:hint="eastAsia" w:ascii="宋体" w:hAnsi="宋体" w:cs="宋体"/>
          <w:u w:val="single"/>
        </w:rPr>
        <w:t>洛阳业丰建设工程服务有限公司</w:t>
      </w:r>
    </w:p>
    <w:p>
      <w:pPr>
        <w:spacing w:line="360" w:lineRule="auto"/>
        <w:rPr>
          <w:rFonts w:ascii="宋体" w:hAnsi="宋体" w:cs="宋体"/>
          <w:u w:val="single"/>
        </w:rPr>
      </w:pPr>
      <w:r>
        <w:rPr>
          <w:rFonts w:hint="eastAsia" w:ascii="宋体" w:hAnsi="宋体" w:cs="宋体"/>
          <w:u w:val="single"/>
        </w:rPr>
        <w:t xml:space="preserve">统一社会信用代码：91410300745798782G </w:t>
      </w:r>
    </w:p>
    <w:p>
      <w:pPr>
        <w:pStyle w:val="4"/>
        <w:spacing w:before="0" w:after="0" w:line="360" w:lineRule="auto"/>
        <w:ind w:firstLine="480" w:firstLineChars="200"/>
        <w:rPr>
          <w:rFonts w:ascii="宋体" w:hAnsi="宋体" w:cs="宋体"/>
          <w:b w:val="0"/>
          <w:bCs w:val="0"/>
          <w:kern w:val="2"/>
          <w:sz w:val="24"/>
          <w:szCs w:val="24"/>
        </w:rPr>
      </w:pPr>
      <w:r>
        <w:rPr>
          <w:rFonts w:hint="eastAsia" w:ascii="宋体" w:hAnsi="宋体" w:cs="宋体"/>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pPr>
        <w:pStyle w:val="4"/>
        <w:spacing w:before="0" w:after="0" w:line="360" w:lineRule="auto"/>
        <w:rPr>
          <w:rFonts w:ascii="宋体" w:hAnsi="宋体" w:cs="宋体"/>
          <w:b w:val="0"/>
          <w:bCs w:val="0"/>
          <w:kern w:val="2"/>
          <w:sz w:val="24"/>
          <w:szCs w:val="24"/>
        </w:rPr>
      </w:pPr>
      <w:r>
        <w:rPr>
          <w:rFonts w:hint="eastAsia" w:ascii="宋体" w:hAnsi="宋体" w:cs="宋体"/>
          <w:bCs w:val="0"/>
          <w:sz w:val="24"/>
          <w:szCs w:val="24"/>
        </w:rPr>
        <w:t>第一</w:t>
      </w:r>
      <w:r>
        <w:rPr>
          <w:rFonts w:hint="eastAsia" w:ascii="宋体" w:hAnsi="宋体" w:cs="宋体"/>
          <w:sz w:val="24"/>
          <w:szCs w:val="24"/>
        </w:rPr>
        <w:t>条</w:t>
      </w:r>
      <w:r>
        <w:rPr>
          <w:rFonts w:hint="eastAsia" w:ascii="宋体" w:hAnsi="宋体" w:cs="宋体"/>
          <w:bCs w:val="0"/>
          <w:sz w:val="24"/>
          <w:szCs w:val="24"/>
        </w:rPr>
        <w:t xml:space="preserve">  工程概况</w:t>
      </w:r>
    </w:p>
    <w:p>
      <w:pPr>
        <w:spacing w:line="360" w:lineRule="auto"/>
        <w:ind w:firstLine="480" w:firstLineChars="200"/>
        <w:rPr>
          <w:rFonts w:ascii="宋体" w:hAnsi="宋体" w:cs="宋体"/>
        </w:rPr>
      </w:pPr>
      <w:r>
        <w:rPr>
          <w:rFonts w:hint="eastAsia" w:ascii="宋体" w:hAnsi="宋体" w:cs="宋体"/>
        </w:rPr>
        <w:t>工程名称：开元壹号62#地块55#楼节能检测、室内环境检测工程</w:t>
      </w:r>
      <w:r>
        <w:rPr>
          <w:rFonts w:hint="eastAsia" w:ascii="宋体" w:hAnsi="宋体" w:cs="宋体"/>
        </w:rPr>
        <w:tab/>
      </w:r>
      <w:r>
        <w:rPr>
          <w:rFonts w:hint="eastAsia" w:ascii="宋体" w:hAnsi="宋体" w:cs="宋体"/>
        </w:rPr>
        <w:tab/>
      </w:r>
    </w:p>
    <w:p>
      <w:pPr>
        <w:spacing w:line="360" w:lineRule="auto"/>
        <w:ind w:firstLine="480" w:firstLineChars="200"/>
        <w:rPr>
          <w:rFonts w:ascii="宋体" w:hAnsi="宋体" w:cs="宋体"/>
        </w:rPr>
      </w:pPr>
      <w:r>
        <w:rPr>
          <w:rFonts w:hint="eastAsia" w:ascii="宋体" w:hAnsi="宋体" w:cs="宋体"/>
        </w:rPr>
        <w:t>工程地点：洛阳市洛龙区洛龙区开元大道与新伊大街交叉口东段路北开元壹号62#地块55#楼</w:t>
      </w:r>
    </w:p>
    <w:p>
      <w:pPr>
        <w:spacing w:line="360" w:lineRule="auto"/>
        <w:rPr>
          <w:rFonts w:ascii="宋体" w:hAnsi="宋体" w:cs="宋体"/>
          <w:b/>
        </w:rPr>
      </w:pPr>
      <w:r>
        <w:rPr>
          <w:rFonts w:hint="eastAsia" w:ascii="宋体" w:hAnsi="宋体" w:cs="宋体"/>
          <w:b/>
          <w:bCs/>
        </w:rPr>
        <w:t>第二</w:t>
      </w:r>
      <w:r>
        <w:rPr>
          <w:rFonts w:hint="eastAsia" w:ascii="宋体" w:hAnsi="宋体" w:cs="宋体"/>
          <w:b/>
        </w:rPr>
        <w:t>条</w:t>
      </w:r>
      <w:r>
        <w:rPr>
          <w:rFonts w:hint="eastAsia" w:ascii="宋体" w:hAnsi="宋体" w:cs="宋体"/>
          <w:b/>
          <w:bCs/>
        </w:rPr>
        <w:t xml:space="preserve">  承包范围</w:t>
      </w:r>
    </w:p>
    <w:p>
      <w:pPr>
        <w:spacing w:line="360" w:lineRule="auto"/>
        <w:rPr>
          <w:rFonts w:ascii="宋体" w:hAnsi="宋体" w:cs="宋体"/>
          <w:b/>
        </w:rPr>
      </w:pPr>
      <w:r>
        <w:rPr>
          <w:rFonts w:hint="eastAsia" w:ascii="宋体" w:hAnsi="宋体" w:cs="宋体"/>
          <w:b/>
        </w:rPr>
        <w:t xml:space="preserve">    </w:t>
      </w:r>
      <w:r>
        <w:rPr>
          <w:rFonts w:hint="eastAsia" w:ascii="宋体" w:hAnsi="宋体" w:cs="宋体"/>
          <w:bCs/>
        </w:rPr>
        <w:t>开元壹号62#地块55#楼</w:t>
      </w:r>
      <w:r>
        <w:rPr>
          <w:rFonts w:hint="eastAsia" w:ascii="宋体" w:hAnsi="宋体" w:cs="宋体"/>
          <w:b w:val="0"/>
          <w:bCs/>
        </w:rPr>
        <w:t>节能检测、室内环境检测</w:t>
      </w:r>
      <w:r>
        <w:rPr>
          <w:rFonts w:hint="eastAsia" w:ascii="宋体" w:hAnsi="宋体" w:cs="宋体"/>
          <w:b/>
        </w:rPr>
        <w:t>。</w:t>
      </w:r>
    </w:p>
    <w:p>
      <w:pPr>
        <w:numPr>
          <w:ilvl w:val="0"/>
          <w:numId w:val="1"/>
        </w:numPr>
        <w:spacing w:line="360" w:lineRule="auto"/>
        <w:rPr>
          <w:rFonts w:ascii="宋体" w:hAnsi="宋体" w:cs="宋体"/>
          <w:b/>
        </w:rPr>
      </w:pPr>
      <w:r>
        <w:rPr>
          <w:rFonts w:hint="eastAsia" w:ascii="宋体" w:hAnsi="宋体" w:cs="宋体"/>
          <w:b/>
        </w:rPr>
        <w:t xml:space="preserve"> 合同价款</w:t>
      </w:r>
    </w:p>
    <w:p>
      <w:pPr>
        <w:spacing w:line="360" w:lineRule="auto"/>
        <w:ind w:firstLine="480" w:firstLineChars="200"/>
        <w:rPr>
          <w:highlight w:val="none"/>
        </w:rPr>
      </w:pPr>
      <w:r>
        <w:rPr>
          <w:rFonts w:hint="eastAsia" w:ascii="宋体" w:hAnsi="宋体" w:cs="宋体"/>
          <w:kern w:val="2"/>
          <w:highlight w:val="none"/>
        </w:rPr>
        <w:t>本工程含税暂定总价大写：人民币壹万玖仟柒佰陆拾叁元叁角陆分，小写¥</w:t>
      </w:r>
      <w:r>
        <w:rPr>
          <w:rFonts w:hint="eastAsia" w:ascii="宋体" w:hAnsi="宋体" w:cs="宋体"/>
          <w:color w:val="000000"/>
          <w:sz w:val="22"/>
          <w:szCs w:val="22"/>
          <w:highlight w:val="none"/>
          <w:lang w:bidi="ar"/>
        </w:rPr>
        <w:t>19763.36</w:t>
      </w:r>
      <w:r>
        <w:rPr>
          <w:rFonts w:hint="eastAsia" w:ascii="宋体" w:hAnsi="宋体" w:cs="宋体"/>
          <w:kern w:val="2"/>
          <w:highlight w:val="none"/>
        </w:rPr>
        <w:t>元（以下简称“合同总金额”），含专票税率</w:t>
      </w:r>
      <w:r>
        <w:rPr>
          <w:rFonts w:ascii="宋体" w:hAnsi="宋体" w:cs="宋体"/>
          <w:kern w:val="2"/>
          <w:highlight w:val="none"/>
        </w:rPr>
        <w:t>6%，税费¥</w:t>
      </w:r>
      <w:r>
        <w:rPr>
          <w:rFonts w:hint="eastAsia" w:ascii="宋体" w:hAnsi="宋体" w:cs="宋体"/>
          <w:kern w:val="2"/>
          <w:highlight w:val="none"/>
        </w:rPr>
        <w:t>1118.68元，不含税价¥18644.68元。</w:t>
      </w:r>
      <w:ins w:id="0" w:author="8615701517582" w:date="2023-06-17T09:30:00Z">
        <w:r>
          <w:rPr>
            <w:rFonts w:hint="eastAsia" w:ascii="宋体" w:hAnsi="宋体" w:cs="宋体"/>
            <w:kern w:val="2"/>
            <w:highlight w:val="none"/>
          </w:rPr>
          <w:t>其中，</w:t>
        </w:r>
      </w:ins>
      <w:r>
        <w:rPr>
          <w:rFonts w:hint="eastAsia" w:ascii="宋体" w:hAnsi="宋体" w:cs="宋体"/>
          <w:kern w:val="2"/>
          <w:highlight w:val="none"/>
        </w:rPr>
        <w:t>节能检测按固定综合单价</w:t>
      </w:r>
      <w:r>
        <w:rPr>
          <w:rFonts w:ascii="宋体" w:hAnsi="宋体" w:cs="宋体"/>
          <w:kern w:val="2"/>
          <w:highlight w:val="none"/>
        </w:rPr>
        <w:t>0.3元/m</w:t>
      </w:r>
      <w:r>
        <w:rPr>
          <w:rFonts w:ascii="宋体" w:hAnsi="宋体" w:cs="宋体"/>
          <w:kern w:val="2"/>
          <w:highlight w:val="none"/>
          <w:vertAlign w:val="superscript"/>
        </w:rPr>
        <w:t>2</w:t>
      </w:r>
      <w:r>
        <w:rPr>
          <w:rFonts w:ascii="宋体" w:hAnsi="宋体" w:cs="宋体"/>
          <w:kern w:val="2"/>
          <w:highlight w:val="none"/>
        </w:rPr>
        <w:t>,暂定总价¥</w:t>
      </w:r>
      <w:r>
        <w:rPr>
          <w:rFonts w:hint="eastAsia" w:ascii="宋体" w:hAnsi="宋体" w:cs="宋体"/>
          <w:color w:val="000000"/>
          <w:sz w:val="22"/>
          <w:szCs w:val="22"/>
          <w:highlight w:val="none"/>
          <w:lang w:bidi="ar"/>
        </w:rPr>
        <w:t>11186.81</w:t>
      </w:r>
      <w:r>
        <w:rPr>
          <w:rFonts w:hint="eastAsia" w:ascii="宋体" w:hAnsi="宋体" w:cs="宋体"/>
          <w:kern w:val="2"/>
          <w:highlight w:val="none"/>
        </w:rPr>
        <w:t>元；室内环境检测按固定综合单价</w:t>
      </w:r>
      <w:r>
        <w:rPr>
          <w:rFonts w:ascii="宋体" w:hAnsi="宋体" w:cs="宋体"/>
          <w:kern w:val="2"/>
          <w:highlight w:val="none"/>
        </w:rPr>
        <w:t>0.23元/m</w:t>
      </w:r>
      <w:r>
        <w:rPr>
          <w:rFonts w:ascii="宋体" w:hAnsi="宋体" w:cs="宋体"/>
          <w:kern w:val="2"/>
          <w:highlight w:val="none"/>
          <w:vertAlign w:val="superscript"/>
        </w:rPr>
        <w:t>2</w:t>
      </w:r>
      <w:r>
        <w:rPr>
          <w:rFonts w:hint="eastAsia" w:ascii="宋体" w:hAnsi="宋体" w:cs="宋体"/>
          <w:kern w:val="2"/>
          <w:highlight w:val="none"/>
        </w:rPr>
        <w:t>，暂定总价¥</w:t>
      </w:r>
      <w:r>
        <w:rPr>
          <w:rFonts w:hint="eastAsia" w:ascii="宋体" w:hAnsi="宋体" w:cs="宋体"/>
          <w:color w:val="000000"/>
          <w:sz w:val="22"/>
          <w:szCs w:val="22"/>
          <w:highlight w:val="none"/>
          <w:lang w:bidi="ar"/>
        </w:rPr>
        <w:t>8576.55</w:t>
      </w:r>
      <w:r>
        <w:rPr>
          <w:rFonts w:hint="eastAsia" w:ascii="宋体" w:hAnsi="宋体" w:cs="宋体"/>
          <w:kern w:val="2"/>
          <w:highlight w:val="none"/>
        </w:rPr>
        <w:t>元。</w:t>
      </w:r>
    </w:p>
    <w:p>
      <w:pPr>
        <w:pStyle w:val="4"/>
        <w:spacing w:before="0" w:after="0" w:line="360" w:lineRule="auto"/>
        <w:ind w:firstLine="480" w:firstLineChars="200"/>
        <w:rPr>
          <w:rFonts w:ascii="宋体" w:hAnsi="宋体" w:cs="宋体"/>
          <w:b w:val="0"/>
          <w:bCs w:val="0"/>
          <w:kern w:val="2"/>
          <w:sz w:val="24"/>
          <w:szCs w:val="24"/>
        </w:rPr>
      </w:pPr>
      <w:r>
        <w:rPr>
          <w:rFonts w:hint="eastAsia" w:ascii="宋体" w:hAnsi="宋体" w:cs="宋体"/>
          <w:b w:val="0"/>
          <w:bCs w:val="0"/>
          <w:kern w:val="2"/>
          <w:sz w:val="24"/>
          <w:szCs w:val="24"/>
        </w:rPr>
        <w:t>固定综合单价及暂定总价包含但不限于人工、机械、材料、设备进出场费、利润、税金等完成本项目检测所需的一切费用，不因任何因素进行调整，甲方不再向乙方或任意第三方支付任何费用。</w:t>
      </w:r>
      <w:bookmarkStart w:id="3" w:name="_GoBack"/>
      <w:bookmarkEnd w:id="3"/>
    </w:p>
    <w:p>
      <w:pPr>
        <w:pStyle w:val="4"/>
        <w:spacing w:before="0" w:after="0" w:line="360" w:lineRule="auto"/>
        <w:rPr>
          <w:rFonts w:ascii="宋体" w:hAnsi="宋体" w:cs="宋体"/>
          <w:bCs w:val="0"/>
          <w:sz w:val="24"/>
          <w:szCs w:val="24"/>
        </w:rPr>
      </w:pPr>
      <w:r>
        <w:rPr>
          <w:rFonts w:hint="eastAsia" w:ascii="宋体" w:hAnsi="宋体" w:cs="宋体"/>
          <w:bCs w:val="0"/>
          <w:sz w:val="24"/>
        </w:rPr>
        <w:t>第四</w:t>
      </w:r>
      <w:r>
        <w:rPr>
          <w:rFonts w:hint="eastAsia" w:ascii="宋体" w:hAnsi="宋体" w:cs="宋体"/>
          <w:sz w:val="24"/>
          <w:szCs w:val="24"/>
        </w:rPr>
        <w:t>条</w:t>
      </w:r>
      <w:r>
        <w:rPr>
          <w:rFonts w:hint="eastAsia" w:ascii="宋体" w:hAnsi="宋体" w:cs="宋体"/>
          <w:bCs w:val="0"/>
          <w:sz w:val="24"/>
          <w:szCs w:val="24"/>
        </w:rPr>
        <w:t xml:space="preserve">  工期</w:t>
      </w:r>
    </w:p>
    <w:p>
      <w:pPr>
        <w:pStyle w:val="2"/>
        <w:adjustRightInd w:val="0"/>
        <w:snapToGrid w:val="0"/>
        <w:ind w:firstLine="480" w:firstLineChars="200"/>
        <w:rPr>
          <w:rFonts w:ascii="宋体" w:hAnsi="宋体"/>
        </w:rPr>
      </w:pPr>
      <w:bookmarkStart w:id="1" w:name="_Toc189561502"/>
      <w:bookmarkStart w:id="2" w:name="_Toc189627535"/>
      <w:r>
        <w:rPr>
          <w:rFonts w:hint="eastAsia" w:ascii="宋体" w:hAnsi="宋体"/>
        </w:rPr>
        <w:t>1、合同工期：甲方提前通知乙方进场检测，乙方</w:t>
      </w:r>
      <w:ins w:id="1" w:author="8615701517582" w:date="2023-06-17T09:31:00Z">
        <w:r>
          <w:rPr>
            <w:rFonts w:hint="eastAsia" w:ascii="宋体" w:hAnsi="宋体"/>
          </w:rPr>
          <w:t>应</w:t>
        </w:r>
      </w:ins>
      <w:r>
        <w:rPr>
          <w:rFonts w:hint="eastAsia" w:ascii="宋体" w:hAnsi="宋体"/>
        </w:rPr>
        <w:t>在接到通知后2日内进场开展检测作业</w:t>
      </w:r>
      <w:ins w:id="2" w:author="8615701517582" w:date="2023-06-17T09:32:00Z">
        <w:r>
          <w:rPr>
            <w:rFonts w:hint="eastAsia" w:ascii="宋体" w:hAnsi="宋体"/>
          </w:rPr>
          <w:t>，</w:t>
        </w:r>
      </w:ins>
      <w:r>
        <w:rPr>
          <w:rFonts w:hint="eastAsia" w:ascii="宋体" w:hAnsi="宋体"/>
        </w:rPr>
        <w:t>检测完成</w:t>
      </w:r>
      <w:ins w:id="3" w:author="8615701517582" w:date="2023-06-17T09:32:00Z">
        <w:r>
          <w:rPr>
            <w:rFonts w:hint="eastAsia" w:ascii="宋体" w:hAnsi="宋体"/>
          </w:rPr>
          <w:t>之日起</w:t>
        </w:r>
      </w:ins>
      <w:r>
        <w:rPr>
          <w:rFonts w:ascii="宋体" w:hAnsi="宋体"/>
          <w:b/>
          <w:u w:val="single"/>
        </w:rPr>
        <w:t xml:space="preserve"> </w:t>
      </w:r>
      <w:r>
        <w:rPr>
          <w:rFonts w:hint="eastAsia" w:ascii="宋体" w:hAnsi="宋体"/>
          <w:b/>
          <w:u w:val="single"/>
        </w:rPr>
        <w:t>7</w:t>
      </w:r>
      <w:r>
        <w:rPr>
          <w:rFonts w:hint="eastAsia" w:ascii="宋体" w:hAnsi="宋体"/>
        </w:rPr>
        <w:t>个日历天内提供</w:t>
      </w:r>
      <w:ins w:id="4" w:author="8615701517582" w:date="2023-06-17T09:32:00Z">
        <w:r>
          <w:rPr>
            <w:rFonts w:hint="eastAsia" w:ascii="宋体" w:hAnsi="宋体"/>
          </w:rPr>
          <w:t>该楼栋</w:t>
        </w:r>
      </w:ins>
      <w:r>
        <w:rPr>
          <w:rFonts w:hint="eastAsia" w:ascii="宋体" w:hAnsi="宋体"/>
        </w:rPr>
        <w:t>的书面检测报告（一式陆份），余下建筑物检测完成后，</w:t>
      </w:r>
      <w:r>
        <w:rPr>
          <w:rFonts w:hint="eastAsia" w:ascii="宋体" w:hAnsi="宋体"/>
          <w:b/>
          <w:u w:val="single"/>
        </w:rPr>
        <w:t>3</w:t>
      </w:r>
      <w:r>
        <w:rPr>
          <w:rFonts w:hint="eastAsia" w:ascii="宋体" w:hAnsi="宋体"/>
        </w:rPr>
        <w:t>个日历天内提供单栋建筑物的书面检测报告（一式陆份）。具体开工日期及检测工期以甲方通知为准，乙方承诺满足甲方的工期要求且不得要求工期补偿/赔偿。</w:t>
      </w:r>
    </w:p>
    <w:p>
      <w:pPr>
        <w:pStyle w:val="2"/>
        <w:adjustRightInd w:val="0"/>
        <w:snapToGrid w:val="0"/>
        <w:ind w:firstLine="480" w:firstLineChars="200"/>
        <w:rPr>
          <w:rFonts w:ascii="宋体" w:hAnsi="宋体"/>
        </w:rPr>
      </w:pPr>
      <w:r>
        <w:rPr>
          <w:rFonts w:hint="eastAsia" w:ascii="宋体" w:hAnsi="宋体"/>
        </w:rPr>
        <w:t>2、乙方不得以任何理由而影响工程进度，因乙方责任，不能按期开工或中途无故停工而影响工期的，工期不顺延并应承担逾期完工的违约责任。</w:t>
      </w:r>
    </w:p>
    <w:p>
      <w:pPr>
        <w:spacing w:line="360" w:lineRule="auto"/>
        <w:ind w:firstLine="480" w:firstLineChars="200"/>
        <w:rPr>
          <w:rFonts w:ascii="宋体" w:hAnsi="宋体" w:cs="宋体"/>
        </w:rPr>
      </w:pPr>
      <w:r>
        <w:rPr>
          <w:rFonts w:hint="eastAsia" w:ascii="宋体" w:hAnsi="宋体"/>
        </w:rPr>
        <w:t>3、在合同执行过程中，由于乙方劳动力不足、机械设备数量不足，材料供应不足、管理不善等原因造成工期延误或可能造成工期延误时，甲方有权采取劳动力支援、机械设备支援、管理人员支援、邀请第三方检测机构承担未进行检测的建筑物的检测工作等补救措施，由此所发生的一切费用均由乙方负责，并在甲方应付给乙方的工程款中直接扣除。</w:t>
      </w:r>
      <w:bookmarkEnd w:id="1"/>
      <w:bookmarkEnd w:id="2"/>
    </w:p>
    <w:p>
      <w:pPr>
        <w:pStyle w:val="4"/>
        <w:spacing w:before="0" w:after="0" w:line="360" w:lineRule="auto"/>
        <w:rPr>
          <w:rFonts w:ascii="宋体" w:hAnsi="宋体" w:cs="宋体"/>
          <w:bCs w:val="0"/>
          <w:sz w:val="24"/>
          <w:szCs w:val="24"/>
        </w:rPr>
      </w:pPr>
      <w:r>
        <w:rPr>
          <w:rFonts w:hint="eastAsia" w:ascii="宋体" w:hAnsi="宋体" w:cs="宋体"/>
          <w:bCs w:val="0"/>
          <w:sz w:val="24"/>
          <w:szCs w:val="24"/>
        </w:rPr>
        <w:t>第五</w:t>
      </w:r>
      <w:r>
        <w:rPr>
          <w:rFonts w:hint="eastAsia" w:ascii="宋体" w:hAnsi="宋体" w:cs="宋体"/>
          <w:sz w:val="24"/>
          <w:szCs w:val="24"/>
        </w:rPr>
        <w:t>条</w:t>
      </w:r>
      <w:r>
        <w:rPr>
          <w:rFonts w:hint="eastAsia" w:ascii="宋体" w:hAnsi="宋体" w:cs="宋体"/>
          <w:bCs w:val="0"/>
          <w:sz w:val="24"/>
          <w:szCs w:val="24"/>
        </w:rPr>
        <w:t xml:space="preserve">  工程质量及验收</w:t>
      </w:r>
    </w:p>
    <w:p>
      <w:pPr>
        <w:spacing w:line="360" w:lineRule="auto"/>
        <w:ind w:firstLine="480" w:firstLineChars="200"/>
        <w:rPr>
          <w:rFonts w:ascii="宋体" w:hAnsi="宋体" w:cs="宋体"/>
        </w:rPr>
      </w:pPr>
      <w:r>
        <w:rPr>
          <w:rFonts w:hint="eastAsia" w:ascii="宋体" w:hAnsi="宋体" w:cs="宋体"/>
        </w:rPr>
        <w:t>1、工程质量：乙方应严格按照国家和地方现行设计规范、规程、标准等及约定出具检测方案并经甲方工程技术部门审定后执行，并服从甲方现场代表的监督管理。工程质量标准符合合同签订之日前最新国家施工检测验收规范，并应符合设计及甲方要求。</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、验收</w:t>
      </w:r>
    </w:p>
    <w:p>
      <w:pPr>
        <w:spacing w:line="360" w:lineRule="auto"/>
        <w:ind w:firstLine="480" w:firstLineChars="200"/>
        <w:rPr>
          <w:rFonts w:ascii="宋体" w:hAnsi="宋体" w:cs="宋体"/>
          <w:color w:val="000000"/>
        </w:rPr>
      </w:pPr>
      <w:r>
        <w:rPr>
          <w:rFonts w:ascii="宋体" w:hAnsi="宋体" w:cs="宋体"/>
        </w:rPr>
        <w:t>2.1</w:t>
      </w:r>
      <w:r>
        <w:rPr>
          <w:rFonts w:hint="eastAsia" w:ascii="宋体" w:hAnsi="宋体" w:cs="宋体"/>
        </w:rPr>
        <w:t>验收标准：工程验收以合同签订之日前国家颁布的最新的</w:t>
      </w:r>
      <w:r>
        <w:rPr>
          <w:rFonts w:hint="eastAsia" w:ascii="宋体" w:hAnsi="宋体" w:cs="宋体"/>
          <w:color w:val="000000"/>
        </w:rPr>
        <w:t>相关验收规范及甲方审定的设计方案为依据。</w:t>
      </w:r>
    </w:p>
    <w:p>
      <w:pPr>
        <w:spacing w:line="360" w:lineRule="auto"/>
        <w:ind w:firstLine="480" w:firstLineChars="200"/>
        <w:rPr>
          <w:rFonts w:ascii="宋体" w:hAnsi="宋体" w:cs="宋体"/>
          <w:color w:val="000000"/>
        </w:rPr>
      </w:pPr>
      <w:r>
        <w:rPr>
          <w:rFonts w:ascii="宋体" w:hAnsi="宋体" w:cs="宋体"/>
          <w:color w:val="000000"/>
        </w:rPr>
        <w:t>2.2</w:t>
      </w:r>
      <w:r>
        <w:rPr>
          <w:rFonts w:hint="eastAsia" w:ascii="宋体" w:hAnsi="宋体" w:cs="宋体"/>
          <w:color w:val="000000"/>
        </w:rPr>
        <w:t>验收方式：甲方、乙方共同验收。施工完毕后乙方提请甲方进行验收，若验收不合格，乙方必须负责整改到再次验收合格为止，所发生的一切费用均由乙方承担。如非乙方原因工程桩检测出现不合格情况，应严格按照相关规范要求进行扩大检测，若扩大检测仍不合格，在甲方进行处理后，乙方仍应配合进行检测，产生费用据实结算。</w:t>
      </w:r>
    </w:p>
    <w:p>
      <w:pPr>
        <w:pStyle w:val="31"/>
        <w:spacing w:line="360" w:lineRule="auto"/>
        <w:ind w:firstLine="480"/>
        <w:rPr>
          <w:b w:val="0"/>
        </w:rPr>
      </w:pPr>
      <w:r>
        <w:rPr>
          <w:rFonts w:hint="eastAsia" w:hAnsi="宋体" w:cs="宋体"/>
          <w:b w:val="0"/>
        </w:rPr>
        <w:t>2.3验收内容：乙方提供的检测报告，单栋建筑物检测报告一式陆份。</w:t>
      </w:r>
    </w:p>
    <w:p>
      <w:pPr>
        <w:spacing w:line="360" w:lineRule="auto"/>
        <w:rPr>
          <w:rFonts w:ascii="宋体" w:hAnsi="宋体" w:cs="宋体"/>
          <w:b/>
          <w:bCs/>
        </w:rPr>
      </w:pPr>
      <w:r>
        <w:rPr>
          <w:rFonts w:hint="eastAsia" w:ascii="宋体" w:hAnsi="宋体" w:cs="宋体"/>
          <w:b/>
        </w:rPr>
        <w:t>第六条  付款方式</w:t>
      </w:r>
    </w:p>
    <w:p>
      <w:pPr>
        <w:spacing w:line="360" w:lineRule="auto"/>
        <w:ind w:firstLine="480" w:firstLineChars="200"/>
        <w:rPr>
          <w:rFonts w:ascii="宋体" w:hAnsi="宋体" w:cs="宋体"/>
        </w:rPr>
      </w:pPr>
      <w:r>
        <w:rPr>
          <w:rFonts w:ascii="宋体" w:hAnsi="宋体" w:cs="宋体"/>
        </w:rPr>
        <w:t>1</w:t>
      </w:r>
      <w:r>
        <w:rPr>
          <w:rFonts w:hint="eastAsia" w:ascii="宋体" w:hAnsi="宋体" w:cs="宋体"/>
        </w:rPr>
        <w:t>、本合同无预付款；</w:t>
      </w:r>
    </w:p>
    <w:p>
      <w:pPr>
        <w:spacing w:line="360" w:lineRule="auto"/>
        <w:ind w:firstLine="480" w:firstLineChars="200"/>
        <w:rPr>
          <w:rFonts w:ascii="宋体" w:hAnsi="宋体" w:cs="宋体"/>
        </w:rPr>
      </w:pPr>
      <w:r>
        <w:rPr>
          <w:rFonts w:hint="eastAsia" w:ascii="宋体" w:hAnsi="宋体" w:cs="宋体"/>
        </w:rPr>
        <w:t>2、乙方在检测结束并如期如数提供该部分工程全部正式检测报告后，甲方支付该部分工作内容合同额的95%；</w:t>
      </w:r>
    </w:p>
    <w:p>
      <w:pPr>
        <w:spacing w:line="360" w:lineRule="auto"/>
        <w:ind w:firstLine="480" w:firstLineChars="200"/>
        <w:rPr>
          <w:rFonts w:ascii="宋体" w:hAnsi="宋体" w:cs="宋体"/>
        </w:rPr>
      </w:pPr>
      <w:r>
        <w:rPr>
          <w:rFonts w:ascii="宋体" w:hAnsi="宋体" w:cs="宋体"/>
        </w:rPr>
        <w:t>3</w:t>
      </w:r>
      <w:r>
        <w:rPr>
          <w:rFonts w:hint="eastAsia" w:ascii="宋体" w:hAnsi="宋体" w:cs="宋体"/>
        </w:rPr>
        <w:t>、工程全部检测结束并提供工程全部正式检测报告，并配合甲方结算完成</w:t>
      </w:r>
      <w:ins w:id="5" w:author="8615701517582" w:date="2023-06-17T10:09:00Z">
        <w:r>
          <w:rPr>
            <w:rFonts w:hint="eastAsia" w:ascii="宋体" w:hAnsi="宋体" w:cs="宋体"/>
          </w:rPr>
          <w:t>后15天</w:t>
        </w:r>
      </w:ins>
      <w:r>
        <w:rPr>
          <w:rFonts w:hint="eastAsia" w:ascii="宋体" w:hAnsi="宋体" w:cs="宋体"/>
        </w:rPr>
        <w:t>，甲方支付至结算额的100%；</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每次付款前，乙方应按甲方要求出具合法有效的增值税【专用】发票。如乙方未按甲方要求出具相应发票，甲方有权延迟支付该批次工程款且不视为违约。乙方应在开票之后【5】个工作日内将发票送达甲方，甲方签收发票的日期为发票的送达日期。</w:t>
      </w:r>
    </w:p>
    <w:p>
      <w:pPr>
        <w:widowControl w:val="0"/>
        <w:spacing w:line="360" w:lineRule="auto"/>
        <w:ind w:firstLine="480" w:firstLineChars="200"/>
        <w:jc w:val="both"/>
        <w:rPr>
          <w:rFonts w:ascii="宋体" w:hAnsi="宋体" w:cs="宋体"/>
          <w:color w:val="000000"/>
        </w:rPr>
      </w:pPr>
      <w:r>
        <w:rPr>
          <w:rFonts w:hint="eastAsia" w:ascii="宋体" w:hAnsi="宋体" w:cs="宋体"/>
          <w:color w:val="000000"/>
        </w:rPr>
        <w:t>5、增值税税率说明：</w:t>
      </w:r>
    </w:p>
    <w:p>
      <w:pPr>
        <w:widowControl w:val="0"/>
        <w:spacing w:line="360" w:lineRule="auto"/>
        <w:ind w:firstLine="480" w:firstLineChars="200"/>
        <w:jc w:val="both"/>
        <w:rPr>
          <w:rFonts w:ascii="宋体" w:hAnsi="宋体" w:cs="宋体"/>
          <w:color w:val="000000"/>
        </w:rPr>
      </w:pPr>
      <w:r>
        <w:rPr>
          <w:rFonts w:hint="eastAsia" w:ascii="宋体" w:hAnsi="宋体" w:cs="宋体"/>
          <w:color w:val="000000"/>
        </w:rPr>
        <w:t>5.1、合同价增值税税率按6%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both"/>
      </w:pPr>
      <w:r>
        <w:rPr>
          <w:rFonts w:hint="eastAsia" w:ascii="宋体" w:hAnsi="宋体" w:cs="宋体"/>
          <w:color w:val="000000"/>
        </w:rPr>
        <w:t>5.2、如因乙方纳税资格变更引起增值税税率变化，风险由乙方自行承担（税率增加的，甲方仍按原税率支付税金；税率减小的，甲方按减小后的税率支付税金）。</w:t>
      </w:r>
    </w:p>
    <w:p>
      <w:pPr>
        <w:pStyle w:val="31"/>
      </w:pPr>
      <w:r>
        <w:rPr>
          <w:rFonts w:hint="eastAsia" w:hAnsi="宋体" w:cs="宋体"/>
          <w:szCs w:val="24"/>
        </w:rPr>
        <w:t xml:space="preserve">第七条  </w:t>
      </w:r>
      <w:r>
        <w:rPr>
          <w:rFonts w:hint="eastAsia"/>
        </w:rPr>
        <w:t>结算方式</w:t>
      </w:r>
    </w:p>
    <w:p>
      <w:pPr>
        <w:spacing w:line="360" w:lineRule="auto"/>
        <w:ind w:firstLine="480" w:firstLineChars="200"/>
        <w:rPr>
          <w:rFonts w:ascii="宋体" w:hAnsi="宋体" w:cs="宋体"/>
        </w:rPr>
      </w:pPr>
      <w:r>
        <w:rPr>
          <w:rFonts w:hint="eastAsia" w:ascii="宋体" w:hAnsi="宋体" w:cs="宋体"/>
        </w:rPr>
        <w:t xml:space="preserve">1、结算价款：固定全费用综合单价包干，不随任何因素的调整而改变。                      </w:t>
      </w:r>
    </w:p>
    <w:p>
      <w:pPr>
        <w:spacing w:line="360" w:lineRule="auto"/>
        <w:ind w:firstLine="480" w:firstLineChars="200"/>
        <w:rPr>
          <w:rFonts w:ascii="宋体" w:hAnsi="宋体" w:cs="宋体"/>
        </w:rPr>
      </w:pPr>
      <w:r>
        <w:rPr>
          <w:rFonts w:hint="eastAsia" w:ascii="宋体" w:hAnsi="宋体" w:cs="宋体"/>
        </w:rPr>
        <w:t>2、结算价款＝固定全费用综合单价×规划证面积±变更、签证造价－其他应扣费用。</w:t>
      </w:r>
    </w:p>
    <w:p>
      <w:pPr>
        <w:spacing w:line="360" w:lineRule="auto"/>
        <w:ind w:firstLine="480"/>
        <w:rPr>
          <w:rFonts w:ascii="宋体" w:hAnsi="宋体" w:cs="宋体"/>
        </w:rPr>
      </w:pPr>
      <w:r>
        <w:rPr>
          <w:rFonts w:hint="eastAsia" w:ascii="宋体" w:hAnsi="宋体" w:cs="宋体"/>
        </w:rPr>
        <w:t>3、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p>
    <w:p>
      <w:pPr>
        <w:pStyle w:val="4"/>
        <w:spacing w:before="0" w:after="0" w:line="360" w:lineRule="auto"/>
        <w:rPr>
          <w:rFonts w:ascii="宋体" w:hAnsi="宋体" w:cs="宋体"/>
          <w:sz w:val="24"/>
        </w:rPr>
      </w:pPr>
      <w:r>
        <w:rPr>
          <w:rFonts w:hint="eastAsia" w:ascii="宋体" w:hAnsi="宋体" w:cs="宋体"/>
          <w:bCs w:val="0"/>
          <w:sz w:val="24"/>
          <w:szCs w:val="24"/>
        </w:rPr>
        <w:t>第八条  甲方权利和义务</w:t>
      </w:r>
    </w:p>
    <w:p>
      <w:pPr>
        <w:spacing w:line="360" w:lineRule="auto"/>
        <w:ind w:firstLine="480" w:firstLineChars="200"/>
        <w:rPr>
          <w:rFonts w:ascii="宋体" w:hAnsi="宋体" w:cs="宋体"/>
        </w:rPr>
      </w:pPr>
      <w:r>
        <w:rPr>
          <w:rFonts w:hint="eastAsia" w:ascii="宋体" w:hAnsi="宋体" w:cs="宋体"/>
        </w:rPr>
        <w:t>1、向乙方提供检测所需要的相关工程资料和工程信息并保证资料的完整性和可靠性；</w:t>
      </w:r>
    </w:p>
    <w:p>
      <w:pPr>
        <w:pStyle w:val="31"/>
        <w:ind w:firstLine="480" w:firstLineChars="200"/>
        <w:rPr>
          <w:rFonts w:hAnsi="宋体" w:cs="宋体"/>
          <w:b w:val="0"/>
          <w:position w:val="0"/>
          <w:szCs w:val="24"/>
        </w:rPr>
      </w:pPr>
      <w:r>
        <w:rPr>
          <w:rFonts w:hint="eastAsia" w:hAnsi="宋体" w:cs="宋体"/>
          <w:b w:val="0"/>
          <w:bCs w:val="0"/>
          <w:position w:val="0"/>
          <w:szCs w:val="24"/>
        </w:rPr>
        <w:t>2、按照相关的规范标准，做好施工现场样品的抽取，及时送交乙方进行检测，并对样品的合法性、真实性及代表性负责；</w:t>
      </w:r>
    </w:p>
    <w:p>
      <w:pPr>
        <w:spacing w:line="360" w:lineRule="auto"/>
        <w:ind w:firstLine="480" w:firstLineChars="200"/>
        <w:rPr>
          <w:rFonts w:ascii="宋体" w:hAnsi="宋体" w:cs="宋体"/>
        </w:rPr>
      </w:pPr>
      <w:r>
        <w:rPr>
          <w:rFonts w:hint="eastAsia" w:ascii="宋体" w:hAnsi="宋体" w:cs="宋体"/>
        </w:rPr>
        <w:t>3、协调乙方与场内其他单位的关系；</w:t>
      </w:r>
    </w:p>
    <w:p>
      <w:pPr>
        <w:spacing w:line="360" w:lineRule="auto"/>
        <w:ind w:firstLine="480" w:firstLineChars="200"/>
        <w:rPr>
          <w:rFonts w:ascii="宋体" w:hAnsi="宋体"/>
        </w:rPr>
      </w:pPr>
      <w:r>
        <w:rPr>
          <w:rFonts w:hint="eastAsia" w:ascii="宋体" w:hAnsi="宋体"/>
        </w:rPr>
        <w:t>4、按照本合同的约定向乙方支付检测费用。</w:t>
      </w:r>
    </w:p>
    <w:p>
      <w:pPr>
        <w:spacing w:line="360" w:lineRule="auto"/>
        <w:ind w:firstLine="480" w:firstLineChars="200"/>
        <w:rPr>
          <w:rFonts w:ascii="宋体" w:hAnsi="宋体"/>
        </w:rPr>
      </w:pPr>
      <w:r>
        <w:rPr>
          <w:rFonts w:hint="eastAsia" w:ascii="宋体" w:hAnsi="宋体"/>
        </w:rPr>
        <w:t>5、享有本项目检测报告。</w:t>
      </w:r>
    </w:p>
    <w:p>
      <w:pPr>
        <w:widowControl w:val="0"/>
        <w:spacing w:line="360" w:lineRule="auto"/>
        <w:ind w:firstLine="480" w:firstLineChars="200"/>
        <w:jc w:val="both"/>
      </w:pPr>
      <w:r>
        <w:rPr>
          <w:rFonts w:hint="eastAsia" w:hAnsi="宋体"/>
        </w:rPr>
        <w:t>6、</w:t>
      </w:r>
      <w:r>
        <w:rPr>
          <w:rFonts w:hint="eastAsia" w:ascii="宋体" w:hAnsi="宋体" w:cs="宋体"/>
          <w:color w:val="000000"/>
        </w:rPr>
        <w:t>甲方指派一名甲方代表，甲方代表：</w:t>
      </w:r>
      <w:r>
        <w:rPr>
          <w:rFonts w:hint="eastAsia" w:ascii="宋体" w:hAnsi="宋体" w:cs="宋体"/>
          <w:color w:val="000000"/>
          <w:u w:val="single"/>
        </w:rPr>
        <w:t>华永生</w:t>
      </w:r>
      <w:r>
        <w:rPr>
          <w:rFonts w:hint="eastAsia" w:ascii="宋体" w:hAnsi="宋体" w:cs="宋体"/>
          <w:color w:val="000000"/>
        </w:rPr>
        <w:t>，电话：</w:t>
      </w:r>
      <w:r>
        <w:rPr>
          <w:rFonts w:hint="eastAsia" w:ascii="宋体" w:hAnsi="宋体"/>
          <w:u w:val="single"/>
        </w:rPr>
        <w:t>15038558782</w:t>
      </w:r>
      <w:r>
        <w:rPr>
          <w:rFonts w:hint="eastAsia" w:ascii="宋体" w:hAnsi="宋体" w:cs="宋体"/>
          <w:color w:val="000000"/>
        </w:rPr>
        <w:t>。负责本合同项目工程质量及进度的督查。</w:t>
      </w:r>
    </w:p>
    <w:p>
      <w:pPr>
        <w:pStyle w:val="4"/>
        <w:spacing w:before="0" w:after="0" w:line="360" w:lineRule="auto"/>
        <w:rPr>
          <w:rFonts w:ascii="宋体" w:hAnsi="宋体" w:cs="宋体"/>
          <w:bCs w:val="0"/>
          <w:sz w:val="24"/>
          <w:szCs w:val="24"/>
        </w:rPr>
      </w:pPr>
      <w:r>
        <w:rPr>
          <w:rFonts w:hint="eastAsia" w:ascii="宋体" w:hAnsi="宋体" w:cs="宋体"/>
          <w:bCs w:val="0"/>
          <w:sz w:val="24"/>
          <w:szCs w:val="24"/>
        </w:rPr>
        <w:t xml:space="preserve">第九条 </w:t>
      </w:r>
      <w:r>
        <w:rPr>
          <w:rFonts w:ascii="宋体" w:hAnsi="宋体" w:cs="宋体"/>
          <w:bCs w:val="0"/>
          <w:sz w:val="24"/>
          <w:szCs w:val="24"/>
        </w:rPr>
        <w:t xml:space="preserve"> </w:t>
      </w:r>
      <w:r>
        <w:rPr>
          <w:rFonts w:hint="eastAsia" w:ascii="宋体" w:hAnsi="宋体" w:cs="宋体"/>
          <w:bCs w:val="0"/>
          <w:sz w:val="24"/>
          <w:szCs w:val="24"/>
        </w:rPr>
        <w:t>乙方权利和义务</w:t>
      </w:r>
    </w:p>
    <w:p>
      <w:pPr>
        <w:spacing w:line="360" w:lineRule="auto"/>
        <w:rPr>
          <w:rFonts w:ascii="宋体" w:hAnsi="宋体"/>
        </w:rPr>
      </w:pPr>
      <w:r>
        <w:rPr>
          <w:rFonts w:hint="eastAsia" w:ascii="宋体" w:hAnsi="宋体" w:cs="宋体"/>
        </w:rPr>
        <w:t xml:space="preserve">    </w:t>
      </w:r>
      <w:r>
        <w:rPr>
          <w:rFonts w:hint="eastAsia" w:ascii="宋体" w:hAnsi="宋体"/>
        </w:rPr>
        <w:t>1、严格履行合同规定的各项条款，为工程提供准确、科学和公正的服务；</w:t>
      </w:r>
    </w:p>
    <w:p>
      <w:pPr>
        <w:spacing w:line="360" w:lineRule="auto"/>
        <w:ind w:firstLine="480" w:firstLineChars="200"/>
        <w:rPr>
          <w:rFonts w:ascii="宋体" w:hAnsi="宋体"/>
        </w:rPr>
      </w:pPr>
      <w:r>
        <w:rPr>
          <w:rFonts w:hint="eastAsia" w:ascii="宋体" w:hAnsi="宋体"/>
        </w:rPr>
        <w:t>2、按照相关检测工作的规范、规程、标准以及本合同的要求进行现场检测，并对合法性、真实性及代表性负责；</w:t>
      </w:r>
    </w:p>
    <w:p>
      <w:pPr>
        <w:spacing w:line="360" w:lineRule="auto"/>
        <w:ind w:firstLine="480" w:firstLineChars="200"/>
        <w:rPr>
          <w:rFonts w:ascii="宋体" w:hAnsi="宋体"/>
        </w:rPr>
      </w:pPr>
      <w:r>
        <w:rPr>
          <w:rFonts w:hint="eastAsia" w:ascii="宋体" w:hAnsi="宋体"/>
        </w:rPr>
        <w:t>3、乙方在检测过程中发现样品的检测数据异常或不合格应及时向甲方送检委托人通报并给出相关的建议或意见；</w:t>
      </w:r>
    </w:p>
    <w:p>
      <w:pPr>
        <w:spacing w:line="360" w:lineRule="auto"/>
        <w:ind w:firstLine="480" w:firstLineChars="200"/>
        <w:rPr>
          <w:rFonts w:ascii="宋体" w:hAnsi="宋体"/>
        </w:rPr>
      </w:pPr>
      <w:r>
        <w:rPr>
          <w:rFonts w:hint="eastAsia" w:ascii="宋体" w:hAnsi="宋体"/>
        </w:rPr>
        <w:t>4、负责按进度要求完成现场检测、内业技术分析、编写检测报告和文印等工作；</w:t>
      </w:r>
    </w:p>
    <w:p>
      <w:pPr>
        <w:pStyle w:val="14"/>
        <w:spacing w:line="360" w:lineRule="auto"/>
        <w:ind w:firstLine="480" w:firstLineChars="200"/>
        <w:rPr>
          <w:rFonts w:ascii="宋体" w:hAnsi="宋体"/>
          <w:sz w:val="24"/>
        </w:rPr>
      </w:pPr>
      <w:r>
        <w:rPr>
          <w:rFonts w:ascii="宋体" w:hAnsi="宋体"/>
          <w:sz w:val="24"/>
        </w:rPr>
        <w:t>5、</w:t>
      </w:r>
      <w:r>
        <w:rPr>
          <w:rFonts w:hint="eastAsia" w:ascii="宋体" w:hAnsi="宋体"/>
          <w:sz w:val="24"/>
        </w:rPr>
        <w:t>负责检测期间的安全管理工作，有现场安全管理人员和安全管理保障措施。</w:t>
      </w:r>
    </w:p>
    <w:p>
      <w:pPr>
        <w:spacing w:line="360" w:lineRule="auto"/>
        <w:ind w:firstLine="480" w:firstLineChars="200"/>
        <w:rPr>
          <w:rFonts w:ascii="宋体" w:hAnsi="宋体"/>
        </w:rPr>
      </w:pPr>
      <w:r>
        <w:rPr>
          <w:rFonts w:hint="eastAsia" w:ascii="宋体" w:hAnsi="宋体"/>
        </w:rPr>
        <w:t>6、负责向甲方提供纸质版检测报告一式陆份；</w:t>
      </w:r>
    </w:p>
    <w:p>
      <w:pPr>
        <w:pStyle w:val="31"/>
        <w:spacing w:line="360" w:lineRule="auto"/>
        <w:ind w:firstLine="480"/>
        <w:rPr>
          <w:rFonts w:hAnsi="宋体"/>
          <w:b w:val="0"/>
        </w:rPr>
      </w:pPr>
      <w:r>
        <w:rPr>
          <w:rFonts w:hint="eastAsia" w:hAnsi="宋体"/>
          <w:b w:val="0"/>
        </w:rPr>
        <w:t>7、按照本合同检测费用的结算要求，享有检测工作报酬。</w:t>
      </w:r>
    </w:p>
    <w:p>
      <w:pPr>
        <w:pStyle w:val="31"/>
        <w:spacing w:line="360" w:lineRule="auto"/>
        <w:ind w:firstLine="480"/>
        <w:rPr>
          <w:rFonts w:hAnsi="宋体"/>
          <w:b w:val="0"/>
        </w:rPr>
      </w:pPr>
      <w:r>
        <w:rPr>
          <w:rFonts w:hint="eastAsia" w:hAnsi="宋体"/>
          <w:b w:val="0"/>
        </w:rPr>
        <w:t>8、乙方指定一名项目经理，负责本项目的组织、管理工作，乙方项目经理：</w:t>
      </w:r>
      <w:r>
        <w:rPr>
          <w:rFonts w:hint="eastAsia" w:hAnsi="宋体"/>
          <w:b w:val="0"/>
          <w:u w:val="single"/>
        </w:rPr>
        <w:t xml:space="preserve"> 沈春光 </w:t>
      </w:r>
      <w:r>
        <w:rPr>
          <w:rFonts w:hint="eastAsia" w:hAnsi="宋体"/>
          <w:b w:val="0"/>
        </w:rPr>
        <w:t>，电话：</w:t>
      </w:r>
      <w:r>
        <w:rPr>
          <w:rFonts w:hint="eastAsia" w:hAnsi="宋体"/>
          <w:b w:val="0"/>
          <w:u w:val="single"/>
        </w:rPr>
        <w:t xml:space="preserve"> 13939929650 </w:t>
      </w:r>
      <w:r>
        <w:rPr>
          <w:rFonts w:hint="eastAsia" w:hAnsi="宋体"/>
          <w:b w:val="0"/>
        </w:rPr>
        <w:t>，其余技术管理人员乙方须提交甲方认可后方可安排进场。</w:t>
      </w:r>
    </w:p>
    <w:p>
      <w:pPr>
        <w:pStyle w:val="4"/>
        <w:spacing w:before="0" w:after="0" w:line="360" w:lineRule="auto"/>
        <w:rPr>
          <w:rFonts w:ascii="宋体" w:hAnsi="宋体" w:cs="宋体"/>
          <w:bCs w:val="0"/>
          <w:sz w:val="24"/>
          <w:szCs w:val="24"/>
        </w:rPr>
      </w:pPr>
      <w:r>
        <w:rPr>
          <w:rFonts w:hint="eastAsia" w:ascii="宋体" w:hAnsi="宋体" w:cs="宋体"/>
          <w:bCs w:val="0"/>
          <w:sz w:val="24"/>
          <w:szCs w:val="24"/>
        </w:rPr>
        <w:t>第十</w:t>
      </w:r>
      <w:r>
        <w:rPr>
          <w:rFonts w:hint="eastAsia" w:ascii="宋体" w:hAnsi="宋体" w:cs="宋体"/>
          <w:sz w:val="24"/>
          <w:szCs w:val="24"/>
        </w:rPr>
        <w:t>条</w:t>
      </w:r>
      <w:r>
        <w:rPr>
          <w:rFonts w:hint="eastAsia" w:ascii="宋体" w:hAnsi="宋体" w:cs="宋体"/>
          <w:bCs w:val="0"/>
          <w:sz w:val="24"/>
          <w:szCs w:val="24"/>
        </w:rPr>
        <w:t xml:space="preserve">  违约责任</w:t>
      </w:r>
    </w:p>
    <w:p>
      <w:pPr>
        <w:widowControl w:val="0"/>
        <w:spacing w:line="360" w:lineRule="auto"/>
        <w:ind w:firstLine="480" w:firstLineChars="200"/>
        <w:rPr>
          <w:rFonts w:ascii="宋体" w:hAnsi="宋体" w:cs="宋体"/>
          <w:bCs/>
        </w:rPr>
      </w:pPr>
      <w:r>
        <w:rPr>
          <w:rFonts w:hint="eastAsia" w:ascii="宋体" w:hAnsi="宋体" w:cs="宋体"/>
        </w:rPr>
        <w:t>1、合同签订生效后乙方不得转包/分包本工程，如发现有转包/分包的情况发生，视为乙方违约。甲方有权解除合同并将乙方清除出场，乙方承担由此造成的一切经济损失。</w:t>
      </w:r>
    </w:p>
    <w:p>
      <w:pPr>
        <w:spacing w:line="360" w:lineRule="auto"/>
        <w:ind w:firstLine="480" w:firstLineChars="200"/>
        <w:rPr>
          <w:rFonts w:ascii="宋体" w:hAnsi="宋体" w:cs="宋体"/>
        </w:rPr>
      </w:pPr>
      <w:r>
        <w:rPr>
          <w:rFonts w:hint="eastAsia" w:ascii="宋体" w:hAnsi="宋体" w:cs="宋体"/>
        </w:rPr>
        <w:t>2、乙方须按合同要求工期或现场工程师同意顺延的工期进场作业及竣工，若有延期，每延期一天，乙方应向甲方支付人民币叁仟元的违约金，并由乙方承担因此给甲方及任意第三方造成的一切损失。</w:t>
      </w:r>
    </w:p>
    <w:p>
      <w:pPr>
        <w:spacing w:line="360" w:lineRule="auto"/>
        <w:ind w:firstLine="480" w:firstLineChars="200"/>
        <w:rPr>
          <w:rFonts w:ascii="宋体" w:hAnsi="宋体" w:cs="宋体"/>
        </w:rPr>
      </w:pPr>
      <w:r>
        <w:rPr>
          <w:rFonts w:hint="eastAsia" w:ascii="宋体" w:hAnsi="宋体" w:cs="宋体"/>
          <w:szCs w:val="22"/>
        </w:rPr>
        <w:t>乙方存在其他逾期违约行为但未达到甲方行使单方解除条件的，每逾期一日，按</w:t>
      </w:r>
      <w:r>
        <w:rPr>
          <w:rFonts w:ascii="宋体" w:hAnsi="宋体" w:cs="宋体"/>
        </w:rPr>
        <w:t>500</w:t>
      </w:r>
      <w:r>
        <w:rPr>
          <w:rFonts w:hint="eastAsia" w:ascii="宋体" w:hAnsi="宋体" w:cs="宋体"/>
        </w:rPr>
        <w:t>元/日</w:t>
      </w:r>
      <w:r>
        <w:rPr>
          <w:rFonts w:hint="eastAsia" w:ascii="宋体" w:hAnsi="宋体" w:cs="宋体"/>
          <w:szCs w:val="22"/>
        </w:rPr>
        <w:t>向甲方支付违约金。</w:t>
      </w:r>
    </w:p>
    <w:p>
      <w:pPr>
        <w:tabs>
          <w:tab w:val="left" w:pos="900"/>
        </w:tabs>
        <w:spacing w:line="360" w:lineRule="auto"/>
        <w:ind w:firstLine="480" w:firstLineChars="200"/>
        <w:rPr>
          <w:rFonts w:ascii="宋体" w:hAnsi="宋体" w:cs="宋体"/>
          <w:szCs w:val="22"/>
        </w:rPr>
      </w:pPr>
      <w:ins w:id="6" w:author="8615701517582" w:date="2023-06-17T10:11:00Z">
        <w:r>
          <w:rPr>
            <w:rFonts w:ascii="宋体" w:hAnsi="宋体" w:cs="宋体"/>
            <w:szCs w:val="22"/>
          </w:rPr>
          <w:t>3</w:t>
        </w:r>
      </w:ins>
      <w:r>
        <w:rPr>
          <w:rFonts w:hint="eastAsia" w:ascii="宋体" w:hAnsi="宋体" w:cs="宋体"/>
          <w:szCs w:val="22"/>
        </w:rPr>
        <w:t>、乙方存在其他违约行为但未达到甲方行使单方解除条件的，每存在一项/次违约行为，乙方应按</w:t>
      </w:r>
      <w:r>
        <w:rPr>
          <w:rFonts w:ascii="宋体" w:hAnsi="宋体" w:cs="宋体"/>
          <w:szCs w:val="22"/>
        </w:rPr>
        <w:t>1000</w:t>
      </w:r>
      <w:r>
        <w:rPr>
          <w:rFonts w:hint="eastAsia" w:ascii="宋体" w:hAnsi="宋体" w:cs="宋体"/>
          <w:szCs w:val="22"/>
        </w:rPr>
        <w:t>元/次（项）向甲方支付违约金</w:t>
      </w:r>
      <w:ins w:id="7" w:author="8615701517582" w:date="2023-06-17T10:12:00Z">
        <w:r>
          <w:rPr>
            <w:rFonts w:hint="eastAsia" w:ascii="宋体" w:hAnsi="宋体" w:cs="宋体"/>
            <w:szCs w:val="22"/>
          </w:rPr>
          <w:t>，本合同另有约定的除外</w:t>
        </w:r>
      </w:ins>
      <w:r>
        <w:rPr>
          <w:rFonts w:hint="eastAsia" w:ascii="宋体" w:hAnsi="宋体" w:cs="宋体"/>
          <w:szCs w:val="22"/>
        </w:rPr>
        <w:t>。</w:t>
      </w:r>
    </w:p>
    <w:p>
      <w:pPr>
        <w:spacing w:line="360" w:lineRule="auto"/>
        <w:ind w:firstLine="480" w:firstLineChars="200"/>
        <w:rPr>
          <w:rFonts w:ascii="宋体" w:hAnsi="宋体" w:cs="宋体"/>
        </w:rPr>
      </w:pPr>
      <w:ins w:id="8" w:author="8615701517582" w:date="2023-06-17T10:11:00Z">
        <w:r>
          <w:rPr>
            <w:rFonts w:ascii="宋体" w:hAnsi="宋体" w:cs="宋体"/>
          </w:rPr>
          <w:t>4</w:t>
        </w:r>
      </w:ins>
      <w:r>
        <w:rPr>
          <w:rFonts w:hint="eastAsia" w:ascii="宋体" w:hAnsi="宋体" w:cs="宋体"/>
        </w:rPr>
        <w:t>、乙方在施工过程中不得停工、退场，如擅自停工，则乙方向甲方支付每日人民币伍仟元的违约金；如擅自退场，乙方所完成的工程量甲方将不给予结算，并且乙方还应承担全部违约责任并向甲方赔偿损失。</w:t>
      </w:r>
    </w:p>
    <w:p>
      <w:pPr>
        <w:spacing w:line="360" w:lineRule="auto"/>
        <w:ind w:firstLine="480" w:firstLineChars="200"/>
        <w:rPr>
          <w:rFonts w:ascii="宋体" w:hAnsi="宋体" w:cs="宋体"/>
        </w:rPr>
      </w:pPr>
      <w:ins w:id="9" w:author="8615701517582" w:date="2023-06-17T10:11:00Z">
        <w:r>
          <w:rPr>
            <w:rFonts w:ascii="宋体" w:hAnsi="宋体" w:cs="宋体"/>
          </w:rPr>
          <w:t>5</w:t>
        </w:r>
      </w:ins>
      <w:r>
        <w:rPr>
          <w:rFonts w:hint="eastAsia" w:ascii="宋体" w:hAnsi="宋体" w:cs="宋体"/>
        </w:rPr>
        <w:t xml:space="preserve">、如合同约定的违约金不足以弥补违约方给对方造成的经济损失，违约方应当按实际发生损失向对方赔偿，赔偿损失的范围应包括直接损失、间接损失。 </w:t>
      </w:r>
    </w:p>
    <w:p>
      <w:pPr>
        <w:spacing w:line="360" w:lineRule="auto"/>
        <w:ind w:firstLine="480" w:firstLineChars="200"/>
        <w:rPr>
          <w:rFonts w:ascii="宋体" w:hAnsi="宋体" w:cs="宋体"/>
        </w:rPr>
      </w:pPr>
      <w:ins w:id="10" w:author="8615701517582" w:date="2023-06-17T10:12:00Z">
        <w:r>
          <w:rPr>
            <w:rFonts w:ascii="宋体" w:hAnsi="宋体" w:cs="宋体"/>
          </w:rPr>
          <w:t>6</w:t>
        </w:r>
      </w:ins>
      <w:r>
        <w:rPr>
          <w:rFonts w:hint="eastAsia" w:ascii="宋体" w:hAnsi="宋体" w:cs="宋体"/>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spacing w:line="360" w:lineRule="auto"/>
        <w:ind w:right="144" w:rightChars="60" w:firstLine="480" w:firstLineChars="200"/>
        <w:rPr>
          <w:rFonts w:ascii="宋体" w:hAnsi="宋体" w:cs="宋体"/>
        </w:rPr>
      </w:pPr>
      <w:ins w:id="11" w:author="8615701517582" w:date="2023-06-17T10:13:00Z">
        <w:r>
          <w:rPr>
            <w:rFonts w:hAnsi="宋体" w:cs="宋体"/>
          </w:rPr>
          <w:t>7</w:t>
        </w:r>
      </w:ins>
      <w:r>
        <w:rPr>
          <w:rFonts w:hint="eastAsia" w:hAnsi="宋体" w:cs="宋体"/>
        </w:rPr>
        <w:t>、</w:t>
      </w:r>
      <w:r>
        <w:rPr>
          <w:rFonts w:hint="eastAsia" w:ascii="宋体" w:hAnsi="宋体" w:cs="宋体"/>
        </w:rPr>
        <w:t>合同约定应由乙方完成的工作内容(包括但不限于：承包范围内图纸会审纪要、设计变更、现场签证等)，如乙方拒绝施工或不能按合同要求的工期或质量标准完成施工，经甲方催告后仍不采取措施或采取的措施仍不符合合同约定的，甲方可安排第三方实施，并按照另行委托造价的1.3倍(另行发包价格)从乙方下一次的付款节点中扣除，且影响工期的责任由乙方负责。</w:t>
      </w:r>
    </w:p>
    <w:p>
      <w:pPr>
        <w:pStyle w:val="2"/>
        <w:ind w:right="144" w:rightChars="60" w:firstLine="480" w:firstLineChars="200"/>
      </w:pPr>
      <w:r>
        <w:rPr>
          <w:rFonts w:hint="eastAsia"/>
        </w:rPr>
        <w:t xml:space="preserve"> </w:t>
      </w:r>
      <w:r>
        <w:t xml:space="preserve">  </w:t>
      </w:r>
      <w:ins w:id="12" w:author="8615701517582" w:date="2023-06-17T10:13:00Z">
        <w:r>
          <w:rPr/>
          <w:t>8</w:t>
        </w:r>
      </w:ins>
      <w:r>
        <w:rPr>
          <w:rFonts w:hint="eastAsia"/>
        </w:rPr>
        <w:t>、乙方根据本合同应承担的违约金、赔偿金等，甲方有权在应付未付工程款中直接扣除，不足以抵扣的，乙方继续承担赔偿责任。</w:t>
      </w:r>
    </w:p>
    <w:p>
      <w:pPr>
        <w:spacing w:line="360" w:lineRule="auto"/>
        <w:rPr>
          <w:rFonts w:ascii="宋体" w:hAnsi="宋体" w:cs="宋体"/>
          <w:b/>
          <w:bCs/>
        </w:rPr>
      </w:pPr>
      <w:r>
        <w:rPr>
          <w:rFonts w:hint="eastAsia" w:ascii="宋体" w:hAnsi="宋体" w:cs="宋体"/>
          <w:b/>
          <w:bCs/>
        </w:rPr>
        <w:t>第十一条  送达条款</w:t>
      </w:r>
    </w:p>
    <w:p>
      <w:pPr>
        <w:spacing w:line="360" w:lineRule="auto"/>
        <w:ind w:firstLine="480" w:firstLineChars="200"/>
        <w:rPr>
          <w:rFonts w:ascii="宋体" w:hAnsi="宋体" w:cs="宋体"/>
        </w:rPr>
      </w:pPr>
      <w:r>
        <w:rPr>
          <w:rFonts w:hint="eastAsia" w:ascii="宋体" w:hAnsi="宋体" w:cs="宋体"/>
        </w:rPr>
        <w:t>双方明确送达信息如下：</w:t>
      </w:r>
    </w:p>
    <w:p>
      <w:pPr>
        <w:spacing w:line="360" w:lineRule="auto"/>
        <w:ind w:firstLine="480" w:firstLineChars="200"/>
        <w:rPr>
          <w:rFonts w:ascii="宋体" w:hAnsi="宋体" w:cs="宋体"/>
        </w:rPr>
      </w:pPr>
      <w:r>
        <w:rPr>
          <w:rFonts w:hint="eastAsia" w:ascii="宋体" w:hAnsi="宋体" w:cs="宋体"/>
        </w:rPr>
        <w:t>甲方确认的送达信息为：</w:t>
      </w:r>
    </w:p>
    <w:p>
      <w:pPr>
        <w:spacing w:line="360" w:lineRule="auto"/>
        <w:ind w:firstLine="480" w:firstLineChars="200"/>
        <w:rPr>
          <w:rFonts w:ascii="宋体" w:hAnsi="宋体" w:cs="宋体"/>
          <w:u w:val="single"/>
        </w:rPr>
      </w:pPr>
      <w:r>
        <w:rPr>
          <w:rFonts w:hint="eastAsia" w:ascii="宋体" w:hAnsi="宋体" w:cs="宋体"/>
        </w:rPr>
        <w:t>送达地址：</w:t>
      </w:r>
      <w:r>
        <w:rPr>
          <w:rFonts w:hint="eastAsia" w:ascii="宋体" w:hAnsi="宋体" w:cs="宋体"/>
          <w:u w:val="single"/>
        </w:rPr>
        <w:t>洛阳市洛龙区关林路8号浩德控股集团办公楼一楼浩德地产</w:t>
      </w:r>
    </w:p>
    <w:p>
      <w:pPr>
        <w:spacing w:line="360" w:lineRule="auto"/>
        <w:ind w:firstLine="480" w:firstLineChars="200"/>
        <w:rPr>
          <w:rFonts w:ascii="宋体" w:hAnsi="宋体" w:cs="宋体"/>
          <w:u w:val="single"/>
        </w:rPr>
      </w:pPr>
      <w:r>
        <w:rPr>
          <w:rFonts w:hint="eastAsia" w:ascii="宋体" w:hAnsi="宋体" w:cs="宋体"/>
        </w:rPr>
        <w:t>联系人及联系方式：</w:t>
      </w:r>
      <w:r>
        <w:rPr>
          <w:rFonts w:hint="eastAsia" w:ascii="宋体" w:hAnsi="宋体" w:cs="宋体"/>
          <w:u w:val="single"/>
        </w:rPr>
        <w:t>招采合约部、0379-</w:t>
      </w:r>
      <w:r>
        <w:rPr>
          <w:rFonts w:ascii="宋体" w:hAnsi="宋体" w:cs="宋体"/>
          <w:u w:val="single"/>
        </w:rPr>
        <w:t>60198086</w:t>
      </w:r>
    </w:p>
    <w:p>
      <w:pPr>
        <w:spacing w:line="360" w:lineRule="auto"/>
        <w:ind w:firstLine="480" w:firstLineChars="200"/>
        <w:rPr>
          <w:rFonts w:ascii="宋体" w:hAnsi="宋体" w:cs="宋体"/>
        </w:rPr>
      </w:pPr>
      <w:r>
        <w:rPr>
          <w:rFonts w:hint="eastAsia" w:ascii="宋体" w:hAnsi="宋体" w:cs="宋体"/>
        </w:rPr>
        <w:t>乙方确认的送达信息为：</w:t>
      </w:r>
    </w:p>
    <w:p>
      <w:pPr>
        <w:spacing w:line="360" w:lineRule="auto"/>
        <w:ind w:firstLine="480" w:firstLineChars="200"/>
        <w:rPr>
          <w:rFonts w:ascii="宋体" w:hAnsi="宋体" w:cs="宋体"/>
          <w:u w:val="single"/>
        </w:rPr>
      </w:pPr>
      <w:r>
        <w:rPr>
          <w:rFonts w:hint="eastAsia" w:ascii="宋体" w:hAnsi="宋体" w:cs="宋体"/>
        </w:rPr>
        <w:t>送达地址：</w:t>
      </w:r>
      <w:r>
        <w:rPr>
          <w:rFonts w:hint="eastAsia" w:ascii="宋体" w:hAnsi="宋体" w:cs="宋体"/>
          <w:u w:val="single"/>
        </w:rPr>
        <w:t xml:space="preserve">  洛阳市高新技术开发区滨河路18号 </w:t>
      </w:r>
    </w:p>
    <w:p>
      <w:pPr>
        <w:spacing w:line="360" w:lineRule="auto"/>
        <w:ind w:firstLine="480" w:firstLineChars="200"/>
        <w:rPr>
          <w:rFonts w:ascii="宋体" w:hAnsi="宋体" w:cs="宋体"/>
        </w:rPr>
      </w:pPr>
      <w:r>
        <w:rPr>
          <w:rFonts w:hint="eastAsia" w:ascii="宋体" w:hAnsi="宋体" w:cs="宋体"/>
        </w:rPr>
        <w:t>联系人及联系方式：</w:t>
      </w:r>
      <w:r>
        <w:rPr>
          <w:rFonts w:hint="eastAsia" w:ascii="宋体" w:hAnsi="宋体" w:cs="宋体"/>
          <w:u w:val="single"/>
        </w:rPr>
        <w:t xml:space="preserve">  沈春光 13939929650   </w:t>
      </w:r>
      <w:r>
        <w:rPr>
          <w:rFonts w:hint="eastAsia" w:ascii="宋体" w:hAnsi="宋体" w:cs="宋体"/>
        </w:rPr>
        <w:t xml:space="preserve">  </w:t>
      </w:r>
    </w:p>
    <w:p>
      <w:pPr>
        <w:spacing w:line="360" w:lineRule="auto"/>
        <w:ind w:firstLine="480" w:firstLineChars="200"/>
        <w:rPr>
          <w:rFonts w:ascii="宋体" w:hAnsi="宋体" w:cs="宋体"/>
        </w:rPr>
      </w:pPr>
      <w:r>
        <w:rPr>
          <w:rFonts w:hint="eastAsia" w:ascii="宋体" w:hAnsi="宋体" w:cs="宋体"/>
        </w:rPr>
        <w:t>双方在此共同确认，上述送达信息将作为双方在合同项下邮寄往来通知、函件及法院寄送法律文书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bCs/>
        </w:rPr>
      </w:pPr>
      <w:r>
        <w:rPr>
          <w:rFonts w:hint="eastAsia" w:ascii="宋体" w:hAnsi="宋体" w:cs="宋体"/>
          <w:b/>
          <w:bCs/>
          <w:color w:val="000000"/>
        </w:rPr>
        <w:t>第十二</w:t>
      </w:r>
      <w:r>
        <w:rPr>
          <w:rFonts w:hint="eastAsia" w:ascii="宋体" w:hAnsi="宋体" w:cs="宋体"/>
          <w:b/>
          <w:bCs/>
        </w:rPr>
        <w:t>条  合同解约条款</w:t>
      </w:r>
    </w:p>
    <w:p>
      <w:pPr>
        <w:spacing w:line="360" w:lineRule="auto"/>
        <w:ind w:firstLine="480" w:firstLineChars="200"/>
        <w:rPr>
          <w:rFonts w:ascii="宋体" w:hAnsi="宋体" w:cs="宋体"/>
          <w:szCs w:val="28"/>
        </w:rPr>
      </w:pPr>
      <w:r>
        <w:rPr>
          <w:rFonts w:hint="eastAsia" w:ascii="宋体" w:hAnsi="宋体" w:cs="宋体"/>
          <w:szCs w:val="28"/>
        </w:rPr>
        <w:t>乙方存在如下任一情况的，甲方有权解除本合同，与此同时，还有权拒付合同款项及/或要求乙方退还全部已付款项并要求乙方按照合同总金额的</w:t>
      </w:r>
      <w:r>
        <w:rPr>
          <w:rFonts w:ascii="宋体" w:hAnsi="宋体" w:cs="宋体"/>
          <w:szCs w:val="28"/>
        </w:rPr>
        <w:t>3</w:t>
      </w:r>
      <w:r>
        <w:rPr>
          <w:rFonts w:hint="eastAsia" w:ascii="宋体" w:hAnsi="宋体" w:cs="宋体"/>
          <w:szCs w:val="28"/>
        </w:rPr>
        <w:t>0%支付违约金，解除通知到达乙方之日生效。</w:t>
      </w:r>
    </w:p>
    <w:p>
      <w:pPr>
        <w:spacing w:line="360" w:lineRule="auto"/>
        <w:ind w:firstLine="480" w:firstLineChars="200"/>
        <w:rPr>
          <w:rFonts w:ascii="宋体" w:hAnsi="宋体" w:cs="宋体"/>
          <w:szCs w:val="28"/>
        </w:rPr>
      </w:pPr>
      <w:r>
        <w:rPr>
          <w:rFonts w:hint="eastAsia" w:ascii="宋体" w:hAnsi="宋体" w:cs="宋体"/>
          <w:szCs w:val="28"/>
        </w:rPr>
        <w:t>1、乙方未能按时进场检测，在甲方发出书面通知后的</w:t>
      </w:r>
      <w:r>
        <w:rPr>
          <w:rFonts w:ascii="宋体" w:hAnsi="宋体" w:cs="宋体"/>
          <w:szCs w:val="28"/>
        </w:rPr>
        <w:t>2</w:t>
      </w:r>
      <w:r>
        <w:rPr>
          <w:rFonts w:hint="eastAsia" w:ascii="宋体" w:hAnsi="宋体" w:cs="宋体"/>
          <w:szCs w:val="28"/>
        </w:rPr>
        <w:t>日内仍未进场检测的；</w:t>
      </w:r>
    </w:p>
    <w:p>
      <w:pPr>
        <w:spacing w:line="360" w:lineRule="auto"/>
        <w:ind w:firstLine="480" w:firstLineChars="200"/>
        <w:rPr>
          <w:rFonts w:ascii="宋体" w:hAnsi="宋体" w:cs="宋体"/>
          <w:szCs w:val="28"/>
        </w:rPr>
      </w:pPr>
      <w:r>
        <w:rPr>
          <w:rFonts w:hint="eastAsia" w:ascii="宋体" w:hAnsi="宋体" w:cs="宋体"/>
          <w:szCs w:val="28"/>
        </w:rPr>
        <w:t>2、乙方逾期完成监测作业/提供检测报告达</w:t>
      </w:r>
      <w:r>
        <w:rPr>
          <w:rFonts w:ascii="宋体" w:hAnsi="宋体" w:cs="宋体"/>
          <w:szCs w:val="28"/>
        </w:rPr>
        <w:t>10</w:t>
      </w:r>
      <w:r>
        <w:rPr>
          <w:rFonts w:hint="eastAsia" w:ascii="宋体" w:hAnsi="宋体" w:cs="宋体"/>
          <w:szCs w:val="28"/>
        </w:rPr>
        <w:t>日历天（含</w:t>
      </w:r>
      <w:r>
        <w:rPr>
          <w:rFonts w:ascii="宋体" w:hAnsi="宋体" w:cs="宋体"/>
          <w:szCs w:val="28"/>
        </w:rPr>
        <w:t>10</w:t>
      </w:r>
      <w:r>
        <w:rPr>
          <w:rFonts w:hint="eastAsia" w:ascii="宋体" w:hAnsi="宋体" w:cs="宋体"/>
          <w:szCs w:val="28"/>
        </w:rPr>
        <w:t>日历天）以上；</w:t>
      </w:r>
    </w:p>
    <w:p>
      <w:pPr>
        <w:spacing w:line="360" w:lineRule="auto"/>
        <w:ind w:firstLine="480" w:firstLineChars="200"/>
        <w:rPr>
          <w:rFonts w:ascii="宋体" w:hAnsi="宋体" w:cs="宋体"/>
          <w:szCs w:val="28"/>
        </w:rPr>
      </w:pPr>
      <w:r>
        <w:rPr>
          <w:rFonts w:hint="eastAsia" w:ascii="宋体" w:hAnsi="宋体" w:cs="宋体"/>
          <w:szCs w:val="28"/>
        </w:rPr>
        <w:t>3、乙方提供的检测报告</w:t>
      </w:r>
      <w:r>
        <w:rPr>
          <w:rFonts w:hint="eastAsia" w:ascii="宋体" w:hAnsi="宋体"/>
        </w:rPr>
        <w:t>经项目所在地有关部门鉴定为不合格</w:t>
      </w:r>
      <w:r>
        <w:rPr>
          <w:rFonts w:hint="eastAsia" w:ascii="宋体" w:hAnsi="宋体" w:cs="宋体"/>
          <w:szCs w:val="28"/>
        </w:rPr>
        <w:t>；</w:t>
      </w:r>
    </w:p>
    <w:p>
      <w:pPr>
        <w:spacing w:line="360" w:lineRule="auto"/>
        <w:ind w:firstLine="480" w:firstLineChars="200"/>
        <w:rPr>
          <w:rFonts w:ascii="宋体" w:hAnsi="宋体" w:cs="宋体"/>
          <w:szCs w:val="28"/>
        </w:rPr>
      </w:pPr>
      <w:r>
        <w:rPr>
          <w:rFonts w:hint="eastAsia" w:ascii="宋体" w:hAnsi="宋体" w:cs="宋体"/>
          <w:szCs w:val="28"/>
        </w:rPr>
        <w:t>4、乙方在施工过程中非因不可抗力或甲方原因造成连续停工</w:t>
      </w:r>
      <w:r>
        <w:rPr>
          <w:rFonts w:ascii="宋体" w:hAnsi="宋体" w:cs="宋体"/>
          <w:szCs w:val="28"/>
        </w:rPr>
        <w:t>5</w:t>
      </w:r>
      <w:r>
        <w:rPr>
          <w:rFonts w:hint="eastAsia" w:ascii="宋体" w:hAnsi="宋体" w:cs="宋体"/>
          <w:szCs w:val="28"/>
        </w:rPr>
        <w:t>日以上或累计达</w:t>
      </w:r>
      <w:r>
        <w:rPr>
          <w:rFonts w:ascii="宋体" w:hAnsi="宋体" w:cs="宋体"/>
          <w:szCs w:val="28"/>
        </w:rPr>
        <w:t>5</w:t>
      </w:r>
      <w:r>
        <w:rPr>
          <w:rFonts w:hint="eastAsia" w:ascii="宋体" w:hAnsi="宋体" w:cs="宋体"/>
          <w:szCs w:val="28"/>
        </w:rPr>
        <w:t>日的；</w:t>
      </w:r>
    </w:p>
    <w:p>
      <w:pPr>
        <w:spacing w:line="360" w:lineRule="auto"/>
        <w:ind w:firstLine="480" w:firstLineChars="200"/>
        <w:rPr>
          <w:rFonts w:ascii="宋体" w:hAnsi="宋体" w:cs="宋体"/>
          <w:szCs w:val="28"/>
        </w:rPr>
      </w:pPr>
      <w:r>
        <w:rPr>
          <w:rFonts w:hint="eastAsia" w:ascii="宋体" w:hAnsi="宋体" w:cs="宋体"/>
          <w:szCs w:val="28"/>
        </w:rPr>
        <w:t>5、乙方擅自把工程分包或转包给其他任何单位的；</w:t>
      </w:r>
    </w:p>
    <w:p>
      <w:pPr>
        <w:spacing w:line="360" w:lineRule="auto"/>
        <w:ind w:firstLine="480" w:firstLineChars="200"/>
        <w:rPr>
          <w:rFonts w:ascii="宋体" w:hAnsi="宋体" w:cs="宋体"/>
          <w:szCs w:val="28"/>
        </w:rPr>
      </w:pPr>
      <w:r>
        <w:rPr>
          <w:rFonts w:hint="eastAsia" w:ascii="宋体" w:hAnsi="宋体" w:cs="宋体"/>
          <w:szCs w:val="28"/>
        </w:rPr>
        <w:t>6、甲方对同一问题连续下发三次整改通知书后乙方无作为或整改问题未在整改通知书要求的期限内解决；</w:t>
      </w:r>
    </w:p>
    <w:p>
      <w:pPr>
        <w:spacing w:line="360" w:lineRule="auto"/>
        <w:ind w:firstLine="480" w:firstLineChars="200"/>
        <w:rPr>
          <w:rFonts w:ascii="宋体" w:hAnsi="宋体" w:cs="宋体"/>
          <w:szCs w:val="28"/>
        </w:rPr>
      </w:pPr>
      <w:r>
        <w:rPr>
          <w:rFonts w:hint="eastAsia" w:ascii="宋体" w:hAnsi="宋体" w:cs="宋体"/>
          <w:szCs w:val="28"/>
        </w:rPr>
        <w:t>7、乙方存在其他违约行为，经甲方书面通知之日</w:t>
      </w:r>
      <w:r>
        <w:rPr>
          <w:rFonts w:ascii="宋体" w:hAnsi="宋体" w:cs="宋体"/>
          <w:szCs w:val="28"/>
        </w:rPr>
        <w:t>3</w:t>
      </w:r>
      <w:r>
        <w:rPr>
          <w:rFonts w:hint="eastAsia" w:ascii="宋体" w:hAnsi="宋体" w:cs="宋体"/>
          <w:szCs w:val="28"/>
        </w:rPr>
        <w:t>日内仍未纠正的。</w:t>
      </w:r>
    </w:p>
    <w:p>
      <w:pPr>
        <w:pStyle w:val="4"/>
        <w:spacing w:before="0" w:after="0" w:line="360" w:lineRule="auto"/>
        <w:rPr>
          <w:rFonts w:ascii="宋体" w:hAnsi="宋体" w:cs="宋体"/>
          <w:bCs w:val="0"/>
          <w:sz w:val="24"/>
          <w:szCs w:val="24"/>
        </w:rPr>
      </w:pPr>
      <w:r>
        <w:rPr>
          <w:rFonts w:hint="eastAsia" w:ascii="宋体" w:hAnsi="宋体" w:cs="宋体"/>
          <w:bCs w:val="0"/>
          <w:sz w:val="24"/>
          <w:szCs w:val="24"/>
        </w:rPr>
        <w:t>第十三条  发票开具要求及责任</w:t>
      </w:r>
    </w:p>
    <w:p>
      <w:pPr>
        <w:spacing w:line="360" w:lineRule="auto"/>
        <w:ind w:firstLine="480" w:firstLineChars="200"/>
        <w:rPr>
          <w:rFonts w:ascii="宋体" w:hAnsi="宋体" w:cs="宋体"/>
        </w:rPr>
      </w:pPr>
      <w:r>
        <w:rPr>
          <w:rFonts w:hint="eastAsia" w:ascii="宋体" w:hAnsi="宋体" w:cs="宋体"/>
        </w:rPr>
        <w:t>1、对发票不合规的约定：</w:t>
      </w:r>
    </w:p>
    <w:p>
      <w:pPr>
        <w:spacing w:line="360" w:lineRule="auto"/>
        <w:ind w:firstLine="480" w:firstLineChars="200"/>
        <w:rPr>
          <w:rFonts w:ascii="宋体" w:hAnsi="宋体" w:cs="宋体"/>
        </w:rPr>
      </w:pPr>
      <w:r>
        <w:rPr>
          <w:rFonts w:hint="eastAsia" w:ascii="宋体" w:hAnsi="宋体" w:cs="宋体"/>
        </w:rPr>
        <w:t>1.1、乙方提供的发票为增值税专用发票的，因乙方迟延送达、开具错误等原因导致其提供的增值税专用发票没有通过税务部门认证，造成甲方不能抵扣的，甲方有权拒绝接收。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ascii="宋体" w:hAnsi="宋体" w:cs="宋体"/>
        </w:rPr>
      </w:pPr>
      <w:r>
        <w:rPr>
          <w:rFonts w:hint="eastAsia" w:ascii="宋体" w:hAnsi="宋体" w:cs="宋体"/>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cs="宋体"/>
        </w:rPr>
      </w:pPr>
      <w:r>
        <w:rPr>
          <w:rFonts w:hint="eastAsia" w:ascii="宋体" w:hAnsi="宋体" w:cs="宋体"/>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ascii="宋体" w:hAnsi="宋体" w:cs="宋体"/>
        </w:rPr>
      </w:pPr>
      <w:r>
        <w:rPr>
          <w:rFonts w:hint="eastAsia" w:ascii="宋体" w:hAnsi="宋体" w:cs="宋体"/>
        </w:rPr>
        <w:t>2、其它税务风险的合同约定：</w:t>
      </w:r>
    </w:p>
    <w:p>
      <w:pPr>
        <w:spacing w:line="360" w:lineRule="auto"/>
        <w:ind w:firstLine="480" w:firstLineChars="200"/>
        <w:rPr>
          <w:rFonts w:ascii="宋体" w:hAnsi="宋体" w:cs="宋体"/>
        </w:rPr>
      </w:pPr>
      <w:r>
        <w:rPr>
          <w:rFonts w:hint="eastAsia" w:ascii="宋体" w:hAnsi="宋体" w:cs="宋体"/>
        </w:rPr>
        <w:t>2.1、如果甲方丢失增值税专用发票联和抵扣联，乙方应向甲方提供专用发票记账联复印件，并加盖乙方发票专用章。</w:t>
      </w:r>
    </w:p>
    <w:p>
      <w:pPr>
        <w:spacing w:line="360" w:lineRule="auto"/>
        <w:ind w:firstLine="480" w:firstLineChars="200"/>
        <w:rPr>
          <w:rFonts w:ascii="宋体" w:hAnsi="宋体" w:cs="宋体"/>
        </w:rPr>
      </w:pPr>
      <w:r>
        <w:rPr>
          <w:rFonts w:hint="eastAsia" w:ascii="宋体" w:hAnsi="宋体" w:cs="宋体"/>
        </w:rPr>
        <w:t>2.2、如果获得开具的汇总专用发票，则乙方应提供其防伪税控系统开具的《销售货物或者提供应税劳务清单》，并加盖发票专用章。</w:t>
      </w:r>
    </w:p>
    <w:p>
      <w:pPr>
        <w:pStyle w:val="4"/>
        <w:spacing w:before="0" w:after="0" w:line="360" w:lineRule="auto"/>
        <w:rPr>
          <w:rFonts w:ascii="宋体" w:hAnsi="宋体" w:cs="宋体"/>
          <w:bCs w:val="0"/>
          <w:sz w:val="24"/>
          <w:szCs w:val="24"/>
        </w:rPr>
      </w:pPr>
      <w:r>
        <w:rPr>
          <w:rFonts w:hint="eastAsia" w:ascii="宋体" w:hAnsi="宋体" w:cs="宋体"/>
          <w:bCs w:val="0"/>
          <w:sz w:val="24"/>
          <w:szCs w:val="24"/>
        </w:rPr>
        <w:t>第十四条  其他</w:t>
      </w:r>
    </w:p>
    <w:p>
      <w:pPr>
        <w:spacing w:line="360" w:lineRule="auto"/>
        <w:ind w:firstLine="480" w:firstLineChars="200"/>
        <w:rPr>
          <w:rFonts w:ascii="宋体" w:hAnsi="宋体"/>
        </w:rPr>
      </w:pPr>
      <w:r>
        <w:rPr>
          <w:rFonts w:hint="eastAsia" w:ascii="宋体" w:hAnsi="宋体"/>
        </w:rPr>
        <w:t>1、本合同自双方盖章后生效。本合同未尽事宜，可由双方协商解决并签署书面补充协议，补充协议与本合同享有同等法律效力。</w:t>
      </w:r>
    </w:p>
    <w:p>
      <w:pPr>
        <w:spacing w:line="360" w:lineRule="auto"/>
        <w:ind w:firstLine="480" w:firstLineChars="200"/>
        <w:rPr>
          <w:rFonts w:ascii="宋体" w:hAnsi="宋体"/>
        </w:rPr>
      </w:pPr>
      <w:r>
        <w:rPr>
          <w:rFonts w:ascii="宋体" w:hAnsi="宋体"/>
        </w:rPr>
        <w:t>2</w:t>
      </w:r>
      <w:r>
        <w:rPr>
          <w:rFonts w:hint="eastAsia" w:ascii="宋体" w:hAnsi="宋体"/>
        </w:rPr>
        <w:t>、</w:t>
      </w:r>
      <w:r>
        <w:rPr>
          <w:rFonts w:hint="eastAsia" w:ascii="宋体" w:hAnsi="宋体" w:cs="宋体"/>
        </w:rPr>
        <w:t>发生争议双方应友好协商解决，协商不成的，双方同意由合同签订地（</w:t>
      </w:r>
      <w:r>
        <w:rPr>
          <w:rFonts w:hint="eastAsia" w:ascii="宋体" w:hAnsi="宋体" w:cs="宋体"/>
          <w:u w:val="single"/>
        </w:rPr>
        <w:t>洛阳市洛龙区</w:t>
      </w:r>
      <w:r>
        <w:rPr>
          <w:rFonts w:hint="eastAsia" w:ascii="宋体" w:hAnsi="宋体" w:cs="宋体"/>
        </w:rPr>
        <w:t>）人民法院管辖。</w:t>
      </w:r>
    </w:p>
    <w:p>
      <w:pPr>
        <w:spacing w:line="360" w:lineRule="auto"/>
        <w:ind w:firstLine="480" w:firstLineChars="200"/>
        <w:rPr>
          <w:rFonts w:ascii="宋体" w:hAnsi="宋体"/>
        </w:rPr>
      </w:pPr>
      <w:r>
        <w:rPr>
          <w:rFonts w:ascii="宋体" w:hAnsi="宋体"/>
        </w:rPr>
        <w:t>3</w:t>
      </w:r>
      <w:r>
        <w:rPr>
          <w:rFonts w:hint="eastAsia" w:ascii="宋体" w:hAnsi="宋体"/>
        </w:rPr>
        <w:t>、合同附件为本合同不可分割的组成部分，本合同连同附件一式柒份，甲方伍份，乙方贰份，具有同等法律效力。</w:t>
      </w:r>
    </w:p>
    <w:p>
      <w:pPr>
        <w:pStyle w:val="31"/>
        <w:spacing w:line="360" w:lineRule="auto"/>
        <w:rPr>
          <w:rFonts w:hAnsi="宋体" w:cs="宋体"/>
          <w:b w:val="0"/>
          <w:kern w:val="44"/>
        </w:rPr>
      </w:pPr>
      <w:r>
        <w:rPr>
          <w:rFonts w:hint="eastAsia" w:hAnsi="宋体" w:cs="宋体"/>
          <w:kern w:val="44"/>
        </w:rPr>
        <w:t>第十五条  合同附件</w:t>
      </w:r>
    </w:p>
    <w:p>
      <w:pPr>
        <w:pStyle w:val="31"/>
        <w:spacing w:line="360" w:lineRule="auto"/>
        <w:ind w:firstLine="480"/>
        <w:rPr>
          <w:rFonts w:hAnsi="宋体" w:cs="宋体"/>
          <w:bCs/>
          <w:kern w:val="44"/>
        </w:rPr>
      </w:pPr>
      <w:r>
        <w:rPr>
          <w:rFonts w:hint="eastAsia" w:hAnsi="宋体" w:cs="宋体"/>
          <w:bCs/>
          <w:kern w:val="44"/>
        </w:rPr>
        <w:t>附件一：工程量清单价格表</w:t>
      </w:r>
    </w:p>
    <w:p>
      <w:pPr>
        <w:pStyle w:val="31"/>
        <w:spacing w:line="360" w:lineRule="auto"/>
        <w:ind w:firstLine="480"/>
        <w:rPr>
          <w:rFonts w:hAnsi="宋体" w:cs="宋体"/>
          <w:bCs/>
          <w:kern w:val="44"/>
        </w:rPr>
      </w:pPr>
      <w:r>
        <w:rPr>
          <w:rFonts w:hint="eastAsia" w:hAnsi="宋体" w:cs="宋体"/>
          <w:bCs/>
          <w:kern w:val="44"/>
        </w:rPr>
        <w:t>附件二：廉政合作协议</w:t>
      </w:r>
    </w:p>
    <w:p>
      <w:pPr>
        <w:pStyle w:val="31"/>
        <w:spacing w:line="360" w:lineRule="auto"/>
        <w:ind w:firstLine="480"/>
        <w:rPr>
          <w:rFonts w:hAnsi="宋体"/>
        </w:rPr>
      </w:pPr>
      <w:r>
        <w:rPr>
          <w:rFonts w:hint="eastAsia" w:hAnsi="宋体"/>
          <w:b w:val="0"/>
        </w:rPr>
        <w:t>（以下无正文）</w:t>
      </w:r>
    </w:p>
    <w:p>
      <w:pPr>
        <w:pStyle w:val="31"/>
        <w:spacing w:line="480" w:lineRule="auto"/>
        <w:rPr>
          <w:b w:val="0"/>
          <w:sz w:val="21"/>
          <w:szCs w:val="21"/>
        </w:rPr>
      </w:pPr>
      <w:r>
        <w:rPr>
          <w:rFonts w:hint="eastAsia"/>
          <w:b w:val="0"/>
          <w:sz w:val="21"/>
          <w:szCs w:val="21"/>
        </w:rPr>
        <w:t xml:space="preserve">甲方（盖章）:洛阳浩德鑫置地有限公司            乙方（盖章）: 洛阳业丰建设工程服务有限公司                                                        </w:t>
      </w:r>
    </w:p>
    <w:p>
      <w:pPr>
        <w:pStyle w:val="31"/>
        <w:spacing w:line="480" w:lineRule="auto"/>
        <w:rPr>
          <w:b w:val="0"/>
          <w:sz w:val="21"/>
          <w:szCs w:val="21"/>
        </w:rPr>
      </w:pPr>
      <w:r>
        <w:rPr>
          <w:rFonts w:hint="eastAsia"/>
          <w:b w:val="0"/>
          <w:sz w:val="21"/>
          <w:szCs w:val="21"/>
        </w:rPr>
        <w:t>法 人 代 表：</w:t>
      </w:r>
      <w:r>
        <w:rPr>
          <w:rFonts w:hint="eastAsia"/>
          <w:b w:val="0"/>
          <w:sz w:val="21"/>
          <w:szCs w:val="21"/>
        </w:rPr>
        <w:tab/>
      </w:r>
      <w:r>
        <w:rPr>
          <w:rFonts w:hint="eastAsia"/>
          <w:b w:val="0"/>
          <w:sz w:val="21"/>
          <w:szCs w:val="21"/>
        </w:rPr>
        <w:t xml:space="preserve">                                 法 人 代 表：</w:t>
      </w:r>
    </w:p>
    <w:p>
      <w:pPr>
        <w:pStyle w:val="31"/>
        <w:spacing w:line="480" w:lineRule="auto"/>
        <w:rPr>
          <w:b w:val="0"/>
          <w:sz w:val="21"/>
          <w:szCs w:val="21"/>
        </w:rPr>
      </w:pPr>
      <w:r>
        <w:rPr>
          <w:rFonts w:hint="eastAsia"/>
          <w:b w:val="0"/>
          <w:sz w:val="21"/>
          <w:szCs w:val="21"/>
        </w:rPr>
        <w:t>或授权委托人：                                   或授权委托人：</w:t>
      </w:r>
    </w:p>
    <w:p>
      <w:pPr>
        <w:pStyle w:val="31"/>
        <w:spacing w:line="480" w:lineRule="auto"/>
        <w:rPr>
          <w:b w:val="0"/>
          <w:sz w:val="21"/>
          <w:szCs w:val="21"/>
        </w:rPr>
      </w:pPr>
      <w:r>
        <w:rPr>
          <w:rFonts w:hint="eastAsia"/>
          <w:b w:val="0"/>
          <w:sz w:val="21"/>
          <w:szCs w:val="21"/>
        </w:rPr>
        <w:t xml:space="preserve">开户银行：交行洛阳分行西苑支行　               开户银行：中原银行洛阳自贸区支行 </w:t>
      </w:r>
    </w:p>
    <w:p>
      <w:pPr>
        <w:pStyle w:val="31"/>
        <w:spacing w:line="480" w:lineRule="auto"/>
        <w:rPr>
          <w:b w:val="0"/>
          <w:sz w:val="21"/>
          <w:szCs w:val="21"/>
        </w:rPr>
      </w:pPr>
      <w:r>
        <w:rPr>
          <w:rFonts w:hint="eastAsia"/>
          <w:b w:val="0"/>
          <w:sz w:val="21"/>
          <w:szCs w:val="21"/>
        </w:rPr>
        <w:t>银行帐号：413062200018170292470                银行帐号： 673410020000005102</w:t>
      </w:r>
    </w:p>
    <w:p>
      <w:pPr>
        <w:pStyle w:val="31"/>
        <w:spacing w:line="480" w:lineRule="auto"/>
        <w:rPr>
          <w:b w:val="0"/>
          <w:sz w:val="21"/>
          <w:szCs w:val="21"/>
        </w:rPr>
      </w:pPr>
      <w:r>
        <w:rPr>
          <w:rFonts w:hint="eastAsia"/>
          <w:b w:val="0"/>
          <w:sz w:val="21"/>
          <w:szCs w:val="21"/>
        </w:rPr>
        <w:t>税    号：  914103005542480325                 税    号： 91410300745798782G</w:t>
      </w:r>
    </w:p>
    <w:p>
      <w:pPr>
        <w:pStyle w:val="31"/>
        <w:spacing w:line="480" w:lineRule="auto"/>
        <w:rPr>
          <w:b w:val="0"/>
          <w:sz w:val="21"/>
          <w:szCs w:val="21"/>
        </w:rPr>
      </w:pPr>
      <w:r>
        <w:rPr>
          <w:rFonts w:hint="eastAsia"/>
          <w:b w:val="0"/>
          <w:sz w:val="21"/>
          <w:szCs w:val="21"/>
        </w:rPr>
        <w:t>签订日期：2023年6月15日                       签订日期：2023年6月15日</w:t>
      </w:r>
    </w:p>
    <w:p>
      <w:pPr>
        <w:pStyle w:val="31"/>
        <w:rPr>
          <w:b w:val="0"/>
          <w:sz w:val="21"/>
          <w:szCs w:val="21"/>
        </w:rPr>
      </w:pPr>
    </w:p>
    <w:p>
      <w:pPr>
        <w:pStyle w:val="31"/>
      </w:pPr>
    </w:p>
    <w:p>
      <w:pPr>
        <w:pStyle w:val="31"/>
      </w:pPr>
    </w:p>
    <w:p>
      <w:pPr>
        <w:pStyle w:val="31"/>
      </w:pPr>
    </w:p>
    <w:p>
      <w:pPr>
        <w:rPr>
          <w:rFonts w:hAnsi="宋体"/>
          <w:bCs/>
        </w:rPr>
      </w:pPr>
    </w:p>
    <w:p>
      <w:pPr>
        <w:rPr>
          <w:b/>
        </w:rPr>
      </w:pPr>
      <w:r>
        <w:rPr>
          <w:rFonts w:hint="eastAsia" w:hAnsi="宋体"/>
          <w:b/>
        </w:rPr>
        <w:t>附件一：</w:t>
      </w:r>
    </w:p>
    <w:p>
      <w:pPr>
        <w:pStyle w:val="31"/>
        <w:jc w:val="center"/>
        <w:rPr>
          <w:rFonts w:hAnsi="宋体" w:cs="宋体"/>
        </w:rPr>
      </w:pPr>
      <w:r>
        <w:rPr>
          <w:rFonts w:hint="eastAsia" w:hAnsi="宋体" w:cs="宋体"/>
        </w:rPr>
        <w:t>工程量清单价格表</w:t>
      </w:r>
    </w:p>
    <w:p>
      <w:pPr>
        <w:pStyle w:val="31"/>
        <w:jc w:val="center"/>
        <w:rPr>
          <w:rFonts w:hAnsi="宋体" w:cs="宋体"/>
        </w:rPr>
      </w:pPr>
    </w:p>
    <w:p>
      <w:pPr>
        <w:pStyle w:val="31"/>
        <w:jc w:val="center"/>
        <w:rPr>
          <w:rFonts w:hAnsi="宋体" w:cs="宋体"/>
        </w:rPr>
      </w:pPr>
    </w:p>
    <w:tbl>
      <w:tblPr>
        <w:tblStyle w:val="25"/>
        <w:tblW w:w="9460" w:type="dxa"/>
        <w:tblInd w:w="93" w:type="dxa"/>
        <w:tblLayout w:type="autofit"/>
        <w:tblCellMar>
          <w:top w:w="0" w:type="dxa"/>
          <w:left w:w="108" w:type="dxa"/>
          <w:bottom w:w="0" w:type="dxa"/>
          <w:right w:w="108" w:type="dxa"/>
        </w:tblCellMar>
      </w:tblPr>
      <w:tblGrid>
        <w:gridCol w:w="3400"/>
        <w:gridCol w:w="1220"/>
        <w:gridCol w:w="1144"/>
        <w:gridCol w:w="1780"/>
        <w:gridCol w:w="1916"/>
      </w:tblGrid>
      <w:tr>
        <w:tblPrEx>
          <w:tblCellMar>
            <w:top w:w="0" w:type="dxa"/>
            <w:left w:w="108" w:type="dxa"/>
            <w:bottom w:w="0" w:type="dxa"/>
            <w:right w:w="108" w:type="dxa"/>
          </w:tblCellMar>
        </w:tblPrEx>
        <w:trPr>
          <w:trHeight w:val="799" w:hRule="atLeast"/>
        </w:trPr>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检测项目</w:t>
            </w:r>
          </w:p>
        </w:tc>
        <w:tc>
          <w:tcPr>
            <w:tcW w:w="2364"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建筑面积（暂定）</w:t>
            </w:r>
          </w:p>
        </w:tc>
        <w:tc>
          <w:tcPr>
            <w:tcW w:w="17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检测单价</w:t>
            </w:r>
          </w:p>
          <w:p>
            <w:pPr>
              <w:pStyle w:val="31"/>
            </w:pPr>
          </w:p>
          <w:p>
            <w:pPr>
              <w:jc w:val="center"/>
              <w:rPr>
                <w:rFonts w:ascii="宋体" w:hAnsi="宋体" w:cs="宋体"/>
                <w:color w:val="000000"/>
                <w:sz w:val="22"/>
                <w:szCs w:val="22"/>
              </w:rPr>
            </w:pPr>
            <w:r>
              <w:rPr>
                <w:rFonts w:hint="eastAsia" w:ascii="宋体" w:hAnsi="宋体" w:cs="宋体"/>
                <w:color w:val="000000"/>
                <w:sz w:val="22"/>
                <w:szCs w:val="22"/>
              </w:rPr>
              <w:t>（元/平方米）</w:t>
            </w:r>
          </w:p>
        </w:tc>
        <w:tc>
          <w:tcPr>
            <w:tcW w:w="191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小计</w:t>
            </w:r>
          </w:p>
          <w:p>
            <w:pPr>
              <w:pStyle w:val="31"/>
            </w:pPr>
          </w:p>
          <w:p>
            <w:pPr>
              <w:jc w:val="center"/>
              <w:rPr>
                <w:rFonts w:ascii="宋体" w:hAnsi="宋体" w:cs="宋体"/>
                <w:color w:val="000000"/>
                <w:sz w:val="22"/>
                <w:szCs w:val="22"/>
              </w:rPr>
            </w:pPr>
            <w:r>
              <w:rPr>
                <w:rFonts w:hint="eastAsia" w:ascii="宋体" w:hAnsi="宋体" w:cs="宋体"/>
                <w:color w:val="000000"/>
                <w:sz w:val="22"/>
                <w:szCs w:val="22"/>
              </w:rPr>
              <w:t>（元）</w:t>
            </w:r>
          </w:p>
        </w:tc>
      </w:tr>
      <w:tr>
        <w:tblPrEx>
          <w:tblCellMar>
            <w:top w:w="0" w:type="dxa"/>
            <w:left w:w="108" w:type="dxa"/>
            <w:bottom w:w="0" w:type="dxa"/>
            <w:right w:w="108" w:type="dxa"/>
          </w:tblCellMar>
        </w:tblPrEx>
        <w:trPr>
          <w:trHeight w:val="799" w:hRule="atLeast"/>
        </w:trPr>
        <w:tc>
          <w:tcPr>
            <w:tcW w:w="3400" w:type="dxa"/>
            <w:tcBorders>
              <w:top w:val="nil"/>
              <w:left w:val="single" w:color="auto" w:sz="4" w:space="0"/>
              <w:bottom w:val="single" w:color="auto" w:sz="4" w:space="0"/>
              <w:right w:val="single" w:color="auto" w:sz="4" w:space="0"/>
            </w:tcBorders>
            <w:shd w:val="clear" w:color="000000" w:fill="auto"/>
            <w:vAlign w:val="center"/>
          </w:tcPr>
          <w:p>
            <w:pPr>
              <w:jc w:val="center"/>
              <w:rPr>
                <w:rFonts w:ascii="宋体" w:hAnsi="宋体" w:cs="宋体"/>
                <w:color w:val="000000"/>
                <w:sz w:val="22"/>
                <w:szCs w:val="22"/>
              </w:rPr>
            </w:pPr>
            <w:r>
              <w:rPr>
                <w:rFonts w:hint="eastAsia" w:ascii="宋体" w:hAnsi="宋体" w:cs="宋体"/>
                <w:color w:val="000000"/>
                <w:sz w:val="22"/>
                <w:szCs w:val="22"/>
              </w:rPr>
              <w:t>节能检测</w:t>
            </w:r>
          </w:p>
        </w:tc>
        <w:tc>
          <w:tcPr>
            <w:tcW w:w="1220" w:type="dxa"/>
            <w:tcBorders>
              <w:top w:val="nil"/>
              <w:left w:val="nil"/>
              <w:bottom w:val="single" w:color="auto" w:sz="4" w:space="0"/>
              <w:right w:val="single" w:color="auto" w:sz="4" w:space="0"/>
            </w:tcBorders>
            <w:shd w:val="clear" w:color="000000" w:fill="auto"/>
            <w:vAlign w:val="center"/>
          </w:tcPr>
          <w:p>
            <w:pPr>
              <w:jc w:val="center"/>
              <w:textAlignment w:val="center"/>
              <w:rPr>
                <w:rFonts w:ascii="宋体" w:hAnsi="宋体" w:cs="宋体"/>
                <w:color w:val="000000"/>
                <w:sz w:val="22"/>
                <w:szCs w:val="22"/>
                <w:lang w:bidi="ar"/>
              </w:rPr>
            </w:pPr>
            <w:r>
              <w:rPr>
                <w:rFonts w:hint="eastAsia" w:ascii="宋体" w:hAnsi="宋体" w:cs="宋体"/>
                <w:color w:val="000000"/>
                <w:sz w:val="22"/>
                <w:szCs w:val="22"/>
                <w:lang w:bidi="ar"/>
              </w:rPr>
              <w:t>37289.36</w:t>
            </w:r>
          </w:p>
        </w:tc>
        <w:tc>
          <w:tcPr>
            <w:tcW w:w="114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sz w:val="22"/>
                <w:szCs w:val="22"/>
              </w:rPr>
            </w:pPr>
            <w:r>
              <w:rPr>
                <w:rFonts w:hint="eastAsia" w:ascii="宋体" w:hAnsi="宋体" w:cs="宋体"/>
                <w:color w:val="000000"/>
                <w:sz w:val="22"/>
                <w:szCs w:val="22"/>
              </w:rPr>
              <w:t>平方米</w:t>
            </w:r>
          </w:p>
        </w:tc>
        <w:tc>
          <w:tcPr>
            <w:tcW w:w="1780"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sz w:val="22"/>
                <w:szCs w:val="22"/>
              </w:rPr>
            </w:pPr>
            <w:r>
              <w:rPr>
                <w:rFonts w:hint="eastAsia" w:ascii="宋体" w:hAnsi="宋体" w:cs="宋体"/>
                <w:color w:val="000000"/>
                <w:sz w:val="22"/>
                <w:szCs w:val="22"/>
              </w:rPr>
              <w:t>0.3</w:t>
            </w:r>
          </w:p>
        </w:tc>
        <w:tc>
          <w:tcPr>
            <w:tcW w:w="1916" w:type="dxa"/>
            <w:tcBorders>
              <w:top w:val="nil"/>
              <w:left w:val="nil"/>
              <w:bottom w:val="single" w:color="auto" w:sz="4" w:space="0"/>
              <w:right w:val="single" w:color="auto" w:sz="4" w:space="0"/>
            </w:tcBorders>
            <w:shd w:val="clear" w:color="000000" w:fill="auto"/>
            <w:vAlign w:val="center"/>
          </w:tcPr>
          <w:p>
            <w:pPr>
              <w:jc w:val="center"/>
              <w:textAlignment w:val="center"/>
              <w:rPr>
                <w:rFonts w:ascii="宋体" w:hAnsi="宋体" w:cs="宋体"/>
                <w:color w:val="000000"/>
                <w:sz w:val="22"/>
                <w:szCs w:val="22"/>
              </w:rPr>
            </w:pPr>
            <w:r>
              <w:rPr>
                <w:rFonts w:hint="eastAsia" w:ascii="宋体" w:hAnsi="宋体" w:cs="宋体"/>
                <w:color w:val="000000"/>
                <w:sz w:val="22"/>
                <w:szCs w:val="22"/>
                <w:lang w:bidi="ar"/>
              </w:rPr>
              <w:t>11186.81</w:t>
            </w:r>
          </w:p>
        </w:tc>
      </w:tr>
      <w:tr>
        <w:tblPrEx>
          <w:tblCellMar>
            <w:top w:w="0" w:type="dxa"/>
            <w:left w:w="108" w:type="dxa"/>
            <w:bottom w:w="0" w:type="dxa"/>
            <w:right w:w="108" w:type="dxa"/>
          </w:tblCellMar>
        </w:tblPrEx>
        <w:trPr>
          <w:trHeight w:val="799" w:hRule="atLeast"/>
        </w:trPr>
        <w:tc>
          <w:tcPr>
            <w:tcW w:w="3400" w:type="dxa"/>
            <w:tcBorders>
              <w:top w:val="nil"/>
              <w:left w:val="single" w:color="auto" w:sz="4" w:space="0"/>
              <w:bottom w:val="single" w:color="auto" w:sz="4" w:space="0"/>
              <w:right w:val="single" w:color="auto" w:sz="4" w:space="0"/>
            </w:tcBorders>
            <w:shd w:val="clear" w:color="000000" w:fill="auto"/>
            <w:vAlign w:val="center"/>
          </w:tcPr>
          <w:p>
            <w:pPr>
              <w:jc w:val="center"/>
              <w:rPr>
                <w:rFonts w:ascii="宋体" w:hAnsi="宋体" w:cs="宋体"/>
                <w:color w:val="000000"/>
                <w:sz w:val="22"/>
                <w:szCs w:val="22"/>
              </w:rPr>
            </w:pPr>
            <w:r>
              <w:rPr>
                <w:rFonts w:hint="eastAsia" w:ascii="宋体" w:hAnsi="宋体" w:cs="宋体"/>
                <w:color w:val="000000"/>
                <w:sz w:val="22"/>
                <w:szCs w:val="22"/>
              </w:rPr>
              <w:t>室内环境检测</w:t>
            </w:r>
          </w:p>
        </w:tc>
        <w:tc>
          <w:tcPr>
            <w:tcW w:w="1220" w:type="dxa"/>
            <w:tcBorders>
              <w:top w:val="nil"/>
              <w:left w:val="nil"/>
              <w:bottom w:val="single" w:color="auto" w:sz="4" w:space="0"/>
              <w:right w:val="single" w:color="auto" w:sz="4" w:space="0"/>
            </w:tcBorders>
            <w:shd w:val="clear" w:color="000000" w:fill="auto"/>
            <w:vAlign w:val="center"/>
          </w:tcPr>
          <w:p>
            <w:pPr>
              <w:jc w:val="center"/>
              <w:textAlignment w:val="center"/>
              <w:rPr>
                <w:rFonts w:ascii="宋体" w:hAnsi="宋体" w:cs="宋体"/>
                <w:color w:val="000000"/>
                <w:sz w:val="22"/>
                <w:szCs w:val="22"/>
                <w:lang w:bidi="ar"/>
              </w:rPr>
            </w:pPr>
            <w:r>
              <w:rPr>
                <w:rFonts w:hint="eastAsia" w:ascii="宋体" w:hAnsi="宋体" w:cs="宋体"/>
                <w:color w:val="000000"/>
                <w:sz w:val="22"/>
                <w:szCs w:val="22"/>
                <w:lang w:bidi="ar"/>
              </w:rPr>
              <w:t>37289.36</w:t>
            </w:r>
          </w:p>
        </w:tc>
        <w:tc>
          <w:tcPr>
            <w:tcW w:w="1144"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sz w:val="22"/>
                <w:szCs w:val="22"/>
              </w:rPr>
            </w:pPr>
            <w:r>
              <w:rPr>
                <w:rFonts w:hint="eastAsia" w:ascii="宋体" w:hAnsi="宋体" w:cs="宋体"/>
                <w:color w:val="000000"/>
                <w:sz w:val="22"/>
                <w:szCs w:val="22"/>
              </w:rPr>
              <w:t>平方米</w:t>
            </w:r>
          </w:p>
        </w:tc>
        <w:tc>
          <w:tcPr>
            <w:tcW w:w="1780" w:type="dxa"/>
            <w:tcBorders>
              <w:top w:val="nil"/>
              <w:left w:val="nil"/>
              <w:bottom w:val="single" w:color="auto" w:sz="4" w:space="0"/>
              <w:right w:val="single" w:color="auto" w:sz="4" w:space="0"/>
            </w:tcBorders>
            <w:shd w:val="clear" w:color="000000" w:fill="auto"/>
            <w:vAlign w:val="center"/>
          </w:tcPr>
          <w:p>
            <w:pPr>
              <w:jc w:val="center"/>
              <w:rPr>
                <w:rFonts w:ascii="宋体" w:hAnsi="宋体" w:cs="宋体"/>
                <w:color w:val="000000"/>
                <w:sz w:val="22"/>
                <w:szCs w:val="22"/>
              </w:rPr>
            </w:pPr>
            <w:r>
              <w:rPr>
                <w:rFonts w:hint="eastAsia" w:ascii="宋体" w:hAnsi="宋体" w:cs="宋体"/>
                <w:color w:val="000000"/>
                <w:sz w:val="22"/>
                <w:szCs w:val="22"/>
              </w:rPr>
              <w:t>0.23</w:t>
            </w:r>
          </w:p>
        </w:tc>
        <w:tc>
          <w:tcPr>
            <w:tcW w:w="1916" w:type="dxa"/>
            <w:tcBorders>
              <w:top w:val="nil"/>
              <w:left w:val="nil"/>
              <w:bottom w:val="single" w:color="auto" w:sz="4" w:space="0"/>
              <w:right w:val="single" w:color="auto" w:sz="4" w:space="0"/>
            </w:tcBorders>
            <w:shd w:val="clear" w:color="000000" w:fill="auto"/>
            <w:vAlign w:val="center"/>
          </w:tcPr>
          <w:p>
            <w:pPr>
              <w:jc w:val="center"/>
              <w:textAlignment w:val="center"/>
              <w:rPr>
                <w:rFonts w:ascii="宋体" w:hAnsi="宋体" w:cs="宋体"/>
                <w:color w:val="000000"/>
                <w:sz w:val="22"/>
                <w:szCs w:val="22"/>
              </w:rPr>
            </w:pPr>
            <w:r>
              <w:rPr>
                <w:rFonts w:hint="eastAsia" w:ascii="宋体" w:hAnsi="宋体" w:cs="宋体"/>
                <w:color w:val="000000"/>
                <w:sz w:val="22"/>
                <w:szCs w:val="22"/>
                <w:lang w:bidi="ar"/>
              </w:rPr>
              <w:t>8576.55</w:t>
            </w:r>
          </w:p>
        </w:tc>
      </w:tr>
      <w:tr>
        <w:tblPrEx>
          <w:tblCellMar>
            <w:top w:w="0" w:type="dxa"/>
            <w:left w:w="108" w:type="dxa"/>
            <w:bottom w:w="0" w:type="dxa"/>
            <w:right w:w="108" w:type="dxa"/>
          </w:tblCellMar>
        </w:tblPrEx>
        <w:trPr>
          <w:trHeight w:val="600" w:hRule="atLeast"/>
        </w:trPr>
        <w:tc>
          <w:tcPr>
            <w:tcW w:w="7544"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合   计（暂定总价）</w:t>
            </w:r>
          </w:p>
        </w:tc>
        <w:tc>
          <w:tcPr>
            <w:tcW w:w="1916" w:type="dxa"/>
            <w:tcBorders>
              <w:top w:val="nil"/>
              <w:left w:val="nil"/>
              <w:bottom w:val="single" w:color="auto" w:sz="4" w:space="0"/>
              <w:right w:val="single" w:color="auto" w:sz="4" w:space="0"/>
            </w:tcBorders>
            <w:shd w:val="clear" w:color="auto" w:fill="auto"/>
            <w:vAlign w:val="center"/>
          </w:tcPr>
          <w:p>
            <w:pPr>
              <w:jc w:val="center"/>
              <w:textAlignment w:val="center"/>
              <w:rPr>
                <w:rFonts w:ascii="宋体" w:hAnsi="宋体" w:cs="宋体"/>
                <w:color w:val="000000"/>
                <w:sz w:val="22"/>
                <w:szCs w:val="22"/>
              </w:rPr>
            </w:pPr>
            <w:r>
              <w:rPr>
                <w:rFonts w:hint="eastAsia" w:ascii="宋体" w:hAnsi="宋体" w:cs="宋体"/>
                <w:color w:val="000000"/>
                <w:sz w:val="22"/>
                <w:szCs w:val="22"/>
                <w:lang w:bidi="ar"/>
              </w:rPr>
              <w:t>19763.36</w:t>
            </w:r>
          </w:p>
        </w:tc>
      </w:tr>
    </w:tbl>
    <w:p>
      <w:pPr>
        <w:pStyle w:val="31"/>
        <w:rPr>
          <w:rFonts w:hAnsi="宋体" w:cs="宋体"/>
        </w:rPr>
      </w:pPr>
    </w:p>
    <w:p>
      <w:pPr>
        <w:rPr>
          <w:rFonts w:hAnsi="宋体" w:cs="宋体"/>
        </w:rPr>
      </w:pPr>
      <w:r>
        <w:rPr>
          <w:rFonts w:hint="eastAsia" w:hAnsi="宋体" w:cs="宋体"/>
        </w:rPr>
        <w:br w:type="page"/>
      </w:r>
    </w:p>
    <w:p>
      <w:pPr>
        <w:rPr>
          <w:b/>
          <w:szCs w:val="32"/>
        </w:rPr>
      </w:pPr>
      <w:r>
        <w:rPr>
          <w:rFonts w:hint="eastAsia"/>
          <w:b/>
          <w:szCs w:val="32"/>
        </w:rPr>
        <w:t>附件二：</w:t>
      </w:r>
    </w:p>
    <w:p>
      <w:pPr>
        <w:spacing w:line="360" w:lineRule="auto"/>
        <w:jc w:val="center"/>
        <w:rPr>
          <w:rFonts w:ascii="宋体" w:hAnsi="宋体"/>
          <w:b/>
          <w:bCs/>
        </w:rPr>
      </w:pPr>
      <w:r>
        <w:rPr>
          <w:rFonts w:hint="eastAsia" w:ascii="宋体" w:hAnsi="宋体"/>
          <w:b/>
          <w:bCs/>
        </w:rPr>
        <w:t>廉政合作协议</w:t>
      </w:r>
    </w:p>
    <w:p>
      <w:pPr>
        <w:spacing w:line="360" w:lineRule="auto"/>
        <w:rPr>
          <w:rFonts w:ascii="宋体" w:hAnsi="宋体" w:cs="宋体"/>
        </w:rPr>
      </w:pPr>
      <w:r>
        <w:rPr>
          <w:rFonts w:hint="eastAsia" w:ascii="宋体" w:hAnsi="宋体" w:cs="宋体"/>
        </w:rPr>
        <w:t>甲方：</w:t>
      </w:r>
      <w:r>
        <w:rPr>
          <w:rFonts w:hint="eastAsia" w:ascii="宋体" w:hAnsi="宋体" w:cs="宋体"/>
          <w:u w:val="single"/>
        </w:rPr>
        <w:t>洛阳浩德鑫置地有限公司</w:t>
      </w:r>
    </w:p>
    <w:p>
      <w:pPr>
        <w:spacing w:line="360" w:lineRule="auto"/>
        <w:rPr>
          <w:rFonts w:ascii="宋体" w:hAnsi="宋体" w:cs="宋体"/>
        </w:rPr>
      </w:pPr>
      <w:r>
        <w:rPr>
          <w:rFonts w:hint="eastAsia" w:ascii="宋体" w:hAnsi="宋体" w:cs="宋体"/>
        </w:rPr>
        <w:t>乙方：</w:t>
      </w:r>
      <w:r>
        <w:rPr>
          <w:rFonts w:hint="eastAsia" w:ascii="宋体" w:hAnsi="宋体" w:cs="宋体"/>
          <w:u w:val="single"/>
        </w:rPr>
        <w:t>洛阳业丰建设工程服务有限公司</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60288"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8"/>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（5）电话：地产风控总监：</w:t>
      </w:r>
      <w:r>
        <w:rPr>
          <w:rFonts w:ascii="宋体" w:hAnsi="宋体" w:cs="宋体"/>
          <w:szCs w:val="28"/>
        </w:rPr>
        <w:t>1</w:t>
      </w:r>
      <w:r>
        <w:rPr>
          <w:rFonts w:hint="eastAsia" w:ascii="宋体" w:hAnsi="宋体" w:cs="宋体"/>
          <w:szCs w:val="28"/>
        </w:rPr>
        <w:t>8638357973</w:t>
      </w:r>
    </w:p>
    <w:p>
      <w:pPr>
        <w:spacing w:line="360" w:lineRule="auto"/>
        <w:ind w:firstLine="480" w:firstLineChars="200"/>
        <w:rPr>
          <w:rFonts w:ascii="宋体" w:hAnsi="宋体" w:cs="宋体"/>
          <w:szCs w:val="28"/>
        </w:rPr>
      </w:pPr>
      <w:r>
        <w:rPr>
          <w:rFonts w:hint="eastAsia" w:ascii="宋体" w:hAnsi="宋体" w:cs="宋体"/>
          <w:szCs w:val="28"/>
        </w:rPr>
        <w:t>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spacing w:line="360" w:lineRule="auto"/>
        <w:ind w:firstLine="480" w:firstLineChars="200"/>
        <w:rPr>
          <w:rFonts w:ascii="宋体" w:hAnsi="宋体" w:cs="宋体"/>
        </w:rPr>
      </w:pPr>
      <w:r>
        <w:rPr>
          <w:rFonts w:hint="eastAsia" w:ascii="宋体" w:hAnsi="宋体" w:cs="宋体"/>
          <w:color w:val="000000"/>
          <w:szCs w:val="32"/>
        </w:rPr>
        <w:t>甲方：</w:t>
      </w:r>
      <w:r>
        <w:rPr>
          <w:rFonts w:hint="eastAsia" w:ascii="宋体" w:hAnsi="宋体" w:cs="宋体"/>
        </w:rPr>
        <w:t>洛阳浩德鑫置地有限公司</w:t>
      </w:r>
      <w:r>
        <w:rPr>
          <w:rFonts w:hint="eastAsia" w:ascii="宋体" w:hAnsi="宋体" w:cs="宋体"/>
          <w:color w:val="000000"/>
          <w:szCs w:val="32"/>
        </w:rPr>
        <w:t xml:space="preserve">          乙方：洛阳业丰建设工程服务有限公司</w:t>
      </w:r>
    </w:p>
    <w:p>
      <w:pPr>
        <w:ind w:firstLine="480" w:firstLineChars="200"/>
        <w:rPr>
          <w:u w:val="single"/>
        </w:rPr>
      </w:pPr>
      <w:r>
        <w:rPr>
          <w:rFonts w:hint="eastAsia" w:ascii="宋体" w:hAnsi="宋体" w:cs="宋体"/>
          <w:color w:val="000000"/>
          <w:szCs w:val="32"/>
        </w:rPr>
        <w:t>签署日期：2023年6月</w:t>
      </w:r>
      <w:r>
        <w:rPr>
          <w:rFonts w:hint="eastAsia" w:ascii="宋体" w:hAnsi="宋体" w:cs="宋体"/>
          <w:color w:val="000000"/>
          <w:szCs w:val="32"/>
          <w:u w:val="single"/>
        </w:rPr>
        <w:t>15</w:t>
      </w:r>
      <w:r>
        <w:rPr>
          <w:rFonts w:hint="eastAsia" w:ascii="宋体" w:hAnsi="宋体" w:cs="宋体"/>
          <w:color w:val="000000"/>
          <w:szCs w:val="32"/>
        </w:rPr>
        <w:t>日                 签署日期：2023年6月</w:t>
      </w:r>
      <w:r>
        <w:rPr>
          <w:rFonts w:hint="eastAsia" w:ascii="宋体" w:hAnsi="宋体" w:cs="宋体"/>
          <w:color w:val="000000"/>
          <w:szCs w:val="32"/>
          <w:u w:val="single"/>
        </w:rPr>
        <w:t>15</w:t>
      </w:r>
      <w:r>
        <w:rPr>
          <w:rFonts w:hint="eastAsia" w:ascii="宋体" w:hAnsi="宋体" w:cs="宋体"/>
          <w:color w:val="000000"/>
          <w:szCs w:val="32"/>
        </w:rPr>
        <w:t>日</w:t>
      </w:r>
    </w:p>
    <w:p>
      <w:pPr>
        <w:jc w:val="center"/>
        <w:rPr>
          <w:rFonts w:ascii="宋体" w:hAnsi="宋体" w:cs="宋体"/>
          <w:b/>
          <w:bCs/>
          <w:sz w:val="21"/>
          <w:szCs w:val="21"/>
        </w:rPr>
      </w:pPr>
    </w:p>
    <w:sectPr>
      <w:headerReference r:id="rId5" w:type="default"/>
      <w:footerReference r:id="rId6" w:type="default"/>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drawing>
        <wp:inline distT="0" distB="0" distL="114300" distR="114300">
          <wp:extent cx="1019810" cy="314325"/>
          <wp:effectExtent l="0" t="0" r="8890" b="9525"/>
          <wp:docPr id="4"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u w:val="single"/>
      </w:rPr>
    </w:pPr>
    <w:r>
      <w:rPr>
        <w:rFonts w:hint="eastAsia"/>
        <w:sz w:val="17"/>
        <w:szCs w:val="17"/>
        <w:u w:val="single"/>
      </w:rPr>
      <w:drawing>
        <wp:inline distT="0" distB="0" distL="114300" distR="114300">
          <wp:extent cx="1457960" cy="624840"/>
          <wp:effectExtent l="0" t="0" r="0" b="0"/>
          <wp:docPr id="5"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浩德地产横版-透明底"/>
                  <pic:cNvPicPr>
                    <a:picLocks noChangeAspect="1"/>
                  </pic:cNvPicPr>
                </pic:nvPicPr>
                <pic:blipFill>
                  <a:blip r:embed="rId1"/>
                  <a:stretch>
                    <a:fillRect/>
                  </a:stretch>
                </pic:blipFill>
                <pic:spPr>
                  <a:xfrm>
                    <a:off x="0" y="0"/>
                    <a:ext cx="1457960" cy="624840"/>
                  </a:xfrm>
                  <a:prstGeom prst="rect">
                    <a:avLst/>
                  </a:prstGeom>
                  <a:noFill/>
                  <a:ln>
                    <a:noFill/>
                  </a:ln>
                </pic:spPr>
              </pic:pic>
            </a:graphicData>
          </a:graphic>
        </wp:inline>
      </w:drawing>
    </w:r>
    <w:r>
      <w:rPr>
        <w:rFonts w:hint="eastAsia"/>
        <w:sz w:val="17"/>
        <w:szCs w:val="17"/>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85217C"/>
    <w:multiLevelType w:val="singleLevel"/>
    <w:tmpl w:val="0E85217C"/>
    <w:lvl w:ilvl="0" w:tentative="0">
      <w:start w:val="3"/>
      <w:numFmt w:val="chineseCounting"/>
      <w:suff w:val="space"/>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20"/>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OTEwZjBkZWQ4M2IxZWZlYjA1MDVmNzAzYTU1MWQifQ=="/>
  </w:docVars>
  <w:rsids>
    <w:rsidRoot w:val="00172A27"/>
    <w:rsid w:val="0000035C"/>
    <w:rsid w:val="00002BE7"/>
    <w:rsid w:val="00021848"/>
    <w:rsid w:val="00025903"/>
    <w:rsid w:val="000275AF"/>
    <w:rsid w:val="00030FE2"/>
    <w:rsid w:val="00032BA4"/>
    <w:rsid w:val="00043F00"/>
    <w:rsid w:val="00046A7A"/>
    <w:rsid w:val="00050DBC"/>
    <w:rsid w:val="00051C86"/>
    <w:rsid w:val="000567A6"/>
    <w:rsid w:val="000611C0"/>
    <w:rsid w:val="000651F8"/>
    <w:rsid w:val="0006602E"/>
    <w:rsid w:val="00083843"/>
    <w:rsid w:val="0008617E"/>
    <w:rsid w:val="0009200B"/>
    <w:rsid w:val="000935A8"/>
    <w:rsid w:val="00095458"/>
    <w:rsid w:val="000A0DD4"/>
    <w:rsid w:val="000A2B0E"/>
    <w:rsid w:val="000A5900"/>
    <w:rsid w:val="000B0ABD"/>
    <w:rsid w:val="000B12BA"/>
    <w:rsid w:val="000B5E15"/>
    <w:rsid w:val="000B5FEF"/>
    <w:rsid w:val="000D0F2E"/>
    <w:rsid w:val="000D1454"/>
    <w:rsid w:val="000E0ACF"/>
    <w:rsid w:val="000E3DC9"/>
    <w:rsid w:val="000F1288"/>
    <w:rsid w:val="000F1B47"/>
    <w:rsid w:val="000F2987"/>
    <w:rsid w:val="000F4A44"/>
    <w:rsid w:val="001155CD"/>
    <w:rsid w:val="001171D6"/>
    <w:rsid w:val="001217DD"/>
    <w:rsid w:val="00122280"/>
    <w:rsid w:val="0012416B"/>
    <w:rsid w:val="001242E6"/>
    <w:rsid w:val="00125518"/>
    <w:rsid w:val="00130D9F"/>
    <w:rsid w:val="00130DD2"/>
    <w:rsid w:val="00132F41"/>
    <w:rsid w:val="00134067"/>
    <w:rsid w:val="001361EE"/>
    <w:rsid w:val="0013744C"/>
    <w:rsid w:val="001428AF"/>
    <w:rsid w:val="00144414"/>
    <w:rsid w:val="00155131"/>
    <w:rsid w:val="0016637A"/>
    <w:rsid w:val="00166CD7"/>
    <w:rsid w:val="00167FF2"/>
    <w:rsid w:val="001729AD"/>
    <w:rsid w:val="00172A27"/>
    <w:rsid w:val="00173D8E"/>
    <w:rsid w:val="001741C1"/>
    <w:rsid w:val="00174CA7"/>
    <w:rsid w:val="00182C92"/>
    <w:rsid w:val="00186FC7"/>
    <w:rsid w:val="0018724A"/>
    <w:rsid w:val="00192D78"/>
    <w:rsid w:val="001A1020"/>
    <w:rsid w:val="001B30F3"/>
    <w:rsid w:val="001B64A7"/>
    <w:rsid w:val="001C1AE2"/>
    <w:rsid w:val="001C686A"/>
    <w:rsid w:val="001D1CBD"/>
    <w:rsid w:val="001D5966"/>
    <w:rsid w:val="001E49CB"/>
    <w:rsid w:val="001E4F40"/>
    <w:rsid w:val="001E62B5"/>
    <w:rsid w:val="001E6E20"/>
    <w:rsid w:val="001F15A4"/>
    <w:rsid w:val="001F287F"/>
    <w:rsid w:val="001F3927"/>
    <w:rsid w:val="002003AC"/>
    <w:rsid w:val="00203084"/>
    <w:rsid w:val="00204334"/>
    <w:rsid w:val="00214278"/>
    <w:rsid w:val="00224116"/>
    <w:rsid w:val="002249C5"/>
    <w:rsid w:val="00224CE6"/>
    <w:rsid w:val="0022528B"/>
    <w:rsid w:val="00230B0C"/>
    <w:rsid w:val="00234BC6"/>
    <w:rsid w:val="0024001A"/>
    <w:rsid w:val="002430D7"/>
    <w:rsid w:val="00247E88"/>
    <w:rsid w:val="00251070"/>
    <w:rsid w:val="002538B0"/>
    <w:rsid w:val="00254D0F"/>
    <w:rsid w:val="00263212"/>
    <w:rsid w:val="00266BF9"/>
    <w:rsid w:val="00267BD3"/>
    <w:rsid w:val="00271E70"/>
    <w:rsid w:val="00274581"/>
    <w:rsid w:val="002756A2"/>
    <w:rsid w:val="00276A58"/>
    <w:rsid w:val="00280B74"/>
    <w:rsid w:val="00281BC4"/>
    <w:rsid w:val="002844BC"/>
    <w:rsid w:val="00286338"/>
    <w:rsid w:val="00292B7F"/>
    <w:rsid w:val="002A07B8"/>
    <w:rsid w:val="002A0E81"/>
    <w:rsid w:val="002B10B3"/>
    <w:rsid w:val="002B116F"/>
    <w:rsid w:val="002B237C"/>
    <w:rsid w:val="002B4797"/>
    <w:rsid w:val="002C278F"/>
    <w:rsid w:val="002D62D0"/>
    <w:rsid w:val="002E0377"/>
    <w:rsid w:val="002E7D24"/>
    <w:rsid w:val="002F3135"/>
    <w:rsid w:val="002F5C6D"/>
    <w:rsid w:val="00301C1C"/>
    <w:rsid w:val="00306F54"/>
    <w:rsid w:val="00325389"/>
    <w:rsid w:val="003265F8"/>
    <w:rsid w:val="00331FA0"/>
    <w:rsid w:val="00333FDE"/>
    <w:rsid w:val="00347739"/>
    <w:rsid w:val="00352320"/>
    <w:rsid w:val="003524A4"/>
    <w:rsid w:val="003612E8"/>
    <w:rsid w:val="003730F3"/>
    <w:rsid w:val="00380CF5"/>
    <w:rsid w:val="00381151"/>
    <w:rsid w:val="00381155"/>
    <w:rsid w:val="003821D2"/>
    <w:rsid w:val="003825A7"/>
    <w:rsid w:val="00391623"/>
    <w:rsid w:val="003A0696"/>
    <w:rsid w:val="003A461F"/>
    <w:rsid w:val="003B0289"/>
    <w:rsid w:val="003B034B"/>
    <w:rsid w:val="003B4A6E"/>
    <w:rsid w:val="003D347D"/>
    <w:rsid w:val="003D4E85"/>
    <w:rsid w:val="003E313B"/>
    <w:rsid w:val="003E559B"/>
    <w:rsid w:val="003E6046"/>
    <w:rsid w:val="003F72C2"/>
    <w:rsid w:val="00416AD0"/>
    <w:rsid w:val="00431829"/>
    <w:rsid w:val="004420D2"/>
    <w:rsid w:val="0044357B"/>
    <w:rsid w:val="00447961"/>
    <w:rsid w:val="004509EC"/>
    <w:rsid w:val="00451569"/>
    <w:rsid w:val="00451EDD"/>
    <w:rsid w:val="0045372F"/>
    <w:rsid w:val="004569B7"/>
    <w:rsid w:val="00457A55"/>
    <w:rsid w:val="00467995"/>
    <w:rsid w:val="00476574"/>
    <w:rsid w:val="004769E2"/>
    <w:rsid w:val="00480932"/>
    <w:rsid w:val="00481125"/>
    <w:rsid w:val="004851B9"/>
    <w:rsid w:val="00490E68"/>
    <w:rsid w:val="00494E70"/>
    <w:rsid w:val="00496681"/>
    <w:rsid w:val="004B3B3E"/>
    <w:rsid w:val="004B43E5"/>
    <w:rsid w:val="004B50A5"/>
    <w:rsid w:val="004C417D"/>
    <w:rsid w:val="004D2B0E"/>
    <w:rsid w:val="004E049F"/>
    <w:rsid w:val="004F64B2"/>
    <w:rsid w:val="00506E77"/>
    <w:rsid w:val="00525040"/>
    <w:rsid w:val="005279C1"/>
    <w:rsid w:val="005310EA"/>
    <w:rsid w:val="005325F7"/>
    <w:rsid w:val="00540A8B"/>
    <w:rsid w:val="00540C18"/>
    <w:rsid w:val="005440AA"/>
    <w:rsid w:val="00544D6C"/>
    <w:rsid w:val="00564D78"/>
    <w:rsid w:val="005A49E5"/>
    <w:rsid w:val="005B28B2"/>
    <w:rsid w:val="005B4654"/>
    <w:rsid w:val="005B4C45"/>
    <w:rsid w:val="005B6697"/>
    <w:rsid w:val="005B7B79"/>
    <w:rsid w:val="005C7CE1"/>
    <w:rsid w:val="005D0FB3"/>
    <w:rsid w:val="005D7D45"/>
    <w:rsid w:val="005E0AF9"/>
    <w:rsid w:val="005F6C0C"/>
    <w:rsid w:val="00603C08"/>
    <w:rsid w:val="00615BAD"/>
    <w:rsid w:val="0062797F"/>
    <w:rsid w:val="006304BD"/>
    <w:rsid w:val="006336EB"/>
    <w:rsid w:val="00633958"/>
    <w:rsid w:val="006341B1"/>
    <w:rsid w:val="00637B1E"/>
    <w:rsid w:val="00645D7B"/>
    <w:rsid w:val="006463D2"/>
    <w:rsid w:val="00646512"/>
    <w:rsid w:val="00660DDE"/>
    <w:rsid w:val="00675A03"/>
    <w:rsid w:val="006761BF"/>
    <w:rsid w:val="00676BCC"/>
    <w:rsid w:val="0068015B"/>
    <w:rsid w:val="00681245"/>
    <w:rsid w:val="00684AAB"/>
    <w:rsid w:val="0068634A"/>
    <w:rsid w:val="0068691E"/>
    <w:rsid w:val="00693AD5"/>
    <w:rsid w:val="00693ECD"/>
    <w:rsid w:val="00694C55"/>
    <w:rsid w:val="00697E6E"/>
    <w:rsid w:val="006A0B08"/>
    <w:rsid w:val="006A372D"/>
    <w:rsid w:val="006B06F4"/>
    <w:rsid w:val="006C27EE"/>
    <w:rsid w:val="006C7B2C"/>
    <w:rsid w:val="006D2156"/>
    <w:rsid w:val="006D2B76"/>
    <w:rsid w:val="006D3C37"/>
    <w:rsid w:val="006D4BD5"/>
    <w:rsid w:val="006F17E4"/>
    <w:rsid w:val="006F4552"/>
    <w:rsid w:val="00711AFE"/>
    <w:rsid w:val="00714070"/>
    <w:rsid w:val="007167CF"/>
    <w:rsid w:val="00732A40"/>
    <w:rsid w:val="00736099"/>
    <w:rsid w:val="00740589"/>
    <w:rsid w:val="00744B47"/>
    <w:rsid w:val="007708A3"/>
    <w:rsid w:val="00772AF0"/>
    <w:rsid w:val="00775071"/>
    <w:rsid w:val="00783B06"/>
    <w:rsid w:val="00784276"/>
    <w:rsid w:val="00790C04"/>
    <w:rsid w:val="007972C9"/>
    <w:rsid w:val="007B34D8"/>
    <w:rsid w:val="007B370D"/>
    <w:rsid w:val="007B4437"/>
    <w:rsid w:val="007C0451"/>
    <w:rsid w:val="007C5ECC"/>
    <w:rsid w:val="007E06E0"/>
    <w:rsid w:val="007E0D77"/>
    <w:rsid w:val="007E1D3B"/>
    <w:rsid w:val="007E36C6"/>
    <w:rsid w:val="007E578B"/>
    <w:rsid w:val="00804F60"/>
    <w:rsid w:val="008113C5"/>
    <w:rsid w:val="00811D3E"/>
    <w:rsid w:val="008120F1"/>
    <w:rsid w:val="00814538"/>
    <w:rsid w:val="0082002F"/>
    <w:rsid w:val="00825ED5"/>
    <w:rsid w:val="00845B39"/>
    <w:rsid w:val="008574BA"/>
    <w:rsid w:val="008603F3"/>
    <w:rsid w:val="00861664"/>
    <w:rsid w:val="008652EC"/>
    <w:rsid w:val="00873AEF"/>
    <w:rsid w:val="008959A8"/>
    <w:rsid w:val="00895D25"/>
    <w:rsid w:val="008A2048"/>
    <w:rsid w:val="008A2446"/>
    <w:rsid w:val="008B097F"/>
    <w:rsid w:val="008B44E1"/>
    <w:rsid w:val="008B65F1"/>
    <w:rsid w:val="008B6A9C"/>
    <w:rsid w:val="008C7742"/>
    <w:rsid w:val="008D366E"/>
    <w:rsid w:val="008F1D69"/>
    <w:rsid w:val="008F4BE8"/>
    <w:rsid w:val="008F668F"/>
    <w:rsid w:val="008F6B93"/>
    <w:rsid w:val="008F6E5A"/>
    <w:rsid w:val="008F6FA0"/>
    <w:rsid w:val="00902D1A"/>
    <w:rsid w:val="009038D7"/>
    <w:rsid w:val="00905129"/>
    <w:rsid w:val="0090581F"/>
    <w:rsid w:val="00912608"/>
    <w:rsid w:val="00922CDF"/>
    <w:rsid w:val="009235D1"/>
    <w:rsid w:val="009247AC"/>
    <w:rsid w:val="00942960"/>
    <w:rsid w:val="00950519"/>
    <w:rsid w:val="009506C8"/>
    <w:rsid w:val="00957CE9"/>
    <w:rsid w:val="00964F98"/>
    <w:rsid w:val="00965443"/>
    <w:rsid w:val="009712CF"/>
    <w:rsid w:val="00971BB9"/>
    <w:rsid w:val="00976B94"/>
    <w:rsid w:val="009777AB"/>
    <w:rsid w:val="00983E5F"/>
    <w:rsid w:val="009873C3"/>
    <w:rsid w:val="009913B5"/>
    <w:rsid w:val="0099594F"/>
    <w:rsid w:val="009A01FF"/>
    <w:rsid w:val="009B4B1B"/>
    <w:rsid w:val="009C4BA1"/>
    <w:rsid w:val="009C5378"/>
    <w:rsid w:val="009D34A6"/>
    <w:rsid w:val="009D4812"/>
    <w:rsid w:val="009E564B"/>
    <w:rsid w:val="009E5E2F"/>
    <w:rsid w:val="009F5934"/>
    <w:rsid w:val="009F6E16"/>
    <w:rsid w:val="009F7647"/>
    <w:rsid w:val="00A01C4E"/>
    <w:rsid w:val="00A10A1A"/>
    <w:rsid w:val="00A17346"/>
    <w:rsid w:val="00A200AE"/>
    <w:rsid w:val="00A23D89"/>
    <w:rsid w:val="00A335E8"/>
    <w:rsid w:val="00A3754E"/>
    <w:rsid w:val="00A47A58"/>
    <w:rsid w:val="00A52AE1"/>
    <w:rsid w:val="00A541D9"/>
    <w:rsid w:val="00A6125B"/>
    <w:rsid w:val="00A64C7F"/>
    <w:rsid w:val="00A66566"/>
    <w:rsid w:val="00A674A7"/>
    <w:rsid w:val="00A71FB1"/>
    <w:rsid w:val="00A75459"/>
    <w:rsid w:val="00A8612F"/>
    <w:rsid w:val="00A862E2"/>
    <w:rsid w:val="00A905D2"/>
    <w:rsid w:val="00A96532"/>
    <w:rsid w:val="00A972C1"/>
    <w:rsid w:val="00AA02CD"/>
    <w:rsid w:val="00AA6BFB"/>
    <w:rsid w:val="00AA7369"/>
    <w:rsid w:val="00AB470B"/>
    <w:rsid w:val="00AC00BF"/>
    <w:rsid w:val="00AC3BBF"/>
    <w:rsid w:val="00AD112B"/>
    <w:rsid w:val="00AD5CD6"/>
    <w:rsid w:val="00AD7D58"/>
    <w:rsid w:val="00AE0780"/>
    <w:rsid w:val="00AF0279"/>
    <w:rsid w:val="00B04871"/>
    <w:rsid w:val="00B04DC8"/>
    <w:rsid w:val="00B05C6B"/>
    <w:rsid w:val="00B249E1"/>
    <w:rsid w:val="00B308B5"/>
    <w:rsid w:val="00B359A9"/>
    <w:rsid w:val="00B36893"/>
    <w:rsid w:val="00B404ED"/>
    <w:rsid w:val="00B41AAE"/>
    <w:rsid w:val="00B50F56"/>
    <w:rsid w:val="00B51CE8"/>
    <w:rsid w:val="00B535D0"/>
    <w:rsid w:val="00B65F43"/>
    <w:rsid w:val="00B71604"/>
    <w:rsid w:val="00B742BC"/>
    <w:rsid w:val="00B77787"/>
    <w:rsid w:val="00B778D2"/>
    <w:rsid w:val="00B91515"/>
    <w:rsid w:val="00B94596"/>
    <w:rsid w:val="00B94774"/>
    <w:rsid w:val="00B94A6B"/>
    <w:rsid w:val="00BA7273"/>
    <w:rsid w:val="00BB00E7"/>
    <w:rsid w:val="00BB1793"/>
    <w:rsid w:val="00BB21B2"/>
    <w:rsid w:val="00BB27E0"/>
    <w:rsid w:val="00BC2057"/>
    <w:rsid w:val="00BC3D70"/>
    <w:rsid w:val="00BD17ED"/>
    <w:rsid w:val="00BD74A8"/>
    <w:rsid w:val="00BE1DAF"/>
    <w:rsid w:val="00BE1DDC"/>
    <w:rsid w:val="00BE27B3"/>
    <w:rsid w:val="00BF11A8"/>
    <w:rsid w:val="00C0014F"/>
    <w:rsid w:val="00C066B9"/>
    <w:rsid w:val="00C1091E"/>
    <w:rsid w:val="00C1354F"/>
    <w:rsid w:val="00C14F37"/>
    <w:rsid w:val="00C201E3"/>
    <w:rsid w:val="00C205C6"/>
    <w:rsid w:val="00C22882"/>
    <w:rsid w:val="00C3059C"/>
    <w:rsid w:val="00C37705"/>
    <w:rsid w:val="00C415BA"/>
    <w:rsid w:val="00C441EB"/>
    <w:rsid w:val="00C479F5"/>
    <w:rsid w:val="00C618BF"/>
    <w:rsid w:val="00C67FDD"/>
    <w:rsid w:val="00C75B0F"/>
    <w:rsid w:val="00C82F77"/>
    <w:rsid w:val="00CA038F"/>
    <w:rsid w:val="00CA591B"/>
    <w:rsid w:val="00CB395D"/>
    <w:rsid w:val="00CC6E23"/>
    <w:rsid w:val="00CC6F99"/>
    <w:rsid w:val="00CD00D9"/>
    <w:rsid w:val="00CD06FA"/>
    <w:rsid w:val="00CD0ABF"/>
    <w:rsid w:val="00CD7964"/>
    <w:rsid w:val="00CE06F0"/>
    <w:rsid w:val="00CF0D3B"/>
    <w:rsid w:val="00CF16C2"/>
    <w:rsid w:val="00CF649E"/>
    <w:rsid w:val="00CF7356"/>
    <w:rsid w:val="00D11473"/>
    <w:rsid w:val="00D155CA"/>
    <w:rsid w:val="00D26A74"/>
    <w:rsid w:val="00D26BCE"/>
    <w:rsid w:val="00D32861"/>
    <w:rsid w:val="00D33A1B"/>
    <w:rsid w:val="00D41801"/>
    <w:rsid w:val="00D44BBA"/>
    <w:rsid w:val="00D45C4C"/>
    <w:rsid w:val="00D546FF"/>
    <w:rsid w:val="00D55597"/>
    <w:rsid w:val="00D60E20"/>
    <w:rsid w:val="00D70072"/>
    <w:rsid w:val="00D7223C"/>
    <w:rsid w:val="00D73DA2"/>
    <w:rsid w:val="00D93EDE"/>
    <w:rsid w:val="00D93FE2"/>
    <w:rsid w:val="00D951D4"/>
    <w:rsid w:val="00DA7B98"/>
    <w:rsid w:val="00DC2228"/>
    <w:rsid w:val="00DC79A6"/>
    <w:rsid w:val="00DF4F31"/>
    <w:rsid w:val="00DF5E78"/>
    <w:rsid w:val="00E0179F"/>
    <w:rsid w:val="00E02914"/>
    <w:rsid w:val="00E03D05"/>
    <w:rsid w:val="00E05363"/>
    <w:rsid w:val="00E137D5"/>
    <w:rsid w:val="00E15660"/>
    <w:rsid w:val="00E25FDB"/>
    <w:rsid w:val="00E27868"/>
    <w:rsid w:val="00E27F74"/>
    <w:rsid w:val="00E30CC3"/>
    <w:rsid w:val="00E37BC7"/>
    <w:rsid w:val="00E4130E"/>
    <w:rsid w:val="00E41BF1"/>
    <w:rsid w:val="00E43B80"/>
    <w:rsid w:val="00E60F98"/>
    <w:rsid w:val="00E62D5D"/>
    <w:rsid w:val="00E73F56"/>
    <w:rsid w:val="00E74E95"/>
    <w:rsid w:val="00E800D5"/>
    <w:rsid w:val="00E81557"/>
    <w:rsid w:val="00E83E6B"/>
    <w:rsid w:val="00E84D33"/>
    <w:rsid w:val="00E94509"/>
    <w:rsid w:val="00EA56A7"/>
    <w:rsid w:val="00EB1C17"/>
    <w:rsid w:val="00EB5EC2"/>
    <w:rsid w:val="00EC5C1B"/>
    <w:rsid w:val="00ED046E"/>
    <w:rsid w:val="00ED0806"/>
    <w:rsid w:val="00ED667A"/>
    <w:rsid w:val="00EE7838"/>
    <w:rsid w:val="00F01FAA"/>
    <w:rsid w:val="00F04757"/>
    <w:rsid w:val="00F0513C"/>
    <w:rsid w:val="00F261D3"/>
    <w:rsid w:val="00F30D0E"/>
    <w:rsid w:val="00F32A15"/>
    <w:rsid w:val="00F37369"/>
    <w:rsid w:val="00F44F12"/>
    <w:rsid w:val="00F45855"/>
    <w:rsid w:val="00F549DC"/>
    <w:rsid w:val="00F6177D"/>
    <w:rsid w:val="00F6357C"/>
    <w:rsid w:val="00F65FB2"/>
    <w:rsid w:val="00F7220B"/>
    <w:rsid w:val="00F7591A"/>
    <w:rsid w:val="00F76835"/>
    <w:rsid w:val="00F76924"/>
    <w:rsid w:val="00F7776C"/>
    <w:rsid w:val="00F77E68"/>
    <w:rsid w:val="00F81CC6"/>
    <w:rsid w:val="00F82CC8"/>
    <w:rsid w:val="00F82F5C"/>
    <w:rsid w:val="00F90200"/>
    <w:rsid w:val="00FA0003"/>
    <w:rsid w:val="00FA317E"/>
    <w:rsid w:val="00FB266B"/>
    <w:rsid w:val="00FB2B72"/>
    <w:rsid w:val="00FC2EA0"/>
    <w:rsid w:val="00FC3DAD"/>
    <w:rsid w:val="00FD08CC"/>
    <w:rsid w:val="00FD3CB5"/>
    <w:rsid w:val="00FD657D"/>
    <w:rsid w:val="00FE421F"/>
    <w:rsid w:val="00FE5033"/>
    <w:rsid w:val="00FF1469"/>
    <w:rsid w:val="00FF1E7E"/>
    <w:rsid w:val="00FF37F1"/>
    <w:rsid w:val="019F50DD"/>
    <w:rsid w:val="03CB2B44"/>
    <w:rsid w:val="05704BE1"/>
    <w:rsid w:val="06F655E9"/>
    <w:rsid w:val="074E7FA8"/>
    <w:rsid w:val="086757FA"/>
    <w:rsid w:val="0A171CC6"/>
    <w:rsid w:val="0BFC5141"/>
    <w:rsid w:val="0D145C9C"/>
    <w:rsid w:val="0D874BBF"/>
    <w:rsid w:val="0F174794"/>
    <w:rsid w:val="10B770C7"/>
    <w:rsid w:val="1112548E"/>
    <w:rsid w:val="11507645"/>
    <w:rsid w:val="128C532C"/>
    <w:rsid w:val="12966D0A"/>
    <w:rsid w:val="12D2441C"/>
    <w:rsid w:val="13543FC7"/>
    <w:rsid w:val="15B760E0"/>
    <w:rsid w:val="16342268"/>
    <w:rsid w:val="16466479"/>
    <w:rsid w:val="16F577B5"/>
    <w:rsid w:val="17601E8D"/>
    <w:rsid w:val="17901863"/>
    <w:rsid w:val="17D97D03"/>
    <w:rsid w:val="18A77D1E"/>
    <w:rsid w:val="18AB1114"/>
    <w:rsid w:val="193B3D79"/>
    <w:rsid w:val="1A9D7141"/>
    <w:rsid w:val="1B327166"/>
    <w:rsid w:val="1C5C6BB4"/>
    <w:rsid w:val="1D1C01BC"/>
    <w:rsid w:val="1D27570C"/>
    <w:rsid w:val="1DB20597"/>
    <w:rsid w:val="1E0B3421"/>
    <w:rsid w:val="1E0B76EF"/>
    <w:rsid w:val="1E0E5D11"/>
    <w:rsid w:val="1EFF04FC"/>
    <w:rsid w:val="201A6B92"/>
    <w:rsid w:val="2066105E"/>
    <w:rsid w:val="22085B48"/>
    <w:rsid w:val="222D7787"/>
    <w:rsid w:val="224653AD"/>
    <w:rsid w:val="22620445"/>
    <w:rsid w:val="22A1298B"/>
    <w:rsid w:val="231C7242"/>
    <w:rsid w:val="234A6FAE"/>
    <w:rsid w:val="24465C7F"/>
    <w:rsid w:val="24C41786"/>
    <w:rsid w:val="24F30356"/>
    <w:rsid w:val="24F92E2C"/>
    <w:rsid w:val="259E4654"/>
    <w:rsid w:val="26926794"/>
    <w:rsid w:val="26F15741"/>
    <w:rsid w:val="292E6483"/>
    <w:rsid w:val="299B17F6"/>
    <w:rsid w:val="29B212A6"/>
    <w:rsid w:val="2A8A1440"/>
    <w:rsid w:val="2B0D4C92"/>
    <w:rsid w:val="2BA270B9"/>
    <w:rsid w:val="2C913D05"/>
    <w:rsid w:val="2CC32023"/>
    <w:rsid w:val="2D84336C"/>
    <w:rsid w:val="2E783D90"/>
    <w:rsid w:val="2EEB0F50"/>
    <w:rsid w:val="30134D12"/>
    <w:rsid w:val="316513E5"/>
    <w:rsid w:val="329D2AA9"/>
    <w:rsid w:val="32B01DAA"/>
    <w:rsid w:val="35BD613B"/>
    <w:rsid w:val="36982B94"/>
    <w:rsid w:val="36A076EF"/>
    <w:rsid w:val="37506D11"/>
    <w:rsid w:val="37945479"/>
    <w:rsid w:val="37A874F5"/>
    <w:rsid w:val="37F320DA"/>
    <w:rsid w:val="38B81DAA"/>
    <w:rsid w:val="38F01235"/>
    <w:rsid w:val="394324FE"/>
    <w:rsid w:val="3BA8226E"/>
    <w:rsid w:val="3D057BD9"/>
    <w:rsid w:val="3D4847C9"/>
    <w:rsid w:val="3E0003DF"/>
    <w:rsid w:val="3E422B1E"/>
    <w:rsid w:val="3EAB3353"/>
    <w:rsid w:val="3EAE44AF"/>
    <w:rsid w:val="3F0F205A"/>
    <w:rsid w:val="3F500C93"/>
    <w:rsid w:val="3FA369E3"/>
    <w:rsid w:val="4100278A"/>
    <w:rsid w:val="41091C64"/>
    <w:rsid w:val="42721EDF"/>
    <w:rsid w:val="44AF08E0"/>
    <w:rsid w:val="44C965F0"/>
    <w:rsid w:val="45553485"/>
    <w:rsid w:val="46574DF8"/>
    <w:rsid w:val="47466899"/>
    <w:rsid w:val="481976C9"/>
    <w:rsid w:val="483A1B8C"/>
    <w:rsid w:val="483F5BEF"/>
    <w:rsid w:val="48E2351F"/>
    <w:rsid w:val="49D7437C"/>
    <w:rsid w:val="4B0A2524"/>
    <w:rsid w:val="4B4D164B"/>
    <w:rsid w:val="4B8B5553"/>
    <w:rsid w:val="4CD66A0B"/>
    <w:rsid w:val="4DD274B4"/>
    <w:rsid w:val="4DE63C83"/>
    <w:rsid w:val="4E6475BB"/>
    <w:rsid w:val="4E8C7803"/>
    <w:rsid w:val="4E8E49EF"/>
    <w:rsid w:val="4EBD4112"/>
    <w:rsid w:val="4FA9538F"/>
    <w:rsid w:val="4FB721B2"/>
    <w:rsid w:val="5050435B"/>
    <w:rsid w:val="51497574"/>
    <w:rsid w:val="515A3F70"/>
    <w:rsid w:val="52205562"/>
    <w:rsid w:val="5235360D"/>
    <w:rsid w:val="537227A1"/>
    <w:rsid w:val="543345FC"/>
    <w:rsid w:val="5470276D"/>
    <w:rsid w:val="547444B5"/>
    <w:rsid w:val="54E3171B"/>
    <w:rsid w:val="55454D6A"/>
    <w:rsid w:val="554A579E"/>
    <w:rsid w:val="55782047"/>
    <w:rsid w:val="565A5F04"/>
    <w:rsid w:val="592134B6"/>
    <w:rsid w:val="5B364638"/>
    <w:rsid w:val="5C1B42CB"/>
    <w:rsid w:val="5E9B490D"/>
    <w:rsid w:val="631B2F8F"/>
    <w:rsid w:val="635050CE"/>
    <w:rsid w:val="63BD7347"/>
    <w:rsid w:val="63E41B0D"/>
    <w:rsid w:val="65461C16"/>
    <w:rsid w:val="65CD4500"/>
    <w:rsid w:val="65D268BF"/>
    <w:rsid w:val="660F1A4C"/>
    <w:rsid w:val="665F2972"/>
    <w:rsid w:val="67665312"/>
    <w:rsid w:val="6782385A"/>
    <w:rsid w:val="68FC6AAF"/>
    <w:rsid w:val="699670DE"/>
    <w:rsid w:val="69D57320"/>
    <w:rsid w:val="6A1A4DFA"/>
    <w:rsid w:val="6A2838E9"/>
    <w:rsid w:val="6A9216E1"/>
    <w:rsid w:val="6AB51A92"/>
    <w:rsid w:val="6AC5163A"/>
    <w:rsid w:val="6B1552B9"/>
    <w:rsid w:val="6B6A6A4F"/>
    <w:rsid w:val="6B991FAA"/>
    <w:rsid w:val="6ED41D46"/>
    <w:rsid w:val="6FF313AA"/>
    <w:rsid w:val="721B5D0C"/>
    <w:rsid w:val="72CF70DB"/>
    <w:rsid w:val="75E97B12"/>
    <w:rsid w:val="77ED79B1"/>
    <w:rsid w:val="78C50356"/>
    <w:rsid w:val="79A6738D"/>
    <w:rsid w:val="7A03422D"/>
    <w:rsid w:val="7B161606"/>
    <w:rsid w:val="7DDA4FD0"/>
    <w:rsid w:val="7E1C10CC"/>
    <w:rsid w:val="7EA96C28"/>
    <w:rsid w:val="7F552669"/>
    <w:rsid w:val="7F9D5C28"/>
    <w:rsid w:val="7FB9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4">
    <w:name w:val="heading 1"/>
    <w:basedOn w:val="1"/>
    <w:next w:val="1"/>
    <w:link w:val="33"/>
    <w:qFormat/>
    <w:uiPriority w:val="9"/>
    <w:pPr>
      <w:keepNext/>
      <w:spacing w:before="240" w:after="60"/>
      <w:outlineLvl w:val="0"/>
    </w:pPr>
    <w:rPr>
      <w:rFonts w:ascii="Cambria" w:hAnsi="Cambria"/>
      <w:b/>
      <w:bCs/>
      <w:kern w:val="32"/>
      <w:sz w:val="32"/>
      <w:szCs w:val="32"/>
    </w:rPr>
  </w:style>
  <w:style w:type="paragraph" w:styleId="5">
    <w:name w:val="heading 2"/>
    <w:basedOn w:val="1"/>
    <w:next w:val="1"/>
    <w:link w:val="34"/>
    <w:qFormat/>
    <w:uiPriority w:val="9"/>
    <w:pPr>
      <w:keepNext/>
      <w:spacing w:before="240" w:after="60"/>
      <w:outlineLvl w:val="1"/>
    </w:pPr>
    <w:rPr>
      <w:rFonts w:ascii="Cambria" w:hAnsi="Cambria"/>
      <w:b/>
      <w:bCs/>
      <w:i/>
      <w:iCs/>
      <w:sz w:val="28"/>
      <w:szCs w:val="28"/>
    </w:rPr>
  </w:style>
  <w:style w:type="paragraph" w:styleId="6">
    <w:name w:val="heading 3"/>
    <w:basedOn w:val="1"/>
    <w:next w:val="1"/>
    <w:link w:val="35"/>
    <w:qFormat/>
    <w:uiPriority w:val="9"/>
    <w:pPr>
      <w:keepNext/>
      <w:spacing w:before="240" w:after="60"/>
      <w:outlineLvl w:val="2"/>
    </w:pPr>
    <w:rPr>
      <w:rFonts w:ascii="Cambria" w:hAnsi="Cambria"/>
      <w:b/>
      <w:bCs/>
      <w:sz w:val="26"/>
      <w:szCs w:val="26"/>
    </w:rPr>
  </w:style>
  <w:style w:type="paragraph" w:styleId="7">
    <w:name w:val="heading 4"/>
    <w:basedOn w:val="1"/>
    <w:next w:val="1"/>
    <w:link w:val="36"/>
    <w:qFormat/>
    <w:uiPriority w:val="9"/>
    <w:pPr>
      <w:keepNext/>
      <w:spacing w:before="240" w:after="60"/>
      <w:outlineLvl w:val="3"/>
    </w:pPr>
    <w:rPr>
      <w:b/>
      <w:bCs/>
      <w:sz w:val="28"/>
      <w:szCs w:val="28"/>
    </w:rPr>
  </w:style>
  <w:style w:type="paragraph" w:styleId="8">
    <w:name w:val="heading 5"/>
    <w:basedOn w:val="1"/>
    <w:next w:val="1"/>
    <w:link w:val="37"/>
    <w:qFormat/>
    <w:uiPriority w:val="9"/>
    <w:pPr>
      <w:spacing w:before="240" w:after="60"/>
      <w:outlineLvl w:val="4"/>
    </w:pPr>
    <w:rPr>
      <w:b/>
      <w:bCs/>
      <w:i/>
      <w:iCs/>
      <w:sz w:val="26"/>
      <w:szCs w:val="26"/>
    </w:rPr>
  </w:style>
  <w:style w:type="paragraph" w:styleId="9">
    <w:name w:val="heading 6"/>
    <w:basedOn w:val="1"/>
    <w:next w:val="1"/>
    <w:link w:val="38"/>
    <w:qFormat/>
    <w:uiPriority w:val="9"/>
    <w:pPr>
      <w:spacing w:before="240" w:after="60"/>
      <w:outlineLvl w:val="5"/>
    </w:pPr>
    <w:rPr>
      <w:b/>
      <w:bCs/>
      <w:sz w:val="20"/>
      <w:szCs w:val="20"/>
    </w:rPr>
  </w:style>
  <w:style w:type="paragraph" w:styleId="10">
    <w:name w:val="heading 7"/>
    <w:basedOn w:val="1"/>
    <w:next w:val="1"/>
    <w:link w:val="39"/>
    <w:qFormat/>
    <w:uiPriority w:val="9"/>
    <w:pPr>
      <w:spacing w:before="240" w:after="60"/>
      <w:outlineLvl w:val="6"/>
    </w:pPr>
  </w:style>
  <w:style w:type="paragraph" w:styleId="11">
    <w:name w:val="heading 8"/>
    <w:basedOn w:val="1"/>
    <w:next w:val="1"/>
    <w:link w:val="40"/>
    <w:qFormat/>
    <w:uiPriority w:val="9"/>
    <w:pPr>
      <w:spacing w:before="240" w:after="60"/>
      <w:outlineLvl w:val="7"/>
    </w:pPr>
    <w:rPr>
      <w:i/>
      <w:iCs/>
    </w:rPr>
  </w:style>
  <w:style w:type="paragraph" w:styleId="12">
    <w:name w:val="heading 9"/>
    <w:basedOn w:val="1"/>
    <w:next w:val="1"/>
    <w:link w:val="41"/>
    <w:qFormat/>
    <w:uiPriority w:val="9"/>
    <w:pPr>
      <w:spacing w:before="240" w:after="60"/>
      <w:outlineLvl w:val="8"/>
    </w:pPr>
    <w:rPr>
      <w:rFonts w:ascii="Cambria" w:hAnsi="Cambria"/>
      <w:sz w:val="20"/>
      <w:szCs w:val="20"/>
    </w:rPr>
  </w:style>
  <w:style w:type="character" w:default="1" w:styleId="26">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customStyle="1" w:styleId="3">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Normal Indent"/>
    <w:basedOn w:val="1"/>
    <w:link w:val="42"/>
    <w:qFormat/>
    <w:uiPriority w:val="0"/>
    <w:pPr>
      <w:widowControl w:val="0"/>
      <w:ind w:firstLine="420"/>
      <w:jc w:val="both"/>
    </w:pPr>
    <w:rPr>
      <w:kern w:val="2"/>
      <w:sz w:val="28"/>
      <w:szCs w:val="20"/>
    </w:rPr>
  </w:style>
  <w:style w:type="paragraph" w:styleId="14">
    <w:name w:val="annotation text"/>
    <w:basedOn w:val="1"/>
    <w:link w:val="43"/>
    <w:unhideWhenUsed/>
    <w:qFormat/>
    <w:uiPriority w:val="0"/>
    <w:rPr>
      <w:kern w:val="2"/>
      <w:sz w:val="21"/>
      <w:szCs w:val="20"/>
    </w:rPr>
  </w:style>
  <w:style w:type="paragraph" w:styleId="15">
    <w:name w:val="Body Text Indent"/>
    <w:basedOn w:val="1"/>
    <w:next w:val="2"/>
    <w:qFormat/>
    <w:uiPriority w:val="0"/>
    <w:pPr>
      <w:ind w:firstLine="645"/>
    </w:pPr>
    <w:rPr>
      <w:rFonts w:ascii="宋体"/>
      <w:sz w:val="32"/>
      <w:szCs w:val="20"/>
    </w:rPr>
  </w:style>
  <w:style w:type="paragraph" w:styleId="16">
    <w:name w:val="Balloon Text"/>
    <w:basedOn w:val="1"/>
    <w:link w:val="44"/>
    <w:qFormat/>
    <w:uiPriority w:val="0"/>
    <w:rPr>
      <w:kern w:val="2"/>
      <w:sz w:val="18"/>
      <w:szCs w:val="18"/>
    </w:rPr>
  </w:style>
  <w:style w:type="paragraph" w:styleId="17">
    <w:name w:val="footer"/>
    <w:basedOn w:val="1"/>
    <w:link w:val="45"/>
    <w:qFormat/>
    <w:uiPriority w:val="99"/>
    <w:pPr>
      <w:tabs>
        <w:tab w:val="center" w:pos="4153"/>
        <w:tab w:val="right" w:pos="8306"/>
      </w:tabs>
      <w:snapToGrid w:val="0"/>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qFormat/>
    <w:uiPriority w:val="0"/>
  </w:style>
  <w:style w:type="paragraph" w:styleId="20">
    <w:name w:val="Subtitle"/>
    <w:basedOn w:val="1"/>
    <w:next w:val="1"/>
    <w:link w:val="46"/>
    <w:qFormat/>
    <w:uiPriority w:val="11"/>
    <w:pPr>
      <w:spacing w:after="60"/>
      <w:jc w:val="center"/>
      <w:outlineLvl w:val="1"/>
    </w:pPr>
    <w:rPr>
      <w:rFonts w:ascii="Cambria" w:hAnsi="Cambria"/>
    </w:rPr>
  </w:style>
  <w:style w:type="paragraph" w:styleId="21">
    <w:name w:val="Normal (Web)"/>
    <w:basedOn w:val="1"/>
    <w:qFormat/>
    <w:uiPriority w:val="0"/>
    <w:pPr>
      <w:spacing w:before="100" w:beforeAutospacing="1" w:after="100" w:afterAutospacing="1"/>
    </w:pPr>
  </w:style>
  <w:style w:type="paragraph" w:styleId="22">
    <w:name w:val="Title"/>
    <w:basedOn w:val="1"/>
    <w:next w:val="1"/>
    <w:link w:val="47"/>
    <w:qFormat/>
    <w:uiPriority w:val="10"/>
    <w:pPr>
      <w:spacing w:before="240" w:after="60"/>
      <w:jc w:val="center"/>
      <w:outlineLvl w:val="0"/>
    </w:pPr>
    <w:rPr>
      <w:rFonts w:ascii="Cambria" w:hAnsi="Cambria"/>
      <w:b/>
      <w:bCs/>
      <w:kern w:val="28"/>
      <w:sz w:val="32"/>
      <w:szCs w:val="32"/>
    </w:rPr>
  </w:style>
  <w:style w:type="paragraph" w:styleId="23">
    <w:name w:val="annotation subject"/>
    <w:basedOn w:val="14"/>
    <w:next w:val="14"/>
    <w:link w:val="48"/>
    <w:qFormat/>
    <w:uiPriority w:val="0"/>
    <w:rPr>
      <w:b/>
      <w:bCs/>
    </w:rPr>
  </w:style>
  <w:style w:type="paragraph" w:styleId="24">
    <w:name w:val="Body Text First Indent 2"/>
    <w:basedOn w:val="15"/>
    <w:next w:val="2"/>
    <w:qFormat/>
    <w:uiPriority w:val="0"/>
    <w:pPr>
      <w:ind w:firstLine="0"/>
    </w:pPr>
  </w:style>
  <w:style w:type="character" w:styleId="27">
    <w:name w:val="Strong"/>
    <w:qFormat/>
    <w:uiPriority w:val="22"/>
    <w:rPr>
      <w:b/>
      <w:bCs/>
    </w:rPr>
  </w:style>
  <w:style w:type="character" w:styleId="28">
    <w:name w:val="Emphasis"/>
    <w:qFormat/>
    <w:uiPriority w:val="20"/>
    <w:rPr>
      <w:rFonts w:ascii="Calibri" w:hAnsi="Calibri"/>
      <w:b/>
      <w:i/>
      <w:iCs/>
    </w:rPr>
  </w:style>
  <w:style w:type="character" w:styleId="29">
    <w:name w:val="Hyperlink"/>
    <w:qFormat/>
    <w:uiPriority w:val="0"/>
    <w:rPr>
      <w:color w:val="0000FF"/>
      <w:u w:val="single"/>
    </w:rPr>
  </w:style>
  <w:style w:type="character" w:styleId="30">
    <w:name w:val="annotation reference"/>
    <w:qFormat/>
    <w:uiPriority w:val="0"/>
    <w:rPr>
      <w:sz w:val="21"/>
      <w:szCs w:val="21"/>
    </w:rPr>
  </w:style>
  <w:style w:type="paragraph" w:customStyle="1" w:styleId="31">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32">
    <w:name w:val="大标题"/>
    <w:basedOn w:val="1"/>
    <w:next w:val="24"/>
    <w:qFormat/>
    <w:uiPriority w:val="0"/>
    <w:pPr>
      <w:jc w:val="center"/>
    </w:pPr>
    <w:rPr>
      <w:rFonts w:ascii="Arial" w:hAnsi="Arial"/>
      <w:b/>
      <w:sz w:val="28"/>
    </w:rPr>
  </w:style>
  <w:style w:type="character" w:customStyle="1" w:styleId="33">
    <w:name w:val="标题 1 字符"/>
    <w:link w:val="4"/>
    <w:qFormat/>
    <w:uiPriority w:val="9"/>
    <w:rPr>
      <w:rFonts w:ascii="Cambria" w:hAnsi="Cambria" w:eastAsia="宋体"/>
      <w:b/>
      <w:bCs/>
      <w:kern w:val="32"/>
      <w:sz w:val="32"/>
      <w:szCs w:val="32"/>
    </w:rPr>
  </w:style>
  <w:style w:type="character" w:customStyle="1" w:styleId="34">
    <w:name w:val="标题 2 字符"/>
    <w:link w:val="5"/>
    <w:semiHidden/>
    <w:qFormat/>
    <w:uiPriority w:val="9"/>
    <w:rPr>
      <w:rFonts w:ascii="Cambria" w:hAnsi="Cambria" w:eastAsia="宋体"/>
      <w:b/>
      <w:bCs/>
      <w:i/>
      <w:iCs/>
      <w:sz w:val="28"/>
      <w:szCs w:val="28"/>
    </w:rPr>
  </w:style>
  <w:style w:type="character" w:customStyle="1" w:styleId="35">
    <w:name w:val="标题 3 字符"/>
    <w:link w:val="6"/>
    <w:qFormat/>
    <w:uiPriority w:val="9"/>
    <w:rPr>
      <w:rFonts w:ascii="Cambria" w:hAnsi="Cambria" w:eastAsia="宋体"/>
      <w:b/>
      <w:bCs/>
      <w:sz w:val="26"/>
      <w:szCs w:val="26"/>
    </w:rPr>
  </w:style>
  <w:style w:type="character" w:customStyle="1" w:styleId="36">
    <w:name w:val="标题 4 字符"/>
    <w:link w:val="7"/>
    <w:semiHidden/>
    <w:qFormat/>
    <w:uiPriority w:val="9"/>
    <w:rPr>
      <w:b/>
      <w:bCs/>
      <w:sz w:val="28"/>
      <w:szCs w:val="28"/>
    </w:rPr>
  </w:style>
  <w:style w:type="character" w:customStyle="1" w:styleId="37">
    <w:name w:val="标题 5 字符"/>
    <w:link w:val="8"/>
    <w:semiHidden/>
    <w:qFormat/>
    <w:uiPriority w:val="9"/>
    <w:rPr>
      <w:b/>
      <w:bCs/>
      <w:i/>
      <w:iCs/>
      <w:sz w:val="26"/>
      <w:szCs w:val="26"/>
    </w:rPr>
  </w:style>
  <w:style w:type="character" w:customStyle="1" w:styleId="38">
    <w:name w:val="标题 6 字符"/>
    <w:link w:val="9"/>
    <w:semiHidden/>
    <w:qFormat/>
    <w:uiPriority w:val="9"/>
    <w:rPr>
      <w:b/>
      <w:bCs/>
    </w:rPr>
  </w:style>
  <w:style w:type="character" w:customStyle="1" w:styleId="39">
    <w:name w:val="标题 7 字符"/>
    <w:link w:val="10"/>
    <w:semiHidden/>
    <w:qFormat/>
    <w:uiPriority w:val="9"/>
    <w:rPr>
      <w:sz w:val="24"/>
      <w:szCs w:val="24"/>
    </w:rPr>
  </w:style>
  <w:style w:type="character" w:customStyle="1" w:styleId="40">
    <w:name w:val="标题 8 字符"/>
    <w:link w:val="11"/>
    <w:semiHidden/>
    <w:qFormat/>
    <w:uiPriority w:val="9"/>
    <w:rPr>
      <w:i/>
      <w:iCs/>
      <w:sz w:val="24"/>
      <w:szCs w:val="24"/>
    </w:rPr>
  </w:style>
  <w:style w:type="character" w:customStyle="1" w:styleId="41">
    <w:name w:val="标题 9 字符"/>
    <w:link w:val="12"/>
    <w:semiHidden/>
    <w:qFormat/>
    <w:uiPriority w:val="9"/>
    <w:rPr>
      <w:rFonts w:ascii="Cambria" w:hAnsi="Cambria" w:eastAsia="宋体"/>
    </w:rPr>
  </w:style>
  <w:style w:type="character" w:customStyle="1" w:styleId="42">
    <w:name w:val="正文缩进 字符"/>
    <w:link w:val="13"/>
    <w:qFormat/>
    <w:uiPriority w:val="0"/>
    <w:rPr>
      <w:kern w:val="2"/>
      <w:sz w:val="28"/>
    </w:rPr>
  </w:style>
  <w:style w:type="character" w:customStyle="1" w:styleId="43">
    <w:name w:val="批注文字 字符"/>
    <w:link w:val="14"/>
    <w:qFormat/>
    <w:uiPriority w:val="0"/>
    <w:rPr>
      <w:kern w:val="2"/>
      <w:sz w:val="21"/>
    </w:rPr>
  </w:style>
  <w:style w:type="character" w:customStyle="1" w:styleId="44">
    <w:name w:val="批注框文本 字符"/>
    <w:link w:val="16"/>
    <w:qFormat/>
    <w:uiPriority w:val="0"/>
    <w:rPr>
      <w:kern w:val="2"/>
      <w:sz w:val="18"/>
      <w:szCs w:val="18"/>
    </w:rPr>
  </w:style>
  <w:style w:type="character" w:customStyle="1" w:styleId="45">
    <w:name w:val="页脚 字符"/>
    <w:link w:val="17"/>
    <w:qFormat/>
    <w:uiPriority w:val="99"/>
    <w:rPr>
      <w:sz w:val="18"/>
      <w:szCs w:val="24"/>
    </w:rPr>
  </w:style>
  <w:style w:type="character" w:customStyle="1" w:styleId="46">
    <w:name w:val="副标题 字符"/>
    <w:link w:val="20"/>
    <w:qFormat/>
    <w:uiPriority w:val="11"/>
    <w:rPr>
      <w:rFonts w:ascii="Cambria" w:hAnsi="Cambria" w:eastAsia="宋体"/>
      <w:sz w:val="24"/>
      <w:szCs w:val="24"/>
    </w:rPr>
  </w:style>
  <w:style w:type="character" w:customStyle="1" w:styleId="47">
    <w:name w:val="标题 字符"/>
    <w:link w:val="22"/>
    <w:qFormat/>
    <w:uiPriority w:val="10"/>
    <w:rPr>
      <w:rFonts w:ascii="Cambria" w:hAnsi="Cambria" w:eastAsia="宋体"/>
      <w:b/>
      <w:bCs/>
      <w:kern w:val="28"/>
      <w:sz w:val="32"/>
      <w:szCs w:val="32"/>
    </w:rPr>
  </w:style>
  <w:style w:type="character" w:customStyle="1" w:styleId="48">
    <w:name w:val="批注主题 字符"/>
    <w:link w:val="23"/>
    <w:qFormat/>
    <w:uiPriority w:val="0"/>
    <w:rPr>
      <w:b/>
      <w:bCs/>
      <w:kern w:val="2"/>
      <w:sz w:val="21"/>
    </w:rPr>
  </w:style>
  <w:style w:type="character" w:customStyle="1" w:styleId="49">
    <w:name w:val="font41"/>
    <w:qFormat/>
    <w:uiPriority w:val="0"/>
    <w:rPr>
      <w:rFonts w:hint="eastAsia" w:ascii="宋体" w:hAnsi="宋体" w:eastAsia="宋体" w:cs="宋体"/>
      <w:color w:val="000000"/>
      <w:sz w:val="22"/>
      <w:szCs w:val="22"/>
      <w:u w:val="none"/>
    </w:rPr>
  </w:style>
  <w:style w:type="character" w:customStyle="1" w:styleId="50">
    <w:name w:val="_Style 44"/>
    <w:qFormat/>
    <w:uiPriority w:val="32"/>
    <w:rPr>
      <w:b/>
      <w:sz w:val="24"/>
      <w:u w:val="single"/>
    </w:rPr>
  </w:style>
  <w:style w:type="character" w:customStyle="1" w:styleId="51">
    <w:name w:val="_Style 45"/>
    <w:qFormat/>
    <w:uiPriority w:val="33"/>
    <w:rPr>
      <w:rFonts w:ascii="Cambria" w:hAnsi="Cambria" w:eastAsia="宋体"/>
      <w:b/>
      <w:i/>
      <w:sz w:val="24"/>
      <w:szCs w:val="24"/>
    </w:rPr>
  </w:style>
  <w:style w:type="character" w:customStyle="1" w:styleId="52">
    <w:name w:val="引用 字符"/>
    <w:link w:val="53"/>
    <w:qFormat/>
    <w:uiPriority w:val="29"/>
    <w:rPr>
      <w:i/>
      <w:sz w:val="24"/>
      <w:szCs w:val="24"/>
    </w:rPr>
  </w:style>
  <w:style w:type="paragraph" w:styleId="53">
    <w:name w:val="Quote"/>
    <w:basedOn w:val="1"/>
    <w:next w:val="1"/>
    <w:link w:val="52"/>
    <w:qFormat/>
    <w:uiPriority w:val="29"/>
    <w:rPr>
      <w:i/>
    </w:rPr>
  </w:style>
  <w:style w:type="character" w:customStyle="1" w:styleId="54">
    <w:name w:val="明显引用 字符"/>
    <w:link w:val="55"/>
    <w:qFormat/>
    <w:uiPriority w:val="30"/>
    <w:rPr>
      <w:b/>
      <w:i/>
      <w:sz w:val="24"/>
    </w:rPr>
  </w:style>
  <w:style w:type="paragraph" w:styleId="55">
    <w:name w:val="Intense Quote"/>
    <w:basedOn w:val="1"/>
    <w:next w:val="1"/>
    <w:link w:val="54"/>
    <w:qFormat/>
    <w:uiPriority w:val="30"/>
    <w:pPr>
      <w:ind w:left="720" w:right="720"/>
    </w:pPr>
    <w:rPr>
      <w:b/>
      <w:i/>
      <w:szCs w:val="20"/>
    </w:rPr>
  </w:style>
  <w:style w:type="character" w:customStyle="1" w:styleId="56">
    <w:name w:val="_Style 50"/>
    <w:qFormat/>
    <w:uiPriority w:val="31"/>
    <w:rPr>
      <w:sz w:val="24"/>
      <w:szCs w:val="24"/>
      <w:u w:val="single"/>
    </w:rPr>
  </w:style>
  <w:style w:type="character" w:customStyle="1" w:styleId="57">
    <w:name w:val="_Style 51"/>
    <w:qFormat/>
    <w:uiPriority w:val="21"/>
    <w:rPr>
      <w:b/>
      <w:i/>
      <w:sz w:val="24"/>
      <w:szCs w:val="24"/>
      <w:u w:val="single"/>
    </w:rPr>
  </w:style>
  <w:style w:type="character" w:customStyle="1" w:styleId="58">
    <w:name w:val="font31"/>
    <w:qFormat/>
    <w:uiPriority w:val="0"/>
    <w:rPr>
      <w:rFonts w:hint="eastAsia" w:ascii="宋体" w:hAnsi="宋体" w:eastAsia="宋体" w:cs="宋体"/>
      <w:color w:val="000000"/>
      <w:sz w:val="36"/>
      <w:szCs w:val="36"/>
      <w:u w:val="none"/>
    </w:rPr>
  </w:style>
  <w:style w:type="character" w:customStyle="1" w:styleId="59">
    <w:name w:val="_Style 53"/>
    <w:qFormat/>
    <w:uiPriority w:val="19"/>
    <w:rPr>
      <w:i/>
      <w:color w:val="5A5A5A"/>
    </w:rPr>
  </w:style>
  <w:style w:type="character" w:customStyle="1" w:styleId="60">
    <w:name w:val="font11"/>
    <w:qFormat/>
    <w:uiPriority w:val="0"/>
    <w:rPr>
      <w:rFonts w:hint="eastAsia" w:ascii="宋体" w:hAnsi="宋体" w:eastAsia="宋体" w:cs="宋体"/>
      <w:color w:val="000000"/>
      <w:sz w:val="40"/>
      <w:szCs w:val="40"/>
      <w:u w:val="none"/>
    </w:rPr>
  </w:style>
  <w:style w:type="paragraph" w:customStyle="1" w:styleId="61">
    <w:name w:val="_Style 55"/>
    <w:unhideWhenUsed/>
    <w:qFormat/>
    <w:uiPriority w:val="99"/>
    <w:rPr>
      <w:rFonts w:ascii="Times New Roman" w:hAnsi="Times New Roman" w:eastAsia="宋体" w:cs="Times New Roman"/>
      <w:kern w:val="2"/>
      <w:sz w:val="21"/>
      <w:szCs w:val="22"/>
      <w:lang w:val="en-US" w:eastAsia="zh-CN" w:bidi="ar-SA"/>
    </w:rPr>
  </w:style>
  <w:style w:type="paragraph" w:customStyle="1" w:styleId="62">
    <w:name w:val="_Style 2"/>
    <w:basedOn w:val="4"/>
    <w:next w:val="1"/>
    <w:qFormat/>
    <w:uiPriority w:val="0"/>
    <w:pPr>
      <w:spacing w:before="480" w:after="0" w:line="276" w:lineRule="auto"/>
      <w:jc w:val="center"/>
      <w:outlineLvl w:val="9"/>
    </w:pPr>
    <w:rPr>
      <w:kern w:val="0"/>
      <w:sz w:val="36"/>
      <w:szCs w:val="28"/>
    </w:rPr>
  </w:style>
  <w:style w:type="paragraph" w:styleId="63">
    <w:name w:val="List Paragraph"/>
    <w:basedOn w:val="1"/>
    <w:qFormat/>
    <w:uiPriority w:val="34"/>
    <w:pPr>
      <w:ind w:left="720"/>
      <w:contextualSpacing/>
    </w:pPr>
  </w:style>
  <w:style w:type="paragraph" w:styleId="64">
    <w:name w:val="No Spacing"/>
    <w:basedOn w:val="1"/>
    <w:qFormat/>
    <w:uiPriority w:val="1"/>
    <w:rPr>
      <w:szCs w:val="32"/>
    </w:rPr>
  </w:style>
  <w:style w:type="paragraph" w:customStyle="1" w:styleId="65">
    <w:name w:val="_Style 60"/>
    <w:basedOn w:val="4"/>
    <w:next w:val="1"/>
    <w:qFormat/>
    <w:uiPriority w:val="39"/>
    <w:pPr>
      <w:outlineLvl w:val="9"/>
    </w:pPr>
  </w:style>
  <w:style w:type="paragraph" w:customStyle="1" w:styleId="66">
    <w:name w:val="修订1"/>
    <w:hidden/>
    <w:semiHidden/>
    <w:qFormat/>
    <w:uiPriority w:val="99"/>
    <w:rPr>
      <w:rFonts w:ascii="Times New Roman" w:hAnsi="Times New Roman" w:eastAsia="宋体" w:cs="Times New Roman"/>
      <w:sz w:val="24"/>
      <w:szCs w:val="24"/>
      <w:lang w:val="en-US" w:eastAsia="zh-CN" w:bidi="ar-SA"/>
    </w:rPr>
  </w:style>
  <w:style w:type="paragraph" w:customStyle="1" w:styleId="67">
    <w:name w:val="修订2"/>
    <w:hidden/>
    <w:semiHidden/>
    <w:qFormat/>
    <w:uiPriority w:val="99"/>
    <w:rPr>
      <w:rFonts w:ascii="Times New Roman" w:hAnsi="Times New Roman" w:eastAsia="宋体" w:cs="Times New Roman"/>
      <w:sz w:val="24"/>
      <w:szCs w:val="24"/>
      <w:lang w:val="en-US" w:eastAsia="zh-CN" w:bidi="ar-SA"/>
    </w:rPr>
  </w:style>
  <w:style w:type="paragraph" w:customStyle="1" w:styleId="68">
    <w:name w:val="修订3"/>
    <w:hidden/>
    <w:semiHidden/>
    <w:qFormat/>
    <w:uiPriority w:val="99"/>
    <w:rPr>
      <w:rFonts w:ascii="Times New Roman" w:hAnsi="Times New Roman" w:eastAsia="宋体" w:cs="Times New Roman"/>
      <w:sz w:val="24"/>
      <w:szCs w:val="24"/>
      <w:lang w:val="en-US" w:eastAsia="zh-CN" w:bidi="ar-SA"/>
    </w:rPr>
  </w:style>
  <w:style w:type="paragraph" w:customStyle="1" w:styleId="69">
    <w:name w:val="Revision"/>
    <w:hidden/>
    <w:unhideWhenUsed/>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1170</Words>
  <Characters>6670</Characters>
  <Lines>55</Lines>
  <Paragraphs>15</Paragraphs>
  <TotalTime>49</TotalTime>
  <ScaleCrop>false</ScaleCrop>
  <LinksUpToDate>false</LinksUpToDate>
  <CharactersWithSpaces>7825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2022-02-15T01:19:00Z</dcterms:created>
  <dc:creator>Administrator</dc:creator>
  <cp:lastModifiedBy>谦谦</cp:lastModifiedBy>
  <cp:lastPrinted>2014-06-07T01:20:00Z</cp:lastPrinted>
  <dcterms:modified xsi:type="dcterms:W3CDTF">2023-06-17T04:09:42Z</dcterms:modified>
  <dc:title>5#、6#、7#土方开挖补充协议</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125FC935922F4399A684ADE26E5629C6_13</vt:lpwstr>
  </property>
</Properties>
</file>