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24"/>
          <w:szCs w:val="24"/>
        </w:rPr>
      </w:pPr>
      <w:r>
        <w:rPr>
          <w:rFonts w:hint="eastAsia" w:ascii="宋体" w:hAnsi="宋体" w:eastAsia="宋体" w:cs="宋体"/>
          <w:kern w:val="28"/>
          <w:sz w:val="32"/>
          <w:szCs w:val="32"/>
        </w:rPr>
        <w:t>洛</w:t>
      </w:r>
      <w:r>
        <w:rPr>
          <w:rFonts w:hint="eastAsia" w:ascii="宋体" w:hAnsi="宋体" w:eastAsia="宋体" w:cs="宋体"/>
          <w:kern w:val="28"/>
          <w:sz w:val="24"/>
          <w:szCs w:val="24"/>
        </w:rPr>
        <w:t>阳市洛龙区伊河湾项目</w:t>
      </w:r>
      <w:r>
        <w:rPr>
          <w:rFonts w:hint="eastAsia" w:ascii="宋体" w:hAnsi="宋体" w:eastAsia="宋体" w:cs="宋体"/>
          <w:kern w:val="28"/>
          <w:sz w:val="24"/>
          <w:szCs w:val="24"/>
          <w:lang w:eastAsia="zh-CN"/>
        </w:rPr>
        <w:t>千顷家园</w:t>
      </w:r>
      <w:r>
        <w:rPr>
          <w:rFonts w:hint="eastAsia" w:ascii="宋体" w:hAnsi="宋体" w:eastAsia="宋体" w:cs="宋体"/>
          <w:kern w:val="28"/>
          <w:sz w:val="24"/>
          <w:szCs w:val="24"/>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洛阳千顷家园房地产经纪有限责任公司</w:t>
      </w:r>
    </w:p>
    <w:p>
      <w:pPr>
        <w:pStyle w:val="7"/>
        <w:tabs>
          <w:tab w:val="left" w:pos="1675"/>
          <w:tab w:val="center" w:pos="4215"/>
        </w:tabs>
        <w:wordWrap w:val="0"/>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鉴于：甲乙双方于</w:t>
      </w:r>
      <w:r>
        <w:rPr>
          <w:rFonts w:ascii="宋体" w:hAnsi="宋体" w:eastAsia="宋体" w:cs="宋体"/>
          <w:b w:val="0"/>
          <w:bCs/>
          <w:sz w:val="24"/>
          <w:szCs w:val="24"/>
        </w:rPr>
        <w:t>202</w:t>
      </w:r>
      <w:r>
        <w:rPr>
          <w:rFonts w:hint="eastAsia" w:ascii="宋体" w:hAnsi="宋体" w:eastAsia="宋体" w:cs="宋体"/>
          <w:b w:val="0"/>
          <w:bCs/>
          <w:sz w:val="24"/>
          <w:szCs w:val="24"/>
        </w:rPr>
        <w:t>3年签署了合同编号为</w:t>
      </w:r>
      <w:r>
        <w:rPr>
          <w:rFonts w:hint="eastAsia" w:ascii="宋体" w:hAnsi="宋体" w:eastAsia="宋体" w:cs="宋体"/>
          <w:b w:val="0"/>
          <w:bCs/>
          <w:color w:val="000000"/>
          <w:sz w:val="24"/>
          <w:szCs w:val="24"/>
        </w:rPr>
        <w:t>YHW.C06-YX-0</w:t>
      </w:r>
      <w:r>
        <w:rPr>
          <w:rFonts w:hint="eastAsia" w:ascii="宋体" w:hAnsi="宋体" w:eastAsia="宋体" w:cs="宋体"/>
          <w:b w:val="0"/>
          <w:bCs/>
          <w:color w:val="000000"/>
          <w:sz w:val="24"/>
          <w:szCs w:val="24"/>
          <w:lang w:val="en-US" w:eastAsia="zh-CN"/>
        </w:rPr>
        <w:t>21</w:t>
      </w:r>
      <w:r>
        <w:rPr>
          <w:rFonts w:hint="eastAsia" w:ascii="宋体" w:hAnsi="宋体" w:eastAsia="宋体" w:cs="宋体"/>
          <w:b w:val="0"/>
          <w:bCs/>
          <w:sz w:val="24"/>
          <w:szCs w:val="24"/>
        </w:rPr>
        <w:t>的《</w:t>
      </w:r>
      <w:r>
        <w:rPr>
          <w:rFonts w:hint="eastAsia" w:ascii="宋体" w:hAnsi="宋体" w:eastAsia="宋体" w:cs="宋体"/>
          <w:b w:val="0"/>
          <w:bCs/>
          <w:kern w:val="28"/>
          <w:sz w:val="24"/>
          <w:szCs w:val="24"/>
        </w:rPr>
        <w:t>洛阳市洛龙区伊河湾项目</w:t>
      </w:r>
      <w:r>
        <w:rPr>
          <w:rFonts w:hint="eastAsia" w:ascii="宋体" w:hAnsi="宋体" w:eastAsia="宋体" w:cs="宋体"/>
          <w:b w:val="0"/>
          <w:bCs/>
          <w:kern w:val="28"/>
          <w:sz w:val="24"/>
          <w:szCs w:val="24"/>
          <w:lang w:eastAsia="zh-CN"/>
        </w:rPr>
        <w:t>千顷家园</w:t>
      </w:r>
      <w:r>
        <w:rPr>
          <w:rFonts w:hint="eastAsia" w:ascii="宋体" w:hAnsi="宋体" w:eastAsia="宋体" w:cs="宋体"/>
          <w:b w:val="0"/>
          <w:bCs/>
          <w:kern w:val="28"/>
          <w:sz w:val="24"/>
          <w:szCs w:val="24"/>
        </w:rPr>
        <w:t>分销合同</w:t>
      </w:r>
      <w:r>
        <w:rPr>
          <w:rFonts w:hint="eastAsia" w:ascii="宋体" w:hAnsi="宋体" w:eastAsia="宋体" w:cs="宋体"/>
          <w:b w:val="0"/>
          <w:bCs/>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现甲乙双方协商一致，就原合同中2023年7月1日至7月31日期间的佣金费率条款作出如下变更，并承诺共同遵守执行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洋房2.0%；</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w:t>
      </w:r>
      <w:bookmarkStart w:id="0" w:name="_GoBack"/>
      <w:r>
        <w:rPr>
          <w:rFonts w:hint="eastAsia" w:ascii="宋体" w:hAnsi="宋体" w:eastAsia="宋体" w:cs="宋体"/>
          <w:sz w:val="24"/>
          <w:szCs w:val="24"/>
          <w:u w:val="none"/>
        </w:rPr>
        <w:t>洛阳千顷家园房地产经纪有限责任公司</w:t>
      </w:r>
      <w:bookmarkEnd w:id="0"/>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221A3"/>
    <w:rsid w:val="00E82BA4"/>
    <w:rsid w:val="00EA754B"/>
    <w:rsid w:val="00EC7613"/>
    <w:rsid w:val="00F0709F"/>
    <w:rsid w:val="00F61933"/>
    <w:rsid w:val="0A662D8A"/>
    <w:rsid w:val="0ADC7D92"/>
    <w:rsid w:val="0F940549"/>
    <w:rsid w:val="141D5683"/>
    <w:rsid w:val="157F0000"/>
    <w:rsid w:val="15BE564C"/>
    <w:rsid w:val="26B645C3"/>
    <w:rsid w:val="29D82DC8"/>
    <w:rsid w:val="2D302D53"/>
    <w:rsid w:val="2DA200FE"/>
    <w:rsid w:val="2FB76529"/>
    <w:rsid w:val="32B25E44"/>
    <w:rsid w:val="34CD0497"/>
    <w:rsid w:val="37662E05"/>
    <w:rsid w:val="394F35C4"/>
    <w:rsid w:val="44650943"/>
    <w:rsid w:val="46A60D3D"/>
    <w:rsid w:val="4F43054A"/>
    <w:rsid w:val="533F3F0F"/>
    <w:rsid w:val="600318FC"/>
    <w:rsid w:val="66B61137"/>
    <w:rsid w:val="69164A27"/>
    <w:rsid w:val="6B906905"/>
    <w:rsid w:val="6C8C3EA0"/>
    <w:rsid w:val="7040659E"/>
    <w:rsid w:val="72844B91"/>
    <w:rsid w:val="779F6F2E"/>
    <w:rsid w:val="79305C7F"/>
    <w:rsid w:val="7A2B3E1B"/>
    <w:rsid w:val="7F36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0</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2023-07-12T01:57:49Z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