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洛阳市洛龙区伊河湾项目祐嘉分销合同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洛阳祐嘉房产经纪有限公司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w:t>
      </w:r>
      <w:r>
        <w:rPr>
          <w:rFonts w:hint="eastAsia" w:ascii="宋体" w:hAnsi="宋体" w:eastAsia="宋体" w:cs="宋体"/>
          <w:b w:val="0"/>
          <w:bCs/>
          <w:color w:val="000000"/>
          <w:sz w:val="24"/>
          <w:szCs w:val="24"/>
          <w:lang w:val="en-US" w:eastAsia="zh-CN"/>
        </w:rPr>
        <w:t>20</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祐嘉</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sz w:val="24"/>
          <w:szCs w:val="24"/>
          <w:u w:val="none"/>
        </w:rPr>
        <w:t>洛阳祐嘉房产经纪有限公司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221A3"/>
    <w:rsid w:val="00E82BA4"/>
    <w:rsid w:val="00EA754B"/>
    <w:rsid w:val="00EC7613"/>
    <w:rsid w:val="00F0709F"/>
    <w:rsid w:val="00F61933"/>
    <w:rsid w:val="0A662D8A"/>
    <w:rsid w:val="0ADC7D92"/>
    <w:rsid w:val="0F940549"/>
    <w:rsid w:val="141D5683"/>
    <w:rsid w:val="157F0000"/>
    <w:rsid w:val="15BE564C"/>
    <w:rsid w:val="26B645C3"/>
    <w:rsid w:val="29D82DC8"/>
    <w:rsid w:val="2D302D53"/>
    <w:rsid w:val="2DA200FE"/>
    <w:rsid w:val="2FB76529"/>
    <w:rsid w:val="32B25E44"/>
    <w:rsid w:val="34CD0497"/>
    <w:rsid w:val="371C21C5"/>
    <w:rsid w:val="37662E05"/>
    <w:rsid w:val="394F35C4"/>
    <w:rsid w:val="44650943"/>
    <w:rsid w:val="46A60D3D"/>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1</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2023-07-12T02:03:07Z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