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cs="宋体"/>
          <w:b/>
          <w:bCs/>
          <w:sz w:val="36"/>
          <w:szCs w:val="36"/>
        </w:rPr>
      </w:pPr>
    </w:p>
    <w:p>
      <w:pPr>
        <w:spacing w:line="360" w:lineRule="auto"/>
        <w:jc w:val="both"/>
        <w:rPr>
          <w:rFonts w:ascii="宋体" w:hAnsi="宋体" w:cs="宋体"/>
          <w:b/>
          <w:bCs/>
          <w:sz w:val="36"/>
          <w:szCs w:val="36"/>
        </w:rPr>
      </w:pPr>
    </w:p>
    <w:p>
      <w:pPr>
        <w:spacing w:line="360" w:lineRule="auto"/>
        <w:jc w:val="both"/>
        <w:rPr>
          <w:rFonts w:ascii="宋体" w:hAnsi="宋体" w:cs="宋体"/>
          <w:b/>
          <w:bCs/>
          <w:sz w:val="36"/>
          <w:szCs w:val="36"/>
        </w:rPr>
      </w:pPr>
    </w:p>
    <w:p>
      <w:pPr>
        <w:snapToGrid w:val="0"/>
        <w:spacing w:line="360" w:lineRule="auto"/>
        <w:jc w:val="center"/>
        <w:rPr>
          <w:rFonts w:ascii="宋体" w:hAnsi="宋体" w:cs="宋体"/>
          <w:b/>
          <w:bCs/>
          <w:sz w:val="36"/>
          <w:szCs w:val="36"/>
          <w:u w:val="none"/>
        </w:rPr>
      </w:pPr>
      <w:r>
        <w:rPr>
          <w:rFonts w:hint="eastAsia" w:ascii="宋体" w:hAnsi="宋体" w:cs="宋体"/>
          <w:b/>
          <w:bCs/>
          <w:sz w:val="36"/>
          <w:szCs w:val="36"/>
          <w:u w:val="none"/>
          <w:lang w:eastAsia="zh-CN"/>
        </w:rPr>
        <w:t>悠然居</w:t>
      </w:r>
      <w:r>
        <w:rPr>
          <w:rFonts w:hint="eastAsia" w:ascii="宋体" w:hAnsi="宋体" w:cs="宋体"/>
          <w:b/>
          <w:bCs/>
          <w:sz w:val="36"/>
          <w:szCs w:val="36"/>
          <w:u w:val="none"/>
        </w:rPr>
        <w:t>项目2023年度营销</w:t>
      </w:r>
    </w:p>
    <w:p>
      <w:pPr>
        <w:spacing w:line="360" w:lineRule="auto"/>
        <w:jc w:val="center"/>
        <w:rPr>
          <w:rFonts w:ascii="宋体" w:hAnsi="宋体"/>
          <w:b/>
          <w:sz w:val="44"/>
          <w:szCs w:val="52"/>
          <w:u w:val="none"/>
        </w:rPr>
      </w:pPr>
      <w:r>
        <w:rPr>
          <w:rFonts w:hint="eastAsia" w:ascii="宋体" w:hAnsi="宋体" w:cs="宋体"/>
          <w:b/>
          <w:sz w:val="36"/>
          <w:szCs w:val="36"/>
          <w:u w:val="none"/>
          <w:lang w:val="zh-CN"/>
        </w:rPr>
        <w:t>物料制作与安装框架合同</w:t>
      </w:r>
    </w:p>
    <w:p>
      <w:pPr>
        <w:jc w:val="both"/>
        <w:rPr>
          <w:rFonts w:ascii="宋体" w:hAnsi="宋体"/>
          <w:b/>
          <w:bCs/>
          <w:sz w:val="52"/>
          <w:szCs w:val="52"/>
        </w:rPr>
      </w:pPr>
    </w:p>
    <w:p>
      <w:pPr>
        <w:jc w:val="both"/>
        <w:rPr>
          <w:rFonts w:ascii="宋体" w:hAnsi="宋体"/>
          <w:b/>
          <w:bCs/>
          <w:sz w:val="52"/>
          <w:szCs w:val="52"/>
        </w:rPr>
      </w:pPr>
    </w:p>
    <w:p>
      <w:pPr>
        <w:spacing w:line="360" w:lineRule="auto"/>
        <w:ind w:right="359" w:rightChars="171"/>
        <w:jc w:val="both"/>
        <w:rPr>
          <w:rFonts w:ascii="宋体" w:hAnsi="宋体"/>
          <w:b/>
          <w:bCs/>
          <w:sz w:val="30"/>
          <w:szCs w:val="30"/>
        </w:rPr>
      </w:pPr>
    </w:p>
    <w:p>
      <w:pPr>
        <w:spacing w:line="360" w:lineRule="auto"/>
        <w:ind w:right="359" w:rightChars="171"/>
        <w:jc w:val="both"/>
        <w:rPr>
          <w:rFonts w:ascii="宋体" w:hAnsi="宋体"/>
          <w:sz w:val="24"/>
          <w:szCs w:val="28"/>
        </w:rPr>
      </w:pPr>
    </w:p>
    <w:p>
      <w:pPr>
        <w:spacing w:line="360" w:lineRule="auto"/>
        <w:ind w:right="359" w:rightChars="171"/>
        <w:jc w:val="both"/>
        <w:rPr>
          <w:rFonts w:ascii="宋体" w:hAnsi="宋体"/>
          <w:b/>
          <w:bCs/>
          <w:sz w:val="30"/>
          <w:szCs w:val="30"/>
        </w:rPr>
      </w:pPr>
    </w:p>
    <w:p>
      <w:pPr>
        <w:spacing w:line="360" w:lineRule="auto"/>
        <w:ind w:right="359" w:rightChars="171" w:firstLine="2711" w:firstLineChars="900"/>
        <w:jc w:val="both"/>
        <w:rPr>
          <w:rFonts w:ascii="宋体" w:hAnsi="宋体"/>
          <w:b/>
          <w:bCs/>
          <w:sz w:val="30"/>
          <w:szCs w:val="30"/>
        </w:rPr>
      </w:pPr>
    </w:p>
    <w:p>
      <w:pPr>
        <w:tabs>
          <w:tab w:val="center" w:pos="4395"/>
          <w:tab w:val="left" w:pos="6840"/>
          <w:tab w:val="left" w:pos="7005"/>
        </w:tabs>
        <w:adjustRightInd w:val="0"/>
        <w:snapToGrid w:val="0"/>
        <w:spacing w:line="360" w:lineRule="auto"/>
        <w:jc w:val="both"/>
        <w:rPr>
          <w:rFonts w:ascii="宋体" w:hAnsi="宋体" w:cs="宋体"/>
          <w:b/>
          <w:sz w:val="24"/>
        </w:rPr>
      </w:pPr>
    </w:p>
    <w:p>
      <w:pPr>
        <w:tabs>
          <w:tab w:val="center" w:pos="4395"/>
          <w:tab w:val="left" w:pos="6840"/>
          <w:tab w:val="left" w:pos="7005"/>
        </w:tabs>
        <w:adjustRightInd w:val="0"/>
        <w:snapToGrid w:val="0"/>
        <w:spacing w:line="360" w:lineRule="auto"/>
        <w:jc w:val="both"/>
        <w:rPr>
          <w:rFonts w:ascii="宋体" w:hAnsi="宋体" w:cs="宋体"/>
          <w:b/>
          <w:sz w:val="24"/>
        </w:rPr>
      </w:pPr>
    </w:p>
    <w:p>
      <w:pPr>
        <w:tabs>
          <w:tab w:val="center" w:pos="4395"/>
          <w:tab w:val="left" w:pos="6840"/>
          <w:tab w:val="left" w:pos="7005"/>
        </w:tabs>
        <w:adjustRightInd w:val="0"/>
        <w:snapToGrid w:val="0"/>
        <w:spacing w:line="360" w:lineRule="auto"/>
        <w:jc w:val="both"/>
        <w:rPr>
          <w:rFonts w:ascii="宋体" w:hAnsi="宋体"/>
          <w:b/>
          <w:bCs/>
          <w:sz w:val="24"/>
        </w:rPr>
      </w:pPr>
    </w:p>
    <w:p>
      <w:pPr>
        <w:spacing w:line="360" w:lineRule="auto"/>
        <w:jc w:val="both"/>
        <w:rPr>
          <w:rFonts w:ascii="宋体" w:hAnsi="宋体"/>
          <w:b/>
          <w:bCs/>
          <w:sz w:val="24"/>
        </w:rPr>
      </w:pPr>
    </w:p>
    <w:p>
      <w:pPr>
        <w:spacing w:line="360" w:lineRule="auto"/>
        <w:jc w:val="both"/>
        <w:outlineLvl w:val="0"/>
        <w:rPr>
          <w:rFonts w:ascii="宋体" w:hAnsi="宋体"/>
          <w:color w:val="000000"/>
          <w:sz w:val="24"/>
        </w:rPr>
      </w:pPr>
    </w:p>
    <w:p>
      <w:pPr>
        <w:spacing w:line="360" w:lineRule="auto"/>
        <w:jc w:val="both"/>
        <w:outlineLvl w:val="0"/>
        <w:rPr>
          <w:rFonts w:ascii="宋体" w:hAnsi="宋体"/>
          <w:color w:val="000000"/>
          <w:sz w:val="24"/>
        </w:rPr>
      </w:pPr>
    </w:p>
    <w:p>
      <w:pPr>
        <w:spacing w:line="360" w:lineRule="auto"/>
        <w:ind w:firstLine="2409" w:firstLineChars="800"/>
        <w:jc w:val="both"/>
        <w:outlineLvl w:val="0"/>
        <w:rPr>
          <w:rFonts w:ascii="宋体" w:hAnsi="宋体"/>
          <w:b/>
          <w:bCs/>
          <w:color w:val="000000"/>
          <w:sz w:val="30"/>
          <w:szCs w:val="30"/>
          <w:u w:val="single"/>
        </w:rPr>
      </w:pPr>
      <w:r>
        <w:rPr>
          <w:rFonts w:hint="eastAsia" w:ascii="宋体" w:hAnsi="宋体"/>
          <w:b/>
          <w:bCs/>
          <w:color w:val="000000"/>
          <w:sz w:val="30"/>
          <w:szCs w:val="30"/>
        </w:rPr>
        <w:t>合同编</w:t>
      </w:r>
      <w:r>
        <w:rPr>
          <w:rFonts w:hint="eastAsia" w:ascii="宋体" w:hAnsi="宋体"/>
          <w:b/>
          <w:bCs/>
          <w:color w:val="000000"/>
          <w:sz w:val="30"/>
          <w:szCs w:val="30"/>
        </w:rPr>
        <w:t>号</w:t>
      </w:r>
      <w:r>
        <w:rPr>
          <w:rFonts w:hint="eastAsia" w:ascii="宋体" w:hAnsi="宋体"/>
          <w:b/>
          <w:bCs/>
          <w:color w:val="000000"/>
          <w:sz w:val="30"/>
          <w:szCs w:val="30"/>
          <w:lang w:eastAsia="zh-CN"/>
        </w:rPr>
        <w:t>：</w:t>
      </w:r>
      <w:r>
        <w:rPr>
          <w:rFonts w:hint="eastAsia" w:ascii="宋体" w:hAnsi="宋体"/>
          <w:b/>
          <w:bCs/>
          <w:color w:val="000000"/>
          <w:sz w:val="30"/>
          <w:szCs w:val="30"/>
        </w:rPr>
        <w:t>BLT-YX-016</w:t>
      </w:r>
    </w:p>
    <w:p>
      <w:pPr>
        <w:spacing w:line="360" w:lineRule="auto"/>
        <w:ind w:firstLine="2409" w:firstLineChars="800"/>
        <w:jc w:val="both"/>
        <w:outlineLvl w:val="0"/>
        <w:rPr>
          <w:rFonts w:hint="eastAsia"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color w:val="000000"/>
          <w:sz w:val="30"/>
          <w:szCs w:val="30"/>
          <w:u w:val="single"/>
          <w:lang w:eastAsia="zh-CN"/>
        </w:rPr>
        <w:t>河南浩德龙瑞置业有限公司</w:t>
      </w:r>
    </w:p>
    <w:p>
      <w:pPr>
        <w:spacing w:line="360" w:lineRule="auto"/>
        <w:ind w:firstLine="2409" w:firstLineChars="800"/>
        <w:jc w:val="both"/>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kern w:val="0"/>
          <w:sz w:val="30"/>
          <w:szCs w:val="30"/>
          <w:u w:val="single"/>
        </w:rPr>
        <w:t>洛阳泰智文化传媒有限公司</w:t>
      </w:r>
      <w:bookmarkStart w:id="12" w:name="_GoBack"/>
      <w:bookmarkEnd w:id="12"/>
    </w:p>
    <w:p>
      <w:pPr>
        <w:spacing w:line="360" w:lineRule="auto"/>
        <w:ind w:firstLine="2409" w:firstLineChars="800"/>
        <w:jc w:val="both"/>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3年</w:t>
      </w:r>
      <w:r>
        <w:rPr>
          <w:rFonts w:hint="eastAsia" w:ascii="宋体" w:hAnsi="宋体"/>
          <w:b/>
          <w:bCs/>
          <w:color w:val="000000"/>
          <w:sz w:val="30"/>
          <w:szCs w:val="30"/>
          <w:u w:val="single"/>
        </w:rPr>
        <w:t xml:space="preserve"> </w:t>
      </w:r>
      <w:r>
        <w:rPr>
          <w:rFonts w:hint="eastAsia" w:ascii="宋体" w:hAnsi="宋体"/>
          <w:b/>
          <w:bCs/>
          <w:color w:val="000000"/>
          <w:sz w:val="30"/>
          <w:szCs w:val="30"/>
          <w:u w:val="single"/>
          <w:lang w:val="en-US" w:eastAsia="zh-CN"/>
        </w:rPr>
        <w:t xml:space="preserve"> 5</w:t>
      </w:r>
      <w:r>
        <w:rPr>
          <w:rFonts w:hint="eastAsia" w:ascii="宋体" w:hAnsi="宋体"/>
          <w:b/>
          <w:bCs/>
          <w:color w:val="000000"/>
          <w:sz w:val="30"/>
          <w:szCs w:val="30"/>
          <w:u w:val="single"/>
        </w:rPr>
        <w:t xml:space="preserve"> </w:t>
      </w:r>
      <w:r>
        <w:rPr>
          <w:rFonts w:hint="eastAsia" w:ascii="宋体" w:hAnsi="宋体"/>
          <w:b/>
          <w:bCs/>
          <w:color w:val="000000"/>
          <w:sz w:val="30"/>
          <w:szCs w:val="30"/>
        </w:rPr>
        <w:t>月</w:t>
      </w:r>
      <w:r>
        <w:rPr>
          <w:rFonts w:hint="eastAsia" w:ascii="宋体" w:hAnsi="宋体"/>
          <w:b/>
          <w:bCs/>
          <w:color w:val="000000"/>
          <w:sz w:val="30"/>
          <w:szCs w:val="30"/>
          <w:u w:val="single"/>
        </w:rPr>
        <w:t xml:space="preserve"> </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pPr>
        <w:snapToGrid w:val="0"/>
        <w:spacing w:line="360" w:lineRule="auto"/>
        <w:jc w:val="center"/>
        <w:rPr>
          <w:rFonts w:ascii="宋体" w:hAnsi="宋体" w:cs="宋体"/>
          <w:b/>
          <w:sz w:val="30"/>
          <w:szCs w:val="30"/>
        </w:rPr>
      </w:pPr>
      <w:r>
        <w:rPr>
          <w:rFonts w:ascii="宋体" w:hAnsi="宋体" w:cs="宋体"/>
          <w:b/>
          <w:bCs/>
          <w:sz w:val="24"/>
        </w:rPr>
        <w:br w:type="page"/>
      </w:r>
      <w:r>
        <w:rPr>
          <w:rFonts w:hint="eastAsia" w:ascii="宋体" w:hAnsi="宋体" w:cs="宋体"/>
          <w:b/>
          <w:bCs/>
          <w:sz w:val="30"/>
          <w:szCs w:val="30"/>
          <w:u w:val="none"/>
          <w:lang w:eastAsia="zh-CN"/>
        </w:rPr>
        <w:t>悠然居</w:t>
      </w:r>
      <w:r>
        <w:rPr>
          <w:rFonts w:hint="eastAsia" w:ascii="宋体" w:hAnsi="宋体" w:cs="宋体"/>
          <w:b/>
          <w:sz w:val="30"/>
          <w:szCs w:val="30"/>
        </w:rPr>
        <w:t>项目2023年度营销</w:t>
      </w:r>
      <w:r>
        <w:rPr>
          <w:rFonts w:hint="eastAsia" w:ascii="宋体" w:hAnsi="宋体" w:cs="宋体"/>
          <w:b/>
          <w:sz w:val="30"/>
          <w:szCs w:val="30"/>
          <w:lang w:val="zh-CN"/>
        </w:rPr>
        <w:t>物料</w:t>
      </w:r>
      <w:r>
        <w:rPr>
          <w:rFonts w:hint="eastAsia" w:ascii="宋体" w:hAnsi="宋体" w:cs="宋体"/>
          <w:b/>
          <w:sz w:val="30"/>
          <w:szCs w:val="30"/>
        </w:rPr>
        <w:t>制作</w:t>
      </w:r>
      <w:r>
        <w:rPr>
          <w:rFonts w:hint="eastAsia" w:ascii="宋体" w:hAnsi="宋体" w:cs="宋体"/>
          <w:b/>
          <w:sz w:val="30"/>
          <w:szCs w:val="30"/>
          <w:lang w:val="zh-CN"/>
        </w:rPr>
        <w:t>框架合同</w:t>
      </w:r>
    </w:p>
    <w:p>
      <w:pPr>
        <w:pStyle w:val="7"/>
        <w:tabs>
          <w:tab w:val="left" w:pos="360"/>
        </w:tabs>
        <w:spacing w:line="360" w:lineRule="auto"/>
        <w:jc w:val="both"/>
        <w:rPr>
          <w:rFonts w:ascii="宋体" w:hAnsi="宋体" w:eastAsia="宋体" w:cs="宋体"/>
          <w:b w:val="0"/>
          <w:bCs w:val="0"/>
          <w:kern w:val="2"/>
          <w:sz w:val="24"/>
          <w:szCs w:val="24"/>
          <w:u w:val="single"/>
        </w:rPr>
      </w:pPr>
      <w:bookmarkStart w:id="0" w:name="_Toc180836376"/>
      <w:bookmarkStart w:id="1" w:name="_Toc194719956"/>
      <w:bookmarkStart w:id="2" w:name="_Toc194312526"/>
      <w:bookmarkStart w:id="3" w:name="_Toc194313923"/>
      <w:bookmarkStart w:id="4" w:name="_Toc194313235"/>
      <w:bookmarkStart w:id="5" w:name="_Toc194314530"/>
      <w:bookmarkStart w:id="6" w:name="_Toc194316927"/>
      <w:bookmarkStart w:id="7" w:name="_Toc194316308"/>
      <w:bookmarkStart w:id="8" w:name="_Toc194374018"/>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lang w:eastAsia="zh-CN"/>
        </w:rPr>
        <w:t>河南浩德龙瑞置业有限公司</w:t>
      </w:r>
    </w:p>
    <w:p>
      <w:pPr>
        <w:pStyle w:val="7"/>
        <w:tabs>
          <w:tab w:val="left" w:pos="360"/>
        </w:tabs>
        <w:spacing w:line="360" w:lineRule="auto"/>
        <w:jc w:val="both"/>
        <w:rPr>
          <w:rFonts w:hint="eastAsia" w:ascii="宋体" w:hAnsi="宋体" w:eastAsia="宋体" w:cs="宋体"/>
          <w:b w:val="0"/>
          <w:bCs w:val="0"/>
          <w:kern w:val="2"/>
          <w:sz w:val="24"/>
          <w:szCs w:val="24"/>
          <w:u w:val="single"/>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91410300MA9MYURF5B</w:t>
      </w:r>
    </w:p>
    <w:p>
      <w:pPr>
        <w:pStyle w:val="7"/>
        <w:tabs>
          <w:tab w:val="left" w:pos="360"/>
        </w:tabs>
        <w:spacing w:line="360" w:lineRule="auto"/>
        <w:jc w:val="both"/>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w:t>
      </w:r>
      <w:r>
        <w:rPr>
          <w:rFonts w:hint="eastAsia" w:ascii="宋体" w:hAnsi="宋体" w:cs="宋体"/>
          <w:b w:val="0"/>
          <w:bCs w:val="0"/>
          <w:u w:val="single"/>
        </w:rPr>
        <w:t>洛阳泰智文化传媒有限公司</w:t>
      </w:r>
    </w:p>
    <w:p>
      <w:pPr>
        <w:pStyle w:val="7"/>
        <w:tabs>
          <w:tab w:val="left" w:pos="360"/>
        </w:tabs>
        <w:spacing w:line="360" w:lineRule="auto"/>
        <w:jc w:val="both"/>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统一社会信用代码：</w:t>
      </w:r>
      <w:r>
        <w:rPr>
          <w:rFonts w:hint="eastAsia" w:ascii="宋体" w:hAnsi="宋体" w:cs="宋体"/>
          <w:b w:val="0"/>
          <w:bCs w:val="0"/>
          <w:kern w:val="0"/>
          <w:sz w:val="24"/>
          <w:u w:val="single"/>
        </w:rPr>
        <w:t>91410303MA3X5L39X9</w:t>
      </w:r>
    </w:p>
    <w:p>
      <w:pPr>
        <w:pStyle w:val="7"/>
        <w:tabs>
          <w:tab w:val="left" w:pos="360"/>
        </w:tabs>
        <w:spacing w:line="360" w:lineRule="auto"/>
        <w:ind w:firstLine="480" w:firstLineChars="200"/>
        <w:jc w:val="both"/>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jc w:val="both"/>
        <w:rPr>
          <w:rFonts w:ascii="宋体" w:hAnsi="宋体" w:cs="MingLiU"/>
          <w:b/>
          <w:sz w:val="24"/>
        </w:rPr>
      </w:pPr>
      <w:r>
        <w:rPr>
          <w:rFonts w:hint="eastAsia" w:ascii="宋体" w:hAnsi="宋体" w:cs="MingLiU"/>
          <w:b/>
          <w:sz w:val="24"/>
        </w:rPr>
        <w:t>一、</w:t>
      </w:r>
      <w:r>
        <w:rPr>
          <w:rFonts w:hint="eastAsia" w:ascii="宋体" w:hAnsi="宋体" w:cs="宋体"/>
          <w:b/>
          <w:sz w:val="24"/>
        </w:rPr>
        <w:t>物料规格、品种</w:t>
      </w:r>
    </w:p>
    <w:p>
      <w:pPr>
        <w:snapToGrid w:val="0"/>
        <w:spacing w:line="360" w:lineRule="auto"/>
        <w:ind w:firstLine="480" w:firstLineChars="200"/>
        <w:jc w:val="both"/>
        <w:outlineLvl w:val="2"/>
        <w:rPr>
          <w:rFonts w:ascii="宋体" w:hAnsi="宋体" w:cs="宋体"/>
          <w:bCs/>
          <w:sz w:val="24"/>
        </w:rPr>
      </w:pPr>
      <w:r>
        <w:rPr>
          <w:rFonts w:hint="eastAsia" w:ascii="宋体" w:hAnsi="宋体" w:cs="宋体"/>
          <w:bCs/>
          <w:sz w:val="24"/>
        </w:rPr>
        <w:t>营销物料规格、品种及价格（具体规格、型号及价格见后附表 ）</w:t>
      </w:r>
    </w:p>
    <w:p>
      <w:pPr>
        <w:spacing w:line="360" w:lineRule="auto"/>
        <w:jc w:val="both"/>
        <w:rPr>
          <w:rFonts w:ascii="宋体" w:hAnsi="宋体" w:cs="MingLiU"/>
          <w:b/>
          <w:sz w:val="24"/>
        </w:rPr>
      </w:pPr>
      <w:r>
        <w:rPr>
          <w:rFonts w:hint="eastAsia" w:ascii="宋体" w:hAnsi="宋体" w:cs="MingLiU"/>
          <w:b/>
          <w:sz w:val="24"/>
        </w:rPr>
        <w:t>二、物料计价原则及结算方式</w:t>
      </w:r>
    </w:p>
    <w:p>
      <w:pPr>
        <w:snapToGrid w:val="0"/>
        <w:spacing w:line="360" w:lineRule="auto"/>
        <w:ind w:firstLine="420" w:firstLineChars="175"/>
        <w:jc w:val="both"/>
        <w:rPr>
          <w:rFonts w:ascii="宋体" w:hAnsi="宋体" w:cs="宋体"/>
          <w:sz w:val="24"/>
        </w:rPr>
      </w:pPr>
      <w:r>
        <w:rPr>
          <w:rFonts w:hint="eastAsia" w:ascii="宋体" w:hAnsi="宋体" w:cs="宋体"/>
          <w:sz w:val="24"/>
        </w:rPr>
        <w:t>１、物料计价原则：单价包干，据实结算。</w:t>
      </w:r>
    </w:p>
    <w:p>
      <w:pPr>
        <w:snapToGrid w:val="0"/>
        <w:spacing w:line="360" w:lineRule="auto"/>
        <w:ind w:firstLine="420" w:firstLineChars="175"/>
        <w:jc w:val="both"/>
        <w:rPr>
          <w:rFonts w:ascii="宋体" w:hAnsi="宋体" w:cs="宋体"/>
          <w:sz w:val="24"/>
        </w:rPr>
      </w:pPr>
      <w:r>
        <w:rPr>
          <w:rFonts w:hint="eastAsia" w:ascii="宋体" w:hAnsi="宋体" w:cs="宋体"/>
          <w:bCs/>
          <w:sz w:val="24"/>
        </w:rPr>
        <w:t>２、</w:t>
      </w:r>
      <w:r>
        <w:rPr>
          <w:rFonts w:hint="eastAsia" w:ascii="宋体" w:hAnsi="宋体" w:cs="宋体"/>
          <w:sz w:val="24"/>
        </w:rPr>
        <w:t>费用：本合同价款暂定为：￥</w:t>
      </w:r>
      <w:r>
        <w:rPr>
          <w:rFonts w:hint="eastAsia" w:ascii="宋体" w:hAnsi="宋体" w:cs="宋体"/>
          <w:sz w:val="24"/>
          <w:u w:val="single"/>
          <w:lang w:val="en-US" w:eastAsia="zh-CN"/>
        </w:rPr>
        <w:t>150000</w:t>
      </w:r>
      <w:r>
        <w:rPr>
          <w:rFonts w:hint="eastAsia" w:ascii="宋体" w:hAnsi="宋体" w:cs="宋体"/>
          <w:sz w:val="24"/>
        </w:rPr>
        <w:t>元</w:t>
      </w:r>
      <w:r>
        <w:rPr>
          <w:rFonts w:hint="eastAsia" w:ascii="宋体" w:hAnsi="宋体" w:cs="MingLiU"/>
          <w:bCs/>
          <w:sz w:val="24"/>
          <w:lang w:val="zh-CN"/>
        </w:rPr>
        <w:t>（大写人民币</w:t>
      </w:r>
      <w:r>
        <w:rPr>
          <w:rFonts w:hint="eastAsia" w:ascii="宋体" w:hAnsi="宋体" w:cs="MingLiU"/>
          <w:bCs/>
          <w:sz w:val="24"/>
          <w:u w:val="single"/>
          <w:lang w:eastAsia="zh-CN"/>
        </w:rPr>
        <w:t>拾伍万元</w:t>
      </w:r>
      <w:r>
        <w:rPr>
          <w:rFonts w:hint="eastAsia" w:ascii="宋体" w:hAnsi="宋体" w:cs="MingLiU"/>
          <w:bCs/>
          <w:sz w:val="24"/>
          <w:lang w:val="zh-CN"/>
        </w:rPr>
        <w:t>）</w:t>
      </w:r>
      <w:r>
        <w:rPr>
          <w:rFonts w:hint="eastAsia" w:ascii="宋体" w:hAnsi="宋体" w:cs="宋体"/>
          <w:sz w:val="24"/>
        </w:rPr>
        <w:t>（以下简称“暂定合同金额”）；</w:t>
      </w:r>
      <w:r>
        <w:rPr>
          <w:rFonts w:hint="eastAsia" w:ascii="宋体" w:hAnsi="宋体" w:cs="MingLiU"/>
          <w:bCs/>
          <w:sz w:val="24"/>
          <w:lang w:val="zh-CN"/>
        </w:rPr>
        <w:t>其中不含税金额为¥</w:t>
      </w:r>
      <w:r>
        <w:rPr>
          <w:rFonts w:hint="eastAsia" w:ascii="宋体" w:hAnsi="宋体" w:cs="MingLiU"/>
          <w:bCs/>
          <w:sz w:val="24"/>
          <w:u w:val="single"/>
          <w:lang w:val="en-US" w:eastAsia="zh-CN"/>
        </w:rPr>
        <w:t>141000</w:t>
      </w:r>
      <w:r>
        <w:rPr>
          <w:rFonts w:hint="eastAsia" w:ascii="宋体" w:hAnsi="宋体" w:cs="MingLiU"/>
          <w:bCs/>
          <w:sz w:val="24"/>
          <w:lang w:val="zh-CN"/>
        </w:rPr>
        <w:t>元（大写人民币</w:t>
      </w:r>
      <w:r>
        <w:rPr>
          <w:rFonts w:hint="eastAsia" w:ascii="宋体" w:hAnsi="宋体" w:cs="MingLiU"/>
          <w:bCs/>
          <w:sz w:val="24"/>
          <w:u w:val="single"/>
          <w:lang w:eastAsia="zh-CN"/>
        </w:rPr>
        <w:t>拾肆万壹仟元</w:t>
      </w:r>
      <w:r>
        <w:rPr>
          <w:rFonts w:hint="eastAsia" w:ascii="宋体" w:hAnsi="宋体" w:cs="MingLiU"/>
          <w:bCs/>
          <w:sz w:val="24"/>
          <w:lang w:val="zh-CN"/>
        </w:rPr>
        <w:t>），增值税税金为¥</w:t>
      </w:r>
      <w:r>
        <w:rPr>
          <w:rFonts w:hint="eastAsia" w:ascii="宋体" w:hAnsi="宋体" w:cs="MingLiU"/>
          <w:bCs/>
          <w:sz w:val="24"/>
          <w:u w:val="single"/>
          <w:lang w:val="en-US" w:eastAsia="zh-CN"/>
        </w:rPr>
        <w:t>9000</w:t>
      </w:r>
      <w:r>
        <w:rPr>
          <w:rFonts w:hint="eastAsia" w:ascii="宋体" w:hAnsi="宋体" w:cs="MingLiU"/>
          <w:bCs/>
          <w:sz w:val="24"/>
          <w:lang w:val="zh-CN"/>
        </w:rPr>
        <w:t>元（大写人民币玖仟元），税率</w:t>
      </w:r>
      <w:r>
        <w:rPr>
          <w:rFonts w:hint="eastAsia" w:ascii="宋体" w:hAnsi="宋体" w:cs="MingLiU"/>
          <w:bCs/>
          <w:sz w:val="24"/>
          <w:u w:val="single"/>
          <w:lang w:val="en-US" w:eastAsia="zh-CN"/>
        </w:rPr>
        <w:t>6</w:t>
      </w:r>
      <w:r>
        <w:rPr>
          <w:rFonts w:hint="eastAsia" w:ascii="宋体" w:hAnsi="宋体" w:cs="MingLiU"/>
          <w:bCs/>
          <w:sz w:val="24"/>
          <w:lang w:val="zh-CN"/>
        </w:rPr>
        <w:t>%。</w:t>
      </w:r>
      <w:r>
        <w:rPr>
          <w:rFonts w:hint="eastAsia" w:ascii="宋体" w:hAnsi="宋体" w:cs="宋体"/>
          <w:sz w:val="24"/>
        </w:rPr>
        <w:t>包干单价包含人工、材料、机械、税费、安装、安全、风险、运费、装卸费等一切可能发生的直接及间接费用。</w:t>
      </w:r>
    </w:p>
    <w:p>
      <w:pPr>
        <w:spacing w:line="360" w:lineRule="auto"/>
        <w:ind w:firstLine="480" w:firstLineChars="200"/>
        <w:jc w:val="both"/>
      </w:pPr>
      <w:r>
        <w:rPr>
          <w:rFonts w:hint="eastAsia" w:ascii="宋体" w:hAnsi="宋体" w:cs="宋体"/>
          <w:bCs/>
          <w:sz w:val="24"/>
        </w:rPr>
        <w:t>3、</w:t>
      </w:r>
      <w:bookmarkStart w:id="9" w:name="_Hlk26971033"/>
      <w:r>
        <w:rPr>
          <w:rFonts w:hint="eastAsia" w:ascii="宋体" w:hAnsi="宋体" w:cs="宋体"/>
          <w:bCs/>
          <w:sz w:val="24"/>
        </w:rPr>
        <w:t>付款方式及结算方式：按月据实结算。</w:t>
      </w:r>
      <w:r>
        <w:rPr>
          <w:rFonts w:hint="eastAsia" w:ascii="宋体" w:hAnsi="宋体" w:cs="宋体"/>
          <w:sz w:val="24"/>
        </w:rPr>
        <w:t>相应包干单价*数量±签证-应扣费用。</w:t>
      </w:r>
      <w:r>
        <w:rPr>
          <w:rFonts w:hint="eastAsia" w:ascii="宋体" w:hAnsi="宋体" w:cs="宋体"/>
          <w:bCs/>
          <w:sz w:val="24"/>
        </w:rPr>
        <w:t>截止当月25日前全部入库的物料制作资料，以经甲方招采、成</w:t>
      </w:r>
      <w:r>
        <w:rPr>
          <w:rFonts w:hint="eastAsia" w:ascii="宋体" w:hAnsi="宋体" w:cs="宋体"/>
          <w:sz w:val="24"/>
        </w:rPr>
        <w:t>本、营销</w:t>
      </w:r>
      <w:r>
        <w:rPr>
          <w:rFonts w:hint="eastAsia" w:ascii="宋体" w:hAnsi="宋体" w:cs="宋体"/>
          <w:bCs/>
          <w:sz w:val="24"/>
        </w:rPr>
        <w:t>签字确认的验收单和物料明细为对账依据,双方确认无误后次月付清。</w:t>
      </w:r>
      <w:r>
        <w:rPr>
          <w:rFonts w:hint="eastAsia" w:ascii="宋体" w:hAnsi="宋体" w:cs="宋体"/>
          <w:sz w:val="24"/>
        </w:rPr>
        <w:t>乙方在领取</w:t>
      </w:r>
      <w:r>
        <w:rPr>
          <w:rFonts w:hint="eastAsia" w:ascii="宋体" w:hAnsi="宋体" w:cs="宋体"/>
          <w:bCs/>
          <w:sz w:val="24"/>
        </w:rPr>
        <w:t>物料制作</w:t>
      </w:r>
      <w:r>
        <w:rPr>
          <w:rFonts w:hint="eastAsia" w:ascii="宋体" w:hAnsi="宋体" w:cs="宋体"/>
          <w:sz w:val="24"/>
        </w:rPr>
        <w:t>款前须提供相应等额有效的增值税专用发票。</w:t>
      </w:r>
      <w:bookmarkEnd w:id="9"/>
    </w:p>
    <w:p>
      <w:pPr>
        <w:spacing w:line="360" w:lineRule="auto"/>
        <w:ind w:firstLine="480" w:firstLineChars="200"/>
        <w:jc w:val="both"/>
        <w:rPr>
          <w:rFonts w:ascii="宋体" w:hAnsi="宋体" w:cs="宋体"/>
          <w:sz w:val="24"/>
        </w:rPr>
      </w:pPr>
      <w:r>
        <w:rPr>
          <w:rFonts w:hint="eastAsia" w:ascii="宋体" w:hAnsi="宋体" w:cs="宋体"/>
          <w:sz w:val="24"/>
        </w:rPr>
        <w:t>4、计件验收办法：甲方有需求时向乙方下达物料制作通知单，物料制作完毕后送至甲方指定地点，</w:t>
      </w:r>
      <w:r>
        <w:rPr>
          <w:rFonts w:hint="eastAsia" w:ascii="宋体" w:hAnsi="宋体" w:cs="宋体"/>
          <w:bCs/>
          <w:sz w:val="24"/>
        </w:rPr>
        <w:t>乙方自行沟通甲方</w:t>
      </w:r>
      <w:r>
        <w:rPr>
          <w:rFonts w:hint="eastAsia" w:ascii="宋体" w:hAnsi="宋体" w:cs="宋体"/>
          <w:sz w:val="24"/>
        </w:rPr>
        <w:t>招采、成本、营销人员共同验收签字确认，验收单与物料明细单共同作为结算时依据。</w:t>
      </w:r>
    </w:p>
    <w:p>
      <w:pPr>
        <w:spacing w:line="360" w:lineRule="auto"/>
        <w:ind w:firstLine="480" w:firstLineChars="200"/>
        <w:jc w:val="both"/>
        <w:rPr>
          <w:rFonts w:ascii="宋体" w:hAnsi="宋体" w:cs="宋体"/>
          <w:sz w:val="24"/>
        </w:rPr>
      </w:pPr>
      <w:r>
        <w:rPr>
          <w:rFonts w:hint="eastAsia" w:ascii="宋体" w:hAnsi="宋体" w:cs="宋体"/>
          <w:sz w:val="24"/>
        </w:rPr>
        <w:t>5、乙方需根据甲方</w:t>
      </w:r>
      <w:r>
        <w:rPr>
          <w:rFonts w:hint="eastAsia" w:ascii="宋体" w:hAnsi="宋体" w:cs="宋体"/>
          <w:bCs/>
          <w:sz w:val="24"/>
        </w:rPr>
        <w:t>物料</w:t>
      </w:r>
      <w:r>
        <w:rPr>
          <w:rFonts w:hint="eastAsia" w:ascii="宋体" w:hAnsi="宋体" w:cs="宋体"/>
          <w:sz w:val="24"/>
        </w:rPr>
        <w:t>制作通知单的要求提供相应的物料，所需物料框架合同中已有明确价格，按框架合同约定执行；如所需物料未在框架合同价格中体现，则甲方将进行市场比价、议价后，确认其合同外物料最终价格，乙方对此无任何异议。</w:t>
      </w:r>
    </w:p>
    <w:p>
      <w:pPr>
        <w:spacing w:line="360" w:lineRule="auto"/>
        <w:jc w:val="both"/>
        <w:rPr>
          <w:rFonts w:ascii="宋体" w:hAnsi="宋体" w:cs="MingLiU"/>
          <w:b/>
          <w:sz w:val="24"/>
        </w:rPr>
      </w:pPr>
      <w:r>
        <w:rPr>
          <w:rFonts w:hint="eastAsia" w:ascii="宋体" w:hAnsi="宋体" w:cs="MingLiU"/>
          <w:b/>
          <w:sz w:val="24"/>
        </w:rPr>
        <w:t>三、</w:t>
      </w:r>
      <w:r>
        <w:rPr>
          <w:rFonts w:hint="eastAsia" w:ascii="宋体" w:hAnsi="宋体" w:cs="宋体"/>
          <w:b/>
          <w:sz w:val="24"/>
        </w:rPr>
        <w:t>供货周期、质量要求及封样</w:t>
      </w:r>
    </w:p>
    <w:p>
      <w:pPr>
        <w:spacing w:line="360" w:lineRule="auto"/>
        <w:ind w:firstLine="480" w:firstLineChars="200"/>
        <w:jc w:val="both"/>
        <w:rPr>
          <w:rFonts w:ascii="宋体" w:hAnsi="宋体" w:cs="宋体"/>
          <w:sz w:val="24"/>
        </w:rPr>
      </w:pPr>
      <w:r>
        <w:rPr>
          <w:rFonts w:hint="eastAsia" w:ascii="宋体" w:hAnsi="宋体" w:cs="宋体"/>
          <w:sz w:val="24"/>
        </w:rPr>
        <w:t>1、每批次供货周期为收到甲方制作通知单之日起2~3天，具体时间以甲方通知为准，若有变更，最终以甲方要求交货期为准；具体的进场时间、到货数量以甲方项目部书面通知为准，乙方承诺满足甲方需求。设备安装应根据甲方工程要求时间完成并不因此要求工期补偿/赔偿。</w:t>
      </w:r>
    </w:p>
    <w:p>
      <w:pPr>
        <w:spacing w:line="360" w:lineRule="auto"/>
        <w:ind w:firstLine="480" w:firstLineChars="200"/>
        <w:jc w:val="both"/>
        <w:rPr>
          <w:rFonts w:ascii="宋体" w:hAnsi="宋体" w:cs="宋体"/>
          <w:sz w:val="24"/>
        </w:rPr>
      </w:pPr>
      <w:r>
        <w:rPr>
          <w:rFonts w:hint="eastAsia" w:ascii="宋体" w:hAnsi="宋体" w:cs="宋体"/>
          <w:sz w:val="24"/>
        </w:rPr>
        <w:t>2、施工过程中如遇甲方责任或不可抗力等因素所延误的工期，经甲、乙双方签证认可后予以调整，并在此基础上确定完工日期。</w:t>
      </w:r>
    </w:p>
    <w:p>
      <w:pPr>
        <w:spacing w:line="360" w:lineRule="auto"/>
        <w:ind w:firstLine="480" w:firstLineChars="200"/>
        <w:jc w:val="both"/>
        <w:rPr>
          <w:rFonts w:ascii="宋体" w:hAnsi="宋体" w:cs="宋体"/>
          <w:sz w:val="24"/>
        </w:rPr>
      </w:pPr>
      <w:r>
        <w:rPr>
          <w:rFonts w:hint="eastAsia" w:ascii="宋体" w:hAnsi="宋体" w:cs="宋体"/>
          <w:sz w:val="24"/>
        </w:rPr>
        <w:t>3、质量要求及封样:每批次供货前乙方需提供样品交甲方封样，验收时以甲方封样样品为准，材料规格必须满足甲方质量要求。</w:t>
      </w:r>
    </w:p>
    <w:p>
      <w:pPr>
        <w:spacing w:line="360" w:lineRule="auto"/>
        <w:jc w:val="both"/>
        <w:rPr>
          <w:rFonts w:ascii="宋体" w:hAnsi="宋体" w:cs="MingLiU"/>
          <w:b/>
          <w:sz w:val="24"/>
        </w:rPr>
      </w:pPr>
      <w:r>
        <w:rPr>
          <w:rFonts w:hint="eastAsia" w:ascii="宋体" w:hAnsi="宋体" w:cs="MingLiU"/>
          <w:b/>
          <w:sz w:val="24"/>
        </w:rPr>
        <w:t>四、现场安全文明施工及管理要求</w:t>
      </w:r>
    </w:p>
    <w:p>
      <w:pPr>
        <w:spacing w:line="360" w:lineRule="auto"/>
        <w:ind w:firstLine="480" w:firstLineChars="200"/>
        <w:jc w:val="both"/>
        <w:rPr>
          <w:rFonts w:ascii="宋体" w:hAnsi="宋体" w:cs="宋体"/>
          <w:sz w:val="24"/>
        </w:rPr>
      </w:pPr>
      <w:r>
        <w:rPr>
          <w:rFonts w:hint="eastAsia" w:ascii="宋体" w:hAnsi="宋体" w:cs="宋体"/>
          <w:sz w:val="24"/>
        </w:rPr>
        <w:t>1、乙方负责安装现场的安全管理工作，乙方要确保安全施工，如涉及高空作业的，作业人员必须具备高空作业证。乙方派专人负责具体的安全工作，按照国家规定购买相关人员的保险并承担费用，并经常性地做好安全宣传教育，严防安全隐患，杜绝伤亡事故和火灾的发生。如发生事故，责任由乙方负责，与甲方无关，乙方同时保护现场并及时上报有关部门，如因此给甲方造成损失的，乙方承担全部赔偿责任。</w:t>
      </w:r>
    </w:p>
    <w:p>
      <w:pPr>
        <w:spacing w:line="360" w:lineRule="auto"/>
        <w:ind w:firstLine="480" w:firstLineChars="200"/>
        <w:jc w:val="both"/>
        <w:rPr>
          <w:rFonts w:ascii="宋体" w:hAnsi="宋体" w:cs="宋体"/>
          <w:sz w:val="24"/>
        </w:rPr>
      </w:pPr>
      <w:r>
        <w:rPr>
          <w:rFonts w:hint="eastAsia" w:ascii="宋体" w:hAnsi="宋体" w:cs="宋体"/>
          <w:sz w:val="24"/>
        </w:rPr>
        <w:t>2、乙方及乙方派驻施工现场的项目经理须向甲方签订安全责任书，对工程质量、安全作出相应承诺和确定目标值。若上述目标不能达到，应向甲方支付违约金2000元并向甲方给予经济补偿和承担相应的法律责任。</w:t>
      </w:r>
    </w:p>
    <w:p>
      <w:pPr>
        <w:spacing w:line="360" w:lineRule="auto"/>
        <w:ind w:firstLine="480" w:firstLineChars="200"/>
        <w:jc w:val="both"/>
        <w:rPr>
          <w:rFonts w:ascii="宋体" w:hAnsi="宋体" w:cs="宋体"/>
          <w:sz w:val="24"/>
        </w:rPr>
      </w:pPr>
      <w:r>
        <w:rPr>
          <w:rFonts w:hint="eastAsia" w:ascii="宋体" w:hAnsi="宋体" w:cs="宋体"/>
          <w:sz w:val="24"/>
        </w:rPr>
        <w:t>3、施工现场用电器具应有接地、接零装置和线路布置规范化，安全防护措施到位。乙方自身职工、与甲方有关的第三方人员在现场发生伤亡事故，其经济责任、法律责任和其他民事责任均由乙方负责。</w:t>
      </w:r>
    </w:p>
    <w:p>
      <w:pPr>
        <w:spacing w:line="360" w:lineRule="auto"/>
        <w:ind w:firstLine="480" w:firstLineChars="200"/>
        <w:jc w:val="both"/>
        <w:rPr>
          <w:rFonts w:ascii="宋体" w:hAnsi="宋体" w:cs="宋体"/>
          <w:sz w:val="24"/>
        </w:rPr>
      </w:pPr>
      <w:r>
        <w:rPr>
          <w:rFonts w:hint="eastAsia" w:ascii="宋体" w:hAnsi="宋体" w:cs="宋体"/>
          <w:sz w:val="24"/>
        </w:rPr>
        <w:t>4、乙方应加强对现场施工人员的教育。施工现场严禁酗酒、打架斗殴、赌博和其他违法违章现象，每发现一次，乙方按2000元/次向甲方支付违约金。</w:t>
      </w:r>
    </w:p>
    <w:p>
      <w:pPr>
        <w:spacing w:line="360" w:lineRule="auto"/>
        <w:ind w:firstLine="480" w:firstLineChars="200"/>
        <w:jc w:val="both"/>
        <w:rPr>
          <w:rFonts w:ascii="宋体" w:hAnsi="宋体" w:cs="宋体"/>
          <w:sz w:val="24"/>
        </w:rPr>
      </w:pPr>
      <w:r>
        <w:rPr>
          <w:rFonts w:hint="eastAsia" w:ascii="宋体" w:hAnsi="宋体" w:cs="宋体"/>
          <w:sz w:val="24"/>
        </w:rPr>
        <w:t>5、施工过程中如发生扰民或民扰，由乙方与甲方协调解决，费用乙方承担。</w:t>
      </w:r>
    </w:p>
    <w:p>
      <w:pPr>
        <w:spacing w:line="360" w:lineRule="auto"/>
        <w:jc w:val="both"/>
        <w:rPr>
          <w:rFonts w:ascii="宋体" w:hAnsi="宋体" w:cs="MingLiU"/>
          <w:b/>
          <w:sz w:val="24"/>
        </w:rPr>
      </w:pPr>
      <w:r>
        <w:rPr>
          <w:rFonts w:hint="eastAsia" w:ascii="宋体" w:hAnsi="宋体" w:cs="MingLiU"/>
          <w:b/>
          <w:sz w:val="24"/>
        </w:rPr>
        <w:t>五、</w:t>
      </w:r>
      <w:r>
        <w:rPr>
          <w:rFonts w:hint="eastAsia" w:ascii="宋体" w:hAnsi="宋体" w:cs="宋体"/>
          <w:b/>
          <w:sz w:val="24"/>
        </w:rPr>
        <w:t>乙方责任</w:t>
      </w:r>
    </w:p>
    <w:p>
      <w:pPr>
        <w:snapToGrid w:val="0"/>
        <w:spacing w:line="360" w:lineRule="auto"/>
        <w:ind w:firstLine="480" w:firstLineChars="200"/>
        <w:jc w:val="both"/>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napToGrid w:val="0"/>
        <w:spacing w:line="360" w:lineRule="auto"/>
        <w:ind w:firstLine="480" w:firstLineChars="200"/>
        <w:jc w:val="both"/>
        <w:rPr>
          <w:rFonts w:ascii="宋体" w:hAnsi="宋体" w:cs="宋体"/>
          <w:sz w:val="24"/>
        </w:rPr>
      </w:pPr>
      <w:r>
        <w:rPr>
          <w:rFonts w:ascii="宋体" w:hAnsi="宋体" w:cs="宋体"/>
          <w:sz w:val="24"/>
        </w:rPr>
        <w:t>2</w:t>
      </w:r>
      <w:r>
        <w:rPr>
          <w:rFonts w:hint="eastAsia" w:ascii="宋体" w:hAnsi="宋体" w:cs="宋体"/>
          <w:sz w:val="24"/>
        </w:rPr>
        <w:t>、乙方自主对接甲方相关人员进行验收确认。</w:t>
      </w:r>
    </w:p>
    <w:p>
      <w:pPr>
        <w:tabs>
          <w:tab w:val="left" w:pos="1554"/>
        </w:tabs>
        <w:snapToGrid w:val="0"/>
        <w:spacing w:line="360" w:lineRule="auto"/>
        <w:ind w:firstLine="480" w:firstLineChars="200"/>
        <w:jc w:val="both"/>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napToGrid w:val="0"/>
        <w:spacing w:line="360" w:lineRule="auto"/>
        <w:ind w:firstLine="480" w:firstLineChars="200"/>
        <w:jc w:val="both"/>
        <w:rPr>
          <w:rFonts w:ascii="宋体" w:hAnsi="宋体"/>
          <w:sz w:val="24"/>
        </w:rPr>
      </w:pPr>
      <w:r>
        <w:rPr>
          <w:rFonts w:ascii="宋体" w:hAnsi="宋体" w:cs="宋体"/>
          <w:sz w:val="24"/>
        </w:rPr>
        <w:t>4</w:t>
      </w:r>
      <w:r>
        <w:rPr>
          <w:rFonts w:hint="eastAsia" w:ascii="宋体" w:hAnsi="宋体" w:cs="宋体"/>
          <w:sz w:val="24"/>
        </w:rPr>
        <w:t>、每次付款前，乙方应提供足额正规的增值税专用发票，否则甲方有权拒付相应价款。若乙方提供虚假发票，甲方有权解除合同。</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5、履行合同约定其它责任及义务。</w:t>
      </w:r>
    </w:p>
    <w:p>
      <w:pPr>
        <w:tabs>
          <w:tab w:val="right" w:pos="9507"/>
        </w:tabs>
        <w:spacing w:line="360" w:lineRule="auto"/>
        <w:jc w:val="both"/>
        <w:rPr>
          <w:rFonts w:ascii="宋体" w:hAnsi="宋体" w:cs="宋体"/>
          <w:b/>
          <w:sz w:val="24"/>
        </w:rPr>
      </w:pPr>
      <w:r>
        <w:rPr>
          <w:rFonts w:hint="eastAsia" w:ascii="宋体" w:hAnsi="宋体"/>
          <w:b/>
          <w:sz w:val="24"/>
        </w:rPr>
        <w:t>六、</w:t>
      </w:r>
      <w:r>
        <w:rPr>
          <w:rFonts w:hint="eastAsia" w:ascii="宋体" w:hAnsi="宋体" w:cs="宋体"/>
          <w:b/>
          <w:sz w:val="24"/>
        </w:rPr>
        <w:t>甲方责任</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1、甲方应按合同约定时间支付乙方相应合同款项。</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2、负责向乙方提供采购订单。</w:t>
      </w:r>
    </w:p>
    <w:p>
      <w:pPr>
        <w:spacing w:line="360" w:lineRule="auto"/>
        <w:jc w:val="both"/>
        <w:rPr>
          <w:rFonts w:ascii="宋体" w:hAnsi="宋体" w:cs="MingLiU"/>
          <w:b/>
          <w:sz w:val="24"/>
        </w:rPr>
      </w:pPr>
      <w:r>
        <w:rPr>
          <w:rFonts w:hint="eastAsia" w:ascii="宋体" w:hAnsi="宋体" w:cs="MingLiU"/>
          <w:b/>
          <w:sz w:val="24"/>
        </w:rPr>
        <w:t>七、</w:t>
      </w:r>
      <w:r>
        <w:rPr>
          <w:rFonts w:hint="eastAsia" w:ascii="宋体" w:hAnsi="宋体" w:cs="宋体"/>
          <w:b/>
          <w:sz w:val="24"/>
        </w:rPr>
        <w:t>违约责任</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1、合同期内，乙方延期交付物料的，每延期一日，按照当批次物料费用的1%向甲方承担违约金；延误达</w:t>
      </w:r>
      <w:r>
        <w:rPr>
          <w:rFonts w:ascii="宋体" w:hAnsi="宋体" w:cs="宋体"/>
          <w:sz w:val="24"/>
        </w:rPr>
        <w:t>3</w:t>
      </w:r>
      <w:r>
        <w:rPr>
          <w:rFonts w:hint="eastAsia" w:ascii="宋体" w:hAnsi="宋体" w:cs="宋体"/>
          <w:sz w:val="24"/>
        </w:rPr>
        <w:t>日的甲方有权解除当批次委托，同时乙方按当批次物料总价款的3</w:t>
      </w:r>
      <w:r>
        <w:rPr>
          <w:rFonts w:ascii="宋体" w:hAnsi="宋体" w:cs="宋体"/>
          <w:sz w:val="24"/>
        </w:rPr>
        <w:t>0%</w:t>
      </w:r>
      <w:r>
        <w:rPr>
          <w:rFonts w:hint="eastAsia" w:ascii="宋体" w:hAnsi="宋体" w:cs="宋体"/>
          <w:sz w:val="24"/>
        </w:rPr>
        <w:t>向甲方承担违约金；如乙方合同期内逾期达3次的，甲方有权解除本合同，且乙方需按照暂定合同总价款的30%向甲方承担违约金。</w:t>
      </w:r>
    </w:p>
    <w:p>
      <w:pPr>
        <w:tabs>
          <w:tab w:val="right" w:pos="9507"/>
        </w:tabs>
        <w:spacing w:line="360" w:lineRule="auto"/>
        <w:ind w:firstLine="480" w:firstLineChars="200"/>
        <w:jc w:val="both"/>
        <w:rPr>
          <w:rFonts w:ascii="宋体" w:hAnsi="宋体" w:cs="宋体"/>
          <w:sz w:val="24"/>
        </w:rPr>
      </w:pPr>
      <w:r>
        <w:rPr>
          <w:rFonts w:ascii="宋体" w:hAnsi="宋体" w:cs="宋体"/>
          <w:sz w:val="24"/>
        </w:rPr>
        <w:t>2</w:t>
      </w:r>
      <w:r>
        <w:rPr>
          <w:rFonts w:hint="eastAsia" w:ascii="宋体" w:hAnsi="宋体" w:cs="宋体"/>
          <w:sz w:val="24"/>
        </w:rPr>
        <w:t>、甲方对乙方交付的物料进行验收，经验收不合格的，乙方负责及时整改。当同一批次不合格率达到3%的，乙方除按甲方的要求及时整改，同时按不合格货物货款总额的</w:t>
      </w:r>
      <w:r>
        <w:rPr>
          <w:rFonts w:ascii="宋体" w:hAnsi="宋体" w:cs="宋体"/>
          <w:sz w:val="24"/>
        </w:rPr>
        <w:t>10</w:t>
      </w:r>
      <w:r>
        <w:rPr>
          <w:rFonts w:hint="eastAsia" w:ascii="宋体" w:hAnsi="宋体" w:cs="宋体"/>
          <w:sz w:val="24"/>
        </w:rPr>
        <w:t>%向甲方支付违约金；批次不合格率达3%或累计不合格率达5%，甲方有权解除合同，乙方应按照暂定合同金额的</w:t>
      </w:r>
      <w:r>
        <w:rPr>
          <w:rFonts w:ascii="宋体" w:hAnsi="宋体" w:cs="宋体"/>
          <w:sz w:val="24"/>
        </w:rPr>
        <w:t>30</w:t>
      </w:r>
      <w:r>
        <w:rPr>
          <w:rFonts w:hint="eastAsia" w:ascii="宋体" w:hAnsi="宋体" w:cs="宋体"/>
          <w:sz w:val="24"/>
        </w:rPr>
        <w:t>%支付违约金。对于不合格的物料，甲方有权拒绝支付相应的费用。</w:t>
      </w:r>
    </w:p>
    <w:p>
      <w:pPr>
        <w:tabs>
          <w:tab w:val="right" w:pos="9507"/>
        </w:tabs>
        <w:spacing w:line="360" w:lineRule="auto"/>
        <w:ind w:firstLine="480" w:firstLineChars="200"/>
        <w:jc w:val="both"/>
        <w:rPr>
          <w:rFonts w:ascii="宋体" w:hAnsi="宋体" w:cs="宋体"/>
          <w:sz w:val="24"/>
        </w:rPr>
      </w:pPr>
      <w:r>
        <w:rPr>
          <w:rFonts w:ascii="宋体" w:hAnsi="宋体" w:cs="宋体"/>
          <w:sz w:val="24"/>
        </w:rPr>
        <w:t>3</w:t>
      </w:r>
      <w:r>
        <w:rPr>
          <w:rFonts w:hint="eastAsia" w:ascii="宋体" w:hAnsi="宋体" w:cs="宋体"/>
          <w:sz w:val="24"/>
        </w:rPr>
        <w:t>、本合同签订后，乙方不按本合同约定的价格向甲方供货或乙方对甲方下发的物料需求通知拒不配合达3次及以上的，甲方有权解除合同，乙方同时应向甲方支付违约金2万元，该违约金不足以弥补甲方损失，乙方应予赔偿。</w:t>
      </w:r>
    </w:p>
    <w:p>
      <w:pPr>
        <w:pStyle w:val="18"/>
        <w:spacing w:line="360" w:lineRule="auto"/>
        <w:ind w:firstLine="480"/>
        <w:jc w:val="both"/>
        <w:rPr>
          <w:rFonts w:ascii="宋体" w:hAnsi="宋体" w:cs="宋体"/>
          <w:sz w:val="24"/>
        </w:rPr>
      </w:pPr>
      <w:r>
        <w:rPr>
          <w:rFonts w:hint="eastAsia" w:ascii="宋体" w:hAnsi="宋体" w:cs="宋体"/>
          <w:sz w:val="24"/>
        </w:rPr>
        <w:t>4、乙方应向甲方支付的违约金，甲方有权直接在甲方应付未付款中扣除，违约金不足以弥补甲方损失的，甲方可继续向乙方追偿。</w:t>
      </w:r>
    </w:p>
    <w:p>
      <w:pPr>
        <w:tabs>
          <w:tab w:val="right" w:pos="9507"/>
        </w:tabs>
        <w:spacing w:line="360" w:lineRule="auto"/>
        <w:jc w:val="both"/>
        <w:rPr>
          <w:rFonts w:ascii="宋体" w:hAnsi="宋体"/>
          <w:b/>
          <w:sz w:val="24"/>
        </w:rPr>
      </w:pPr>
      <w:r>
        <w:rPr>
          <w:rFonts w:hint="eastAsia" w:ascii="宋体" w:hAnsi="宋体"/>
          <w:b/>
          <w:sz w:val="24"/>
        </w:rPr>
        <w:t>八、</w:t>
      </w:r>
      <w:r>
        <w:rPr>
          <w:rFonts w:hint="eastAsia" w:ascii="宋体" w:hAnsi="宋体" w:cs="宋体"/>
          <w:b/>
          <w:bCs/>
          <w:color w:val="000000"/>
          <w:sz w:val="24"/>
        </w:rPr>
        <w:t>合作期限（价格有效期）</w:t>
      </w:r>
    </w:p>
    <w:p>
      <w:pPr>
        <w:spacing w:line="360" w:lineRule="auto"/>
        <w:ind w:firstLine="480" w:firstLineChars="200"/>
        <w:jc w:val="both"/>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rPr>
        <w:t>3年5月1日至20</w:t>
      </w:r>
      <w:r>
        <w:rPr>
          <w:rFonts w:ascii="宋体" w:hAnsi="宋体" w:cs="宋体"/>
          <w:color w:val="000000"/>
          <w:sz w:val="24"/>
        </w:rPr>
        <w:t>2</w:t>
      </w:r>
      <w:r>
        <w:rPr>
          <w:rFonts w:hint="eastAsia" w:ascii="宋体" w:hAnsi="宋体" w:cs="宋体"/>
          <w:color w:val="000000"/>
          <w:sz w:val="24"/>
        </w:rPr>
        <w:t>4年4月30日止，履约期间，当甲方有实质性供货需求时按本协议履行。</w:t>
      </w:r>
    </w:p>
    <w:p>
      <w:pPr>
        <w:spacing w:line="360" w:lineRule="auto"/>
        <w:jc w:val="both"/>
        <w:rPr>
          <w:rFonts w:ascii="宋体" w:hAnsi="宋体"/>
          <w:b/>
          <w:sz w:val="24"/>
        </w:rPr>
      </w:pPr>
      <w:r>
        <w:rPr>
          <w:rFonts w:hint="eastAsia" w:ascii="宋体" w:hAnsi="宋体"/>
          <w:b/>
          <w:sz w:val="24"/>
        </w:rPr>
        <w:t>九、涉税条款</w:t>
      </w:r>
    </w:p>
    <w:p>
      <w:pPr>
        <w:spacing w:line="360" w:lineRule="auto"/>
        <w:ind w:firstLine="480" w:firstLineChars="200"/>
        <w:jc w:val="both"/>
        <w:rPr>
          <w:sz w:val="28"/>
          <w:szCs w:val="28"/>
        </w:rPr>
      </w:pPr>
      <w:r>
        <w:rPr>
          <w:rFonts w:hint="eastAsia" w:ascii="宋体" w:hAnsi="宋体" w:cs="宋体"/>
          <w:sz w:val="24"/>
        </w:rPr>
        <w:t>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pPr>
        <w:spacing w:line="360" w:lineRule="auto"/>
        <w:ind w:firstLine="480" w:firstLineChars="200"/>
        <w:jc w:val="both"/>
        <w:rPr>
          <w:rFonts w:ascii="宋体" w:hAnsi="宋体" w:cs="宋体"/>
          <w:sz w:val="24"/>
        </w:rPr>
      </w:pPr>
      <w:r>
        <w:rPr>
          <w:rFonts w:hint="eastAsia" w:ascii="宋体" w:hAnsi="宋体" w:cs="宋体"/>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jc w:val="both"/>
        <w:rPr>
          <w:rFonts w:ascii="宋体" w:hAnsi="宋体" w:cs="宋体"/>
          <w:sz w:val="24"/>
        </w:rPr>
      </w:pPr>
      <w:r>
        <w:rPr>
          <w:rFonts w:hint="eastAsia" w:ascii="宋体" w:hAnsi="宋体" w:cs="宋体"/>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jc w:val="both"/>
        <w:rPr>
          <w:rFonts w:ascii="宋体" w:hAnsi="宋体" w:cs="宋体"/>
          <w:sz w:val="24"/>
        </w:rPr>
      </w:pPr>
      <w:r>
        <w:rPr>
          <w:rFonts w:hint="eastAsia" w:ascii="宋体" w:hAnsi="宋体" w:cs="宋体"/>
          <w:sz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80" w:firstLineChars="200"/>
        <w:jc w:val="both"/>
        <w:rPr>
          <w:rFonts w:ascii="宋体" w:hAnsi="宋体" w:cs="宋体"/>
          <w:sz w:val="24"/>
        </w:rPr>
      </w:pPr>
      <w:r>
        <w:rPr>
          <w:rFonts w:hint="eastAsia" w:ascii="宋体" w:hAnsi="宋体" w:cs="宋体"/>
          <w:sz w:val="24"/>
        </w:rPr>
        <w:t>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jc w:val="both"/>
        <w:rPr>
          <w:rFonts w:ascii="宋体" w:hAnsi="宋体" w:cs="宋体"/>
          <w:sz w:val="24"/>
        </w:rPr>
      </w:pPr>
      <w:r>
        <w:rPr>
          <w:rFonts w:hint="eastAsia" w:ascii="宋体" w:hAnsi="宋体" w:cs="宋体"/>
          <w:sz w:val="24"/>
        </w:rPr>
        <w:t>6、其它税务风险的合同约定：</w:t>
      </w:r>
    </w:p>
    <w:p>
      <w:pPr>
        <w:spacing w:line="360" w:lineRule="auto"/>
        <w:ind w:firstLine="480" w:firstLineChars="200"/>
        <w:jc w:val="both"/>
        <w:rPr>
          <w:rFonts w:ascii="宋体" w:hAnsi="宋体" w:cs="宋体"/>
          <w:sz w:val="24"/>
        </w:rPr>
      </w:pPr>
      <w:r>
        <w:rPr>
          <w:rFonts w:hint="eastAsia" w:ascii="宋体" w:hAnsi="宋体" w:cs="宋体"/>
          <w:sz w:val="24"/>
        </w:rPr>
        <w:t>6.1、如果甲方丢失增值税专用发票联和抵扣联，乙方应向甲方提供专用发票记账联复印件，并加盖乙方发票专用章。</w:t>
      </w:r>
    </w:p>
    <w:p>
      <w:pPr>
        <w:spacing w:line="360" w:lineRule="auto"/>
        <w:ind w:firstLine="480" w:firstLineChars="200"/>
        <w:jc w:val="both"/>
        <w:outlineLvl w:val="2"/>
        <w:rPr>
          <w:rFonts w:ascii="宋体" w:hAnsi="宋体" w:cs="宋体"/>
          <w:sz w:val="24"/>
        </w:rPr>
      </w:pPr>
      <w:r>
        <w:rPr>
          <w:rFonts w:hint="eastAsia" w:ascii="宋体" w:hAnsi="宋体" w:cs="宋体"/>
          <w:sz w:val="24"/>
        </w:rPr>
        <w:t>6.2、如果获得开具的汇总专用发票，则乙方应提供其防伪税控系统开具的《销售货物或者提供应税劳务清单》，并加盖发票专用章。</w:t>
      </w:r>
    </w:p>
    <w:p>
      <w:pPr>
        <w:spacing w:line="360" w:lineRule="auto"/>
        <w:jc w:val="both"/>
        <w:outlineLvl w:val="2"/>
        <w:rPr>
          <w:rFonts w:ascii="宋体" w:hAnsi="宋体" w:cs="宋体"/>
          <w:b/>
          <w:sz w:val="24"/>
        </w:rPr>
      </w:pPr>
      <w:r>
        <w:rPr>
          <w:rFonts w:hint="eastAsia" w:ascii="宋体" w:hAnsi="宋体" w:cs="宋体"/>
          <w:b/>
          <w:sz w:val="24"/>
        </w:rPr>
        <w:t>十、不可抗力</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1、不可抗力指因战争、动乱、瘟疫、空中飞行物坠落或其他非双方责任造成的爆炸、火灾以及9级以上的台风、7级及7级以上的地震等，（以当地行业主管部门的公告为准 ）。</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3、费用承担：</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3.1、人员伤亡由所属单位负责，并承担相应费用；</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3.2、造成乙方工程设备、机械的损失等损失由乙方承担；</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3.3、所需清理修复工作的责任与费用的承担，双方另行商定。</w:t>
      </w:r>
    </w:p>
    <w:p>
      <w:pPr>
        <w:spacing w:line="360" w:lineRule="auto"/>
        <w:jc w:val="both"/>
        <w:outlineLvl w:val="2"/>
        <w:rPr>
          <w:rFonts w:ascii="宋体" w:hAnsi="宋体" w:cs="宋体"/>
          <w:b/>
          <w:sz w:val="24"/>
        </w:rPr>
      </w:pPr>
      <w:r>
        <w:rPr>
          <w:rFonts w:hint="eastAsia" w:ascii="宋体" w:hAnsi="宋体" w:cs="宋体"/>
          <w:b/>
          <w:sz w:val="24"/>
        </w:rPr>
        <w:t>十一、送达条款</w:t>
      </w:r>
    </w:p>
    <w:p>
      <w:pPr>
        <w:spacing w:line="360" w:lineRule="auto"/>
        <w:ind w:firstLine="480" w:firstLineChars="200"/>
        <w:jc w:val="both"/>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jc w:val="both"/>
        <w:rPr>
          <w:rFonts w:hint="default" w:ascii="宋体" w:hAnsi="宋体" w:eastAsia="宋体"/>
          <w:sz w:val="24"/>
          <w:u w:val="single"/>
          <w:lang w:val="en-US" w:eastAsia="zh-CN"/>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河南省洛阳市洛龙区</w:t>
      </w:r>
      <w:r>
        <w:rPr>
          <w:rFonts w:hint="eastAsia" w:ascii="宋体" w:hAnsi="宋体"/>
          <w:sz w:val="24"/>
          <w:u w:val="single"/>
          <w:lang w:val="en-US" w:eastAsia="zh-CN"/>
        </w:rPr>
        <w:t>开元壹号售楼部西悠然居城市会客厅</w:t>
      </w:r>
    </w:p>
    <w:p>
      <w:pPr>
        <w:spacing w:line="360" w:lineRule="auto"/>
        <w:ind w:left="479" w:leftChars="228"/>
        <w:jc w:val="both"/>
        <w:rPr>
          <w:rFonts w:hint="default" w:ascii="宋体" w:hAnsi="宋体" w:eastAsia="宋体"/>
          <w:sz w:val="24"/>
          <w:szCs w:val="32"/>
          <w:lang w:val="en-US" w:eastAsia="zh-CN"/>
        </w:rPr>
      </w:pPr>
      <w:r>
        <w:rPr>
          <w:rFonts w:hint="eastAsia" w:ascii="宋体" w:hAnsi="宋体"/>
          <w:sz w:val="24"/>
          <w:szCs w:val="32"/>
        </w:rPr>
        <w:t>联系人及联系方式：</w:t>
      </w:r>
      <w:r>
        <w:rPr>
          <w:rFonts w:hint="eastAsia" w:ascii="宋体" w:hAnsi="宋体"/>
          <w:sz w:val="24"/>
          <w:szCs w:val="32"/>
          <w:u w:val="single"/>
          <w:lang w:val="en-US" w:eastAsia="zh-CN"/>
        </w:rPr>
        <w:t>徐梦瑶：15237999699</w:t>
      </w:r>
    </w:p>
    <w:p>
      <w:pPr>
        <w:spacing w:line="360" w:lineRule="auto"/>
        <w:ind w:firstLine="480" w:firstLineChars="200"/>
        <w:jc w:val="both"/>
        <w:rPr>
          <w:rFonts w:ascii="宋体" w:hAnsi="宋体"/>
          <w:sz w:val="24"/>
          <w:szCs w:val="32"/>
        </w:rPr>
      </w:pPr>
      <w:r>
        <w:rPr>
          <w:rFonts w:hint="eastAsia" w:ascii="宋体" w:hAnsi="宋体"/>
          <w:sz w:val="24"/>
          <w:szCs w:val="32"/>
        </w:rPr>
        <w:t>乙方确认的送达信息为：</w:t>
      </w:r>
    </w:p>
    <w:p>
      <w:pPr>
        <w:spacing w:line="360" w:lineRule="auto"/>
        <w:ind w:firstLine="480" w:firstLineChars="200"/>
        <w:jc w:val="both"/>
        <w:rPr>
          <w:rFonts w:ascii="宋体" w:hAnsi="宋体"/>
          <w:sz w:val="24"/>
          <w:szCs w:val="32"/>
          <w:u w:val="single"/>
        </w:rPr>
      </w:pPr>
      <w:r>
        <w:rPr>
          <w:rFonts w:hint="eastAsia" w:ascii="宋体" w:hAnsi="宋体"/>
          <w:sz w:val="24"/>
          <w:szCs w:val="32"/>
        </w:rPr>
        <w:t>送达地址：</w:t>
      </w:r>
      <w:r>
        <w:rPr>
          <w:rFonts w:hint="eastAsia" w:ascii="宋体"/>
          <w:u w:val="single"/>
        </w:rPr>
        <w:t>洛阳市西工区上阳路16号2幢1−2503</w:t>
      </w:r>
    </w:p>
    <w:p>
      <w:pPr>
        <w:spacing w:line="360" w:lineRule="auto"/>
        <w:ind w:firstLine="480" w:firstLineChars="200"/>
        <w:jc w:val="both"/>
        <w:rPr>
          <w:rFonts w:ascii="宋体" w:hAnsi="宋体"/>
          <w:sz w:val="24"/>
          <w:u w:val="single"/>
        </w:rPr>
      </w:pPr>
      <w:r>
        <w:rPr>
          <w:rFonts w:hint="eastAsia" w:ascii="宋体" w:hAnsi="宋体"/>
          <w:sz w:val="24"/>
          <w:szCs w:val="32"/>
        </w:rPr>
        <w:t>联系人及联系方式：</w:t>
      </w:r>
      <w:r>
        <w:rPr>
          <w:rFonts w:hint="eastAsia" w:ascii="宋体" w:hAnsi="宋体" w:eastAsia="宋体" w:cs="宋体"/>
          <w:kern w:val="24"/>
          <w:u w:val="single"/>
        </w:rPr>
        <w:t>王璐</w:t>
      </w:r>
      <w:r>
        <w:rPr>
          <w:rFonts w:hint="eastAsia" w:ascii="宋体" w:hAnsi="宋体" w:cs="宋体"/>
          <w:kern w:val="24"/>
          <w:u w:val="single"/>
          <w:lang w:eastAsia="zh-CN"/>
        </w:rPr>
        <w:t>：</w:t>
      </w:r>
      <w:r>
        <w:rPr>
          <w:rFonts w:hint="eastAsia" w:ascii="宋体" w:hAnsi="宋体" w:eastAsia="宋体" w:cs="宋体"/>
          <w:szCs w:val="21"/>
          <w:u w:val="single"/>
        </w:rPr>
        <w:t>13703885579</w:t>
      </w:r>
    </w:p>
    <w:p>
      <w:pPr>
        <w:snapToGrid w:val="0"/>
        <w:spacing w:line="360" w:lineRule="auto"/>
        <w:ind w:firstLine="480" w:firstLineChars="200"/>
        <w:jc w:val="both"/>
        <w:rPr>
          <w:rFonts w:ascii="宋体" w:hAnsi="宋体" w:cs="宋体"/>
          <w:sz w:val="24"/>
        </w:rPr>
      </w:pPr>
      <w:r>
        <w:rPr>
          <w:rFonts w:hint="eastAsia" w:ascii="宋体" w:hAnsi="宋体" w:cs="宋体"/>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both"/>
        <w:outlineLvl w:val="2"/>
        <w:rPr>
          <w:rFonts w:ascii="宋体" w:hAnsi="宋体" w:cs="宋体"/>
          <w:b/>
          <w:sz w:val="24"/>
        </w:rPr>
      </w:pPr>
      <w:r>
        <w:rPr>
          <w:rFonts w:hint="eastAsia" w:ascii="宋体" w:hAnsi="宋体" w:cs="宋体"/>
          <w:b/>
          <w:sz w:val="24"/>
        </w:rPr>
        <w:t>十二、合同解约条款</w:t>
      </w:r>
    </w:p>
    <w:p>
      <w:pPr>
        <w:tabs>
          <w:tab w:val="left" w:pos="1080"/>
        </w:tabs>
        <w:spacing w:line="360" w:lineRule="auto"/>
        <w:ind w:firstLine="448" w:firstLineChars="187"/>
        <w:jc w:val="both"/>
        <w:rPr>
          <w:rFonts w:ascii="宋体" w:hAnsi="宋体"/>
          <w:sz w:val="24"/>
        </w:rPr>
      </w:pPr>
      <w:r>
        <w:rPr>
          <w:rFonts w:hint="eastAsia" w:ascii="宋体" w:hAnsi="宋体"/>
          <w:sz w:val="24"/>
        </w:rPr>
        <w:t>1、合同履约过程中乙方存在如下任一情况的，甲方有权要求乙方按照单项目合同总价的30%支付违约金（另有约定的除外），且有权解除本合同，解除通知到达乙方之日生效，该违约金不足以弥补甲方损失，乙方还应继续承担赔偿责任。</w:t>
      </w:r>
    </w:p>
    <w:p>
      <w:pPr>
        <w:tabs>
          <w:tab w:val="left" w:pos="1080"/>
        </w:tabs>
        <w:spacing w:line="360" w:lineRule="auto"/>
        <w:ind w:firstLine="448" w:firstLineChars="187"/>
        <w:jc w:val="both"/>
        <w:rPr>
          <w:rFonts w:ascii="宋体" w:hAnsi="宋体"/>
          <w:sz w:val="24"/>
        </w:rPr>
      </w:pPr>
      <w:r>
        <w:rPr>
          <w:rFonts w:hint="eastAsia" w:ascii="宋体" w:hAnsi="宋体"/>
          <w:sz w:val="24"/>
        </w:rPr>
        <w:t>1.1、乙方未能按时供货/进场安装的，在甲方发出书面通知后的7日内仍未供货/进场施工的；</w:t>
      </w:r>
    </w:p>
    <w:p>
      <w:pPr>
        <w:tabs>
          <w:tab w:val="left" w:pos="1080"/>
        </w:tabs>
        <w:spacing w:line="360" w:lineRule="auto"/>
        <w:ind w:firstLine="448" w:firstLineChars="187"/>
        <w:jc w:val="both"/>
        <w:rPr>
          <w:rFonts w:ascii="宋体" w:hAnsi="宋体"/>
          <w:sz w:val="24"/>
        </w:rPr>
      </w:pPr>
      <w:r>
        <w:rPr>
          <w:rFonts w:hint="eastAsia" w:ascii="宋体" w:hAnsi="宋体"/>
          <w:sz w:val="24"/>
        </w:rPr>
        <w:t>1.2、乙方在施工过程中非因不可抗力或甲方原因造成连续停工5日以上或累计达 7日的；</w:t>
      </w:r>
    </w:p>
    <w:p>
      <w:pPr>
        <w:tabs>
          <w:tab w:val="left" w:pos="1080"/>
        </w:tabs>
        <w:spacing w:line="360" w:lineRule="auto"/>
        <w:ind w:firstLine="448" w:firstLineChars="187"/>
        <w:jc w:val="both"/>
        <w:rPr>
          <w:rFonts w:ascii="宋体" w:hAnsi="宋体"/>
          <w:sz w:val="24"/>
        </w:rPr>
      </w:pPr>
      <w:r>
        <w:rPr>
          <w:rFonts w:hint="eastAsia" w:ascii="宋体" w:hAnsi="宋体"/>
          <w:sz w:val="24"/>
        </w:rPr>
        <w:t>1.3；乙方人员在施工区内出现打架斗殴行为至警察出警、立案、相关行为人受到行政处罚或刑事处罚的；</w:t>
      </w:r>
    </w:p>
    <w:p>
      <w:pPr>
        <w:tabs>
          <w:tab w:val="left" w:pos="1080"/>
        </w:tabs>
        <w:spacing w:line="360" w:lineRule="auto"/>
        <w:ind w:firstLine="448" w:firstLineChars="187"/>
        <w:jc w:val="both"/>
        <w:rPr>
          <w:rFonts w:ascii="宋体" w:hAnsi="宋体"/>
          <w:sz w:val="24"/>
        </w:rPr>
      </w:pPr>
      <w:r>
        <w:rPr>
          <w:rFonts w:hint="eastAsia" w:ascii="宋体" w:hAnsi="宋体"/>
          <w:sz w:val="24"/>
        </w:rPr>
        <w:t>1.4、乙方擅自把工程分包或转包给其他任何单位的；</w:t>
      </w:r>
    </w:p>
    <w:p>
      <w:pPr>
        <w:tabs>
          <w:tab w:val="left" w:pos="1080"/>
        </w:tabs>
        <w:spacing w:line="360" w:lineRule="auto"/>
        <w:ind w:firstLine="448" w:firstLineChars="187"/>
        <w:jc w:val="both"/>
        <w:rPr>
          <w:rFonts w:ascii="宋体" w:hAnsi="宋体"/>
          <w:sz w:val="24"/>
        </w:rPr>
      </w:pPr>
      <w:r>
        <w:rPr>
          <w:rFonts w:hint="eastAsia" w:ascii="宋体" w:hAnsi="宋体"/>
          <w:sz w:val="24"/>
        </w:rPr>
        <w:t>1.5、乙方与甲方工作人员串通、虚构事实或使用其他方式虚报工程量的；</w:t>
      </w:r>
    </w:p>
    <w:p>
      <w:pPr>
        <w:tabs>
          <w:tab w:val="left" w:pos="1080"/>
        </w:tabs>
        <w:spacing w:line="360" w:lineRule="auto"/>
        <w:ind w:firstLine="448" w:firstLineChars="187"/>
        <w:jc w:val="both"/>
        <w:rPr>
          <w:rFonts w:ascii="宋体" w:hAnsi="宋体"/>
          <w:sz w:val="24"/>
        </w:rPr>
      </w:pPr>
      <w:r>
        <w:rPr>
          <w:rFonts w:hint="eastAsia" w:ascii="宋体" w:hAnsi="宋体"/>
          <w:sz w:val="24"/>
        </w:rPr>
        <w:t>1.6、乙方购置不符合合同约定的品牌、厂家、产地、材质、工艺、规格、型号等标准的产品或者假冒伪劣产品用于本工程；</w:t>
      </w:r>
    </w:p>
    <w:p>
      <w:pPr>
        <w:tabs>
          <w:tab w:val="left" w:pos="1080"/>
        </w:tabs>
        <w:spacing w:line="360" w:lineRule="auto"/>
        <w:ind w:firstLine="448" w:firstLineChars="187"/>
        <w:jc w:val="both"/>
        <w:rPr>
          <w:rFonts w:ascii="宋体" w:hAnsi="宋体"/>
          <w:sz w:val="24"/>
        </w:rPr>
      </w:pPr>
      <w:r>
        <w:rPr>
          <w:rFonts w:hint="eastAsia" w:ascii="宋体" w:hAnsi="宋体"/>
          <w:sz w:val="24"/>
        </w:rPr>
        <w:t>2、合同解除后，对于乙方已完工部分且质量合格的按照实际完工量给予结算70%；对于不合格部分责令整改，整改合格后给予结算工程70%。若乙方拒绝整改或无作为，甲方对不合格部分不予支付费用，并由乙方承担由此产生的拆改、整修等费用，乙方应按甲方要求的日期清理现场撤离。如果乙方不主动拆改、整修，甲方可自行整改，相关的费用从未付合同款中直接扣除，不足部分甲方另行向乙方追偿。</w:t>
      </w:r>
    </w:p>
    <w:p>
      <w:pPr>
        <w:tabs>
          <w:tab w:val="left" w:pos="1080"/>
        </w:tabs>
        <w:spacing w:line="360" w:lineRule="auto"/>
        <w:ind w:firstLine="448" w:firstLineChars="187"/>
        <w:jc w:val="both"/>
        <w:rPr>
          <w:rFonts w:ascii="宋体" w:hAnsi="宋体"/>
          <w:sz w:val="24"/>
        </w:rPr>
      </w:pPr>
      <w:r>
        <w:rPr>
          <w:rFonts w:hint="eastAsia" w:ascii="宋体" w:hAnsi="宋体"/>
          <w:sz w:val="24"/>
        </w:rPr>
        <w:t>3、如合同解约甲方有权委托其他公司进行施工。</w:t>
      </w:r>
    </w:p>
    <w:p>
      <w:pPr>
        <w:spacing w:line="360" w:lineRule="auto"/>
        <w:jc w:val="both"/>
        <w:outlineLvl w:val="2"/>
        <w:rPr>
          <w:rFonts w:ascii="宋体" w:hAnsi="宋体" w:cs="宋体"/>
          <w:b/>
          <w:sz w:val="24"/>
        </w:rPr>
      </w:pPr>
      <w:r>
        <w:rPr>
          <w:rFonts w:hint="eastAsia" w:ascii="宋体" w:hAnsi="宋体" w:cs="宋体"/>
          <w:b/>
          <w:sz w:val="24"/>
        </w:rPr>
        <w:t>十三、争议的解决</w:t>
      </w:r>
    </w:p>
    <w:p>
      <w:pPr>
        <w:tabs>
          <w:tab w:val="left" w:pos="1080"/>
        </w:tabs>
        <w:spacing w:line="360" w:lineRule="auto"/>
        <w:ind w:firstLine="448" w:firstLineChars="187"/>
        <w:jc w:val="both"/>
        <w:rPr>
          <w:rFonts w:ascii="宋体" w:hAnsi="宋体"/>
          <w:sz w:val="24"/>
        </w:rPr>
      </w:pPr>
      <w:r>
        <w:rPr>
          <w:rFonts w:hint="eastAsia" w:ascii="宋体" w:hAnsi="宋体"/>
          <w:sz w:val="24"/>
        </w:rPr>
        <w:t>本合同履行过程中发生争议或纠纷的，由当事人双方协商解决。协商不成时，双方同意向合同签约地人民法院提起诉讼。</w:t>
      </w:r>
    </w:p>
    <w:p>
      <w:pPr>
        <w:spacing w:line="360" w:lineRule="auto"/>
        <w:jc w:val="both"/>
        <w:outlineLvl w:val="2"/>
        <w:rPr>
          <w:rFonts w:ascii="宋体" w:hAnsi="宋体" w:cs="宋体"/>
          <w:b/>
          <w:sz w:val="24"/>
        </w:rPr>
      </w:pPr>
      <w:r>
        <w:rPr>
          <w:rFonts w:hint="eastAsia" w:ascii="宋体" w:hAnsi="宋体" w:cs="宋体"/>
          <w:b/>
          <w:sz w:val="24"/>
        </w:rPr>
        <w:t>十四、其他约定</w:t>
      </w:r>
    </w:p>
    <w:p>
      <w:pPr>
        <w:tabs>
          <w:tab w:val="left" w:pos="1080"/>
        </w:tabs>
        <w:spacing w:line="360" w:lineRule="auto"/>
        <w:ind w:firstLine="448" w:firstLineChars="187"/>
        <w:jc w:val="both"/>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jc w:val="both"/>
        <w:rPr>
          <w:rFonts w:ascii="宋体" w:hAnsi="宋体"/>
          <w:sz w:val="24"/>
        </w:rPr>
      </w:pPr>
      <w:r>
        <w:rPr>
          <w:rFonts w:hint="eastAsia" w:ascii="宋体" w:hAnsi="宋体"/>
          <w:sz w:val="24"/>
        </w:rPr>
        <w:t>2、本合同一式柒份，甲方伍份，乙方贰份，均具同等法律效力。</w:t>
      </w:r>
    </w:p>
    <w:p>
      <w:pPr>
        <w:tabs>
          <w:tab w:val="left" w:pos="1080"/>
        </w:tabs>
        <w:spacing w:line="360" w:lineRule="auto"/>
        <w:ind w:firstLine="448" w:firstLineChars="187"/>
        <w:jc w:val="both"/>
        <w:rPr>
          <w:rFonts w:ascii="宋体" w:hAnsi="宋体"/>
          <w:sz w:val="24"/>
        </w:rPr>
      </w:pPr>
      <w:r>
        <w:rPr>
          <w:rFonts w:ascii="宋体" w:hAnsi="宋体"/>
          <w:sz w:val="24"/>
        </w:rPr>
        <w:t>3</w:t>
      </w:r>
      <w:r>
        <w:rPr>
          <w:rFonts w:hint="eastAsia" w:ascii="宋体" w:hAnsi="宋体"/>
          <w:sz w:val="24"/>
        </w:rPr>
        <w:t>、本合同及其补充协议自双方盖章之日起生效。</w:t>
      </w:r>
    </w:p>
    <w:p>
      <w:pPr>
        <w:tabs>
          <w:tab w:val="left" w:pos="1080"/>
        </w:tabs>
        <w:spacing w:line="360" w:lineRule="auto"/>
        <w:ind w:firstLine="448" w:firstLineChars="187"/>
        <w:jc w:val="both"/>
        <w:rPr>
          <w:rFonts w:ascii="宋体" w:hAnsi="宋体"/>
          <w:sz w:val="24"/>
        </w:rPr>
      </w:pPr>
      <w:r>
        <w:rPr>
          <w:rFonts w:ascii="宋体" w:hAnsi="宋体"/>
          <w:sz w:val="24"/>
        </w:rPr>
        <w:t>4</w:t>
      </w:r>
      <w:r>
        <w:rPr>
          <w:rFonts w:hint="eastAsia" w:ascii="宋体" w:hAnsi="宋体"/>
          <w:sz w:val="24"/>
        </w:rPr>
        <w:t>、合同签订地点：</w:t>
      </w:r>
      <w:r>
        <w:rPr>
          <w:rFonts w:hint="eastAsia" w:ascii="宋体" w:hAnsi="宋体"/>
          <w:sz w:val="24"/>
          <w:u w:val="single"/>
        </w:rPr>
        <w:t>河南省洛阳市洛龙区</w:t>
      </w:r>
      <w:r>
        <w:rPr>
          <w:rFonts w:hint="eastAsia" w:ascii="宋体" w:hAnsi="宋体"/>
          <w:sz w:val="24"/>
          <w:u w:val="single"/>
          <w:lang w:val="en-US" w:eastAsia="zh-CN"/>
        </w:rPr>
        <w:t>开元壹号售楼部西悠然居城市会客厅</w:t>
      </w:r>
      <w:r>
        <w:rPr>
          <w:rFonts w:hint="eastAsia" w:ascii="宋体" w:hAnsi="宋体"/>
          <w:sz w:val="24"/>
        </w:rPr>
        <w:t>。</w:t>
      </w:r>
    </w:p>
    <w:p>
      <w:pPr>
        <w:spacing w:line="360" w:lineRule="auto"/>
        <w:jc w:val="both"/>
        <w:outlineLvl w:val="2"/>
        <w:rPr>
          <w:rFonts w:ascii="宋体" w:hAnsi="宋体" w:cs="宋体"/>
          <w:b/>
          <w:sz w:val="24"/>
        </w:rPr>
      </w:pPr>
      <w:r>
        <w:rPr>
          <w:rFonts w:hint="eastAsia" w:ascii="宋体" w:hAnsi="宋体" w:cs="宋体"/>
          <w:b/>
          <w:sz w:val="24"/>
        </w:rPr>
        <w:t>十五、合同附件</w:t>
      </w:r>
    </w:p>
    <w:p>
      <w:pPr>
        <w:pStyle w:val="18"/>
        <w:spacing w:line="360" w:lineRule="auto"/>
        <w:ind w:firstLine="480"/>
        <w:jc w:val="both"/>
        <w:rPr>
          <w:rFonts w:ascii="宋体" w:hAnsi="宋体" w:cs="宋体"/>
          <w:sz w:val="24"/>
        </w:rPr>
      </w:pPr>
      <w:r>
        <w:rPr>
          <w:rFonts w:hint="eastAsia" w:ascii="宋体" w:hAnsi="宋体" w:cs="宋体"/>
          <w:sz w:val="24"/>
        </w:rPr>
        <w:t>1、附件一、廉政合作协议</w:t>
      </w:r>
    </w:p>
    <w:p>
      <w:pPr>
        <w:pStyle w:val="18"/>
        <w:spacing w:line="360" w:lineRule="auto"/>
        <w:ind w:firstLine="480"/>
        <w:jc w:val="both"/>
        <w:rPr>
          <w:rFonts w:ascii="宋体" w:hAnsi="宋体" w:cs="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sz w:val="24"/>
        </w:rPr>
        <w:t>《</w:t>
      </w:r>
      <w:r>
        <w:rPr>
          <w:rFonts w:hint="eastAsia" w:ascii="宋体" w:hAnsi="宋体"/>
          <w:sz w:val="24"/>
          <w:szCs w:val="24"/>
          <w:lang w:eastAsia="zh-CN"/>
        </w:rPr>
        <w:t>洛阳市洛龙区悠然居</w:t>
      </w:r>
      <w:r>
        <w:rPr>
          <w:rFonts w:hint="eastAsia" w:ascii="宋体" w:hAnsi="宋体"/>
          <w:sz w:val="24"/>
          <w:szCs w:val="24"/>
        </w:rPr>
        <w:t>项目</w:t>
      </w:r>
      <w:r>
        <w:rPr>
          <w:rFonts w:hint="eastAsia" w:ascii="宋体" w:hAnsi="宋体" w:cs="宋体"/>
          <w:sz w:val="24"/>
          <w:szCs w:val="24"/>
        </w:rPr>
        <w:t>2023年度营销</w:t>
      </w:r>
      <w:r>
        <w:rPr>
          <w:rFonts w:hint="eastAsia" w:ascii="宋体" w:hAnsi="宋体" w:cs="宋体"/>
          <w:sz w:val="24"/>
          <w:szCs w:val="24"/>
          <w:lang w:val="zh-CN"/>
        </w:rPr>
        <w:t>物料制作与安装</w:t>
      </w:r>
      <w:r>
        <w:rPr>
          <w:rFonts w:hint="eastAsia" w:ascii="宋体" w:hAnsi="宋体" w:cs="宋体"/>
          <w:sz w:val="24"/>
          <w:szCs w:val="24"/>
        </w:rPr>
        <w:t>清单</w:t>
      </w:r>
      <w:r>
        <w:rPr>
          <w:rFonts w:hint="eastAsia" w:ascii="宋体" w:hAnsi="宋体"/>
          <w:sz w:val="24"/>
        </w:rPr>
        <w:t>》</w:t>
      </w:r>
    </w:p>
    <w:p>
      <w:pPr>
        <w:spacing w:line="360" w:lineRule="auto"/>
        <w:ind w:firstLine="480" w:firstLineChars="200"/>
        <w:jc w:val="both"/>
        <w:rPr>
          <w:rFonts w:hint="eastAsia" w:ascii="宋体" w:hAnsi="宋体" w:eastAsia="宋体"/>
          <w:sz w:val="24"/>
          <w:szCs w:val="32"/>
          <w:lang w:val="en-US" w:eastAsia="zh-CN"/>
        </w:rPr>
      </w:pPr>
      <w:r>
        <w:rPr>
          <w:rFonts w:hint="eastAsia" w:ascii="宋体" w:hAnsi="宋体"/>
          <w:sz w:val="24"/>
          <w:szCs w:val="32"/>
        </w:rPr>
        <w:t>（以下无正文</w:t>
      </w:r>
      <w:r>
        <w:rPr>
          <w:rFonts w:hint="eastAsia" w:ascii="宋体" w:hAnsi="宋体"/>
          <w:sz w:val="24"/>
          <w:szCs w:val="32"/>
          <w:lang w:eastAsia="zh-CN"/>
        </w:rPr>
        <w:t>）</w:t>
      </w:r>
    </w:p>
    <w:p>
      <w:pPr>
        <w:spacing w:line="480" w:lineRule="auto"/>
        <w:rPr>
          <w:rFonts w:hint="eastAsia" w:ascii="宋体" w:hAnsi="宋体" w:cs="宋体"/>
          <w:sz w:val="24"/>
          <w:szCs w:val="24"/>
        </w:rPr>
      </w:pPr>
      <w:r>
        <w:rPr>
          <w:rFonts w:hint="eastAsia" w:ascii="宋体" w:hAnsi="宋体" w:cs="宋体"/>
          <w:sz w:val="24"/>
          <w:szCs w:val="24"/>
        </w:rPr>
        <w:t xml:space="preserve">甲方（盖章）:河南浩德龙瑞置业有限公司         </w:t>
      </w:r>
      <w:r>
        <w:rPr>
          <w:rFonts w:hint="eastAsia" w:ascii="宋体" w:hAnsi="宋体" w:cs="宋体"/>
          <w:sz w:val="24"/>
          <w:szCs w:val="24"/>
          <w:lang w:val="en-US" w:eastAsia="zh-CN"/>
        </w:rPr>
        <w:t xml:space="preserve">  </w:t>
      </w:r>
      <w:r>
        <w:rPr>
          <w:rFonts w:hint="eastAsia" w:ascii="宋体" w:hAnsi="宋体" w:cs="宋体"/>
          <w:sz w:val="24"/>
          <w:szCs w:val="24"/>
        </w:rPr>
        <w:t>乙方（盖章）:</w:t>
      </w:r>
      <w:r>
        <w:rPr>
          <w:rFonts w:hint="eastAsia" w:ascii="宋体" w:hAnsi="宋体" w:cs="宋体"/>
          <w:sz w:val="24"/>
          <w:szCs w:val="24"/>
          <w:lang w:eastAsia="zh-CN"/>
        </w:rPr>
        <w:t>洛阳泰智文化传媒有限公司</w:t>
      </w:r>
    </w:p>
    <w:p>
      <w:pPr>
        <w:spacing w:line="480" w:lineRule="auto"/>
        <w:rPr>
          <w:rFonts w:hint="eastAsia" w:ascii="宋体" w:hAnsi="宋体" w:cs="宋体"/>
          <w:sz w:val="24"/>
          <w:szCs w:val="24"/>
        </w:rPr>
      </w:pPr>
      <w:r>
        <w:rPr>
          <w:rFonts w:hint="eastAsia" w:ascii="宋体" w:hAnsi="宋体" w:cs="宋体"/>
          <w:sz w:val="24"/>
          <w:szCs w:val="24"/>
        </w:rPr>
        <w:t>法 人 代 表：</w:t>
      </w:r>
      <w:r>
        <w:rPr>
          <w:rFonts w:hint="eastAsia" w:ascii="宋体" w:hAnsi="宋体" w:cs="宋体"/>
          <w:sz w:val="24"/>
          <w:szCs w:val="24"/>
        </w:rPr>
        <w:tab/>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法 人 代 表：</w:t>
      </w:r>
    </w:p>
    <w:p>
      <w:pPr>
        <w:spacing w:line="480" w:lineRule="auto"/>
        <w:rPr>
          <w:rFonts w:hint="eastAsia" w:ascii="宋体" w:hAnsi="宋体" w:cs="宋体"/>
          <w:sz w:val="24"/>
          <w:szCs w:val="24"/>
        </w:rPr>
      </w:pPr>
      <w:r>
        <w:rPr>
          <w:rFonts w:hint="eastAsia" w:ascii="宋体" w:hAnsi="宋体" w:cs="宋体"/>
          <w:sz w:val="24"/>
          <w:szCs w:val="24"/>
        </w:rPr>
        <w:t>或授权委托人：                                  或授权委托人：</w:t>
      </w:r>
    </w:p>
    <w:p>
      <w:pPr>
        <w:spacing w:line="480" w:lineRule="auto"/>
        <w:rPr>
          <w:rFonts w:hint="eastAsia" w:ascii="宋体" w:hAnsi="宋体" w:cs="宋体"/>
          <w:sz w:val="24"/>
          <w:szCs w:val="24"/>
        </w:rPr>
      </w:pPr>
      <w:r>
        <w:rPr>
          <w:rFonts w:hint="eastAsia" w:ascii="宋体" w:hAnsi="宋体" w:cs="宋体"/>
          <w:sz w:val="24"/>
          <w:szCs w:val="24"/>
        </w:rPr>
        <w:t>税号：91410300MA9MYURF5B                        税号：</w:t>
      </w:r>
      <w:r>
        <w:rPr>
          <w:rFonts w:hint="eastAsia" w:ascii="宋体" w:hAnsi="宋体" w:cs="宋体"/>
          <w:kern w:val="0"/>
          <w:sz w:val="24"/>
          <w:u w:val="none"/>
        </w:rPr>
        <w:t>91410303MA3X5L39X9</w:t>
      </w:r>
    </w:p>
    <w:p>
      <w:pPr>
        <w:spacing w:line="480" w:lineRule="auto"/>
        <w:rPr>
          <w:rFonts w:hint="eastAsia" w:ascii="宋体" w:hAnsi="宋体" w:cs="宋体"/>
          <w:sz w:val="24"/>
          <w:szCs w:val="24"/>
        </w:rPr>
      </w:pPr>
      <w:r>
        <w:rPr>
          <w:rFonts w:hint="eastAsia" w:ascii="宋体" w:hAnsi="宋体" w:cs="宋体"/>
          <w:sz w:val="24"/>
          <w:szCs w:val="24"/>
        </w:rPr>
        <w:t>账户：410311010160004001</w:t>
      </w:r>
      <w:r>
        <w:rPr>
          <w:rFonts w:hint="eastAsia" w:ascii="宋体" w:hAnsi="宋体" w:cs="宋体"/>
          <w:sz w:val="24"/>
          <w:szCs w:val="24"/>
          <w:lang w:val="en-US" w:eastAsia="zh-CN"/>
        </w:rPr>
        <w:t xml:space="preserve">  </w:t>
      </w:r>
      <w:r>
        <w:rPr>
          <w:rFonts w:hint="eastAsia" w:ascii="宋体" w:hAnsi="宋体" w:cs="宋体"/>
          <w:sz w:val="24"/>
          <w:szCs w:val="24"/>
        </w:rPr>
        <w:t xml:space="preserve">                      账户：2559 4400 3138</w:t>
      </w:r>
    </w:p>
    <w:p>
      <w:pPr>
        <w:spacing w:line="480" w:lineRule="auto"/>
        <w:ind w:left="180" w:hanging="240" w:hangingChars="100"/>
        <w:jc w:val="left"/>
        <w:rPr>
          <w:rFonts w:hint="eastAsia" w:ascii="宋体" w:hAnsi="宋体" w:cs="宋体"/>
          <w:sz w:val="24"/>
          <w:szCs w:val="24"/>
        </w:rPr>
      </w:pPr>
      <w:r>
        <w:rPr>
          <w:rFonts w:hint="eastAsia" w:ascii="宋体" w:hAnsi="宋体" w:cs="宋体"/>
          <w:sz w:val="24"/>
          <w:szCs w:val="24"/>
        </w:rPr>
        <w:t>开户行：中原银行洛阳万豪中心支行                开户行：</w:t>
      </w:r>
      <w:r>
        <w:rPr>
          <w:rFonts w:hint="eastAsia" w:ascii="宋体" w:hAnsi="宋体" w:cs="宋体"/>
          <w:bCs/>
        </w:rPr>
        <w:t>中国银行股份有限公司洛阳体育场路支行</w:t>
      </w:r>
    </w:p>
    <w:p>
      <w:pPr>
        <w:spacing w:line="480" w:lineRule="auto"/>
        <w:ind w:left="180" w:hanging="240" w:hangingChars="100"/>
        <w:jc w:val="left"/>
        <w:rPr>
          <w:rFonts w:hint="eastAsia" w:ascii="宋体" w:hAnsi="宋体" w:cs="宋体"/>
          <w:sz w:val="24"/>
          <w:szCs w:val="24"/>
        </w:rPr>
      </w:pPr>
      <w:r>
        <w:rPr>
          <w:rFonts w:hint="eastAsia" w:ascii="宋体" w:hAnsi="宋体" w:cs="宋体"/>
          <w:bCs/>
          <w:sz w:val="24"/>
          <w:szCs w:val="24"/>
        </w:rPr>
        <w:t>日期： 2023年</w:t>
      </w:r>
      <w:r>
        <w:rPr>
          <w:rFonts w:hint="eastAsia" w:ascii="宋体" w:hAnsi="宋体" w:cs="宋体"/>
          <w:bCs/>
          <w:sz w:val="24"/>
          <w:szCs w:val="24"/>
          <w:lang w:val="en-US" w:eastAsia="zh-CN"/>
        </w:rPr>
        <w:t>5</w:t>
      </w:r>
      <w:r>
        <w:rPr>
          <w:rFonts w:hint="eastAsia" w:ascii="宋体" w:hAnsi="宋体" w:cs="宋体"/>
          <w:bCs/>
          <w:sz w:val="24"/>
          <w:szCs w:val="24"/>
        </w:rPr>
        <w:t>月</w:t>
      </w:r>
      <w:r>
        <w:rPr>
          <w:rFonts w:hint="eastAsia" w:ascii="宋体" w:hAnsi="宋体" w:cs="宋体"/>
          <w:bCs/>
          <w:sz w:val="24"/>
          <w:szCs w:val="24"/>
          <w:lang w:val="en-US" w:eastAsia="zh-CN"/>
        </w:rPr>
        <w:t xml:space="preserve">   </w:t>
      </w:r>
      <w:r>
        <w:rPr>
          <w:rFonts w:hint="eastAsia" w:ascii="宋体" w:hAnsi="宋体" w:cs="宋体"/>
          <w:bCs/>
          <w:sz w:val="24"/>
          <w:szCs w:val="24"/>
        </w:rPr>
        <w:t>日                         日期：2023年</w:t>
      </w:r>
      <w:r>
        <w:rPr>
          <w:rFonts w:hint="eastAsia" w:ascii="宋体" w:hAnsi="宋体" w:cs="宋体"/>
          <w:bCs/>
          <w:sz w:val="24"/>
          <w:szCs w:val="24"/>
          <w:lang w:val="en-US" w:eastAsia="zh-CN"/>
        </w:rPr>
        <w:t>5</w:t>
      </w:r>
      <w:r>
        <w:rPr>
          <w:rFonts w:hint="eastAsia" w:ascii="宋体" w:hAnsi="宋体" w:cs="宋体"/>
          <w:bCs/>
          <w:sz w:val="24"/>
          <w:szCs w:val="24"/>
        </w:rPr>
        <w:t>月</w:t>
      </w:r>
      <w:r>
        <w:rPr>
          <w:rFonts w:hint="eastAsia" w:ascii="宋体" w:hAnsi="宋体" w:cs="宋体"/>
          <w:bCs/>
          <w:sz w:val="24"/>
          <w:szCs w:val="24"/>
          <w:lang w:val="en-US" w:eastAsia="zh-CN"/>
        </w:rPr>
        <w:t xml:space="preserve">   </w:t>
      </w:r>
      <w:r>
        <w:rPr>
          <w:rFonts w:hint="eastAsia" w:ascii="宋体" w:hAnsi="宋体" w:cs="宋体"/>
          <w:bCs/>
          <w:sz w:val="24"/>
          <w:szCs w:val="24"/>
        </w:rPr>
        <w:t>日</w:t>
      </w:r>
    </w:p>
    <w:p>
      <w:pPr>
        <w:spacing w:line="360" w:lineRule="auto"/>
        <w:ind w:firstLine="480" w:firstLineChars="200"/>
        <w:jc w:val="both"/>
        <w:rPr>
          <w:rFonts w:ascii="宋体" w:hAnsi="宋体"/>
          <w:sz w:val="24"/>
        </w:rPr>
      </w:pPr>
      <w:r>
        <w:rPr>
          <w:rFonts w:ascii="宋体" w:hAnsi="宋体"/>
          <w:sz w:val="24"/>
        </w:rPr>
        <w:br w:type="page"/>
      </w:r>
      <w:bookmarkStart w:id="10" w:name="_Hlk56432066"/>
      <w:bookmarkStart w:id="11" w:name="_Hlk56432203"/>
    </w:p>
    <w:p>
      <w:pPr>
        <w:spacing w:line="360" w:lineRule="auto"/>
        <w:jc w:val="both"/>
        <w:rPr>
          <w:rFonts w:ascii="宋体" w:hAnsi="宋体" w:cs="宋体"/>
          <w:sz w:val="24"/>
        </w:rPr>
      </w:pPr>
      <w:r>
        <w:rPr>
          <w:rFonts w:hint="eastAsia" w:ascii="宋体" w:hAnsi="宋体" w:cs="宋体"/>
          <w:b/>
          <w:bCs/>
          <w:sz w:val="24"/>
        </w:rPr>
        <w:t>附件一、廉政合作协议</w:t>
      </w:r>
    </w:p>
    <w:p>
      <w:pPr>
        <w:spacing w:line="360" w:lineRule="auto"/>
        <w:jc w:val="both"/>
        <w:rPr>
          <w:rFonts w:hint="eastAsia" w:ascii="宋体" w:hAnsi="宋体" w:cs="宋体"/>
          <w:sz w:val="24"/>
        </w:rPr>
      </w:pPr>
      <w:r>
        <w:rPr>
          <w:rFonts w:hint="eastAsia" w:ascii="宋体" w:hAnsi="宋体" w:cs="宋体"/>
          <w:sz w:val="24"/>
        </w:rPr>
        <w:t>甲方：</w:t>
      </w:r>
      <w:r>
        <w:rPr>
          <w:rFonts w:hint="eastAsia" w:ascii="宋体" w:hAnsi="宋体" w:cs="宋体"/>
          <w:sz w:val="24"/>
          <w:lang w:eastAsia="zh-CN"/>
        </w:rPr>
        <w:t>河南浩德龙瑞置业有限公司</w:t>
      </w:r>
    </w:p>
    <w:p>
      <w:pPr>
        <w:spacing w:line="360" w:lineRule="auto"/>
        <w:jc w:val="both"/>
        <w:rPr>
          <w:rFonts w:hint="eastAsia" w:ascii="宋体" w:hAnsi="宋体" w:eastAsia="宋体" w:cs="宋体"/>
          <w:sz w:val="24"/>
          <w:u w:val="single"/>
          <w:lang w:eastAsia="zh-CN"/>
        </w:rPr>
      </w:pPr>
      <w:r>
        <w:rPr>
          <w:rFonts w:hint="eastAsia" w:ascii="宋体" w:hAnsi="宋体" w:cs="宋体"/>
          <w:sz w:val="24"/>
        </w:rPr>
        <w:t>乙方：</w:t>
      </w:r>
      <w:r>
        <w:rPr>
          <w:rFonts w:hint="eastAsia" w:ascii="宋体" w:hAnsi="宋体" w:cs="宋体"/>
          <w:sz w:val="24"/>
          <w:lang w:eastAsia="zh-CN"/>
        </w:rPr>
        <w:t>洛阳泰智文化传媒有限公司</w:t>
      </w:r>
    </w:p>
    <w:bookmarkEnd w:id="10"/>
    <w:p>
      <w:pPr>
        <w:spacing w:line="360" w:lineRule="auto"/>
        <w:ind w:firstLine="480" w:firstLineChars="200"/>
        <w:jc w:val="both"/>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三、为维护甲乙双方的合法利益，营造良好的商务环境，甲方建立多种举报渠道（如下）。甲方风控人员将恪守职业道德，严格履行保密义务！</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jc w:val="both"/>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jc w:val="both"/>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jc w:val="both"/>
        <w:rPr>
          <w:rFonts w:ascii="宋体" w:hAnsi="宋体" w:cs="宋体"/>
          <w:sz w:val="24"/>
          <w:szCs w:val="32"/>
        </w:rPr>
      </w:pPr>
      <w:r>
        <w:rPr>
          <w:rFonts w:hint="eastAsia" w:ascii="宋体" w:hAnsi="宋体" w:cs="宋体"/>
          <w:sz w:val="24"/>
        </w:rPr>
        <w:t>（以下无正文）</w:t>
      </w:r>
    </w:p>
    <w:p>
      <w:pPr>
        <w:spacing w:line="360" w:lineRule="auto"/>
        <w:ind w:firstLine="480" w:firstLineChars="200"/>
        <w:jc w:val="both"/>
        <w:rPr>
          <w:rFonts w:hint="eastAsia" w:ascii="宋体" w:hAnsi="宋体" w:eastAsia="宋体" w:cs="宋体"/>
          <w:sz w:val="24"/>
          <w:u w:val="single"/>
          <w:lang w:eastAsia="zh-CN"/>
        </w:rPr>
      </w:pPr>
      <w:r>
        <w:rPr>
          <w:rFonts w:hint="eastAsia" w:ascii="宋体" w:hAnsi="宋体" w:cs="宋体"/>
          <w:sz w:val="24"/>
        </w:rPr>
        <w:t>甲方：</w:t>
      </w:r>
      <w:r>
        <w:rPr>
          <w:rFonts w:hint="eastAsia" w:ascii="宋体" w:hAnsi="宋体" w:cs="宋体"/>
          <w:sz w:val="24"/>
          <w:u w:val="none"/>
          <w:lang w:eastAsia="zh-CN"/>
        </w:rPr>
        <w:t>河南浩德龙瑞置业有限公司</w:t>
      </w:r>
      <w:r>
        <w:rPr>
          <w:rFonts w:hint="eastAsia" w:ascii="宋体" w:hAnsi="宋体" w:cs="宋体"/>
          <w:sz w:val="24"/>
        </w:rPr>
        <w:t xml:space="preserve">              乙方：</w:t>
      </w:r>
      <w:r>
        <w:rPr>
          <w:rFonts w:hint="eastAsia" w:ascii="宋体" w:hAnsi="宋体" w:cs="宋体"/>
          <w:sz w:val="24"/>
          <w:lang w:eastAsia="zh-CN"/>
        </w:rPr>
        <w:t>洛阳泰智文化传媒有限公司</w:t>
      </w:r>
    </w:p>
    <w:p>
      <w:pPr>
        <w:spacing w:line="360" w:lineRule="auto"/>
        <w:ind w:firstLine="480" w:firstLineChars="200"/>
        <w:jc w:val="both"/>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3年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 xml:space="preserve">日          </w:t>
      </w:r>
      <w:r>
        <w:rPr>
          <w:rFonts w:hint="eastAsia" w:ascii="宋体" w:hAnsi="宋体" w:cs="宋体"/>
          <w:sz w:val="24"/>
          <w:lang w:val="en-US" w:eastAsia="zh-CN"/>
        </w:rPr>
        <w:t xml:space="preserve">        </w:t>
      </w:r>
      <w:r>
        <w:rPr>
          <w:rFonts w:hint="eastAsia" w:ascii="宋体" w:hAnsi="宋体" w:cs="宋体"/>
          <w:sz w:val="24"/>
        </w:rPr>
        <w:t>签署日期：</w:t>
      </w:r>
      <w:bookmarkEnd w:id="11"/>
      <w:r>
        <w:rPr>
          <w:rFonts w:hint="eastAsia" w:ascii="宋体" w:hAnsi="宋体" w:cs="宋体"/>
          <w:sz w:val="24"/>
        </w:rPr>
        <w:t>2</w:t>
      </w:r>
      <w:r>
        <w:rPr>
          <w:rFonts w:ascii="宋体" w:hAnsi="宋体" w:cs="宋体"/>
          <w:sz w:val="24"/>
        </w:rPr>
        <w:t>02</w:t>
      </w:r>
      <w:r>
        <w:rPr>
          <w:rFonts w:hint="eastAsia" w:ascii="宋体" w:hAnsi="宋体" w:cs="宋体"/>
          <w:sz w:val="24"/>
        </w:rPr>
        <w:t>3年</w:t>
      </w:r>
      <w:r>
        <w:rPr>
          <w:rFonts w:hint="eastAsia" w:ascii="宋体" w:hAnsi="宋体" w:cs="宋体"/>
          <w:sz w:val="24"/>
          <w:lang w:val="en-US" w:eastAsia="zh-CN"/>
        </w:rPr>
        <w:t xml:space="preserve"> 5</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pStyle w:val="2"/>
        <w:jc w:val="both"/>
        <w:rPr>
          <w:rFonts w:ascii="宋体" w:hAnsi="宋体" w:cs="宋体"/>
          <w:sz w:val="24"/>
        </w:rPr>
      </w:pPr>
    </w:p>
    <w:p>
      <w:pPr>
        <w:pStyle w:val="3"/>
        <w:jc w:val="both"/>
        <w:rPr>
          <w:rFonts w:hAnsi="宋体"/>
        </w:rPr>
      </w:pPr>
    </w:p>
    <w:p>
      <w:pPr>
        <w:pStyle w:val="4"/>
        <w:jc w:val="both"/>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ascii="宋体" w:hAnsi="宋体" w:cs="宋体"/>
          <w:b/>
          <w:bCs/>
          <w:sz w:val="24"/>
        </w:rPr>
      </w:pPr>
      <w:r>
        <w:rPr>
          <w:rFonts w:hint="eastAsia" w:ascii="宋体" w:hAnsi="宋体" w:cs="宋体"/>
          <w:b/>
          <w:bCs/>
          <w:sz w:val="24"/>
        </w:rPr>
        <w:t>附件二、《</w:t>
      </w:r>
      <w:r>
        <w:rPr>
          <w:rFonts w:hint="eastAsia" w:ascii="宋体" w:hAnsi="宋体" w:cs="宋体"/>
          <w:b/>
          <w:bCs/>
          <w:sz w:val="24"/>
          <w:lang w:eastAsia="zh-CN"/>
        </w:rPr>
        <w:t>洛阳市洛龙区悠然居</w:t>
      </w:r>
      <w:r>
        <w:rPr>
          <w:rFonts w:hint="eastAsia" w:ascii="宋体" w:hAnsi="宋体" w:cs="宋体"/>
          <w:b/>
          <w:bCs/>
          <w:sz w:val="24"/>
        </w:rPr>
        <w:t>项目202</w:t>
      </w:r>
      <w:r>
        <w:rPr>
          <w:rFonts w:hint="eastAsia" w:ascii="宋体" w:hAnsi="宋体" w:cs="宋体"/>
          <w:b/>
          <w:bCs/>
          <w:sz w:val="24"/>
          <w:lang w:val="en-US" w:eastAsia="zh-CN"/>
        </w:rPr>
        <w:t>3</w:t>
      </w:r>
      <w:r>
        <w:rPr>
          <w:rFonts w:hint="eastAsia" w:ascii="宋体" w:hAnsi="宋体" w:cs="宋体"/>
          <w:b/>
          <w:bCs/>
          <w:sz w:val="24"/>
        </w:rPr>
        <w:t>年度营销物料报价表》</w:t>
      </w:r>
    </w:p>
    <w:tbl>
      <w:tblPr>
        <w:tblStyle w:val="15"/>
        <w:tblW w:w="10414" w:type="dxa"/>
        <w:jc w:val="center"/>
        <w:tblLayout w:type="fixed"/>
        <w:tblCellMar>
          <w:top w:w="0" w:type="dxa"/>
          <w:left w:w="108" w:type="dxa"/>
          <w:bottom w:w="0" w:type="dxa"/>
          <w:right w:w="108" w:type="dxa"/>
        </w:tblCellMar>
      </w:tblPr>
      <w:tblGrid>
        <w:gridCol w:w="680"/>
        <w:gridCol w:w="1075"/>
        <w:gridCol w:w="1515"/>
        <w:gridCol w:w="1935"/>
        <w:gridCol w:w="1215"/>
        <w:gridCol w:w="645"/>
        <w:gridCol w:w="1056"/>
        <w:gridCol w:w="2293"/>
      </w:tblGrid>
      <w:tr>
        <w:tblPrEx>
          <w:tblCellMar>
            <w:top w:w="0" w:type="dxa"/>
            <w:left w:w="108" w:type="dxa"/>
            <w:bottom w:w="0" w:type="dxa"/>
            <w:right w:w="108" w:type="dxa"/>
          </w:tblCellMar>
        </w:tblPrEx>
        <w:trPr>
          <w:trHeight w:val="420" w:hRule="atLeast"/>
          <w:jc w:val="center"/>
        </w:trPr>
        <w:tc>
          <w:tcPr>
            <w:tcW w:w="10414" w:type="dxa"/>
            <w:gridSpan w:val="8"/>
            <w:tcBorders>
              <w:top w:val="nil"/>
              <w:left w:val="nil"/>
              <w:bottom w:val="nil"/>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2023年度物料制作与供应清单</w:t>
            </w:r>
          </w:p>
        </w:tc>
      </w:tr>
      <w:tr>
        <w:tblPrEx>
          <w:tblCellMar>
            <w:top w:w="0" w:type="dxa"/>
            <w:left w:w="108" w:type="dxa"/>
            <w:bottom w:w="0" w:type="dxa"/>
            <w:right w:w="108" w:type="dxa"/>
          </w:tblCellMar>
        </w:tblPrEx>
        <w:trPr>
          <w:trHeight w:val="420"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序号</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名称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规格</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附加材料</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单位</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单价（税率</w:t>
            </w:r>
            <w:r>
              <w:rPr>
                <w:rFonts w:hint="default" w:ascii="宋体" w:hAnsi="宋体" w:cs="宋体"/>
                <w:b/>
                <w:bCs/>
                <w:sz w:val="21"/>
                <w:szCs w:val="21"/>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备注均含运费</w:t>
            </w:r>
          </w:p>
        </w:tc>
      </w:tr>
      <w:tr>
        <w:tblPrEx>
          <w:tblCellMar>
            <w:top w:w="0" w:type="dxa"/>
            <w:left w:w="108" w:type="dxa"/>
            <w:bottom w:w="0" w:type="dxa"/>
            <w:right w:w="108" w:type="dxa"/>
          </w:tblCellMar>
        </w:tblPrEx>
        <w:trPr>
          <w:trHeight w:val="582"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旗帜大号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颜色按甲方需求</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旗帜中号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1.2*0.7m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颜色按甲方需求</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旗帜小号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0.6*0.9m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颜色按甲方需求</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加厚喷绘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喷绘</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UV软膜布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卡布灯箱，含安装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无网内光布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拉布灯箱，含安装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木龙骨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固定喷绘写真等</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车贴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写真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拉绒地毯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蓝色加厚地毯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蓝色地毯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覆膜加厚地毯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常规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小雨棚</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腈纶+铁架（成品）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桌面绒布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加厚绒布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红、蓝、黑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按平方米报价</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户外艺术布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艺术布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刀刮布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磨砂贴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磨砂贴UV打印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KT板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KT板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龙卡板+室内画面，覆膜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户外展板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龙卡板+户外画面，覆膜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6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展板包边条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pp塑料（金，银，黑三色）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拉网展架/架子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全铝合金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黑色铁架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手举牌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龙卡板尺寸90x50cm，杆子1m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龙卡板，手举牌架子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26</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易拉宝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60cm*160cm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合金材质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27</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80cm*200cm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含安装，按㎡报价</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32</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底座铁合金地板</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150.00</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相关设计稿由甲方提供，含首次画面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80*100cm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80*180cm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190.00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三脚架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130-210cm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黑色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网眼布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单孔帖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38</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39</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快展架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1.4m高，宽60cm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铝合金</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1.6m高，宽90cm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26.00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室内高清写真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16.00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室外写真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注水道旗画面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5米高，含全部配件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成套含画面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170.00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5米高，含全部配件1.2*3.8m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租赁价格</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注沙道旗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成品5米高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购买价格</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注沙道旗画面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高清喷绘布双面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按㎡报价，带安装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室外高清透明贴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厚度3mm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厚度1cm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170.00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7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5mm亚克力覆2mm金属，不锈钢，玫瑰金。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8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1cm亚克力覆3mm金属，不锈钢，玫瑰金。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亚克力台签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110*15cm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双面亚克力+亚克力底座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5mm雕刻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pvc烤漆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按烤漆工艺收费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明确规格尺寸价格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含安装，此项取消</w:t>
            </w:r>
          </w:p>
        </w:tc>
      </w:tr>
      <w:tr>
        <w:tblPrEx>
          <w:tblCellMar>
            <w:top w:w="0" w:type="dxa"/>
            <w:left w:w="108" w:type="dxa"/>
            <w:bottom w:w="0" w:type="dxa"/>
            <w:right w:w="108" w:type="dxa"/>
          </w:tblCellMar>
        </w:tblPrEx>
        <w:trPr>
          <w:trHeight w:val="1099"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灯带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含各项辅材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包含安装费，亚克力背光，灯箱背光,软膜灯箱背光等</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灯箱片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65</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假草皮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2cm厚按平方报价</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塑料</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66</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32.00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67</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55.00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68</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1cm厚度</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8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吊旗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按个报价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30*50cm，300g铜板异形模切，双印面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带安装</w:t>
            </w:r>
          </w:p>
        </w:tc>
      </w:tr>
      <w:tr>
        <w:tblPrEx>
          <w:tblCellMar>
            <w:top w:w="0" w:type="dxa"/>
            <w:left w:w="108" w:type="dxa"/>
            <w:bottom w:w="0" w:type="dxa"/>
            <w:right w:w="108" w:type="dxa"/>
          </w:tblCellMar>
        </w:tblPrEx>
        <w:trPr>
          <w:trHeight w:val="7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不干胶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小面积不干胶，用于销控贴，直径≤5cm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0.20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带裁切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26.00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1㎡起做</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72</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金属包边</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塑料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油画架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电梯框架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电梯框架画面安装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仅安装费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售楼部包装丝带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三层彩带，按米收费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8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桁架购买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含安装，20cm方管桁架</w:t>
            </w:r>
          </w:p>
        </w:tc>
      </w:tr>
      <w:tr>
        <w:tblPrEx>
          <w:tblCellMar>
            <w:top w:w="0" w:type="dxa"/>
            <w:left w:w="108" w:type="dxa"/>
            <w:bottom w:w="0" w:type="dxa"/>
            <w:right w:w="108" w:type="dxa"/>
          </w:tblCellMar>
        </w:tblPrEx>
        <w:trPr>
          <w:trHeight w:val="9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80*180cm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不锈钢底座，丝网印logo,带轮子，双层玻璃卡槽，单层玻璃厚度5mm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83</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充气拱门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空飘气球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桁架租赁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雷亚架舞台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铝合金舞台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灯光架（帕灯）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54珠防水LED灯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每套6个灯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摇臂摄像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1181.95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含人工</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气柱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106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高档音响系列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双十五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2只音箱、含调音师、无线耳麦2支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含人工费，每次活动设备使用费</w:t>
            </w:r>
          </w:p>
        </w:tc>
      </w:tr>
      <w:tr>
        <w:tblPrEx>
          <w:tblCellMar>
            <w:top w:w="0" w:type="dxa"/>
            <w:left w:w="108" w:type="dxa"/>
            <w:bottom w:w="0" w:type="dxa"/>
            <w:right w:w="108" w:type="dxa"/>
          </w:tblCellMar>
        </w:tblPrEx>
        <w:trPr>
          <w:trHeight w:val="14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矩阵音响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全频4支、超低音2支、无线话筒4支，调音台1部、功放2台、电脑1部、处理器1台、效果器1台、时续器1台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2400.00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含人工费，每次活动设备使用费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桌子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1.2*0.6m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绒桌布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桌布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蓝色、红色、白色等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绒桌布+裙围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尺寸</w:t>
            </w:r>
          </w:p>
        </w:tc>
      </w:tr>
      <w:tr>
        <w:tblPrEx>
          <w:tblCellMar>
            <w:top w:w="0" w:type="dxa"/>
            <w:left w:w="108" w:type="dxa"/>
            <w:bottom w:w="0" w:type="dxa"/>
            <w:right w:w="108" w:type="dxa"/>
          </w:tblCellMar>
        </w:tblPrEx>
        <w:trPr>
          <w:trHeight w:val="64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贵宾椅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宽44cm,深53cm,座高44cm,总高90cm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椅套、蝴蝶结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投影仪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分辨率800*600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线板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吊机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演讲台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1100*695*360mm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台花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配演讲台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鲜花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购买价格</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移动厕所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至少两个位置，每次活动使用费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吧桌吧椅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一桌四椅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6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围挡喷绘拆除、安装费用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pvc字拆除费用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计算方式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按成品外框计算</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电梯车贴拆除费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按个计算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9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加急物料工时费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加急物料泛指短时间内大面积围挡需安装，人工差</w:t>
            </w:r>
          </w:p>
        </w:tc>
      </w:tr>
      <w:tr>
        <w:tblPrEx>
          <w:tblCellMar>
            <w:top w:w="0" w:type="dxa"/>
            <w:left w:w="108" w:type="dxa"/>
            <w:bottom w:w="0" w:type="dxa"/>
            <w:right w:w="108" w:type="dxa"/>
          </w:tblCellMar>
        </w:tblPrEx>
        <w:trPr>
          <w:trHeight w:val="9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高空安装费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高空费泛指需出动吊车等高空作业机器等，8m以上</w:t>
            </w:r>
          </w:p>
        </w:tc>
      </w:tr>
      <w:tr>
        <w:tblPrEx>
          <w:tblCellMar>
            <w:top w:w="0" w:type="dxa"/>
            <w:left w:w="108" w:type="dxa"/>
            <w:bottom w:w="0" w:type="dxa"/>
            <w:right w:w="108" w:type="dxa"/>
          </w:tblCellMar>
        </w:tblPrEx>
        <w:trPr>
          <w:trHeight w:val="61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加急物料送货费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指当天发稿当天要，隔夜不算加急</w:t>
            </w:r>
          </w:p>
        </w:tc>
      </w:tr>
      <w:tr>
        <w:tblPrEx>
          <w:tblCellMar>
            <w:top w:w="0" w:type="dxa"/>
            <w:left w:w="108" w:type="dxa"/>
            <w:bottom w:w="0" w:type="dxa"/>
            <w:right w:w="108" w:type="dxa"/>
          </w:tblCellMar>
        </w:tblPrEx>
        <w:trPr>
          <w:trHeight w:val="61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市区外安装广告</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从高速收费站起算-至项目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按来回公里算</w:t>
            </w:r>
          </w:p>
        </w:tc>
      </w:tr>
      <w:tr>
        <w:tblPrEx>
          <w:tblCellMar>
            <w:top w:w="0" w:type="dxa"/>
            <w:left w:w="108" w:type="dxa"/>
            <w:bottom w:w="0" w:type="dxa"/>
            <w:right w:w="108" w:type="dxa"/>
          </w:tblCellMar>
        </w:tblPrEx>
        <w:trPr>
          <w:trHeight w:val="615"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109</w:t>
            </w:r>
          </w:p>
        </w:tc>
        <w:tc>
          <w:tcPr>
            <w:tcW w:w="107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市区外安装费</w:t>
            </w:r>
          </w:p>
        </w:tc>
        <w:tc>
          <w:tcPr>
            <w:tcW w:w="1515" w:type="dxa"/>
            <w:tcBorders>
              <w:top w:val="single" w:color="000000" w:sz="4" w:space="0"/>
              <w:left w:val="single" w:color="000000" w:sz="4" w:space="0"/>
              <w:bottom w:val="nil"/>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200.00</w:t>
            </w:r>
          </w:p>
        </w:tc>
        <w:tc>
          <w:tcPr>
            <w:tcW w:w="2293"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市区周围县区或者乡镇等</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市区外物料运送费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按来回公里算</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额外人工费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金属垃圾桶</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682.18</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金属资料架（放置户型图、单页）</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1181.95</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贡缎布（道旗双面）</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自喷漆模具</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铁皮</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r>
    </w:tbl>
    <w:p>
      <w:pPr>
        <w:spacing w:line="360" w:lineRule="auto"/>
        <w:rPr>
          <w:rFonts w:ascii="宋体" w:hAnsi="宋体" w:cs="宋体"/>
          <w:b/>
          <w:bCs/>
          <w:sz w:val="24"/>
        </w:rPr>
      </w:pPr>
    </w:p>
    <w:p>
      <w:pPr>
        <w:pStyle w:val="2"/>
      </w:pPr>
    </w:p>
    <w:sectPr>
      <w:headerReference r:id="rId3" w:type="default"/>
      <w:footerReference r:id="rId4" w:type="default"/>
      <w:type w:val="continuous"/>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114300" distR="114300">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lOTlmMjVmYzNlYWIyNDlhZGI5YmRlZjk1M2E5MDcifQ=="/>
  </w:docVars>
  <w:rsids>
    <w:rsidRoot w:val="00F9271F"/>
    <w:rsid w:val="0001515A"/>
    <w:rsid w:val="000273D5"/>
    <w:rsid w:val="00053F53"/>
    <w:rsid w:val="00054C46"/>
    <w:rsid w:val="00061982"/>
    <w:rsid w:val="00062C5A"/>
    <w:rsid w:val="000701E4"/>
    <w:rsid w:val="000A63FC"/>
    <w:rsid w:val="000D20CA"/>
    <w:rsid w:val="000E5D4C"/>
    <w:rsid w:val="00166C2E"/>
    <w:rsid w:val="001670AB"/>
    <w:rsid w:val="00174BBB"/>
    <w:rsid w:val="001A7653"/>
    <w:rsid w:val="001D3D5E"/>
    <w:rsid w:val="001D58D1"/>
    <w:rsid w:val="001F123B"/>
    <w:rsid w:val="00200C38"/>
    <w:rsid w:val="00217ACB"/>
    <w:rsid w:val="00226A46"/>
    <w:rsid w:val="00251118"/>
    <w:rsid w:val="00257556"/>
    <w:rsid w:val="00260B0E"/>
    <w:rsid w:val="002A21A7"/>
    <w:rsid w:val="002D161F"/>
    <w:rsid w:val="002F28DF"/>
    <w:rsid w:val="00327BC6"/>
    <w:rsid w:val="0036097B"/>
    <w:rsid w:val="0037409F"/>
    <w:rsid w:val="003A68A1"/>
    <w:rsid w:val="003C698B"/>
    <w:rsid w:val="003E088B"/>
    <w:rsid w:val="003F4AA0"/>
    <w:rsid w:val="004522C9"/>
    <w:rsid w:val="00495213"/>
    <w:rsid w:val="00497E32"/>
    <w:rsid w:val="004A0102"/>
    <w:rsid w:val="004A54CB"/>
    <w:rsid w:val="004D070A"/>
    <w:rsid w:val="004E1641"/>
    <w:rsid w:val="00534079"/>
    <w:rsid w:val="00537962"/>
    <w:rsid w:val="0055373F"/>
    <w:rsid w:val="00560D06"/>
    <w:rsid w:val="00570A45"/>
    <w:rsid w:val="005A5C1B"/>
    <w:rsid w:val="005B0490"/>
    <w:rsid w:val="005B3946"/>
    <w:rsid w:val="005C1D43"/>
    <w:rsid w:val="005D0D04"/>
    <w:rsid w:val="005D5447"/>
    <w:rsid w:val="005F295E"/>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8036E1"/>
    <w:rsid w:val="00813B34"/>
    <w:rsid w:val="008414CF"/>
    <w:rsid w:val="00861E10"/>
    <w:rsid w:val="008700FE"/>
    <w:rsid w:val="008A304A"/>
    <w:rsid w:val="008C2FD5"/>
    <w:rsid w:val="009D62D1"/>
    <w:rsid w:val="009F36E0"/>
    <w:rsid w:val="009F3FD1"/>
    <w:rsid w:val="00A1459F"/>
    <w:rsid w:val="00A401EA"/>
    <w:rsid w:val="00AA2774"/>
    <w:rsid w:val="00AC13D6"/>
    <w:rsid w:val="00AF35C7"/>
    <w:rsid w:val="00B10264"/>
    <w:rsid w:val="00B26564"/>
    <w:rsid w:val="00B3741E"/>
    <w:rsid w:val="00B85BCB"/>
    <w:rsid w:val="00B92488"/>
    <w:rsid w:val="00BD4588"/>
    <w:rsid w:val="00BF6C17"/>
    <w:rsid w:val="00BF6DC3"/>
    <w:rsid w:val="00BF7044"/>
    <w:rsid w:val="00C069CD"/>
    <w:rsid w:val="00C325B8"/>
    <w:rsid w:val="00C370D7"/>
    <w:rsid w:val="00C50CF9"/>
    <w:rsid w:val="00C812AD"/>
    <w:rsid w:val="00CA11CD"/>
    <w:rsid w:val="00CA6B47"/>
    <w:rsid w:val="00CC59C2"/>
    <w:rsid w:val="00CE2C4A"/>
    <w:rsid w:val="00CE4BA6"/>
    <w:rsid w:val="00CF3106"/>
    <w:rsid w:val="00CF31DE"/>
    <w:rsid w:val="00D273B6"/>
    <w:rsid w:val="00D330F0"/>
    <w:rsid w:val="00D864C8"/>
    <w:rsid w:val="00DB7F9C"/>
    <w:rsid w:val="00DC2D8C"/>
    <w:rsid w:val="00DE23DE"/>
    <w:rsid w:val="00DE4E1E"/>
    <w:rsid w:val="00E3231F"/>
    <w:rsid w:val="00E35C10"/>
    <w:rsid w:val="00E50ED3"/>
    <w:rsid w:val="00E8589E"/>
    <w:rsid w:val="00EC5CAD"/>
    <w:rsid w:val="00ED4FB8"/>
    <w:rsid w:val="00EF2EEB"/>
    <w:rsid w:val="00EF4318"/>
    <w:rsid w:val="00F04AED"/>
    <w:rsid w:val="00F346B8"/>
    <w:rsid w:val="00F41946"/>
    <w:rsid w:val="00F47BAB"/>
    <w:rsid w:val="00F9271F"/>
    <w:rsid w:val="00FB6127"/>
    <w:rsid w:val="01B4527D"/>
    <w:rsid w:val="02390242"/>
    <w:rsid w:val="02B75C2F"/>
    <w:rsid w:val="03596F4F"/>
    <w:rsid w:val="045301F6"/>
    <w:rsid w:val="04C81DDD"/>
    <w:rsid w:val="0887577A"/>
    <w:rsid w:val="08DF64FD"/>
    <w:rsid w:val="0945167D"/>
    <w:rsid w:val="0AB55A76"/>
    <w:rsid w:val="0C86692B"/>
    <w:rsid w:val="0CA560FA"/>
    <w:rsid w:val="0D1D707E"/>
    <w:rsid w:val="0DFA196A"/>
    <w:rsid w:val="0F92036E"/>
    <w:rsid w:val="131243B7"/>
    <w:rsid w:val="14033ECF"/>
    <w:rsid w:val="15286CEF"/>
    <w:rsid w:val="162714E3"/>
    <w:rsid w:val="17E36AF4"/>
    <w:rsid w:val="19DD25E4"/>
    <w:rsid w:val="1A9F4A43"/>
    <w:rsid w:val="1B5B0B3A"/>
    <w:rsid w:val="1B7C4517"/>
    <w:rsid w:val="1C1D65DB"/>
    <w:rsid w:val="1C417613"/>
    <w:rsid w:val="1D3042FA"/>
    <w:rsid w:val="1F005BE2"/>
    <w:rsid w:val="1F2F3993"/>
    <w:rsid w:val="20276D8B"/>
    <w:rsid w:val="20D069DA"/>
    <w:rsid w:val="234938A0"/>
    <w:rsid w:val="23866D0E"/>
    <w:rsid w:val="24534DF9"/>
    <w:rsid w:val="24763169"/>
    <w:rsid w:val="25073FC0"/>
    <w:rsid w:val="250D06A7"/>
    <w:rsid w:val="2685047B"/>
    <w:rsid w:val="2775448C"/>
    <w:rsid w:val="27B54A03"/>
    <w:rsid w:val="27F21C47"/>
    <w:rsid w:val="2A2A33F5"/>
    <w:rsid w:val="2B0B655A"/>
    <w:rsid w:val="2B497197"/>
    <w:rsid w:val="2BB67440"/>
    <w:rsid w:val="2C3A6ACB"/>
    <w:rsid w:val="2CAC2D20"/>
    <w:rsid w:val="2CD76BFF"/>
    <w:rsid w:val="2D5215A8"/>
    <w:rsid w:val="2DE44874"/>
    <w:rsid w:val="2FEC01D0"/>
    <w:rsid w:val="2FFA69C1"/>
    <w:rsid w:val="30171D8F"/>
    <w:rsid w:val="302D28DB"/>
    <w:rsid w:val="314B7C0A"/>
    <w:rsid w:val="33937E5A"/>
    <w:rsid w:val="347E2CD4"/>
    <w:rsid w:val="362174EA"/>
    <w:rsid w:val="36496D7B"/>
    <w:rsid w:val="36A85B20"/>
    <w:rsid w:val="37B02C8E"/>
    <w:rsid w:val="388B0F1B"/>
    <w:rsid w:val="38A972AC"/>
    <w:rsid w:val="3AE52F02"/>
    <w:rsid w:val="3BB52F69"/>
    <w:rsid w:val="3BBF5B96"/>
    <w:rsid w:val="3DC20F0F"/>
    <w:rsid w:val="3DEB2B85"/>
    <w:rsid w:val="3E2B12C1"/>
    <w:rsid w:val="3FDC3122"/>
    <w:rsid w:val="41057530"/>
    <w:rsid w:val="414A1CE5"/>
    <w:rsid w:val="41737FB7"/>
    <w:rsid w:val="4181781E"/>
    <w:rsid w:val="41D25BC6"/>
    <w:rsid w:val="42520CBD"/>
    <w:rsid w:val="43BF6743"/>
    <w:rsid w:val="456F6C3A"/>
    <w:rsid w:val="46083DA0"/>
    <w:rsid w:val="461F178B"/>
    <w:rsid w:val="46A64DD6"/>
    <w:rsid w:val="48032C9F"/>
    <w:rsid w:val="483D231C"/>
    <w:rsid w:val="493704AF"/>
    <w:rsid w:val="49EF783F"/>
    <w:rsid w:val="4A074420"/>
    <w:rsid w:val="4A61791F"/>
    <w:rsid w:val="4E692C63"/>
    <w:rsid w:val="4F2C3F62"/>
    <w:rsid w:val="503045D6"/>
    <w:rsid w:val="50A91328"/>
    <w:rsid w:val="511C573B"/>
    <w:rsid w:val="518101DC"/>
    <w:rsid w:val="51A030B0"/>
    <w:rsid w:val="541A219E"/>
    <w:rsid w:val="545B35BE"/>
    <w:rsid w:val="54E23D1E"/>
    <w:rsid w:val="552A5C3C"/>
    <w:rsid w:val="556233C2"/>
    <w:rsid w:val="5624677D"/>
    <w:rsid w:val="56783F9C"/>
    <w:rsid w:val="57974EC1"/>
    <w:rsid w:val="5A730A8D"/>
    <w:rsid w:val="5C8A1BB3"/>
    <w:rsid w:val="5CA0764D"/>
    <w:rsid w:val="5CA61CCA"/>
    <w:rsid w:val="5DC10A1D"/>
    <w:rsid w:val="5EA234FA"/>
    <w:rsid w:val="60110153"/>
    <w:rsid w:val="61805BF5"/>
    <w:rsid w:val="61BC489F"/>
    <w:rsid w:val="62EA43A2"/>
    <w:rsid w:val="638C6628"/>
    <w:rsid w:val="638E6018"/>
    <w:rsid w:val="69F670B0"/>
    <w:rsid w:val="6AC83870"/>
    <w:rsid w:val="6B2C46B0"/>
    <w:rsid w:val="6D3F215D"/>
    <w:rsid w:val="6E721D27"/>
    <w:rsid w:val="6ED03167"/>
    <w:rsid w:val="6F5E2F4E"/>
    <w:rsid w:val="6F8F3E7A"/>
    <w:rsid w:val="704020FA"/>
    <w:rsid w:val="704E5D4D"/>
    <w:rsid w:val="70D57954"/>
    <w:rsid w:val="70EC17DD"/>
    <w:rsid w:val="717776E0"/>
    <w:rsid w:val="742835D1"/>
    <w:rsid w:val="74C84C71"/>
    <w:rsid w:val="74DA3CD7"/>
    <w:rsid w:val="74F80C46"/>
    <w:rsid w:val="755B4E28"/>
    <w:rsid w:val="76EF0633"/>
    <w:rsid w:val="77B51620"/>
    <w:rsid w:val="77EF2D35"/>
    <w:rsid w:val="77FB06BD"/>
    <w:rsid w:val="78197EEB"/>
    <w:rsid w:val="79667E59"/>
    <w:rsid w:val="797F3C93"/>
    <w:rsid w:val="7A110B02"/>
    <w:rsid w:val="7A163371"/>
    <w:rsid w:val="7AC660D1"/>
    <w:rsid w:val="7F7C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9"/>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22"/>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link w:val="27"/>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4"/>
    <w:semiHidden/>
    <w:unhideWhenUsed/>
    <w:qFormat/>
    <w:uiPriority w:val="99"/>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9"/>
    <w:next w:val="9"/>
    <w:link w:val="28"/>
    <w:semiHidden/>
    <w:unhideWhenUsed/>
    <w:qFormat/>
    <w:uiPriority w:val="99"/>
    <w:rPr>
      <w:b/>
      <w:bCs/>
    </w:rPr>
  </w:style>
  <w:style w:type="character" w:styleId="17">
    <w:name w:val="annotation reference"/>
    <w:basedOn w:val="16"/>
    <w:semiHidden/>
    <w:unhideWhenUsed/>
    <w:qFormat/>
    <w:uiPriority w:val="99"/>
    <w:rPr>
      <w:sz w:val="21"/>
      <w:szCs w:val="21"/>
    </w:rPr>
  </w:style>
  <w:style w:type="paragraph" w:customStyle="1" w:styleId="18">
    <w:name w:val="正文1"/>
    <w:basedOn w:val="1"/>
    <w:qFormat/>
    <w:uiPriority w:val="0"/>
    <w:pPr>
      <w:ind w:firstLine="200" w:firstLineChars="200"/>
    </w:pPr>
  </w:style>
  <w:style w:type="character" w:customStyle="1" w:styleId="19">
    <w:name w:val="标题 1 字符"/>
    <w:basedOn w:val="16"/>
    <w:link w:val="7"/>
    <w:qFormat/>
    <w:uiPriority w:val="0"/>
    <w:rPr>
      <w:b/>
      <w:bCs/>
      <w:kern w:val="44"/>
      <w:sz w:val="24"/>
      <w:szCs w:val="44"/>
    </w:rPr>
  </w:style>
  <w:style w:type="character" w:customStyle="1" w:styleId="20">
    <w:name w:val="页眉 字符"/>
    <w:basedOn w:val="16"/>
    <w:link w:val="13"/>
    <w:qFormat/>
    <w:uiPriority w:val="99"/>
    <w:rPr>
      <w:rFonts w:ascii="Calibri" w:hAnsi="Calibri" w:eastAsia="宋体" w:cs="Times New Roman"/>
      <w:sz w:val="18"/>
      <w:szCs w:val="18"/>
    </w:rPr>
  </w:style>
  <w:style w:type="character" w:customStyle="1" w:styleId="21">
    <w:name w:val="页脚 字符"/>
    <w:basedOn w:val="16"/>
    <w:link w:val="12"/>
    <w:qFormat/>
    <w:uiPriority w:val="99"/>
    <w:rPr>
      <w:rFonts w:ascii="Calibri" w:hAnsi="Calibri" w:eastAsia="宋体" w:cs="Times New Roman"/>
      <w:sz w:val="18"/>
      <w:szCs w:val="18"/>
    </w:rPr>
  </w:style>
  <w:style w:type="character" w:customStyle="1" w:styleId="22">
    <w:name w:val="正文文本 字符"/>
    <w:link w:val="2"/>
    <w:qFormat/>
    <w:uiPriority w:val="0"/>
    <w:rPr>
      <w:szCs w:val="24"/>
    </w:rPr>
  </w:style>
  <w:style w:type="character" w:customStyle="1" w:styleId="23">
    <w:name w:val="正文文本 字符1"/>
    <w:basedOn w:val="16"/>
    <w:semiHidden/>
    <w:qFormat/>
    <w:uiPriority w:val="99"/>
    <w:rPr>
      <w:rFonts w:ascii="Times New Roman" w:hAnsi="Times New Roman" w:eastAsia="宋体" w:cs="Times New Roman"/>
      <w:szCs w:val="24"/>
    </w:rPr>
  </w:style>
  <w:style w:type="character" w:customStyle="1" w:styleId="24">
    <w:name w:val="批注框文本 字符"/>
    <w:basedOn w:val="16"/>
    <w:link w:val="11"/>
    <w:semiHidden/>
    <w:qFormat/>
    <w:uiPriority w:val="99"/>
    <w:rPr>
      <w:rFonts w:ascii="Times New Roman" w:hAnsi="Times New Roman" w:eastAsia="宋体" w:cs="Times New Roman"/>
      <w:kern w:val="2"/>
      <w:sz w:val="18"/>
      <w:szCs w:val="18"/>
    </w:rPr>
  </w:style>
  <w:style w:type="character" w:customStyle="1" w:styleId="25">
    <w:name w:val="font11"/>
    <w:basedOn w:val="16"/>
    <w:qFormat/>
    <w:uiPriority w:val="0"/>
    <w:rPr>
      <w:rFonts w:hint="eastAsia" w:ascii="等线" w:hAnsi="等线" w:eastAsia="等线" w:cs="等线"/>
      <w:color w:val="000000"/>
      <w:sz w:val="20"/>
      <w:szCs w:val="20"/>
      <w:u w:val="none"/>
    </w:rPr>
  </w:style>
  <w:style w:type="character" w:customStyle="1" w:styleId="26">
    <w:name w:val="font31"/>
    <w:basedOn w:val="16"/>
    <w:qFormat/>
    <w:uiPriority w:val="0"/>
    <w:rPr>
      <w:rFonts w:hint="eastAsia" w:ascii="等线" w:hAnsi="等线" w:eastAsia="等线" w:cs="等线"/>
      <w:b/>
      <w:bCs/>
      <w:color w:val="000000"/>
      <w:sz w:val="20"/>
      <w:szCs w:val="20"/>
      <w:u w:val="none"/>
    </w:rPr>
  </w:style>
  <w:style w:type="character" w:customStyle="1" w:styleId="27">
    <w:name w:val="批注文字 字符"/>
    <w:basedOn w:val="16"/>
    <w:link w:val="9"/>
    <w:semiHidden/>
    <w:qFormat/>
    <w:uiPriority w:val="99"/>
    <w:rPr>
      <w:kern w:val="2"/>
      <w:sz w:val="21"/>
      <w:szCs w:val="24"/>
    </w:rPr>
  </w:style>
  <w:style w:type="character" w:customStyle="1" w:styleId="28">
    <w:name w:val="批注主题 字符"/>
    <w:basedOn w:val="27"/>
    <w:link w:val="14"/>
    <w:semiHidden/>
    <w:qFormat/>
    <w:uiPriority w:val="99"/>
    <w:rPr>
      <w:b/>
      <w:bCs/>
      <w:kern w:val="2"/>
      <w:sz w:val="21"/>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font51"/>
    <w:basedOn w:val="16"/>
    <w:qFormat/>
    <w:uiPriority w:val="0"/>
    <w:rPr>
      <w:rFonts w:hint="eastAsia" w:ascii="宋体" w:hAnsi="宋体" w:eastAsia="宋体" w:cs="宋体"/>
      <w:b/>
      <w:bCs/>
      <w:color w:val="000000"/>
      <w:sz w:val="20"/>
      <w:szCs w:val="20"/>
      <w:u w:val="single"/>
    </w:rPr>
  </w:style>
  <w:style w:type="character" w:customStyle="1" w:styleId="32">
    <w:name w:val="font21"/>
    <w:basedOn w:val="1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2836</Words>
  <Characters>16170</Characters>
  <Lines>134</Lines>
  <Paragraphs>37</Paragraphs>
  <TotalTime>4</TotalTime>
  <ScaleCrop>false</ScaleCrop>
  <LinksUpToDate>false</LinksUpToDate>
  <CharactersWithSpaces>18969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大头Monkey</cp:lastModifiedBy>
  <cp:lastPrinted>2021-01-23T09:26:00Z</cp:lastPrinted>
  <dcterms:modified xsi:type="dcterms:W3CDTF">2023-08-11T06:14:57Z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C0A90D2C3232493FBF5083904D35CFE2_13</vt:lpwstr>
  </property>
</Properties>
</file>