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rPr>
          <w:rFonts w:ascii="宋体" w:hAnsi="宋体"/>
          <w:b/>
          <w:sz w:val="44"/>
          <w:szCs w:val="52"/>
        </w:rPr>
      </w:pPr>
    </w:p>
    <w:p>
      <w:pPr>
        <w:spacing w:line="360" w:lineRule="auto"/>
        <w:rPr>
          <w:rFonts w:ascii="宋体" w:hAnsi="宋体"/>
          <w:b/>
          <w:sz w:val="44"/>
          <w:szCs w:val="52"/>
        </w:rPr>
      </w:pPr>
    </w:p>
    <w:p>
      <w:pPr>
        <w:spacing w:line="360" w:lineRule="auto"/>
        <w:jc w:val="center"/>
        <w:rPr>
          <w:rFonts w:ascii="宋体" w:hAnsi="宋体"/>
          <w:b/>
          <w:sz w:val="44"/>
          <w:szCs w:val="52"/>
        </w:rPr>
      </w:pPr>
      <w:r>
        <w:rPr>
          <w:rFonts w:hint="eastAsia" w:ascii="宋体" w:hAnsi="宋体"/>
          <w:b/>
          <w:sz w:val="44"/>
          <w:szCs w:val="52"/>
        </w:rPr>
        <w:t>开元壹号尚境苑储藏间减/免物业费结算合同</w:t>
      </w:r>
    </w:p>
    <w:p>
      <w:pPr>
        <w:jc w:val="center"/>
        <w:rPr>
          <w:rFonts w:ascii="宋体" w:hAnsi="宋体"/>
          <w:b/>
          <w:bCs/>
          <w:sz w:val="52"/>
          <w:szCs w:val="52"/>
        </w:rPr>
      </w:pPr>
    </w:p>
    <w:p>
      <w:pPr>
        <w:rPr>
          <w:rFonts w:ascii="宋体" w:hAnsi="宋体"/>
          <w:b/>
          <w:bCs/>
          <w:sz w:val="52"/>
          <w:szCs w:val="52"/>
        </w:rPr>
      </w:pPr>
    </w:p>
    <w:p>
      <w:pPr>
        <w:spacing w:line="360" w:lineRule="auto"/>
        <w:ind w:right="359" w:rightChars="171"/>
        <w:rPr>
          <w:rFonts w:ascii="宋体" w:hAnsi="宋体"/>
          <w:b/>
          <w:bCs/>
          <w:sz w:val="30"/>
          <w:szCs w:val="30"/>
        </w:rPr>
      </w:pPr>
    </w:p>
    <w:p>
      <w:pPr>
        <w:spacing w:line="360" w:lineRule="auto"/>
        <w:ind w:right="359" w:rightChars="171"/>
        <w:rPr>
          <w:rFonts w:ascii="宋体" w:hAnsi="宋体"/>
          <w:sz w:val="24"/>
          <w:szCs w:val="28"/>
        </w:rPr>
      </w:pPr>
    </w:p>
    <w:p>
      <w:pPr>
        <w:spacing w:line="360" w:lineRule="auto"/>
        <w:ind w:right="359" w:rightChars="171"/>
        <w:rPr>
          <w:rFonts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sz w:val="30"/>
          <w:szCs w:val="30"/>
          <w:u w:val="single"/>
        </w:rPr>
        <w:t xml:space="preserve">中浩德物业管理有限公司 </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3年8月23日</w:t>
      </w:r>
    </w:p>
    <w:p>
      <w:pPr>
        <w:spacing w:line="360" w:lineRule="auto"/>
        <w:jc w:val="left"/>
        <w:rPr>
          <w:rFonts w:ascii="宋体" w:hAnsi="宋体" w:cs="宋体"/>
          <w:b/>
          <w:sz w:val="24"/>
        </w:rPr>
      </w:pPr>
    </w:p>
    <w:p>
      <w:pPr>
        <w:spacing w:line="360" w:lineRule="auto"/>
        <w:jc w:val="center"/>
        <w:rPr>
          <w:rFonts w:ascii="宋体" w:hAnsi="宋体"/>
          <w:bCs/>
          <w:sz w:val="32"/>
          <w:szCs w:val="40"/>
        </w:rPr>
      </w:pPr>
      <w:r>
        <w:rPr>
          <w:rFonts w:ascii="宋体" w:hAnsi="宋体" w:cs="宋体"/>
          <w:b/>
          <w:bCs/>
          <w:sz w:val="24"/>
        </w:rPr>
        <w:br w:type="page"/>
      </w:r>
      <w:bookmarkStart w:id="0" w:name="_Hlk143762929"/>
      <w:r>
        <w:rPr>
          <w:rFonts w:hint="eastAsia" w:ascii="宋体" w:hAnsi="宋体"/>
          <w:bCs/>
          <w:sz w:val="32"/>
          <w:szCs w:val="40"/>
        </w:rPr>
        <w:t>开元壹号尚境苑储藏间</w:t>
      </w:r>
      <w:bookmarkEnd w:id="0"/>
      <w:r>
        <w:rPr>
          <w:rFonts w:hint="eastAsia" w:ascii="宋体" w:hAnsi="宋体"/>
          <w:bCs/>
          <w:sz w:val="32"/>
          <w:szCs w:val="40"/>
        </w:rPr>
        <w:t>减</w:t>
      </w:r>
      <w:r>
        <w:rPr>
          <w:rFonts w:hint="eastAsia" w:ascii="宋体" w:hAnsi="宋体" w:cs="MingLiU"/>
          <w:bCs/>
          <w:sz w:val="24"/>
        </w:rPr>
        <w:t>/</w:t>
      </w:r>
      <w:r>
        <w:rPr>
          <w:rFonts w:hint="eastAsia" w:ascii="宋体" w:hAnsi="宋体"/>
          <w:bCs/>
          <w:sz w:val="32"/>
          <w:szCs w:val="40"/>
        </w:rPr>
        <w:t>免物业费结算合同</w:t>
      </w:r>
    </w:p>
    <w:p>
      <w:pPr>
        <w:spacing w:line="360" w:lineRule="auto"/>
        <w:jc w:val="center"/>
        <w:rPr>
          <w:rFonts w:ascii="宋体" w:hAnsi="宋体" w:cs="宋体"/>
          <w:b/>
          <w:bCs/>
          <w:sz w:val="24"/>
        </w:rPr>
      </w:pPr>
    </w:p>
    <w:p>
      <w:pPr>
        <w:pStyle w:val="3"/>
        <w:tabs>
          <w:tab w:val="left" w:pos="360"/>
        </w:tabs>
        <w:spacing w:line="360" w:lineRule="auto"/>
        <w:rPr>
          <w:rFonts w:ascii="宋体" w:hAnsi="宋体" w:eastAsia="宋体" w:cs="宋体"/>
          <w:b w:val="0"/>
          <w:bCs w:val="0"/>
          <w:kern w:val="2"/>
          <w:sz w:val="24"/>
          <w:szCs w:val="24"/>
        </w:rPr>
      </w:pPr>
      <w:bookmarkStart w:id="1" w:name="_Toc194719956"/>
      <w:bookmarkStart w:id="2" w:name="_Toc194313235"/>
      <w:bookmarkStart w:id="3" w:name="_Toc194312526"/>
      <w:bookmarkStart w:id="4" w:name="_Toc194316927"/>
      <w:bookmarkStart w:id="5" w:name="_Toc180836376"/>
      <w:bookmarkStart w:id="6" w:name="_Toc194313923"/>
      <w:bookmarkStart w:id="7" w:name="_Toc194374018"/>
      <w:bookmarkStart w:id="8" w:name="_Toc194316308"/>
      <w:bookmarkStart w:id="9" w:name="_Toc194314530"/>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洛阳浩德鑫置地有限公司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914103005542480325</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中浩德物业管理有限公司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9141030009607509X7</w:t>
      </w:r>
    </w:p>
    <w:p>
      <w:pPr>
        <w:pStyle w:val="3"/>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执行销售开元壹号尚境苑储藏间减/免物业费政策中物业费结算事宜，签订本合同，以明确双方在合同履行过程中的权利、义务和责任并共同遵守。</w:t>
      </w:r>
    </w:p>
    <w:bookmarkEnd w:id="1"/>
    <w:bookmarkEnd w:id="2"/>
    <w:bookmarkEnd w:id="3"/>
    <w:bookmarkEnd w:id="4"/>
    <w:bookmarkEnd w:id="5"/>
    <w:bookmarkEnd w:id="6"/>
    <w:bookmarkEnd w:id="7"/>
    <w:bookmarkEnd w:id="8"/>
    <w:bookmarkEnd w:id="9"/>
    <w:p>
      <w:pPr>
        <w:spacing w:line="360" w:lineRule="auto"/>
        <w:rPr>
          <w:rFonts w:ascii="宋体" w:hAnsi="宋体" w:cs="MingLiU"/>
          <w:b/>
          <w:sz w:val="24"/>
        </w:rPr>
      </w:pPr>
      <w:r>
        <w:rPr>
          <w:rFonts w:hint="eastAsia" w:ascii="宋体" w:hAnsi="宋体" w:cs="MingLiU"/>
          <w:b/>
          <w:sz w:val="24"/>
        </w:rPr>
        <w:t>一、具体内容</w:t>
      </w:r>
    </w:p>
    <w:p>
      <w:pPr>
        <w:spacing w:line="360" w:lineRule="auto"/>
        <w:ind w:firstLine="480" w:firstLineChars="200"/>
        <w:rPr>
          <w:rFonts w:ascii="宋体" w:hAnsi="宋体" w:cs="MingLiU"/>
          <w:bCs/>
          <w:sz w:val="24"/>
        </w:rPr>
      </w:pPr>
      <w:r>
        <w:rPr>
          <w:rFonts w:hint="eastAsia" w:ascii="宋体" w:hAnsi="宋体" w:cs="MingLiU"/>
          <w:bCs/>
          <w:sz w:val="24"/>
        </w:rPr>
        <w:t xml:space="preserve">开元壹号尚境苑业主购买储藏间减/免物业费结算 </w:t>
      </w:r>
    </w:p>
    <w:p>
      <w:pPr>
        <w:spacing w:line="360" w:lineRule="auto"/>
        <w:rPr>
          <w:rFonts w:ascii="宋体" w:hAnsi="宋体" w:cs="MingLiU"/>
          <w:b/>
          <w:sz w:val="24"/>
        </w:rPr>
      </w:pPr>
      <w:r>
        <w:rPr>
          <w:rFonts w:hint="eastAsia" w:ascii="宋体" w:hAnsi="宋体" w:cs="MingLiU"/>
          <w:b/>
          <w:sz w:val="24"/>
        </w:rPr>
        <w:t>二、服务时间</w:t>
      </w:r>
    </w:p>
    <w:p>
      <w:pPr>
        <w:spacing w:line="360" w:lineRule="auto"/>
        <w:ind w:firstLine="480" w:firstLineChars="200"/>
        <w:rPr>
          <w:rFonts w:hint="eastAsia" w:ascii="宋体" w:hAnsi="宋体" w:cs="MingLiU"/>
          <w:bCs/>
          <w:color w:val="auto"/>
          <w:sz w:val="24"/>
        </w:rPr>
      </w:pPr>
      <w:r>
        <w:rPr>
          <w:rFonts w:hint="eastAsia" w:ascii="宋体" w:hAnsi="宋体" w:cs="MingLiU"/>
          <w:bCs/>
          <w:color w:val="auto"/>
          <w:sz w:val="24"/>
        </w:rPr>
        <w:t>自202</w:t>
      </w:r>
      <w:r>
        <w:rPr>
          <w:rFonts w:hint="eastAsia" w:ascii="宋体" w:hAnsi="宋体" w:cs="MingLiU"/>
          <w:bCs/>
          <w:color w:val="auto"/>
          <w:sz w:val="24"/>
          <w:lang w:val="en-US" w:eastAsia="zh-CN"/>
        </w:rPr>
        <w:t>3</w:t>
      </w:r>
      <w:r>
        <w:rPr>
          <w:rFonts w:hint="eastAsia" w:ascii="宋体" w:hAnsi="宋体" w:cs="MingLiU"/>
          <w:bCs/>
          <w:color w:val="auto"/>
          <w:sz w:val="24"/>
        </w:rPr>
        <w:t>年</w:t>
      </w:r>
      <w:r>
        <w:rPr>
          <w:rFonts w:hint="eastAsia" w:ascii="宋体" w:hAnsi="宋体" w:cs="MingLiU"/>
          <w:bCs/>
          <w:color w:val="auto"/>
          <w:sz w:val="24"/>
          <w:lang w:val="en-US" w:eastAsia="zh-CN"/>
        </w:rPr>
        <w:t>8</w:t>
      </w:r>
      <w:r>
        <w:rPr>
          <w:rFonts w:hint="eastAsia" w:ascii="宋体" w:hAnsi="宋体" w:cs="MingLiU"/>
          <w:bCs/>
          <w:color w:val="auto"/>
          <w:sz w:val="24"/>
        </w:rPr>
        <w:t>月</w:t>
      </w:r>
      <w:r>
        <w:rPr>
          <w:rFonts w:hint="eastAsia" w:ascii="宋体" w:hAnsi="宋体" w:cs="MingLiU"/>
          <w:bCs/>
          <w:color w:val="auto"/>
          <w:sz w:val="24"/>
          <w:lang w:val="en-US" w:eastAsia="zh-CN"/>
        </w:rPr>
        <w:t>23日-2028年8月23日，</w:t>
      </w:r>
      <w:r>
        <w:rPr>
          <w:rFonts w:hint="eastAsia" w:ascii="宋体" w:hAnsi="宋体" w:cs="MingLiU"/>
          <w:bCs/>
          <w:color w:val="auto"/>
          <w:sz w:val="24"/>
        </w:rPr>
        <w:t>（暂定），最终以业主兑付完成所有优惠券之日止。</w:t>
      </w:r>
    </w:p>
    <w:p>
      <w:pPr>
        <w:spacing w:line="360" w:lineRule="auto"/>
        <w:rPr>
          <w:rFonts w:ascii="宋体" w:hAnsi="宋体" w:cs="MingLiU"/>
          <w:b/>
          <w:sz w:val="24"/>
        </w:rPr>
      </w:pPr>
      <w:r>
        <w:rPr>
          <w:rFonts w:hint="eastAsia" w:ascii="宋体" w:hAnsi="宋体" w:cs="MingLiU"/>
          <w:b/>
          <w:sz w:val="24"/>
        </w:rPr>
        <w:t>三、合同金额、费用标准及结算时间</w:t>
      </w:r>
    </w:p>
    <w:p>
      <w:pPr>
        <w:spacing w:line="360" w:lineRule="auto"/>
        <w:ind w:firstLine="480" w:firstLineChars="200"/>
        <w:rPr>
          <w:rFonts w:ascii="宋体" w:hAnsi="宋体" w:cs="MingLiU"/>
          <w:bCs/>
          <w:sz w:val="24"/>
        </w:rPr>
      </w:pPr>
      <w:r>
        <w:rPr>
          <w:rFonts w:hint="eastAsia" w:ascii="宋体" w:hAnsi="宋体" w:cs="MingLiU"/>
          <w:bCs/>
          <w:sz w:val="24"/>
        </w:rPr>
        <w:t>1、暂定总价</w:t>
      </w:r>
      <w:r>
        <w:rPr>
          <w:rFonts w:hint="eastAsia" w:ascii="宋体" w:hAnsi="宋体" w:cs="MingLiU"/>
          <w:bCs/>
          <w:sz w:val="24"/>
          <w:lang w:val="zh-CN"/>
        </w:rPr>
        <w:t>：合同暂定含税总金额为¥</w:t>
      </w:r>
      <w:r>
        <w:rPr>
          <w:rFonts w:hint="eastAsia" w:ascii="宋体" w:hAnsi="宋体" w:cs="MingLiU"/>
          <w:bCs/>
          <w:sz w:val="24"/>
        </w:rPr>
        <w:t>2523024.00</w:t>
      </w:r>
      <w:r>
        <w:rPr>
          <w:rFonts w:hint="eastAsia" w:ascii="宋体" w:hAnsi="宋体" w:cs="MingLiU"/>
          <w:bCs/>
          <w:sz w:val="24"/>
          <w:lang w:val="zh-CN"/>
        </w:rPr>
        <w:t>元（大写人民币贰佰伍拾贰万叁仟零贰拾肆元整）。其中不含税金额为¥</w:t>
      </w:r>
      <w:r>
        <w:rPr>
          <w:rFonts w:hint="eastAsia" w:ascii="宋体" w:hAnsi="宋体" w:cs="MingLiU"/>
          <w:bCs/>
          <w:sz w:val="24"/>
          <w:lang w:val="en-US" w:eastAsia="zh-CN"/>
        </w:rPr>
        <w:t>2380211.32</w:t>
      </w:r>
      <w:r>
        <w:rPr>
          <w:rFonts w:hint="eastAsia" w:ascii="宋体" w:hAnsi="宋体" w:cs="MingLiU"/>
          <w:bCs/>
          <w:sz w:val="24"/>
          <w:lang w:val="zh-CN"/>
        </w:rPr>
        <w:t>元（大写人民币</w:t>
      </w:r>
      <w:r>
        <w:rPr>
          <w:rFonts w:hint="eastAsia" w:ascii="宋体" w:hAnsi="宋体" w:cs="MingLiU"/>
          <w:bCs/>
          <w:sz w:val="24"/>
          <w:lang w:val="zh-CN" w:eastAsia="zh-CN"/>
        </w:rPr>
        <w:t>贰佰叁拾捌万零贰佰壹拾壹元叁角贰分</w:t>
      </w:r>
      <w:r>
        <w:rPr>
          <w:rFonts w:hint="eastAsia" w:ascii="宋体" w:hAnsi="宋体" w:cs="MingLiU"/>
          <w:bCs/>
          <w:sz w:val="24"/>
          <w:lang w:val="zh-CN"/>
        </w:rPr>
        <w:t>），增值税税金为¥</w:t>
      </w:r>
      <w:r>
        <w:rPr>
          <w:rFonts w:hint="eastAsia" w:ascii="宋体" w:hAnsi="宋体" w:cs="MingLiU"/>
          <w:bCs/>
          <w:sz w:val="24"/>
          <w:lang w:val="en-US" w:eastAsia="zh-CN"/>
        </w:rPr>
        <w:t>142812.68</w:t>
      </w:r>
      <w:r>
        <w:rPr>
          <w:rFonts w:hint="eastAsia" w:ascii="宋体" w:hAnsi="宋体" w:cs="MingLiU"/>
          <w:bCs/>
          <w:sz w:val="24"/>
        </w:rPr>
        <w:t xml:space="preserve"> </w:t>
      </w:r>
      <w:r>
        <w:rPr>
          <w:rFonts w:hint="eastAsia" w:ascii="宋体" w:hAnsi="宋体" w:cs="MingLiU"/>
          <w:bCs/>
          <w:sz w:val="24"/>
          <w:lang w:val="zh-CN"/>
        </w:rPr>
        <w:t>元（大写人民币拾肆万贰仟捌佰壹拾贰元陆角捌分），税率</w:t>
      </w:r>
      <w:r>
        <w:rPr>
          <w:rFonts w:hint="eastAsia" w:ascii="宋体" w:hAnsi="宋体" w:cs="MingLiU"/>
          <w:bCs/>
          <w:sz w:val="24"/>
        </w:rPr>
        <w:t>6</w:t>
      </w:r>
      <w:r>
        <w:rPr>
          <w:rFonts w:hint="eastAsia" w:ascii="宋体" w:hAnsi="宋体" w:cs="MingLiU"/>
          <w:bCs/>
          <w:sz w:val="24"/>
          <w:lang w:val="zh-CN"/>
        </w:rPr>
        <w:t>%。</w:t>
      </w:r>
    </w:p>
    <w:p>
      <w:pPr>
        <w:spacing w:line="360" w:lineRule="auto"/>
        <w:ind w:firstLine="480" w:firstLineChars="200"/>
        <w:rPr>
          <w:rFonts w:ascii="宋体" w:hAnsi="宋体" w:cs="MingLiU"/>
          <w:bCs/>
          <w:sz w:val="24"/>
        </w:rPr>
      </w:pPr>
      <w:r>
        <w:rPr>
          <w:rFonts w:hint="eastAsia" w:ascii="宋体" w:hAnsi="宋体" w:cs="MingLiU"/>
          <w:bCs/>
          <w:sz w:val="24"/>
        </w:rPr>
        <w:t>2、储藏间减/免优惠服务费</w:t>
      </w:r>
    </w:p>
    <w:p>
      <w:pPr>
        <w:spacing w:line="360" w:lineRule="auto"/>
        <w:ind w:firstLine="480" w:firstLineChars="200"/>
        <w:rPr>
          <w:rFonts w:ascii="宋体" w:hAnsi="宋体" w:cs="MingLiU"/>
          <w:bCs/>
          <w:sz w:val="24"/>
        </w:rPr>
      </w:pPr>
      <w:r>
        <w:rPr>
          <w:rFonts w:hint="eastAsia" w:ascii="宋体" w:hAnsi="宋体" w:cs="MingLiU"/>
          <w:bCs/>
          <w:sz w:val="24"/>
        </w:rPr>
        <w:t>自甲方将储藏间售出并签订合同之日起开始收费，费用按减/免物业费的金额计算，双方每月确认储藏间售出减/免金额和数量，每月5日前双方书面确认上个自然月减/免金额。</w:t>
      </w:r>
    </w:p>
    <w:p>
      <w:pPr>
        <w:spacing w:line="360" w:lineRule="auto"/>
        <w:ind w:firstLine="480" w:firstLineChars="200"/>
        <w:rPr>
          <w:rFonts w:ascii="宋体" w:hAnsi="宋体" w:cs="MingLiU"/>
          <w:bCs/>
          <w:sz w:val="24"/>
        </w:rPr>
      </w:pPr>
      <w:r>
        <w:rPr>
          <w:rFonts w:hint="eastAsia" w:ascii="宋体" w:hAnsi="宋体" w:cs="MingLiU"/>
          <w:bCs/>
          <w:sz w:val="24"/>
        </w:rPr>
        <w:t>3、物业费优惠单</w:t>
      </w:r>
    </w:p>
    <w:p>
      <w:pPr>
        <w:spacing w:line="360" w:lineRule="auto"/>
        <w:ind w:firstLine="480" w:firstLineChars="200"/>
      </w:pPr>
      <w:r>
        <w:rPr>
          <w:rFonts w:hint="eastAsia" w:ascii="宋体" w:hAnsi="宋体" w:cs="MingLiU"/>
          <w:bCs/>
          <w:sz w:val="24"/>
        </w:rPr>
        <w:t>甲方根据销售需求，将不时执行买受人减/免物业服务费的优惠政策，乙方承诺，对于甲方同意的减/免金额予以认可并严格执行，但是甲方需就减/免金额向乙方进行补足。每月双方对甲方出具的《物业费优惠单》进行一次核对签字。</w:t>
      </w:r>
    </w:p>
    <w:p>
      <w:pPr>
        <w:spacing w:line="360" w:lineRule="auto"/>
        <w:ind w:firstLine="480" w:firstLineChars="200"/>
        <w:rPr>
          <w:rFonts w:ascii="宋体" w:hAnsi="宋体" w:cs="MingLiU"/>
          <w:bCs/>
          <w:sz w:val="24"/>
        </w:rPr>
      </w:pPr>
      <w:r>
        <w:rPr>
          <w:rFonts w:hint="eastAsia" w:ascii="宋体" w:hAnsi="宋体" w:cs="MingLiU"/>
          <w:bCs/>
          <w:sz w:val="24"/>
        </w:rPr>
        <w:t>5、增值税税率说明：</w:t>
      </w:r>
    </w:p>
    <w:p>
      <w:pPr>
        <w:spacing w:line="360" w:lineRule="auto"/>
        <w:ind w:firstLine="480" w:firstLineChars="200"/>
        <w:rPr>
          <w:rFonts w:ascii="宋体" w:hAnsi="宋体" w:cs="MingLiU"/>
          <w:bCs/>
          <w:sz w:val="24"/>
        </w:rPr>
      </w:pPr>
      <w:r>
        <w:rPr>
          <w:rFonts w:hint="eastAsia" w:ascii="宋体" w:hAnsi="宋体" w:cs="MingLiU"/>
          <w:bCs/>
          <w:sz w:val="24"/>
        </w:rPr>
        <w:t>5.1、合同价增值税税率按6%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pPr>
      <w:r>
        <w:rPr>
          <w:rFonts w:hint="eastAsia" w:ascii="宋体" w:hAnsi="宋体" w:cs="MingLiU"/>
          <w:bCs/>
          <w:sz w:val="24"/>
        </w:rPr>
        <w:t>5.2、如因乙方纳税资格变更引起增值税税率变化，风险由乙方自行承担（税率增加的，甲方仍按原税率支付税金；税率减小的，甲方按减小后的税率支付税金）。</w:t>
      </w:r>
    </w:p>
    <w:p>
      <w:pPr>
        <w:spacing w:line="360" w:lineRule="auto"/>
        <w:ind w:firstLine="480" w:firstLineChars="200"/>
      </w:pPr>
      <w:r>
        <w:rPr>
          <w:rFonts w:hint="eastAsia" w:ascii="宋体" w:hAnsi="宋体" w:cs="MingLiU"/>
          <w:bCs/>
          <w:sz w:val="24"/>
        </w:rPr>
        <w:t>6、付款方法：每季度最后一个月25日前乙方向甲方报送本季度所产生的费用及完整的结算资料，甲方收到全部结算资料的次月底前完成结算，结算完毕且双方核对无问题后，根据双方签字确认的最终结算金额，甲方支付给乙方结算价款的100%，支付时间另有约定的除外。</w:t>
      </w:r>
    </w:p>
    <w:p>
      <w:pPr>
        <w:spacing w:line="360" w:lineRule="auto"/>
        <w:rPr>
          <w:rFonts w:ascii="宋体" w:hAnsi="宋体" w:cs="MingLiU"/>
          <w:b/>
          <w:sz w:val="24"/>
        </w:rPr>
      </w:pPr>
      <w:r>
        <w:rPr>
          <w:rFonts w:hint="eastAsia" w:ascii="宋体" w:hAnsi="宋体" w:cs="MingLiU"/>
          <w:b/>
          <w:sz w:val="24"/>
        </w:rPr>
        <w:t>四、甲方的权力和义务</w:t>
      </w:r>
    </w:p>
    <w:p>
      <w:pPr>
        <w:spacing w:line="360" w:lineRule="auto"/>
        <w:ind w:firstLine="480" w:firstLineChars="200"/>
        <w:rPr>
          <w:rFonts w:ascii="宋体" w:hAnsi="宋体" w:cs="MingLiU"/>
          <w:bCs/>
          <w:sz w:val="24"/>
        </w:rPr>
      </w:pPr>
      <w:r>
        <w:rPr>
          <w:rFonts w:hint="eastAsia" w:ascii="宋体" w:hAnsi="宋体" w:cs="MingLiU"/>
          <w:bCs/>
          <w:sz w:val="24"/>
        </w:rPr>
        <w:t>1、甲方自行出售储藏间也可委托乙方进行出售。</w:t>
      </w:r>
    </w:p>
    <w:p>
      <w:pPr>
        <w:spacing w:line="360" w:lineRule="auto"/>
        <w:ind w:firstLine="480" w:firstLineChars="200"/>
        <w:rPr>
          <w:rFonts w:ascii="宋体" w:hAnsi="宋体" w:cs="MingLiU"/>
          <w:bCs/>
          <w:sz w:val="24"/>
        </w:rPr>
      </w:pPr>
      <w:r>
        <w:rPr>
          <w:rFonts w:ascii="宋体" w:hAnsi="宋体" w:cs="MingLiU"/>
          <w:bCs/>
          <w:sz w:val="24"/>
        </w:rPr>
        <w:t>2</w:t>
      </w:r>
      <w:r>
        <w:rPr>
          <w:rFonts w:hint="eastAsia" w:ascii="宋体" w:hAnsi="宋体" w:cs="MingLiU"/>
          <w:bCs/>
          <w:sz w:val="24"/>
        </w:rPr>
        <w:t>、甲方按本合同的约定向乙方支付各项委托服务费用。</w:t>
      </w:r>
    </w:p>
    <w:p>
      <w:pPr>
        <w:spacing w:line="360" w:lineRule="auto"/>
        <w:ind w:firstLine="480" w:firstLineChars="200"/>
        <w:rPr>
          <w:rFonts w:ascii="宋体" w:hAnsi="宋体" w:cs="MingLiU"/>
          <w:bCs/>
          <w:sz w:val="24"/>
        </w:rPr>
      </w:pPr>
      <w:r>
        <w:rPr>
          <w:rFonts w:ascii="宋体" w:hAnsi="宋体" w:cs="MingLiU"/>
          <w:bCs/>
          <w:sz w:val="24"/>
        </w:rPr>
        <w:t>3</w:t>
      </w:r>
      <w:r>
        <w:rPr>
          <w:rFonts w:hint="eastAsia" w:ascii="宋体" w:hAnsi="宋体" w:cs="MingLiU"/>
          <w:bCs/>
          <w:sz w:val="24"/>
        </w:rPr>
        <w:t>、甲方在委托期内对乙方的工作给予充分的配合协作，并及时和乙方进行沟通、联系。</w:t>
      </w:r>
    </w:p>
    <w:p>
      <w:pPr>
        <w:spacing w:line="360" w:lineRule="auto"/>
        <w:rPr>
          <w:rFonts w:ascii="宋体" w:hAnsi="宋体" w:cs="MingLiU"/>
          <w:b/>
          <w:sz w:val="24"/>
        </w:rPr>
      </w:pPr>
      <w:r>
        <w:rPr>
          <w:rFonts w:hint="eastAsia" w:ascii="宋体" w:hAnsi="宋体" w:cs="MingLiU"/>
          <w:b/>
          <w:sz w:val="24"/>
        </w:rPr>
        <w:t>五、乙方的权力和义务</w:t>
      </w:r>
    </w:p>
    <w:p>
      <w:pPr>
        <w:spacing w:line="360" w:lineRule="auto"/>
        <w:ind w:firstLine="480" w:firstLineChars="200"/>
        <w:rPr>
          <w:rFonts w:ascii="宋体" w:hAnsi="宋体" w:cs="MingLiU"/>
          <w:bCs/>
          <w:sz w:val="24"/>
        </w:rPr>
      </w:pPr>
      <w:r>
        <w:rPr>
          <w:rFonts w:hint="eastAsia" w:ascii="宋体" w:hAnsi="宋体" w:cs="MingLiU"/>
          <w:bCs/>
          <w:sz w:val="24"/>
        </w:rPr>
        <w:t>1、乙方提供服务的受益人为本物业区域的全体业主和物业使用人。</w:t>
      </w:r>
    </w:p>
    <w:p>
      <w:pPr>
        <w:spacing w:line="360" w:lineRule="auto"/>
        <w:ind w:firstLine="480" w:firstLineChars="200"/>
        <w:rPr>
          <w:rFonts w:ascii="宋体" w:hAnsi="宋体" w:cs="MingLiU"/>
          <w:bCs/>
          <w:sz w:val="24"/>
        </w:rPr>
      </w:pPr>
      <w:r>
        <w:rPr>
          <w:rFonts w:hint="eastAsia" w:ascii="宋体" w:hAnsi="宋体" w:cs="MingLiU"/>
          <w:bCs/>
          <w:sz w:val="24"/>
        </w:rPr>
        <w:t>2、乙方将严格履行合同义务，尽职尽责完成物业服务，达到约定的委托服务目标，不应区别对待享受优惠政策的业主。</w:t>
      </w:r>
    </w:p>
    <w:p>
      <w:pPr>
        <w:spacing w:line="360" w:lineRule="auto"/>
        <w:ind w:firstLine="480" w:firstLineChars="200"/>
        <w:rPr>
          <w:rFonts w:ascii="宋体" w:hAnsi="宋体" w:cs="MingLiU"/>
          <w:bCs/>
          <w:sz w:val="24"/>
        </w:rPr>
      </w:pPr>
      <w:r>
        <w:rPr>
          <w:rFonts w:hint="eastAsia" w:ascii="宋体" w:hAnsi="宋体" w:cs="MingLiU"/>
          <w:bCs/>
          <w:sz w:val="24"/>
        </w:rPr>
        <w:t>3、乙方进行项目推广时，有权向国内媒体宣传双方合作的事实。</w:t>
      </w:r>
    </w:p>
    <w:p>
      <w:pPr>
        <w:spacing w:line="360" w:lineRule="auto"/>
        <w:ind w:firstLine="480" w:firstLineChars="200"/>
        <w:rPr>
          <w:rFonts w:ascii="宋体" w:hAnsi="宋体" w:cs="MingLiU"/>
          <w:bCs/>
          <w:sz w:val="24"/>
        </w:rPr>
      </w:pPr>
      <w:r>
        <w:rPr>
          <w:rFonts w:hint="eastAsia" w:ascii="宋体" w:hAnsi="宋体" w:cs="MingLiU"/>
          <w:bCs/>
          <w:sz w:val="24"/>
        </w:rPr>
        <w:t>4、乙方应在服务期内保证职工的稳定性，确保年度人员流失率小于10%，保证委托服务项目正常运作不受影响。</w:t>
      </w:r>
    </w:p>
    <w:p>
      <w:pPr>
        <w:spacing w:line="360" w:lineRule="auto"/>
        <w:ind w:firstLine="480" w:firstLineChars="200"/>
        <w:rPr>
          <w:rFonts w:ascii="宋体" w:hAnsi="宋体" w:cs="MingLiU"/>
          <w:bCs/>
          <w:sz w:val="24"/>
        </w:rPr>
      </w:pPr>
      <w:r>
        <w:rPr>
          <w:rFonts w:hint="eastAsia" w:ascii="宋体" w:hAnsi="宋体" w:cs="MingLiU"/>
          <w:bCs/>
          <w:sz w:val="24"/>
        </w:rPr>
        <w:t>5、对甲方的商业秘密保密，保证未经甲方同意不得将其有关数据，制度等内部材料对外传播或用于其它商业的目的，否则须向甲方支付违约金壹万元整。</w:t>
      </w:r>
    </w:p>
    <w:p>
      <w:pPr>
        <w:spacing w:line="360" w:lineRule="auto"/>
        <w:ind w:firstLine="480" w:firstLineChars="200"/>
        <w:rPr>
          <w:rFonts w:ascii="宋体" w:hAnsi="宋体" w:cs="MingLiU"/>
          <w:bCs/>
          <w:sz w:val="24"/>
        </w:rPr>
      </w:pPr>
      <w:r>
        <w:rPr>
          <w:rFonts w:hint="eastAsia" w:ascii="宋体" w:hAnsi="宋体" w:cs="MingLiU"/>
          <w:bCs/>
          <w:sz w:val="24"/>
        </w:rPr>
        <w:t>6、乙方不履行上述某项义务或提前终止合同给业主或物业使用人造成损失的，应当予以赔偿。</w:t>
      </w:r>
    </w:p>
    <w:p>
      <w:pPr>
        <w:tabs>
          <w:tab w:val="right" w:pos="9507"/>
        </w:tabs>
        <w:spacing w:line="360" w:lineRule="auto"/>
        <w:rPr>
          <w:rFonts w:ascii="宋体" w:hAnsi="宋体"/>
          <w:b/>
          <w:sz w:val="24"/>
        </w:rPr>
      </w:pPr>
      <w:r>
        <w:rPr>
          <w:rFonts w:hint="eastAsia" w:ascii="宋体" w:hAnsi="宋体"/>
          <w:b/>
          <w:sz w:val="24"/>
        </w:rPr>
        <w:t>六、违约责任</w:t>
      </w:r>
    </w:p>
    <w:p>
      <w:pPr>
        <w:spacing w:line="360" w:lineRule="auto"/>
        <w:ind w:firstLine="480" w:firstLineChars="200"/>
        <w:rPr>
          <w:rFonts w:ascii="宋体" w:hAnsi="宋体" w:cs="MingLiU"/>
          <w:bCs/>
          <w:sz w:val="24"/>
        </w:rPr>
      </w:pPr>
      <w:r>
        <w:rPr>
          <w:rFonts w:hint="eastAsia" w:ascii="宋体" w:hAnsi="宋体" w:cs="MingLiU"/>
          <w:bCs/>
          <w:sz w:val="24"/>
        </w:rPr>
        <w:t>1、甲、乙双方承诺遵守合同所有条款，恪守信用，共同执行。</w:t>
      </w:r>
    </w:p>
    <w:p>
      <w:pPr>
        <w:spacing w:line="360" w:lineRule="auto"/>
        <w:ind w:firstLine="480" w:firstLineChars="200"/>
        <w:rPr>
          <w:rFonts w:ascii="宋体" w:hAnsi="宋体" w:cs="MingLiU"/>
          <w:bCs/>
          <w:sz w:val="24"/>
        </w:rPr>
      </w:pPr>
      <w:r>
        <w:rPr>
          <w:rFonts w:hint="eastAsia" w:ascii="宋体" w:hAnsi="宋体" w:cs="MingLiU"/>
          <w:bCs/>
          <w:sz w:val="24"/>
        </w:rPr>
        <w:t>2、如甲方未能按本合同约定支付相关费用在经乙方书面催告后30日内仍未支付的，每逾期一日，甲方应按应付未付款的万分之0.5向乙方支付违约金，但是违约金总额不超过应付未付款的10%。</w:t>
      </w:r>
    </w:p>
    <w:p>
      <w:pPr>
        <w:spacing w:line="360" w:lineRule="auto"/>
        <w:ind w:firstLine="480" w:firstLineChars="200"/>
        <w:rPr>
          <w:rFonts w:ascii="宋体" w:hAnsi="宋体" w:cs="MingLiU"/>
          <w:bCs/>
          <w:sz w:val="24"/>
        </w:rPr>
      </w:pPr>
      <w:r>
        <w:rPr>
          <w:rFonts w:hint="eastAsia" w:ascii="宋体" w:hAnsi="宋体" w:cs="MingLiU"/>
          <w:bCs/>
          <w:sz w:val="24"/>
        </w:rPr>
        <w:t>3、乙方提供的服务不满足合同约定的标准及/或甲方要求的，每发生一次，应按500元/次向甲方支付违约金。</w:t>
      </w:r>
    </w:p>
    <w:p>
      <w:pPr>
        <w:spacing w:line="360" w:lineRule="auto"/>
        <w:ind w:firstLine="480" w:firstLineChars="200"/>
        <w:rPr>
          <w:rFonts w:ascii="宋体" w:hAnsi="宋体" w:cs="MingLiU"/>
          <w:bCs/>
          <w:sz w:val="24"/>
        </w:rPr>
      </w:pPr>
      <w:r>
        <w:rPr>
          <w:rFonts w:hint="eastAsia" w:ascii="宋体" w:hAnsi="宋体" w:cs="MingLiU"/>
          <w:bCs/>
          <w:sz w:val="24"/>
        </w:rPr>
        <w:t>4、乙方提供的服务不满足合同约定的标准及/或甲方要求经甲方催告要求改进后仍未改进或违约行为累计达三次的，甲方有权拒绝支付该业主的物业费并扣减该年度已发生服务费的30%作为违约金。</w:t>
      </w:r>
    </w:p>
    <w:p>
      <w:pPr>
        <w:spacing w:line="360" w:lineRule="auto"/>
        <w:ind w:firstLine="480" w:firstLineChars="200"/>
        <w:rPr>
          <w:rFonts w:ascii="宋体" w:hAnsi="宋体" w:cs="MingLiU"/>
          <w:bCs/>
          <w:sz w:val="24"/>
        </w:rPr>
      </w:pPr>
      <w:r>
        <w:rPr>
          <w:rFonts w:hint="eastAsia" w:ascii="宋体" w:hAnsi="宋体" w:cs="MingLiU"/>
          <w:bCs/>
          <w:sz w:val="24"/>
        </w:rPr>
        <w:t>5、就乙方应承担的违约金等，甲方有权在应付未付服务费中直接扣除，不足以扣除的，乙方应予以补足。</w:t>
      </w:r>
    </w:p>
    <w:p>
      <w:pPr>
        <w:spacing w:line="360" w:lineRule="auto"/>
        <w:rPr>
          <w:rFonts w:ascii="宋体" w:hAnsi="宋体"/>
          <w:b/>
          <w:sz w:val="24"/>
        </w:rPr>
      </w:pPr>
      <w:r>
        <w:rPr>
          <w:rFonts w:hint="eastAsia" w:ascii="宋体" w:hAnsi="宋体"/>
          <w:b/>
          <w:sz w:val="24"/>
        </w:rPr>
        <w:t>七、涉税条款</w:t>
      </w:r>
    </w:p>
    <w:p>
      <w:pPr>
        <w:snapToGrid w:val="0"/>
        <w:spacing w:line="360" w:lineRule="auto"/>
        <w:ind w:firstLine="480" w:firstLineChars="200"/>
        <w:rPr>
          <w:rFonts w:ascii="宋体" w:hAnsi="宋体"/>
          <w:sz w:val="24"/>
        </w:rPr>
      </w:pPr>
      <w:r>
        <w:rPr>
          <w:rFonts w:hint="eastAsia" w:ascii="宋体" w:hAnsi="宋体"/>
          <w:sz w:val="24"/>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spacing w:line="360" w:lineRule="auto"/>
        <w:ind w:firstLine="480" w:firstLineChars="200"/>
        <w:rPr>
          <w:rFonts w:ascii="宋体" w:hAnsi="宋体"/>
          <w:sz w:val="24"/>
        </w:rPr>
      </w:pPr>
      <w:r>
        <w:rPr>
          <w:rFonts w:hint="eastAsia" w:ascii="宋体" w:hAnsi="宋体"/>
          <w:sz w:val="24"/>
        </w:rPr>
        <w:t>2、乙方提供的发票为增值税专用发票的，因乙方迟延送达、开具错误等原因导致其提供的增值税专用发票没有通过税务部门认证，造成甲方不能抵扣的，甲方有权拒绝接收。</w:t>
      </w:r>
    </w:p>
    <w:p>
      <w:pPr>
        <w:snapToGrid w:val="0"/>
        <w:spacing w:line="360" w:lineRule="auto"/>
        <w:ind w:firstLine="480" w:firstLineChars="200"/>
        <w:rPr>
          <w:rFonts w:ascii="宋体" w:hAnsi="宋体"/>
          <w:sz w:val="24"/>
        </w:rPr>
      </w:pPr>
      <w:r>
        <w:rPr>
          <w:rFonts w:hint="eastAsia" w:ascii="宋体" w:hAnsi="宋体"/>
          <w:sz w:val="24"/>
        </w:rPr>
        <w:t>3、乙方开具虚假、作废等无效发票或者违反国家法律法规开具、提供发票的，乙方应自行承担相应法律责任，并应向甲方支付合同总价【20】</w:t>
      </w:r>
      <w:r>
        <w:rPr>
          <w:rFonts w:ascii="宋体" w:hAnsi="宋体"/>
          <w:sz w:val="24"/>
        </w:rPr>
        <w:t>%</w:t>
      </w:r>
      <w:r>
        <w:rPr>
          <w:rFonts w:hint="eastAsia" w:ascii="宋体" w:hAnsi="宋体"/>
          <w:sz w:val="24"/>
        </w:rPr>
        <w:t>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spacing w:line="360" w:lineRule="auto"/>
        <w:ind w:firstLine="480" w:firstLineChars="200"/>
        <w:rPr>
          <w:rFonts w:ascii="宋体" w:hAnsi="宋体"/>
          <w:sz w:val="24"/>
        </w:rPr>
      </w:pPr>
      <w:r>
        <w:rPr>
          <w:rFonts w:hint="eastAsia" w:ascii="宋体" w:hAnsi="宋体"/>
          <w:sz w:val="24"/>
        </w:rPr>
        <w:t>4、乙方未按合同约定开具增值税专用发票或实际开具的增值税专用发票税率低于合同中约定税率的，乙方除应向甲方支付无法抵扣部分的税款金额外，乙方还应向甲方支付合同总价【5】</w:t>
      </w:r>
      <w:r>
        <w:rPr>
          <w:rFonts w:ascii="宋体" w:hAnsi="宋体"/>
          <w:sz w:val="24"/>
        </w:rPr>
        <w:t>%</w:t>
      </w:r>
      <w:r>
        <w:rPr>
          <w:rFonts w:hint="eastAsia" w:ascii="宋体" w:hAnsi="宋体"/>
          <w:sz w:val="24"/>
        </w:rPr>
        <w:t>的违约金，违约金不足以弥补甲方损失的，乙方应予赔偿，甲方有权终止合同。</w:t>
      </w:r>
    </w:p>
    <w:p>
      <w:pPr>
        <w:snapToGrid w:val="0"/>
        <w:spacing w:line="360" w:lineRule="auto"/>
        <w:ind w:firstLine="480" w:firstLineChars="200"/>
        <w:rPr>
          <w:rFonts w:ascii="宋体" w:hAnsi="宋体"/>
          <w:sz w:val="24"/>
        </w:rPr>
      </w:pPr>
      <w:r>
        <w:rPr>
          <w:rFonts w:hint="eastAsia" w:ascii="宋体" w:hAnsi="宋体"/>
          <w:sz w:val="24"/>
        </w:rPr>
        <w:t>5、如果甲方丢失增值税专用发票联和抵扣联，乙方应向甲方提供专用发票记账联复印件及主管税务机关出具的《丢失增值税专用发票已报税证明单》。</w:t>
      </w:r>
    </w:p>
    <w:p>
      <w:pPr>
        <w:snapToGrid w:val="0"/>
        <w:spacing w:line="360" w:lineRule="auto"/>
        <w:ind w:firstLine="480" w:firstLineChars="200"/>
        <w:rPr>
          <w:rFonts w:ascii="宋体" w:hAnsi="宋体"/>
          <w:sz w:val="24"/>
        </w:rPr>
      </w:pPr>
      <w:r>
        <w:rPr>
          <w:rFonts w:hint="eastAsia" w:ascii="宋体" w:hAnsi="宋体"/>
          <w:sz w:val="24"/>
        </w:rPr>
        <w:t>6、如果获得开具的汇总专用发票，则乙方应提供其防伪税控系统开具的《销售货物或者提供应税劳务清单》，并加盖发票专用章。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八、送达条款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ascii="宋体" w:hAnsi="宋体" w:cs="宋体"/>
          <w:sz w:val="24"/>
          <w:u w:val="single"/>
        </w:rPr>
        <w:t>洛阳市洛龙区开元大道开元壹号尚境苑物业办公室</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szCs w:val="32"/>
          <w:u w:val="single"/>
        </w:rPr>
        <w:t>魏满强</w:t>
      </w:r>
      <w:r>
        <w:rPr>
          <w:rFonts w:hint="eastAsia" w:ascii="宋体" w:hAnsi="宋体"/>
          <w:sz w:val="24"/>
          <w:u w:val="single"/>
        </w:rPr>
        <w:t>、</w:t>
      </w:r>
      <w:r>
        <w:rPr>
          <w:rFonts w:hint="eastAsia" w:ascii="宋体" w:hAnsi="宋体" w:cs="MingLiU"/>
          <w:bCs/>
          <w:sz w:val="24"/>
          <w:u w:val="single"/>
        </w:rPr>
        <w:t>0379-80863607</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r>
        <w:rPr>
          <w:rFonts w:hint="eastAsia" w:ascii="宋体" w:hAnsi="宋体" w:cs="宋体"/>
          <w:b/>
          <w:sz w:val="24"/>
        </w:rPr>
        <w:t>九、其他约定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5、合同签订地点：洛阳市洛龙区宇文凯街中浩德控股有限公司一楼。</w:t>
      </w:r>
    </w:p>
    <w:p>
      <w:pPr>
        <w:spacing w:line="360" w:lineRule="auto"/>
        <w:jc w:val="left"/>
        <w:outlineLvl w:val="2"/>
        <w:rPr>
          <w:rFonts w:ascii="宋体" w:hAnsi="宋体" w:cs="宋体"/>
          <w:b/>
          <w:sz w:val="24"/>
        </w:rPr>
      </w:pPr>
      <w:r>
        <w:rPr>
          <w:rFonts w:hint="eastAsia" w:ascii="宋体" w:hAnsi="宋体" w:cs="宋体"/>
          <w:b/>
          <w:sz w:val="24"/>
        </w:rPr>
        <w:t>十、合同附件</w:t>
      </w:r>
    </w:p>
    <w:p>
      <w:pPr>
        <w:pStyle w:val="25"/>
        <w:spacing w:line="360" w:lineRule="auto"/>
        <w:ind w:firstLine="480"/>
        <w:rPr>
          <w:rFonts w:ascii="宋体" w:hAnsi="宋体" w:cs="宋体"/>
          <w:sz w:val="24"/>
        </w:rPr>
      </w:pPr>
      <w:r>
        <w:rPr>
          <w:rFonts w:hint="eastAsia" w:ascii="宋体" w:hAnsi="宋体" w:cs="宋体"/>
          <w:sz w:val="24"/>
        </w:rPr>
        <w:t>1、附件一、廉政合作协议</w:t>
      </w:r>
    </w:p>
    <w:p>
      <w:pPr>
        <w:pStyle w:val="25"/>
        <w:spacing w:line="360" w:lineRule="auto"/>
        <w:ind w:firstLine="480"/>
        <w:rPr>
          <w:rFonts w:ascii="宋体" w:hAnsi="宋体" w:cs="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cs="宋体"/>
          <w:sz w:val="24"/>
        </w:rPr>
        <w:t>储藏间赠送金额明细</w:t>
      </w:r>
      <w:r>
        <w:rPr>
          <w:rFonts w:hint="eastAsia" w:ascii="宋体" w:hAnsi="宋体" w:cs="MingLiU"/>
          <w:bCs/>
          <w:sz w:val="24"/>
        </w:rPr>
        <w:t>》</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甲方：洛阳浩德鑫置地有限公司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税号：91410 30055 42480 325</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账户：00000061411416707012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开户行：洛阳农村商业银行股份有限公司李楼支行</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日期：2023年8月23日</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乙方：中浩德物业管理有限公司</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税号：9141030009607509X7</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账户：413069600018010092803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开户行：交通银行洛阳营业部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日期：2023年8月23日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10" w:name="_Hlk56432066"/>
      <w:bookmarkStart w:id="11"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中浩德物业管理有限公司</w:t>
      </w:r>
    </w:p>
    <w:bookmarkEnd w:id="1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三、为维护甲乙双方的合法利益，营造良好的商务环境，甲方建立多种举报渠道（如下）。甲方风控人员将恪守职业道德，严格履行保密义务！</w:t>
      </w:r>
    </w:p>
    <w:p>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（1）微信小程序举报（扫描右侧二维码进入程序，举报信息直达</w:t>
      </w:r>
      <w:r>
        <w:rPr>
          <w:rFonts w:hint="eastAsia" w:ascii="宋体" w:hAnsi="宋体" w:eastAsia="宋体" w:cs="宋体"/>
          <w:bCs/>
          <w:kern w:val="0"/>
          <w:sz w:val="24"/>
          <w:szCs w:val="24"/>
          <w:lang w:val="en-US" w:eastAsia="zh-CN"/>
        </w:rPr>
        <w:t>集团</w:t>
      </w:r>
      <w:r>
        <w:rPr>
          <w:rFonts w:hint="eastAsia" w:ascii="宋体" w:hAnsi="宋体" w:eastAsia="宋体" w:cs="宋体"/>
          <w:bCs/>
          <w:kern w:val="0"/>
          <w:sz w:val="24"/>
          <w:szCs w:val="24"/>
        </w:rPr>
        <w:t>董事长）；</w:t>
      </w:r>
    </w:p>
    <w:p>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drawing>
          <wp:anchor distT="0" distB="0" distL="114300" distR="114300" simplePos="0" relativeHeight="251660288" behindDoc="0" locked="0" layoutInCell="1" allowOverlap="1">
            <wp:simplePos x="0" y="0"/>
            <wp:positionH relativeFrom="column">
              <wp:posOffset>4719955</wp:posOffset>
            </wp:positionH>
            <wp:positionV relativeFrom="paragraph">
              <wp:posOffset>80010</wp:posOffset>
            </wp:positionV>
            <wp:extent cx="935990" cy="935990"/>
            <wp:effectExtent l="0" t="0" r="16510" b="16510"/>
            <wp:wrapNone/>
            <wp:docPr id="4"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bCs/>
          <w:kern w:val="0"/>
          <w:sz w:val="24"/>
          <w:szCs w:val="24"/>
        </w:rPr>
        <w:t>（2）邮箱：shenji@chinahonden.com</w:t>
      </w:r>
    </w:p>
    <w:p>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（3）电话：风控</w:t>
      </w:r>
      <w:r>
        <w:rPr>
          <w:rFonts w:hint="eastAsia" w:ascii="宋体" w:hAnsi="宋体" w:eastAsia="宋体" w:cs="宋体"/>
          <w:bCs/>
          <w:kern w:val="0"/>
          <w:sz w:val="24"/>
          <w:szCs w:val="24"/>
          <w:lang w:val="en-US" w:eastAsia="zh-CN"/>
        </w:rPr>
        <w:t>总监毛政辉</w:t>
      </w:r>
      <w:r>
        <w:rPr>
          <w:rFonts w:hint="eastAsia" w:ascii="宋体" w:hAnsi="宋体" w:eastAsia="宋体" w:cs="宋体"/>
          <w:bCs/>
          <w:kern w:val="0"/>
          <w:sz w:val="24"/>
          <w:szCs w:val="24"/>
        </w:rPr>
        <w:t>：13693798532</w:t>
      </w:r>
    </w:p>
    <w:p>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（4）电话：审计监察副总监</w:t>
      </w:r>
      <w:r>
        <w:rPr>
          <w:rFonts w:hint="eastAsia" w:ascii="宋体" w:hAnsi="宋体" w:eastAsia="宋体" w:cs="宋体"/>
          <w:bCs/>
          <w:kern w:val="0"/>
          <w:sz w:val="24"/>
          <w:szCs w:val="24"/>
          <w:lang w:val="en-US" w:eastAsia="zh-CN"/>
        </w:rPr>
        <w:t>齐全中</w:t>
      </w:r>
      <w:r>
        <w:rPr>
          <w:rFonts w:hint="eastAsia" w:ascii="宋体" w:hAnsi="宋体" w:eastAsia="宋体" w:cs="宋体"/>
          <w:bCs/>
          <w:kern w:val="0"/>
          <w:sz w:val="24"/>
          <w:szCs w:val="24"/>
        </w:rPr>
        <w:t>：18137710188</w:t>
      </w:r>
    </w:p>
    <w:p>
      <w:pPr>
        <w:widowControl/>
        <w:spacing w:line="360" w:lineRule="auto"/>
        <w:ind w:firstLine="480" w:firstLineChars="2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w:t>
      </w:r>
      <w:r>
        <w:rPr>
          <w:rFonts w:hint="eastAsia" w:ascii="宋体" w:hAnsi="宋体" w:eastAsia="宋体" w:cs="宋体"/>
          <w:bCs/>
          <w:kern w:val="0"/>
          <w:sz w:val="24"/>
          <w:szCs w:val="24"/>
        </w:rPr>
        <w:t>电话</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审计监察高级经理苏文倩：18839528225</w:t>
      </w:r>
    </w:p>
    <w:p>
      <w:pPr>
        <w:widowControl/>
        <w:spacing w:line="360" w:lineRule="auto"/>
        <w:ind w:firstLine="480" w:firstLineChars="20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6</w:t>
      </w:r>
      <w:r>
        <w:rPr>
          <w:rFonts w:hint="eastAsia" w:ascii="宋体" w:hAnsi="宋体" w:eastAsia="宋体" w:cs="宋体"/>
          <w:bCs/>
          <w:kern w:val="0"/>
          <w:sz w:val="24"/>
          <w:szCs w:val="24"/>
          <w:lang w:eastAsia="zh-CN"/>
        </w:rPr>
        <w:t>）信件</w:t>
      </w:r>
      <w:r>
        <w:rPr>
          <w:rFonts w:hint="eastAsia" w:ascii="宋体" w:hAnsi="宋体" w:eastAsia="宋体" w:cs="宋体"/>
          <w:bCs/>
          <w:kern w:val="0"/>
          <w:sz w:val="24"/>
          <w:szCs w:val="24"/>
        </w:rPr>
        <w:t>举报邮寄地址：洛阳市洛龙区关林西路8号中浩德控股集团有限公司审计监察部（收）</w:t>
      </w:r>
      <w:r>
        <w:rPr>
          <w:rFonts w:hint="eastAsia" w:ascii="宋体" w:hAnsi="宋体" w:eastAsia="宋体" w:cs="宋体"/>
          <w:bCs/>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32"/>
        </w:rPr>
      </w:pPr>
      <w:r>
        <w:rPr>
          <w:rFonts w:hint="eastAsia" w:ascii="宋体" w:hAnsi="宋体" w:eastAsia="宋体" w:cs="宋体"/>
          <w:sz w:val="24"/>
          <w:szCs w:val="24"/>
        </w:rPr>
        <w:t>11.其它违反法律或者招标人公司相关制度的行为。</w:t>
      </w: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r>
        <w:rPr>
          <w:rFonts w:hint="eastAsia" w:ascii="宋体" w:hAnsi="宋体" w:cs="宋体"/>
          <w:sz w:val="24"/>
        </w:rPr>
        <w:t xml:space="preserve">       乙方：</w:t>
      </w:r>
      <w:r>
        <w:rPr>
          <w:rFonts w:hint="eastAsia" w:ascii="宋体" w:hAnsi="宋体" w:cs="宋体"/>
          <w:sz w:val="24"/>
          <w:u w:val="single"/>
        </w:rPr>
        <w:t>中浩德物业管理有限公司</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          签署日期：</w:t>
      </w:r>
      <w:bookmarkEnd w:id="11"/>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3</w:t>
      </w:r>
      <w:bookmarkStart w:id="12" w:name="_GoBack"/>
      <w:bookmarkEnd w:id="12"/>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w:t>
      </w:r>
    </w:p>
    <w:p>
      <w:pPr>
        <w:pStyle w:val="6"/>
        <w:rPr>
          <w:rFonts w:ascii="宋体" w:hAnsi="宋体" w:cs="宋体"/>
          <w:sz w:val="24"/>
        </w:rPr>
      </w:pPr>
    </w:p>
    <w:p>
      <w:pPr>
        <w:pStyle w:val="7"/>
        <w:rPr>
          <w:rFonts w:hAnsi="宋体"/>
        </w:rPr>
      </w:pPr>
    </w:p>
    <w:p>
      <w:pPr>
        <w:spacing w:line="360" w:lineRule="auto"/>
        <w:rPr>
          <w:rFonts w:ascii="宋体" w:hAnsi="宋体" w:cs="宋体"/>
          <w:b/>
          <w:bCs/>
          <w:sz w:val="24"/>
        </w:rPr>
      </w:pPr>
      <w:r>
        <w:rPr>
          <w:rFonts w:hint="eastAsia" w:ascii="宋体" w:hAnsi="宋体" w:cs="宋体"/>
          <w:b/>
          <w:bCs/>
          <w:sz w:val="24"/>
        </w:rPr>
        <w:t>附件二《储藏间赠送金额明细》</w:t>
      </w:r>
    </w:p>
    <w:tbl>
      <w:tblPr>
        <w:tblStyle w:val="16"/>
        <w:tblW w:w="9307" w:type="dxa"/>
        <w:tblInd w:w="93" w:type="dxa"/>
        <w:tblLayout w:type="fixed"/>
        <w:tblCellMar>
          <w:top w:w="0" w:type="dxa"/>
          <w:left w:w="108" w:type="dxa"/>
          <w:bottom w:w="0" w:type="dxa"/>
          <w:right w:w="108" w:type="dxa"/>
        </w:tblCellMar>
      </w:tblPr>
      <w:tblGrid>
        <w:gridCol w:w="9307"/>
      </w:tblGrid>
      <w:tr>
        <w:tblPrEx>
          <w:tblCellMar>
            <w:top w:w="0" w:type="dxa"/>
            <w:left w:w="108" w:type="dxa"/>
            <w:bottom w:w="0" w:type="dxa"/>
            <w:right w:w="108" w:type="dxa"/>
          </w:tblCellMar>
        </w:tblPrEx>
        <w:trPr>
          <w:trHeight w:val="588" w:hRule="atLeast"/>
        </w:trPr>
        <w:tc>
          <w:tcPr>
            <w:tcW w:w="9307" w:type="dxa"/>
            <w:tcBorders>
              <w:top w:val="single" w:color="000000" w:sz="4" w:space="0"/>
              <w:left w:val="single" w:color="000000" w:sz="8" w:space="0"/>
              <w:bottom w:val="single" w:color="000000" w:sz="4" w:space="0"/>
              <w:right w:val="single" w:color="000000" w:sz="4" w:space="0"/>
            </w:tcBorders>
            <w:shd w:val="clear" w:color="auto" w:fill="auto"/>
            <w:vAlign w:val="center"/>
          </w:tcPr>
          <w:tbl>
            <w:tblPr>
              <w:tblStyle w:val="16"/>
              <w:tblW w:w="8865" w:type="dxa"/>
              <w:tblInd w:w="0" w:type="dxa"/>
              <w:tblLayout w:type="fixed"/>
              <w:tblCellMar>
                <w:top w:w="0" w:type="dxa"/>
                <w:left w:w="108" w:type="dxa"/>
                <w:bottom w:w="0" w:type="dxa"/>
                <w:right w:w="108" w:type="dxa"/>
              </w:tblCellMar>
            </w:tblPr>
            <w:tblGrid>
              <w:gridCol w:w="1080"/>
              <w:gridCol w:w="1080"/>
              <w:gridCol w:w="1080"/>
              <w:gridCol w:w="1080"/>
              <w:gridCol w:w="2580"/>
              <w:gridCol w:w="1965"/>
            </w:tblGrid>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1080" w:type="dxa"/>
                  <w:tcBorders>
                    <w:top w:val="nil"/>
                    <w:left w:val="nil"/>
                    <w:bottom w:val="nil"/>
                    <w:right w:val="nil"/>
                  </w:tcBorders>
                  <w:shd w:val="clear" w:color="auto" w:fill="auto"/>
                  <w:noWrap/>
                  <w:vAlign w:val="center"/>
                </w:tcPr>
                <w:p>
                  <w:pPr>
                    <w:jc w:val="center"/>
                    <w:rPr>
                      <w:rFonts w:ascii="宋体" w:hAnsi="宋体" w:cs="宋体"/>
                      <w:b/>
                      <w:bCs/>
                      <w:color w:val="000000"/>
                      <w:sz w:val="24"/>
                    </w:rPr>
                  </w:pPr>
                </w:p>
              </w:tc>
              <w:tc>
                <w:tcPr>
                  <w:tcW w:w="1080" w:type="dxa"/>
                  <w:tcBorders>
                    <w:top w:val="nil"/>
                    <w:left w:val="nil"/>
                    <w:bottom w:val="nil"/>
                    <w:right w:val="nil"/>
                  </w:tcBorders>
                  <w:shd w:val="clear" w:color="auto" w:fill="auto"/>
                  <w:noWrap/>
                  <w:vAlign w:val="center"/>
                </w:tcPr>
                <w:p>
                  <w:pPr>
                    <w:jc w:val="center"/>
                    <w:rPr>
                      <w:rFonts w:ascii="宋体" w:hAnsi="宋体" w:cs="宋体"/>
                      <w:b/>
                      <w:bCs/>
                      <w:color w:val="000000"/>
                      <w:sz w:val="24"/>
                    </w:rPr>
                  </w:pPr>
                </w:p>
              </w:tc>
              <w:tc>
                <w:tcPr>
                  <w:tcW w:w="1080" w:type="dxa"/>
                  <w:tcBorders>
                    <w:top w:val="nil"/>
                    <w:left w:val="nil"/>
                    <w:bottom w:val="nil"/>
                    <w:right w:val="nil"/>
                  </w:tcBorders>
                  <w:shd w:val="clear" w:color="auto" w:fill="auto"/>
                  <w:noWrap/>
                  <w:vAlign w:val="center"/>
                </w:tcPr>
                <w:p>
                  <w:pPr>
                    <w:jc w:val="center"/>
                    <w:rPr>
                      <w:rFonts w:ascii="宋体" w:hAnsi="宋体" w:cs="宋体"/>
                      <w:b/>
                      <w:bCs/>
                      <w:color w:val="000000"/>
                      <w:sz w:val="24"/>
                    </w:rPr>
                  </w:pPr>
                </w:p>
              </w:tc>
              <w:tc>
                <w:tcPr>
                  <w:tcW w:w="2580" w:type="dxa"/>
                  <w:tcBorders>
                    <w:top w:val="nil"/>
                    <w:left w:val="nil"/>
                    <w:bottom w:val="nil"/>
                    <w:right w:val="nil"/>
                  </w:tcBorders>
                  <w:shd w:val="clear" w:color="auto" w:fill="auto"/>
                  <w:noWrap/>
                  <w:vAlign w:val="center"/>
                </w:tcPr>
                <w:p>
                  <w:pPr>
                    <w:jc w:val="center"/>
                    <w:rPr>
                      <w:rFonts w:ascii="宋体" w:hAnsi="宋体" w:cs="宋体"/>
                      <w:b/>
                      <w:bCs/>
                      <w:color w:val="000000"/>
                      <w:sz w:val="24"/>
                    </w:rPr>
                  </w:pPr>
                </w:p>
              </w:tc>
              <w:tc>
                <w:tcPr>
                  <w:tcW w:w="1965" w:type="dxa"/>
                  <w:tcBorders>
                    <w:top w:val="nil"/>
                    <w:left w:val="nil"/>
                    <w:bottom w:val="nil"/>
                    <w:right w:val="nil"/>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1080" w:type="dxa"/>
                  <w:tcBorders>
                    <w:top w:val="nil"/>
                    <w:left w:val="nil"/>
                    <w:bottom w:val="nil"/>
                    <w:right w:val="nil"/>
                  </w:tcBorders>
                  <w:shd w:val="clear" w:color="auto" w:fill="auto"/>
                  <w:noWrap/>
                  <w:vAlign w:val="center"/>
                </w:tcPr>
                <w:p>
                  <w:pPr>
                    <w:jc w:val="center"/>
                    <w:rPr>
                      <w:rFonts w:ascii="宋体" w:hAnsi="宋体" w:cs="宋体"/>
                      <w:b/>
                      <w:bCs/>
                      <w:color w:val="000000"/>
                      <w:sz w:val="24"/>
                    </w:rPr>
                  </w:pPr>
                </w:p>
              </w:tc>
              <w:tc>
                <w:tcPr>
                  <w:tcW w:w="1080" w:type="dxa"/>
                  <w:tcBorders>
                    <w:top w:val="nil"/>
                    <w:left w:val="nil"/>
                    <w:bottom w:val="nil"/>
                    <w:right w:val="nil"/>
                  </w:tcBorders>
                  <w:shd w:val="clear" w:color="auto" w:fill="auto"/>
                  <w:noWrap/>
                  <w:vAlign w:val="center"/>
                </w:tcPr>
                <w:p>
                  <w:pPr>
                    <w:jc w:val="center"/>
                    <w:rPr>
                      <w:rFonts w:ascii="宋体" w:hAnsi="宋体" w:cs="宋体"/>
                      <w:b/>
                      <w:bCs/>
                      <w:color w:val="000000"/>
                      <w:sz w:val="24"/>
                    </w:rPr>
                  </w:pPr>
                </w:p>
              </w:tc>
              <w:tc>
                <w:tcPr>
                  <w:tcW w:w="1080" w:type="dxa"/>
                  <w:tcBorders>
                    <w:top w:val="nil"/>
                    <w:left w:val="nil"/>
                    <w:bottom w:val="nil"/>
                    <w:right w:val="nil"/>
                  </w:tcBorders>
                  <w:shd w:val="clear" w:color="auto" w:fill="auto"/>
                  <w:noWrap/>
                  <w:vAlign w:val="center"/>
                </w:tcPr>
                <w:p>
                  <w:pPr>
                    <w:jc w:val="center"/>
                    <w:rPr>
                      <w:rFonts w:ascii="宋体" w:hAnsi="宋体" w:cs="宋体"/>
                      <w:b/>
                      <w:bCs/>
                      <w:color w:val="000000"/>
                      <w:sz w:val="24"/>
                    </w:rPr>
                  </w:pPr>
                </w:p>
              </w:tc>
              <w:tc>
                <w:tcPr>
                  <w:tcW w:w="2580" w:type="dxa"/>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 xml:space="preserve">2,523,024.10 </w:t>
                  </w:r>
                </w:p>
              </w:tc>
              <w:tc>
                <w:tcPr>
                  <w:tcW w:w="1965" w:type="dxa"/>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 xml:space="preserve">2,523,024.00 </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储藏间号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付款方式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面积</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物业数据--赠送物业费</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地产数据</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23,596.00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23596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13,590.00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13590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13.66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27,680.00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27680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7.78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13,539.00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13539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23.24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20,678.00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20678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13.06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26,579.00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26579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19,417.00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19417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16.02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14,367.60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14367.5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20.88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26,760.00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26760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15-2-128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25.13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44,897.00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44897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21.18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18,360.00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18360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21.70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37,980.00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37980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23.76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36,625.00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36625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23.76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21,975.80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21975.8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22.22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19,407.00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19407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33.57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36,781.00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36781</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16.86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14,893.00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14893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25.58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43,783.00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43783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28.30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16.58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24,000.00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24.15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44,246.00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44246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31.95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35,084.00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35084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21.79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42,552.00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42552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10.59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7,884.00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7884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25.96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22,200.00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22200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18,551.00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18551</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14.32 </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29,250.00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29250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13.27 </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9,708.00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9708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22.22 </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15,526.00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15526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17.77 </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11,228.00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11228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12--162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11.32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25,154.20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25154.2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16.58 </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29,656.80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29656.8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30.40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18,800.00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18800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29,512.80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29512.8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19.08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39,409.00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39409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21.79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21,276.00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21276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21.02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47,404.80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47404.8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25.96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45,299.00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45299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13.66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27,680.00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27680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47,192.00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47192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15--126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29.91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55,287.00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55287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35,302.00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35302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24.13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41,510.00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41510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14.46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29,138.40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29138.4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18.80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33,257.00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33257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27,180.00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27180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23.51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40,918.00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40918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17.19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15,318.00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15318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35.79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66,074.00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66074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29.97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29.47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26,866.20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26866.2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35,302.00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35302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35.31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61,899.00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61899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15-2-129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35.35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66,891.00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66891</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31.95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39,075.40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39075.4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36.33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62,852.00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62852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19.93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32,760.00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32760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28.32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29.47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33,694.00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33694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29.47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38,877.00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38877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24.08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46,500.00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46500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16.18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22,597.00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22597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31.36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56,348.00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56348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26.08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52,193.00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52193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14.99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33,390.00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33390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21.74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22,822.80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22822.8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24.33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28,957.30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28957.3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21.79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38,124.00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38124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24.33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35.31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61,898.00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61898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33.57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69,971.00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69971</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35.31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66,000.00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15-1-105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14.32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29,500.00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29500</w:t>
                  </w:r>
                </w:p>
              </w:tc>
            </w:tr>
          </w:tbl>
          <w:p>
            <w:pPr>
              <w:jc w:val="center"/>
              <w:rPr>
                <w:rFonts w:ascii="宋体" w:hAnsi="宋体" w:cs="宋体"/>
                <w:color w:val="000000"/>
                <w:sz w:val="24"/>
              </w:rPr>
            </w:pPr>
          </w:p>
        </w:tc>
      </w:tr>
    </w:tbl>
    <w:p>
      <w:pPr>
        <w:pStyle w:val="6"/>
      </w:pPr>
    </w:p>
    <w:sectPr>
      <w:type w:val="continuous"/>
      <w:pgSz w:w="11906" w:h="16838"/>
      <w:pgMar w:top="1440" w:right="1361" w:bottom="1134" w:left="136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5NzEwYzdiNTk1MWEwYzBhYzNkZTM3ZGRjNjM2YzUifQ=="/>
  </w:docVars>
  <w:rsids>
    <w:rsidRoot w:val="00F9271F"/>
    <w:rsid w:val="0001515A"/>
    <w:rsid w:val="00054C46"/>
    <w:rsid w:val="00061982"/>
    <w:rsid w:val="00062C5A"/>
    <w:rsid w:val="000701E4"/>
    <w:rsid w:val="000A63FC"/>
    <w:rsid w:val="000D20CA"/>
    <w:rsid w:val="00136B97"/>
    <w:rsid w:val="00166C2E"/>
    <w:rsid w:val="001670AB"/>
    <w:rsid w:val="001A7653"/>
    <w:rsid w:val="001D3D5E"/>
    <w:rsid w:val="001D58D1"/>
    <w:rsid w:val="001F123B"/>
    <w:rsid w:val="00200C38"/>
    <w:rsid w:val="00217ACB"/>
    <w:rsid w:val="00221AA3"/>
    <w:rsid w:val="00226A46"/>
    <w:rsid w:val="00251118"/>
    <w:rsid w:val="00257556"/>
    <w:rsid w:val="002A21A7"/>
    <w:rsid w:val="002D161F"/>
    <w:rsid w:val="002F28DF"/>
    <w:rsid w:val="00327BC6"/>
    <w:rsid w:val="003A68A1"/>
    <w:rsid w:val="003C698B"/>
    <w:rsid w:val="003E088B"/>
    <w:rsid w:val="003F4AA0"/>
    <w:rsid w:val="004522C9"/>
    <w:rsid w:val="00495213"/>
    <w:rsid w:val="00497E32"/>
    <w:rsid w:val="004A0102"/>
    <w:rsid w:val="004D070A"/>
    <w:rsid w:val="004E1641"/>
    <w:rsid w:val="005011C0"/>
    <w:rsid w:val="00534079"/>
    <w:rsid w:val="00560D06"/>
    <w:rsid w:val="00570A45"/>
    <w:rsid w:val="005A5C1B"/>
    <w:rsid w:val="005B0490"/>
    <w:rsid w:val="005B3946"/>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06A59"/>
    <w:rsid w:val="00813B34"/>
    <w:rsid w:val="008414CF"/>
    <w:rsid w:val="00861E10"/>
    <w:rsid w:val="008700FE"/>
    <w:rsid w:val="008A304A"/>
    <w:rsid w:val="00923D77"/>
    <w:rsid w:val="009D62D1"/>
    <w:rsid w:val="009F36E0"/>
    <w:rsid w:val="009F3FD1"/>
    <w:rsid w:val="00A1459F"/>
    <w:rsid w:val="00A920CC"/>
    <w:rsid w:val="00AC13D6"/>
    <w:rsid w:val="00AF35C7"/>
    <w:rsid w:val="00B10264"/>
    <w:rsid w:val="00B255D0"/>
    <w:rsid w:val="00B26564"/>
    <w:rsid w:val="00B3741E"/>
    <w:rsid w:val="00B85BCB"/>
    <w:rsid w:val="00B92488"/>
    <w:rsid w:val="00B95A0A"/>
    <w:rsid w:val="00BC38F3"/>
    <w:rsid w:val="00BD4588"/>
    <w:rsid w:val="00BF6DC3"/>
    <w:rsid w:val="00BF7044"/>
    <w:rsid w:val="00C0112B"/>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8589E"/>
    <w:rsid w:val="00EC5CAD"/>
    <w:rsid w:val="00EF2EEB"/>
    <w:rsid w:val="00EF4318"/>
    <w:rsid w:val="00F04AED"/>
    <w:rsid w:val="00F346B8"/>
    <w:rsid w:val="00F41946"/>
    <w:rsid w:val="00F456E7"/>
    <w:rsid w:val="00F47BAB"/>
    <w:rsid w:val="00F9271F"/>
    <w:rsid w:val="00FB6127"/>
    <w:rsid w:val="01B4527D"/>
    <w:rsid w:val="02390242"/>
    <w:rsid w:val="02B75C2F"/>
    <w:rsid w:val="03596F4F"/>
    <w:rsid w:val="03F1578E"/>
    <w:rsid w:val="04C81DDD"/>
    <w:rsid w:val="053A58A8"/>
    <w:rsid w:val="0887577A"/>
    <w:rsid w:val="08DF64FD"/>
    <w:rsid w:val="0945167D"/>
    <w:rsid w:val="0CA560FA"/>
    <w:rsid w:val="0F92036E"/>
    <w:rsid w:val="131243B7"/>
    <w:rsid w:val="1359136F"/>
    <w:rsid w:val="135D3E1E"/>
    <w:rsid w:val="14033ECF"/>
    <w:rsid w:val="15286CEF"/>
    <w:rsid w:val="162714E3"/>
    <w:rsid w:val="17E36AF4"/>
    <w:rsid w:val="19DD25E4"/>
    <w:rsid w:val="1A9F4A43"/>
    <w:rsid w:val="1B5B0B3A"/>
    <w:rsid w:val="1B7C4517"/>
    <w:rsid w:val="1C1D65DB"/>
    <w:rsid w:val="1C417613"/>
    <w:rsid w:val="1C8B7AE9"/>
    <w:rsid w:val="1F005BE2"/>
    <w:rsid w:val="20276D8B"/>
    <w:rsid w:val="234938A0"/>
    <w:rsid w:val="24534DF9"/>
    <w:rsid w:val="25073FC0"/>
    <w:rsid w:val="250D06A7"/>
    <w:rsid w:val="251F6F4C"/>
    <w:rsid w:val="2685047B"/>
    <w:rsid w:val="2775448C"/>
    <w:rsid w:val="27B54A03"/>
    <w:rsid w:val="2B0B655A"/>
    <w:rsid w:val="2B497197"/>
    <w:rsid w:val="2B6B6963"/>
    <w:rsid w:val="2BB67440"/>
    <w:rsid w:val="2CAC2D20"/>
    <w:rsid w:val="2CD76BFF"/>
    <w:rsid w:val="2E465208"/>
    <w:rsid w:val="2FEC01D0"/>
    <w:rsid w:val="30171D8F"/>
    <w:rsid w:val="316D64B9"/>
    <w:rsid w:val="32BD4FD3"/>
    <w:rsid w:val="3353182D"/>
    <w:rsid w:val="3353627C"/>
    <w:rsid w:val="362174EA"/>
    <w:rsid w:val="37B02C8E"/>
    <w:rsid w:val="388B0F1B"/>
    <w:rsid w:val="38A972AC"/>
    <w:rsid w:val="3AE52F02"/>
    <w:rsid w:val="3BB52F69"/>
    <w:rsid w:val="3D72557C"/>
    <w:rsid w:val="3DEB2B85"/>
    <w:rsid w:val="3E2B12C1"/>
    <w:rsid w:val="41057530"/>
    <w:rsid w:val="414A1CE5"/>
    <w:rsid w:val="41737FB7"/>
    <w:rsid w:val="4181781E"/>
    <w:rsid w:val="42520CBD"/>
    <w:rsid w:val="43BF6743"/>
    <w:rsid w:val="456F6C3A"/>
    <w:rsid w:val="469A09B1"/>
    <w:rsid w:val="46A64DD6"/>
    <w:rsid w:val="48032C9F"/>
    <w:rsid w:val="493704AF"/>
    <w:rsid w:val="49EF783F"/>
    <w:rsid w:val="4A61791F"/>
    <w:rsid w:val="4F2C3F62"/>
    <w:rsid w:val="503045D6"/>
    <w:rsid w:val="51A030B0"/>
    <w:rsid w:val="51E3442E"/>
    <w:rsid w:val="541A219E"/>
    <w:rsid w:val="54E23D1E"/>
    <w:rsid w:val="552A5C3C"/>
    <w:rsid w:val="56783F9C"/>
    <w:rsid w:val="57974EC1"/>
    <w:rsid w:val="5984397E"/>
    <w:rsid w:val="5CA0764D"/>
    <w:rsid w:val="5CA61CCA"/>
    <w:rsid w:val="5DC10A1D"/>
    <w:rsid w:val="5EA234FA"/>
    <w:rsid w:val="60110153"/>
    <w:rsid w:val="60E96A0A"/>
    <w:rsid w:val="61805BF5"/>
    <w:rsid w:val="61BC489F"/>
    <w:rsid w:val="62EA43A2"/>
    <w:rsid w:val="638C6628"/>
    <w:rsid w:val="638E6018"/>
    <w:rsid w:val="67BF6156"/>
    <w:rsid w:val="69F670B0"/>
    <w:rsid w:val="6AC83870"/>
    <w:rsid w:val="6E721D27"/>
    <w:rsid w:val="6ED03167"/>
    <w:rsid w:val="6F5E2F4E"/>
    <w:rsid w:val="6F8F3E7A"/>
    <w:rsid w:val="6FD9087D"/>
    <w:rsid w:val="704E5D4D"/>
    <w:rsid w:val="70FD3F57"/>
    <w:rsid w:val="717776E0"/>
    <w:rsid w:val="7189665F"/>
    <w:rsid w:val="742835D1"/>
    <w:rsid w:val="74C84C71"/>
    <w:rsid w:val="74F80C46"/>
    <w:rsid w:val="755B4E28"/>
    <w:rsid w:val="77FB06BD"/>
    <w:rsid w:val="79667E59"/>
    <w:rsid w:val="79B1622C"/>
    <w:rsid w:val="7AC660D1"/>
    <w:rsid w:val="7ECE7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jc w:val="left"/>
      <w:outlineLvl w:val="0"/>
    </w:pPr>
    <w:rPr>
      <w:rFonts w:asciiTheme="minorHAnsi" w:hAnsiTheme="minorHAnsi" w:eastAsiaTheme="minorEastAsia" w:cstheme="minorBidi"/>
      <w:b/>
      <w:bCs/>
      <w:kern w:val="44"/>
      <w:szCs w:val="44"/>
    </w:rPr>
  </w:style>
  <w:style w:type="paragraph" w:styleId="4">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rPr>
      <w:rFonts w:eastAsia="宋体"/>
    </w:rPr>
  </w:style>
  <w:style w:type="paragraph" w:styleId="5">
    <w:name w:val="annotation text"/>
    <w:basedOn w:val="1"/>
    <w:link w:val="28"/>
    <w:semiHidden/>
    <w:unhideWhenUsed/>
    <w:qFormat/>
    <w:uiPriority w:val="99"/>
    <w:pPr>
      <w:jc w:val="left"/>
    </w:pPr>
  </w:style>
  <w:style w:type="paragraph" w:styleId="6">
    <w:name w:val="Body Text"/>
    <w:basedOn w:val="1"/>
    <w:next w:val="7"/>
    <w:link w:val="22"/>
    <w:qFormat/>
    <w:uiPriority w:val="0"/>
    <w:pPr>
      <w:spacing w:after="120"/>
    </w:pPr>
    <w:rPr>
      <w:rFonts w:asciiTheme="minorHAnsi" w:hAnsiTheme="minorHAnsi" w:eastAsiaTheme="minorEastAsia" w:cstheme="minorBidi"/>
    </w:rPr>
  </w:style>
  <w:style w:type="paragraph" w:customStyle="1" w:styleId="7">
    <w:name w:val="Default"/>
    <w:next w:val="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10"/>
    <w:next w:val="6"/>
    <w:qFormat/>
    <w:uiPriority w:val="0"/>
    <w:pPr>
      <w:ind w:firstLine="0"/>
    </w:pPr>
  </w:style>
  <w:style w:type="paragraph" w:styleId="10">
    <w:name w:val="Body Text Indent"/>
    <w:basedOn w:val="1"/>
    <w:next w:val="6"/>
    <w:qFormat/>
    <w:uiPriority w:val="6"/>
    <w:pPr>
      <w:ind w:firstLine="645"/>
    </w:pPr>
    <w:rPr>
      <w:rFonts w:ascii="宋体" w:hAnsi="宋体"/>
      <w:kern w:val="1"/>
      <w:sz w:val="32"/>
      <w:szCs w:val="20"/>
    </w:rPr>
  </w:style>
  <w:style w:type="paragraph" w:styleId="11">
    <w:name w:val="Body Text Indent 2"/>
    <w:basedOn w:val="1"/>
    <w:qFormat/>
    <w:uiPriority w:val="0"/>
    <w:pPr>
      <w:spacing w:before="120" w:beforeLines="50" w:line="460" w:lineRule="exact"/>
      <w:ind w:left="784" w:leftChars="392"/>
    </w:pPr>
    <w:rPr>
      <w:rFonts w:ascii="宋体" w:hAnsi="宋体"/>
      <w:sz w:val="24"/>
    </w:rPr>
  </w:style>
  <w:style w:type="paragraph" w:styleId="12">
    <w:name w:val="Balloon Text"/>
    <w:basedOn w:val="1"/>
    <w:link w:val="24"/>
    <w:semiHidden/>
    <w:unhideWhenUsed/>
    <w:qFormat/>
    <w:uiPriority w:val="99"/>
    <w:rPr>
      <w:sz w:val="18"/>
      <w:szCs w:val="18"/>
    </w:rPr>
  </w:style>
  <w:style w:type="paragraph" w:styleId="13">
    <w:name w:val="footer"/>
    <w:basedOn w:val="1"/>
    <w:link w:val="21"/>
    <w:unhideWhenUsed/>
    <w:qFormat/>
    <w:uiPriority w:val="99"/>
    <w:pPr>
      <w:tabs>
        <w:tab w:val="center" w:pos="4153"/>
        <w:tab w:val="right" w:pos="8306"/>
      </w:tabs>
      <w:snapToGrid w:val="0"/>
      <w:jc w:val="left"/>
    </w:pPr>
    <w:rPr>
      <w:sz w:val="18"/>
      <w:szCs w:val="18"/>
    </w:rPr>
  </w:style>
  <w:style w:type="paragraph" w:styleId="1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5"/>
    <w:next w:val="5"/>
    <w:link w:val="29"/>
    <w:semiHidden/>
    <w:unhideWhenUsed/>
    <w:qFormat/>
    <w:uiPriority w:val="99"/>
    <w:rPr>
      <w:b/>
      <w:bCs/>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3"/>
    <w:qFormat/>
    <w:uiPriority w:val="0"/>
    <w:rPr>
      <w:b/>
      <w:bCs/>
      <w:kern w:val="44"/>
      <w:sz w:val="24"/>
      <w:szCs w:val="44"/>
    </w:rPr>
  </w:style>
  <w:style w:type="character" w:customStyle="1" w:styleId="20">
    <w:name w:val="页眉 字符"/>
    <w:basedOn w:val="17"/>
    <w:link w:val="14"/>
    <w:qFormat/>
    <w:uiPriority w:val="99"/>
    <w:rPr>
      <w:rFonts w:ascii="Calibri" w:hAnsi="Calibri" w:eastAsia="宋体" w:cs="Times New Roman"/>
      <w:sz w:val="18"/>
      <w:szCs w:val="18"/>
    </w:rPr>
  </w:style>
  <w:style w:type="character" w:customStyle="1" w:styleId="21">
    <w:name w:val="页脚 字符"/>
    <w:basedOn w:val="17"/>
    <w:link w:val="13"/>
    <w:qFormat/>
    <w:uiPriority w:val="99"/>
    <w:rPr>
      <w:rFonts w:ascii="Calibri" w:hAnsi="Calibri" w:eastAsia="宋体" w:cs="Times New Roman"/>
      <w:sz w:val="18"/>
      <w:szCs w:val="18"/>
    </w:rPr>
  </w:style>
  <w:style w:type="character" w:customStyle="1" w:styleId="22">
    <w:name w:val="正文文本 字符"/>
    <w:link w:val="6"/>
    <w:qFormat/>
    <w:uiPriority w:val="0"/>
    <w:rPr>
      <w:szCs w:val="24"/>
    </w:rPr>
  </w:style>
  <w:style w:type="character" w:customStyle="1" w:styleId="23">
    <w:name w:val="正文文本 字符1"/>
    <w:basedOn w:val="17"/>
    <w:semiHidden/>
    <w:qFormat/>
    <w:uiPriority w:val="99"/>
    <w:rPr>
      <w:rFonts w:ascii="Times New Roman" w:hAnsi="Times New Roman" w:eastAsia="宋体" w:cs="Times New Roman"/>
      <w:szCs w:val="24"/>
    </w:rPr>
  </w:style>
  <w:style w:type="character" w:customStyle="1" w:styleId="24">
    <w:name w:val="批注框文本 字符"/>
    <w:basedOn w:val="17"/>
    <w:link w:val="12"/>
    <w:semiHidden/>
    <w:qFormat/>
    <w:uiPriority w:val="99"/>
    <w:rPr>
      <w:rFonts w:ascii="Times New Roman" w:hAnsi="Times New Roman" w:eastAsia="宋体" w:cs="Times New Roman"/>
      <w:kern w:val="2"/>
      <w:sz w:val="18"/>
      <w:szCs w:val="18"/>
    </w:rPr>
  </w:style>
  <w:style w:type="paragraph" w:customStyle="1" w:styleId="25">
    <w:name w:val="正文1"/>
    <w:basedOn w:val="1"/>
    <w:qFormat/>
    <w:uiPriority w:val="0"/>
    <w:pPr>
      <w:ind w:firstLine="200" w:firstLineChars="200"/>
    </w:pPr>
  </w:style>
  <w:style w:type="character" w:customStyle="1" w:styleId="26">
    <w:name w:val="font11"/>
    <w:basedOn w:val="17"/>
    <w:qFormat/>
    <w:uiPriority w:val="0"/>
    <w:rPr>
      <w:rFonts w:hint="eastAsia" w:ascii="等线" w:hAnsi="等线" w:eastAsia="等线" w:cs="等线"/>
      <w:color w:val="000000"/>
      <w:sz w:val="20"/>
      <w:szCs w:val="20"/>
      <w:u w:val="none"/>
    </w:rPr>
  </w:style>
  <w:style w:type="character" w:customStyle="1" w:styleId="27">
    <w:name w:val="font31"/>
    <w:basedOn w:val="17"/>
    <w:qFormat/>
    <w:uiPriority w:val="0"/>
    <w:rPr>
      <w:rFonts w:hint="eastAsia" w:ascii="等线" w:hAnsi="等线" w:eastAsia="等线" w:cs="等线"/>
      <w:b/>
      <w:bCs/>
      <w:color w:val="000000"/>
      <w:sz w:val="20"/>
      <w:szCs w:val="20"/>
      <w:u w:val="none"/>
    </w:rPr>
  </w:style>
  <w:style w:type="character" w:customStyle="1" w:styleId="28">
    <w:name w:val="批注文字 字符"/>
    <w:basedOn w:val="17"/>
    <w:link w:val="5"/>
    <w:semiHidden/>
    <w:qFormat/>
    <w:uiPriority w:val="99"/>
    <w:rPr>
      <w:kern w:val="2"/>
      <w:sz w:val="21"/>
      <w:szCs w:val="24"/>
    </w:rPr>
  </w:style>
  <w:style w:type="character" w:customStyle="1" w:styleId="29">
    <w:name w:val="批注主题 字符"/>
    <w:basedOn w:val="28"/>
    <w:link w:val="15"/>
    <w:semiHidden/>
    <w:qFormat/>
    <w:uiPriority w:val="99"/>
    <w:rPr>
      <w:b/>
      <w:bCs/>
      <w:kern w:val="2"/>
      <w:sz w:val="21"/>
      <w:szCs w:val="24"/>
    </w:r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1183</Words>
  <Characters>6744</Characters>
  <Lines>56</Lines>
  <Paragraphs>15</Paragraphs>
  <TotalTime>2</TotalTime>
  <ScaleCrop>false</ScaleCrop>
  <LinksUpToDate>false</LinksUpToDate>
  <CharactersWithSpaces>7912</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Administrator</cp:lastModifiedBy>
  <cp:lastPrinted>2021-01-23T09:26:00Z</cp:lastPrinted>
  <dcterms:modified xsi:type="dcterms:W3CDTF">2023-09-02T10:26:47Z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CF8A5AD81C4C428EA665FC6FAC729D3D_13</vt:lpwstr>
  </property>
</Properties>
</file>