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bCs/>
          <w:sz w:val="36"/>
          <w:szCs w:val="36"/>
          <w:lang w:eastAsia="zh-CN"/>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napToGrid w:val="0"/>
        <w:spacing w:line="360" w:lineRule="auto"/>
        <w:jc w:val="center"/>
        <w:rPr>
          <w:rFonts w:ascii="宋体" w:hAnsi="宋体" w:cs="宋体"/>
          <w:b/>
          <w:bCs/>
          <w:sz w:val="36"/>
          <w:szCs w:val="36"/>
        </w:rPr>
      </w:pPr>
      <w:r>
        <w:rPr>
          <w:rFonts w:hint="eastAsia" w:ascii="宋体" w:hAnsi="宋体" w:cs="宋体"/>
          <w:b/>
          <w:bCs/>
          <w:sz w:val="36"/>
          <w:szCs w:val="36"/>
          <w:lang w:eastAsia="zh-CN"/>
        </w:rPr>
        <w:t>洛阳市洛龙区开元壹号项目</w:t>
      </w:r>
      <w:r>
        <w:rPr>
          <w:rFonts w:hint="eastAsia" w:ascii="宋体" w:hAnsi="宋体" w:cs="宋体"/>
          <w:b/>
          <w:bCs/>
          <w:sz w:val="36"/>
          <w:szCs w:val="36"/>
        </w:rPr>
        <w:t>202</w:t>
      </w:r>
      <w:r>
        <w:rPr>
          <w:rFonts w:hint="eastAsia" w:ascii="宋体" w:hAnsi="宋体" w:cs="宋体"/>
          <w:b/>
          <w:bCs/>
          <w:sz w:val="36"/>
          <w:szCs w:val="36"/>
          <w:lang w:val="en-US" w:eastAsia="zh-CN"/>
        </w:rPr>
        <w:t>3</w:t>
      </w:r>
      <w:r>
        <w:rPr>
          <w:rFonts w:hint="eastAsia" w:ascii="宋体" w:hAnsi="宋体" w:cs="宋体"/>
          <w:b/>
          <w:bCs/>
          <w:sz w:val="36"/>
          <w:szCs w:val="36"/>
        </w:rPr>
        <w:t>年度营销</w:t>
      </w:r>
    </w:p>
    <w:p>
      <w:pPr>
        <w:spacing w:line="360" w:lineRule="auto"/>
        <w:jc w:val="center"/>
        <w:rPr>
          <w:rFonts w:ascii="宋体" w:hAnsi="宋体"/>
          <w:b/>
          <w:sz w:val="44"/>
          <w:szCs w:val="52"/>
        </w:rPr>
      </w:pPr>
      <w:r>
        <w:rPr>
          <w:rFonts w:hint="eastAsia" w:ascii="宋体" w:hAnsi="宋体" w:cs="宋体"/>
          <w:b/>
          <w:sz w:val="36"/>
          <w:szCs w:val="36"/>
          <w:lang w:val="zh-CN"/>
        </w:rPr>
        <w:t>物料制作与安装框架合同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KYYH-YX-2023-1033</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甲    方：</w:t>
      </w:r>
      <w:r>
        <w:rPr>
          <w:rFonts w:hint="eastAsia" w:ascii="宋体" w:hAnsi="宋体"/>
          <w:b/>
          <w:bCs/>
          <w:color w:val="000000"/>
          <w:sz w:val="30"/>
          <w:szCs w:val="30"/>
          <w:u w:val="single"/>
          <w:lang w:val="en-US" w:eastAsia="zh-CN"/>
        </w:rPr>
        <w:t>洛阳浩德鑫置地有限公司</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乙    方：</w:t>
      </w:r>
      <w:r>
        <w:rPr>
          <w:rFonts w:hint="eastAsia" w:ascii="宋体" w:hAnsi="宋体"/>
          <w:b/>
          <w:bCs/>
          <w:color w:val="000000"/>
          <w:sz w:val="30"/>
          <w:szCs w:val="30"/>
          <w:u w:val="single"/>
        </w:rPr>
        <w:t>河南彩图装饰工程有限公司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u w:val="single"/>
          <w:lang w:val="en-US" w:eastAsia="zh-CN"/>
        </w:rPr>
        <w:t xml:space="preserve"> 9 </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1</w:t>
      </w:r>
      <w:r>
        <w:rPr>
          <w:rFonts w:hint="eastAsia" w:ascii="宋体" w:hAnsi="宋体"/>
          <w:b/>
          <w:bCs/>
          <w:color w:val="000000"/>
          <w:sz w:val="30"/>
          <w:szCs w:val="30"/>
        </w:rPr>
        <w:t>日</w:t>
      </w:r>
    </w:p>
    <w:p>
      <w:pPr>
        <w:snapToGrid w:val="0"/>
        <w:spacing w:line="360" w:lineRule="auto"/>
        <w:jc w:val="center"/>
        <w:rPr>
          <w:rFonts w:hint="eastAsia" w:ascii="宋体" w:hAnsi="宋体" w:cs="宋体"/>
          <w:b/>
          <w:sz w:val="30"/>
          <w:szCs w:val="30"/>
        </w:rPr>
      </w:pPr>
      <w:r>
        <w:rPr>
          <w:rFonts w:ascii="宋体" w:hAnsi="宋体" w:cs="宋体"/>
          <w:b/>
          <w:bCs/>
          <w:sz w:val="24"/>
        </w:rPr>
        <w:br w:type="page"/>
      </w:r>
      <w:r>
        <w:rPr>
          <w:rFonts w:hint="eastAsia" w:ascii="宋体" w:hAnsi="宋体" w:cs="宋体"/>
          <w:b/>
          <w:bCs/>
          <w:sz w:val="24"/>
          <w:szCs w:val="24"/>
          <w:u w:val="none"/>
          <w:lang w:val="en-US" w:eastAsia="zh-CN"/>
        </w:rPr>
        <w:t>洛阳市洛龙区开元壹号项目</w:t>
      </w: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年度营销</w:t>
      </w:r>
      <w:r>
        <w:rPr>
          <w:rFonts w:hint="eastAsia" w:ascii="宋体" w:hAnsi="宋体" w:cs="宋体"/>
          <w:b/>
          <w:sz w:val="24"/>
          <w:szCs w:val="24"/>
          <w:lang w:val="zh-CN"/>
        </w:rPr>
        <w:t>物料</w:t>
      </w:r>
      <w:r>
        <w:rPr>
          <w:rFonts w:hint="eastAsia" w:ascii="宋体" w:hAnsi="宋体" w:cs="宋体"/>
          <w:b/>
          <w:sz w:val="24"/>
          <w:szCs w:val="24"/>
          <w:lang w:val="en-US" w:eastAsia="zh-CN"/>
        </w:rPr>
        <w:t>制作与安装</w:t>
      </w:r>
      <w:r>
        <w:rPr>
          <w:rFonts w:hint="eastAsia" w:ascii="宋体" w:hAnsi="宋体" w:cs="宋体"/>
          <w:b/>
          <w:sz w:val="24"/>
          <w:szCs w:val="24"/>
          <w:lang w:val="zh-CN"/>
        </w:rPr>
        <w:t>框架合同</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bookmarkStart w:id="0" w:name="_Toc194316927"/>
      <w:bookmarkStart w:id="1" w:name="_Toc194313923"/>
      <w:bookmarkStart w:id="2" w:name="_Toc194313235"/>
      <w:bookmarkStart w:id="3" w:name="_Toc180836376"/>
      <w:bookmarkStart w:id="4" w:name="_Toc194719956"/>
      <w:bookmarkStart w:id="5" w:name="_Toc194314530"/>
      <w:bookmarkStart w:id="6" w:name="_Toc194316308"/>
      <w:bookmarkStart w:id="7" w:name="_Toc194312526"/>
      <w:bookmarkStart w:id="8" w:name="_Toc194374018"/>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val="en-US" w:eastAsia="zh-CN"/>
        </w:rPr>
        <w:t>洛阳浩德鑫置地有限公司</w:t>
      </w:r>
    </w:p>
    <w:p>
      <w:pPr>
        <w:pStyle w:val="3"/>
        <w:tabs>
          <w:tab w:val="left" w:pos="360"/>
        </w:tabs>
        <w:spacing w:line="360" w:lineRule="auto"/>
        <w:rPr>
          <w:rFonts w:hint="eastAsia"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lang w:eastAsia="zh-CN"/>
        </w:rPr>
        <w:t>9141 0300 5542 4803 25</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u w:val="single"/>
          <w:lang w:eastAsia="zh-CN"/>
        </w:rPr>
        <w:t>河南彩图装饰工程有限公司</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91410300MA46X6XW8K</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val="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130434.78</w:t>
      </w:r>
      <w:r>
        <w:rPr>
          <w:rFonts w:hint="eastAsia" w:ascii="宋体" w:hAnsi="宋体" w:cs="MingLiU"/>
          <w:bCs/>
          <w:sz w:val="24"/>
          <w:lang w:val="zh-CN"/>
        </w:rPr>
        <w:t>元（大写人民币</w:t>
      </w:r>
      <w:r>
        <w:rPr>
          <w:rFonts w:hint="eastAsia" w:ascii="宋体" w:hAnsi="宋体" w:cs="MingLiU"/>
          <w:bCs/>
          <w:sz w:val="24"/>
          <w:u w:val="single"/>
          <w:lang w:val="en-US" w:eastAsia="zh-CN"/>
        </w:rPr>
        <w:t>壹拾叁万零肆佰叁拾肆元柒角八分</w:t>
      </w:r>
      <w:r>
        <w:rPr>
          <w:rFonts w:hint="eastAsia" w:ascii="宋体" w:hAnsi="宋体" w:cs="MingLiU"/>
          <w:bCs/>
          <w:sz w:val="24"/>
          <w:lang w:val="zh-CN"/>
        </w:rPr>
        <w:t>），增值税税金为¥</w:t>
      </w:r>
      <w:r>
        <w:rPr>
          <w:rFonts w:hint="eastAsia" w:ascii="宋体" w:hAnsi="宋体" w:cs="MingLiU"/>
          <w:bCs/>
          <w:sz w:val="24"/>
          <w:u w:val="single"/>
          <w:lang w:val="en-US" w:eastAsia="zh-CN"/>
        </w:rPr>
        <w:t>19565.22</w:t>
      </w:r>
      <w:r>
        <w:rPr>
          <w:rFonts w:hint="eastAsia" w:ascii="宋体" w:hAnsi="宋体" w:cs="MingLiU"/>
          <w:bCs/>
          <w:sz w:val="24"/>
          <w:lang w:val="zh-CN"/>
        </w:rPr>
        <w:t>元（大写人民币</w:t>
      </w:r>
      <w:r>
        <w:rPr>
          <w:rFonts w:hint="eastAsia" w:ascii="宋体" w:hAnsi="宋体" w:cs="MingLiU"/>
          <w:bCs/>
          <w:sz w:val="24"/>
          <w:u w:val="single"/>
          <w:lang w:val="en-US" w:eastAsia="zh-CN"/>
        </w:rPr>
        <w:t>壹万玖仟伍佰陆拾伍元贰角贰分</w:t>
      </w:r>
      <w:r>
        <w:rPr>
          <w:rFonts w:hint="eastAsia" w:ascii="宋体" w:hAnsi="宋体" w:cs="MingLiU"/>
          <w:bCs/>
          <w:sz w:val="24"/>
          <w:lang w:val="zh-CN"/>
        </w:rPr>
        <w:t>），税率</w:t>
      </w:r>
      <w:r>
        <w:rPr>
          <w:rFonts w:hint="eastAsia" w:ascii="宋体" w:hAnsi="宋体" w:cs="MingLiU"/>
          <w:bCs/>
          <w:sz w:val="24"/>
          <w:u w:val="single"/>
          <w:lang w:val="en-US" w:eastAsia="zh-CN"/>
        </w:rPr>
        <w:t>13</w:t>
      </w:r>
      <w:r>
        <w:rPr>
          <w:rFonts w:hint="eastAsia" w:ascii="宋体" w:hAnsi="宋体" w:cs="MingLiU"/>
          <w:bCs/>
          <w:sz w:val="24"/>
          <w:lang w:val="zh-CN"/>
        </w:rPr>
        <w:t>%。</w:t>
      </w:r>
      <w:r>
        <w:rPr>
          <w:rFonts w:hint="eastAsia" w:ascii="宋体" w:hAnsi="宋体" w:cs="宋体"/>
          <w:sz w:val="24"/>
        </w:rPr>
        <w:t>包干单价包含人工、材料、机械、税费、安装、安全、风险</w:t>
      </w:r>
      <w:r>
        <w:rPr>
          <w:rFonts w:hint="eastAsia" w:ascii="宋体" w:hAnsi="宋体" w:cs="宋体"/>
          <w:sz w:val="24"/>
          <w:lang w:eastAsia="zh-CN"/>
        </w:rPr>
        <w:t>、</w:t>
      </w:r>
      <w:r>
        <w:rPr>
          <w:rFonts w:hint="eastAsia" w:ascii="宋体" w:hAnsi="宋体" w:cs="宋体"/>
          <w:sz w:val="24"/>
        </w:rPr>
        <w:t>运费、装卸费等一切可能发生的直接及间接费用。</w:t>
      </w:r>
    </w:p>
    <w:p>
      <w:pPr>
        <w:spacing w:line="360" w:lineRule="auto"/>
        <w:ind w:firstLine="480" w:firstLineChars="200"/>
        <w:jc w:val="left"/>
      </w:pPr>
      <w:r>
        <w:rPr>
          <w:rFonts w:hint="eastAsia" w:ascii="宋体" w:hAnsi="宋体" w:cs="宋体"/>
          <w:bCs/>
          <w:sz w:val="24"/>
        </w:rPr>
        <w:t>3、</w:t>
      </w:r>
      <w:bookmarkStart w:id="9" w:name="_Hlk26971033"/>
      <w:r>
        <w:rPr>
          <w:rFonts w:hint="eastAsia" w:ascii="宋体" w:hAnsi="宋体" w:cs="宋体"/>
          <w:bCs/>
          <w:sz w:val="24"/>
        </w:rPr>
        <w:t>付款方式及结算方式：</w:t>
      </w:r>
      <w:r>
        <w:rPr>
          <w:rFonts w:hint="eastAsia" w:ascii="宋体" w:hAnsi="宋体" w:cs="宋体"/>
          <w:bCs/>
          <w:sz w:val="24"/>
          <w:lang w:val="en-US" w:eastAsia="zh-CN"/>
        </w:rPr>
        <w:t>按</w:t>
      </w:r>
      <w:r>
        <w:rPr>
          <w:rFonts w:hint="eastAsia" w:ascii="宋体" w:hAnsi="宋体" w:cs="宋体"/>
          <w:bCs/>
          <w:sz w:val="24"/>
        </w:rPr>
        <w:t>月据实结算。</w:t>
      </w:r>
      <w:r>
        <w:rPr>
          <w:rFonts w:hint="eastAsia" w:ascii="宋体" w:hAnsi="宋体" w:cs="宋体"/>
          <w:sz w:val="24"/>
        </w:rPr>
        <w:t>相应包干单价*数量±签证-应扣费用。</w:t>
      </w:r>
      <w:r>
        <w:rPr>
          <w:rFonts w:hint="eastAsia" w:ascii="宋体" w:hAnsi="宋体" w:cs="宋体"/>
          <w:bCs/>
          <w:sz w:val="24"/>
        </w:rPr>
        <w:t>截止</w:t>
      </w:r>
      <w:r>
        <w:rPr>
          <w:rFonts w:hint="eastAsia" w:ascii="宋体" w:hAnsi="宋体" w:cs="宋体"/>
          <w:bCs/>
          <w:sz w:val="24"/>
          <w:lang w:val="en-US" w:eastAsia="zh-CN"/>
        </w:rPr>
        <w:t>当</w:t>
      </w:r>
      <w:r>
        <w:rPr>
          <w:rFonts w:hint="eastAsia" w:ascii="宋体" w:hAnsi="宋体" w:cs="宋体"/>
          <w:bCs/>
          <w:sz w:val="24"/>
        </w:rPr>
        <w:t>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、施工过程中如遇甲方责任或不可抗力等因素所延误的工期，经甲、乙双方签证认可后予以调整，并在此基础上确定完工日期。</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、质量要求及封样:每批次供货前乙方需提供样品交甲方封样，验收时以甲方封样样品为准，材料规格必须满足甲方质量要求。</w:t>
      </w:r>
    </w:p>
    <w:p>
      <w:pPr>
        <w:spacing w:line="360" w:lineRule="auto"/>
        <w:rPr>
          <w:rFonts w:hint="eastAsia" w:ascii="宋体" w:hAnsi="宋体" w:cs="MingLiU"/>
          <w:b/>
          <w:sz w:val="24"/>
          <w:lang w:val="en-US" w:eastAsia="zh-CN"/>
        </w:rPr>
      </w:pPr>
      <w:r>
        <w:rPr>
          <w:rFonts w:hint="eastAsia" w:ascii="宋体" w:hAnsi="宋体" w:cs="MingLiU"/>
          <w:b/>
          <w:sz w:val="24"/>
          <w:lang w:val="en-US" w:eastAsia="zh-CN"/>
        </w:rPr>
        <w:t>四、现场安全文明施工及管理要求</w:t>
      </w:r>
    </w:p>
    <w:p>
      <w:pPr>
        <w:spacing w:line="360" w:lineRule="auto"/>
        <w:ind w:firstLine="480" w:firstLineChars="200"/>
        <w:jc w:val="left"/>
        <w:rPr>
          <w:rFonts w:hint="eastAsia"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left"/>
        <w:rPr>
          <w:rFonts w:hint="eastAsia"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left"/>
        <w:rPr>
          <w:rFonts w:hint="eastAsia"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left"/>
        <w:rPr>
          <w:rFonts w:hint="eastAsia"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、施工过程中如发生扰民或民扰，由乙方与甲方协调解决，费用乙方承担。</w:t>
      </w:r>
    </w:p>
    <w:p>
      <w:pPr>
        <w:spacing w:line="360" w:lineRule="auto"/>
        <w:rPr>
          <w:rFonts w:ascii="宋体" w:hAnsi="宋体" w:cs="MingLiU"/>
          <w:b/>
          <w:sz w:val="24"/>
        </w:rPr>
      </w:pPr>
      <w:r>
        <w:rPr>
          <w:rFonts w:hint="eastAsia" w:ascii="宋体" w:hAnsi="宋体" w:cs="MingLiU"/>
          <w:b/>
          <w:sz w:val="24"/>
          <w:lang w:eastAsia="zh-CN"/>
        </w:rPr>
        <w:t>五</w:t>
      </w:r>
      <w:r>
        <w:rPr>
          <w:rFonts w:hint="eastAsia" w:ascii="宋体" w:hAnsi="宋体" w:cs="MingLiU"/>
          <w:b/>
          <w:sz w:val="24"/>
        </w:rPr>
        <w:t>、</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lang w:eastAsia="zh-CN"/>
        </w:rPr>
        <w:t>六</w:t>
      </w:r>
      <w:r>
        <w:rPr>
          <w:rFonts w:hint="eastAsia" w:ascii="宋体" w:hAnsi="宋体"/>
          <w:b/>
          <w:sz w:val="24"/>
        </w:rPr>
        <w:t>、</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lang w:eastAsia="zh-CN"/>
        </w:rPr>
        <w:t>七</w:t>
      </w:r>
      <w:r>
        <w:rPr>
          <w:rFonts w:hint="eastAsia" w:ascii="宋体" w:hAnsi="宋体" w:cs="MingLiU"/>
          <w:b/>
          <w:sz w:val="24"/>
        </w:rPr>
        <w:t>、</w:t>
      </w:r>
      <w:r>
        <w:rPr>
          <w:rFonts w:hint="eastAsia" w:ascii="宋体" w:hAnsi="宋体" w:cs="宋体"/>
          <w:b/>
          <w:sz w:val="24"/>
        </w:rPr>
        <w:t>违约责任</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1、合同期内，乙方延期交付物料的，每延期一日，按照当批次物料费用的1%向甲方承担违约金；延误达3日的甲方有权解除当批次委托，同时乙方按当批次物料总价款的30%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2、甲方对乙方交付的物料进行验收，经验收不合格的，乙方负责及时整改。当同一批次不合格率达到3%的，乙方除按甲方的要求及时整改，同时按不合格货物货款总额的10%向甲方支付违约金；批次不合格率达3%或累计不合格率达5%，甲方有权解除合同，乙方应按照暂定合同金额的30%支付违约金。对于不合格的物料，甲方有权拒绝支付相应的费用。</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3、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rPr>
          <w:rFonts w:ascii="宋体" w:hAnsi="宋体"/>
          <w:b/>
          <w:sz w:val="24"/>
        </w:rPr>
      </w:pPr>
      <w:r>
        <w:rPr>
          <w:rFonts w:hint="eastAsia" w:ascii="宋体" w:hAnsi="宋体"/>
          <w:b/>
          <w:sz w:val="24"/>
          <w:lang w:eastAsia="zh-CN"/>
        </w:rPr>
        <w:t>八</w:t>
      </w:r>
      <w:r>
        <w:rPr>
          <w:rFonts w:hint="eastAsia" w:ascii="宋体" w:hAnsi="宋体"/>
          <w:b/>
          <w:sz w:val="24"/>
        </w:rPr>
        <w:t>、</w:t>
      </w:r>
      <w:r>
        <w:rPr>
          <w:rFonts w:hint="eastAsia" w:ascii="宋体" w:hAnsi="宋体" w:cs="宋体"/>
          <w:b/>
          <w:bCs/>
          <w:color w:val="000000"/>
          <w:sz w:val="24"/>
        </w:rPr>
        <w:t>合作期限（价格有效期）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9</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年</w:t>
      </w:r>
      <w:r>
        <w:rPr>
          <w:rFonts w:hint="eastAsia" w:ascii="宋体" w:hAnsi="宋体" w:cs="宋体"/>
          <w:color w:val="000000"/>
          <w:sz w:val="24"/>
          <w:lang w:val="en-US" w:eastAsia="zh-CN"/>
        </w:rPr>
        <w:t>8</w:t>
      </w:r>
      <w:r>
        <w:rPr>
          <w:rFonts w:hint="eastAsia" w:ascii="宋体" w:hAnsi="宋体" w:cs="宋体"/>
          <w:color w:val="000000"/>
          <w:sz w:val="24"/>
        </w:rPr>
        <w:t>月</w:t>
      </w:r>
      <w:r>
        <w:rPr>
          <w:rFonts w:hint="eastAsia" w:ascii="宋体" w:hAnsi="宋体" w:cs="宋体"/>
          <w:color w:val="000000"/>
          <w:sz w:val="24"/>
          <w:lang w:val="en-US" w:eastAsia="zh-CN"/>
        </w:rPr>
        <w:t>31</w:t>
      </w:r>
      <w:r>
        <w:rPr>
          <w:rFonts w:hint="eastAsia" w:ascii="宋体" w:hAnsi="宋体" w:cs="宋体"/>
          <w:color w:val="000000"/>
          <w:sz w:val="24"/>
        </w:rPr>
        <w:t>日止，履约期间，当甲方有实质性供货需求时按本协议履行。</w:t>
      </w:r>
    </w:p>
    <w:p>
      <w:pPr>
        <w:spacing w:line="360" w:lineRule="auto"/>
        <w:rPr>
          <w:rFonts w:ascii="宋体" w:hAnsi="宋体"/>
          <w:b/>
          <w:sz w:val="24"/>
        </w:rPr>
      </w:pPr>
      <w:r>
        <w:rPr>
          <w:rFonts w:hint="eastAsia" w:ascii="宋体" w:hAnsi="宋体"/>
          <w:b/>
          <w:sz w:val="24"/>
          <w:lang w:eastAsia="zh-CN"/>
        </w:rPr>
        <w:t>九</w:t>
      </w:r>
      <w:r>
        <w:rPr>
          <w:rFonts w:hint="eastAsia" w:ascii="宋体" w:hAnsi="宋体"/>
          <w:b/>
          <w:sz w:val="24"/>
        </w:rPr>
        <w:t>、涉税条款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left"/>
        <w:outlineLvl w:val="2"/>
        <w:rPr>
          <w:rFonts w:hint="eastAsia"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lang w:val="en-US" w:eastAsia="zh-CN"/>
        </w:rPr>
      </w:pPr>
      <w:r>
        <w:rPr>
          <w:rFonts w:hint="eastAsia" w:ascii="宋体" w:hAnsi="宋体" w:cs="宋体"/>
          <w:b/>
          <w:sz w:val="24"/>
          <w:lang w:val="en-US" w:eastAsia="zh-CN"/>
        </w:rPr>
        <w:t>十、不可抗力</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1、不可抗力指因战争、动乱、瘟疫、空中飞行物坠落或其他非双方责任造成的爆炸、火灾以及9级以上的台风、7级及7级以上的地震等，（以当地行业主管部门的公告为准 ）。</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3、费用承担：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3.1、人员伤亡由所属单位负责，并承担相应费用；</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3.2、造成乙方工程设备、机械的损失等损失由乙方承担；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3.3、所需清理修复工作的责任与费用的承担，双方另行商定。</w:t>
      </w:r>
    </w:p>
    <w:p>
      <w:pPr>
        <w:spacing w:line="360" w:lineRule="auto"/>
        <w:jc w:val="left"/>
        <w:outlineLvl w:val="2"/>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sz w:val="24"/>
          <w:szCs w:val="32"/>
          <w:u w:val="single"/>
          <w:lang w:eastAsia="zh-CN"/>
        </w:rPr>
        <w:t>成本管理</w:t>
      </w:r>
      <w:r>
        <w:rPr>
          <w:rFonts w:hint="eastAsia" w:ascii="宋体" w:hAnsi="宋体" w:cs="宋体"/>
          <w:sz w:val="24"/>
          <w:u w:val="single"/>
        </w:rPr>
        <w:t>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eastAsia="宋体"/>
          <w:sz w:val="24"/>
          <w:szCs w:val="32"/>
          <w:u w:val="single"/>
          <w:lang w:val="en-US" w:eastAsia="zh-CN"/>
        </w:rPr>
      </w:pPr>
      <w:r>
        <w:rPr>
          <w:rFonts w:hint="eastAsia" w:ascii="宋体" w:hAnsi="宋体"/>
          <w:sz w:val="24"/>
          <w:szCs w:val="32"/>
        </w:rPr>
        <w:t>送达地址：</w:t>
      </w:r>
      <w:r>
        <w:rPr>
          <w:rFonts w:hint="eastAsia" w:ascii="宋体" w:hAnsi="宋体"/>
          <w:sz w:val="24"/>
          <w:szCs w:val="32"/>
          <w:u w:val="single"/>
          <w:lang w:val="en-US" w:eastAsia="zh-CN"/>
        </w:rPr>
        <w:t>洛阳市涧西区王湾村6组19号</w:t>
      </w:r>
    </w:p>
    <w:p>
      <w:pPr>
        <w:spacing w:line="360" w:lineRule="auto"/>
        <w:ind w:firstLine="480" w:firstLineChars="200"/>
        <w:rPr>
          <w:rFonts w:hint="default" w:ascii="宋体" w:hAnsi="宋体" w:eastAsia="宋体"/>
          <w:sz w:val="24"/>
          <w:u w:val="single"/>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王进卿15896643446</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十二、合同解约条款</w:t>
      </w:r>
    </w:p>
    <w:p>
      <w:pPr>
        <w:tabs>
          <w:tab w:val="left" w:pos="1080"/>
        </w:tabs>
        <w:spacing w:line="360" w:lineRule="auto"/>
        <w:ind w:firstLine="448" w:firstLineChars="187"/>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、乙方未能按时供货/进场安装的，在甲方发出书面通知后的7日内仍未供货/进场施工的；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、乙方在施工过程中非因不可抗力或甲方原因造成连续停工5日以上或累计达 7日的；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；乙方人员在施工区内出现打架斗殴行为至警察出警、立案、相关行为人受到行政处罚或刑事处罚的；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、乙方擅自把工程分包或转包给其他任何单位的；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、乙方与甲方工作人员串通、虚构事实或使用其他方式虚报工程量的；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、乙方购置不符合合同约定的品牌、厂家、产地、材质、工艺、规格、型号等标准的产品或者假冒伪劣产品用于本工程；</w:t>
      </w:r>
    </w:p>
    <w:p>
      <w:pPr>
        <w:tabs>
          <w:tab w:val="left" w:pos="1080"/>
        </w:tabs>
        <w:spacing w:line="360" w:lineRule="auto"/>
        <w:ind w:firstLine="448" w:firstLineChars="187"/>
        <w:rPr>
          <w:rFonts w:hint="eastAsia"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rPr>
          <w:rFonts w:hint="eastAsia" w:ascii="宋体" w:hAnsi="宋体"/>
          <w:sz w:val="24"/>
        </w:rPr>
      </w:pPr>
      <w:r>
        <w:rPr>
          <w:rFonts w:hint="eastAsia" w:ascii="宋体" w:hAnsi="宋体"/>
          <w:sz w:val="24"/>
        </w:rPr>
        <w:t>3、如合同解约甲方有权委托其他公司进行施工。</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十三、争议的解决</w:t>
      </w:r>
    </w:p>
    <w:p>
      <w:pPr>
        <w:tabs>
          <w:tab w:val="left" w:pos="1080"/>
        </w:tabs>
        <w:spacing w:line="360" w:lineRule="auto"/>
        <w:ind w:firstLine="448" w:firstLineChars="187"/>
        <w:rPr>
          <w:rFonts w:hint="eastAsia"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四</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rPr>
          <w:rFonts w:ascii="宋体" w:hAnsi="宋体"/>
          <w:sz w:val="24"/>
        </w:rPr>
      </w:pPr>
      <w:r>
        <w:rPr>
          <w:rFonts w:ascii="宋体" w:hAnsi="宋体"/>
          <w:sz w:val="24"/>
        </w:rPr>
        <w:t>4</w:t>
      </w:r>
      <w:r>
        <w:rPr>
          <w:rFonts w:hint="eastAsia" w:ascii="宋体" w:hAnsi="宋体"/>
          <w:sz w:val="24"/>
        </w:rPr>
        <w:t>、合同签订地点：洛阳市洛龙区宇文凯街中浩德控股有限公司一楼。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五</w:t>
      </w:r>
      <w:r>
        <w:rPr>
          <w:rFonts w:hint="eastAsia" w:ascii="宋体" w:hAnsi="宋体" w:cs="宋体"/>
          <w:b/>
          <w:sz w:val="24"/>
        </w:rPr>
        <w:t>、合同附件</w:t>
      </w:r>
    </w:p>
    <w:p>
      <w:pPr>
        <w:pStyle w:val="19"/>
        <w:spacing w:line="360" w:lineRule="auto"/>
        <w:ind w:firstLine="480"/>
        <w:rPr>
          <w:rFonts w:ascii="宋体" w:hAnsi="宋体" w:cs="宋体"/>
          <w:sz w:val="24"/>
        </w:rPr>
      </w:pPr>
      <w:r>
        <w:rPr>
          <w:rFonts w:hint="eastAsia" w:ascii="宋体" w:hAnsi="宋体" w:cs="宋体"/>
          <w:sz w:val="24"/>
        </w:rPr>
        <w:t>1、附件一、廉政合作协议</w:t>
      </w:r>
    </w:p>
    <w:p>
      <w:pPr>
        <w:pStyle w:val="19"/>
        <w:spacing w:line="360" w:lineRule="auto"/>
        <w:ind w:firstLine="480"/>
        <w:rPr>
          <w:rFonts w:hint="eastAsia" w:ascii="宋体" w:hAnsi="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lang w:eastAsia="zh-CN"/>
        </w:rPr>
        <w:t>洛阳市洛龙区开元壹号项目</w:t>
      </w:r>
      <w:r>
        <w:rPr>
          <w:rFonts w:hint="eastAsia" w:ascii="宋体" w:hAnsi="宋体" w:eastAsia="宋体" w:cs="宋体"/>
          <w:color w:val="auto"/>
          <w:sz w:val="28"/>
          <w:szCs w:val="28"/>
          <w:highlight w:val="none"/>
          <w:lang w:val="en-US" w:eastAsia="zh-CN"/>
        </w:rPr>
        <w:t>2023年</w:t>
      </w:r>
      <w:r>
        <w:rPr>
          <w:rFonts w:hint="eastAsia" w:ascii="宋体" w:hAnsi="宋体" w:cs="宋体"/>
          <w:color w:val="auto"/>
          <w:sz w:val="28"/>
          <w:szCs w:val="28"/>
          <w:highlight w:val="none"/>
          <w:lang w:val="en-US" w:eastAsia="zh-CN"/>
        </w:rPr>
        <w:t>度</w:t>
      </w:r>
      <w:r>
        <w:rPr>
          <w:rFonts w:hint="eastAsia" w:ascii="宋体" w:hAnsi="宋体" w:eastAsia="宋体" w:cs="宋体"/>
          <w:color w:val="auto"/>
          <w:sz w:val="28"/>
          <w:szCs w:val="28"/>
          <w:highlight w:val="none"/>
          <w:lang w:val="en-US" w:eastAsia="zh-CN"/>
        </w:rPr>
        <w:t>营销</w:t>
      </w:r>
      <w:r>
        <w:rPr>
          <w:rFonts w:hint="eastAsia" w:ascii="宋体" w:hAnsi="宋体" w:eastAsia="宋体" w:cs="宋体"/>
          <w:color w:val="auto"/>
          <w:sz w:val="28"/>
          <w:szCs w:val="28"/>
          <w:highlight w:val="none"/>
          <w:lang w:val="zh-CN" w:eastAsia="zh-CN"/>
        </w:rPr>
        <w:t>物料制作与</w:t>
      </w:r>
      <w:r>
        <w:rPr>
          <w:rFonts w:hint="eastAsia" w:ascii="宋体" w:hAnsi="宋体" w:cs="宋体"/>
          <w:color w:val="auto"/>
          <w:sz w:val="28"/>
          <w:szCs w:val="28"/>
          <w:highlight w:val="none"/>
          <w:lang w:val="zh-CN" w:eastAsia="zh-CN"/>
        </w:rPr>
        <w:t>供应</w:t>
      </w:r>
      <w:r>
        <w:rPr>
          <w:rFonts w:hint="eastAsia" w:ascii="宋体" w:hAnsi="宋体" w:eastAsia="宋体" w:cs="宋体"/>
          <w:color w:val="auto"/>
          <w:sz w:val="28"/>
          <w:szCs w:val="28"/>
          <w:highlight w:val="none"/>
          <w:lang w:val="en-US" w:eastAsia="zh-CN"/>
        </w:rPr>
        <w:t>清单</w:t>
      </w:r>
      <w:r>
        <w:rPr>
          <w:rFonts w:hint="eastAsia" w:ascii="宋体" w:hAnsi="宋体"/>
          <w:sz w:val="24"/>
        </w:rPr>
        <w:t>》</w:t>
      </w:r>
      <w:bookmarkStart w:id="10" w:name="_Hlk56432066"/>
      <w:bookmarkStart w:id="11" w:name="_Hlk56432203"/>
    </w:p>
    <w:p>
      <w:pPr>
        <w:pStyle w:val="19"/>
        <w:spacing w:line="360" w:lineRule="auto"/>
        <w:ind w:firstLine="480"/>
      </w:pPr>
      <w:r>
        <w:rPr>
          <w:rFonts w:hint="eastAsia" w:ascii="宋体" w:hAnsi="宋体"/>
          <w:sz w:val="24"/>
          <w:szCs w:val="32"/>
        </w:rPr>
        <w:t>以下无正文）</w:t>
      </w:r>
    </w:p>
    <w:p>
      <w:pPr>
        <w:sectPr>
          <w:headerReference r:id="rId3" w:type="default"/>
          <w:footerReference r:id="rId4" w:type="default"/>
          <w:pgSz w:w="11906" w:h="16838"/>
          <w:pgMar w:top="1440" w:right="1486" w:bottom="1440" w:left="1800" w:header="851" w:footer="992" w:gutter="0"/>
          <w:pgNumType w:fmt="decimal" w:start="2"/>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日期：2023年</w:t>
      </w:r>
      <w:r>
        <w:rPr>
          <w:rFonts w:hint="eastAsia" w:ascii="宋体" w:hAnsi="宋体" w:cs="Calibri"/>
          <w:color w:val="000000"/>
          <w:kern w:val="0"/>
          <w:sz w:val="18"/>
          <w:szCs w:val="18"/>
          <w:lang w:val="en-US" w:eastAsia="zh-CN"/>
        </w:rPr>
        <w:t>9</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乙方：河南彩图装饰工程有限公司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税号：91410300MA46X6XW8K</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账户：1705020409200096151</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开户行：中国工商银行股份有限公司洛阳华山支行日期：2023年</w:t>
      </w:r>
      <w:r>
        <w:rPr>
          <w:rFonts w:hint="eastAsia" w:ascii="宋体" w:hAnsi="宋体" w:cs="Calibri"/>
          <w:color w:val="000000"/>
          <w:kern w:val="0"/>
          <w:sz w:val="18"/>
          <w:szCs w:val="18"/>
          <w:lang w:val="en-US" w:eastAsia="zh-CN"/>
        </w:rPr>
        <w:t>9</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hint="eastAsia" w:ascii="宋体" w:hAnsi="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洛阳浩德鑫置地有限公司</w:t>
      </w:r>
    </w:p>
    <w:p>
      <w:pPr>
        <w:spacing w:line="360" w:lineRule="auto"/>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河南彩图装饰工程有限公司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洛阳浩德鑫置地有限公司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u w:val="single"/>
          <w:lang w:val="en-US" w:eastAsia="zh-CN"/>
        </w:rPr>
        <w:t>河南彩图装饰工程有限公司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p>
    <w:p>
      <w:pPr>
        <w:pStyle w:val="6"/>
        <w:rPr>
          <w:rFonts w:ascii="宋体" w:hAnsi="宋体" w:cs="宋体"/>
          <w:sz w:val="24"/>
        </w:rPr>
      </w:pPr>
    </w:p>
    <w:p>
      <w:pPr>
        <w:pStyle w:val="7"/>
        <w:rPr>
          <w:rFonts w:hAnsi="宋体"/>
        </w:rPr>
      </w:pPr>
    </w:p>
    <w:p>
      <w:pPr>
        <w:pStyle w:val="8"/>
      </w:pPr>
      <w:bookmarkStart w:id="12" w:name="_GoBack"/>
      <w:bookmarkEnd w:id="12"/>
    </w:p>
    <w:p>
      <w:pPr>
        <w:spacing w:line="360" w:lineRule="auto"/>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洛阳市洛龙区开元壹号项目</w:t>
      </w:r>
      <w:r>
        <w:rPr>
          <w:rFonts w:hint="eastAsia" w:ascii="宋体" w:hAnsi="宋体" w:cs="宋体"/>
          <w:b/>
          <w:bCs/>
          <w:sz w:val="24"/>
        </w:rPr>
        <w:t>202</w:t>
      </w:r>
      <w:r>
        <w:rPr>
          <w:rFonts w:hint="eastAsia" w:ascii="宋体" w:hAnsi="宋体" w:cs="宋体"/>
          <w:b/>
          <w:bCs/>
          <w:sz w:val="24"/>
          <w:lang w:val="en-US" w:eastAsia="zh-CN"/>
        </w:rPr>
        <w:t>3</w:t>
      </w:r>
      <w:r>
        <w:rPr>
          <w:rFonts w:hint="eastAsia" w:ascii="宋体" w:hAnsi="宋体" w:cs="宋体"/>
          <w:b/>
          <w:bCs/>
          <w:sz w:val="24"/>
        </w:rPr>
        <w:t>年度营销物料</w:t>
      </w:r>
      <w:r>
        <w:rPr>
          <w:rFonts w:hint="eastAsia" w:ascii="宋体" w:hAnsi="宋体" w:cs="宋体"/>
          <w:b/>
          <w:bCs/>
          <w:sz w:val="24"/>
          <w:lang w:eastAsia="zh-CN"/>
        </w:rPr>
        <w:t>制作与供应</w:t>
      </w:r>
      <w:r>
        <w:rPr>
          <w:rFonts w:hint="eastAsia" w:ascii="宋体" w:hAnsi="宋体" w:cs="宋体"/>
          <w:b/>
          <w:bCs/>
          <w:sz w:val="24"/>
        </w:rPr>
        <w:t>报价表》</w:t>
      </w:r>
    </w:p>
    <w:tbl>
      <w:tblPr>
        <w:tblStyle w:val="16"/>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15"/>
        <w:gridCol w:w="1515"/>
        <w:gridCol w:w="1935"/>
        <w:gridCol w:w="1215"/>
        <w:gridCol w:w="645"/>
        <w:gridCol w:w="105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52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2023年度物料制作与</w:t>
            </w:r>
            <w:r>
              <w:rPr>
                <w:rFonts w:hint="eastAsia" w:ascii="宋体" w:hAnsi="宋体" w:cs="宋体"/>
                <w:b/>
                <w:bCs/>
                <w:i w:val="0"/>
                <w:iCs w:val="0"/>
                <w:color w:val="000000"/>
                <w:kern w:val="0"/>
                <w:sz w:val="30"/>
                <w:szCs w:val="30"/>
                <w:u w:val="none"/>
                <w:lang w:val="en-US" w:eastAsia="zh-CN" w:bidi="ar"/>
              </w:rPr>
              <w:t>供应</w:t>
            </w:r>
            <w:r>
              <w:rPr>
                <w:rFonts w:hint="eastAsia" w:ascii="宋体" w:hAnsi="宋体" w:eastAsia="宋体" w:cs="宋体"/>
                <w:b/>
                <w:bCs/>
                <w:i w:val="0"/>
                <w:iCs w:val="0"/>
                <w:color w:val="000000"/>
                <w:kern w:val="0"/>
                <w:sz w:val="30"/>
                <w:szCs w:val="30"/>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单价（税率</w:t>
            </w:r>
            <w:r>
              <w:rPr>
                <w:rStyle w:val="32"/>
                <w:lang w:val="en-US" w:eastAsia="zh-CN" w:bidi="ar"/>
              </w:rPr>
              <w:t xml:space="preserve">  </w:t>
            </w:r>
            <w:r>
              <w:rPr>
                <w:rStyle w:val="33"/>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备注均含运费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固定喷绘写真等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按平方米报价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191.89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含安装，按㎡报价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相关设计稿由甲方提供，含首次画面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78.75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117.26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68.25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17.85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18.90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99.75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按烤漆工艺收费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含安装，此项取消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包含安装费，亚克力背光，灯箱背光,软膜灯箱背光等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26.65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34.11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58.63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12.79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1㎡起做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含安装，20cm方管桁架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2,415.00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3360" w:leftChars="-1600" w:firstLine="3358" w:firstLineChars="1679"/>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至少两个位置，每次活动使用费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136.50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按成品外框计算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加急物料泛指短时间内大面积围挡需安装，人工差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高空费泛指需出动吊车等高空作业机器等，8m以上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指当天发稿当天要，隔夜不算加急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市区周围县区或者乡镇等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727.23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自喷漆</w:t>
            </w:r>
            <w:r>
              <w:rPr>
                <w:rFonts w:hint="eastAsia" w:ascii="宋体" w:hAnsi="宋体" w:cs="宋体"/>
                <w:i w:val="0"/>
                <w:iCs w:val="0"/>
                <w:color w:val="000000"/>
                <w:kern w:val="0"/>
                <w:sz w:val="20"/>
                <w:szCs w:val="20"/>
                <w:u w:val="none"/>
                <w:lang w:val="en-US" w:eastAsia="zh-CN" w:bidi="ar"/>
              </w:rPr>
              <w:t>模具</w:t>
            </w:r>
            <w:r>
              <w:rPr>
                <w:rFonts w:hint="eastAsia" w:ascii="宋体" w:hAnsi="宋体" w:eastAsia="宋体" w:cs="宋体"/>
                <w:i w:val="0"/>
                <w:iCs w:val="0"/>
                <w:color w:val="000000"/>
                <w:kern w:val="0"/>
                <w:sz w:val="20"/>
                <w:szCs w:val="20"/>
                <w:u w:val="none"/>
                <w:lang w:val="en-US" w:eastAsia="zh-CN" w:bidi="ar"/>
              </w:rPr>
              <w:tab/>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铁皮</w:t>
            </w:r>
            <w:r>
              <w:rPr>
                <w:rFonts w:hint="eastAsia" w:ascii="宋体" w:hAnsi="宋体" w:eastAsia="宋体" w:cs="宋体"/>
                <w:i w:val="0"/>
                <w:iCs w:val="0"/>
                <w:color w:val="000000"/>
                <w:kern w:val="0"/>
                <w:sz w:val="20"/>
                <w:szCs w:val="20"/>
                <w:u w:val="none"/>
                <w:lang w:val="en-US" w:eastAsia="zh-CN"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rPr>
          <w:rFonts w:ascii="宋体" w:hAnsi="宋体" w:cs="宋体"/>
          <w:b/>
          <w:bCs/>
          <w:sz w:val="24"/>
        </w:rPr>
      </w:pPr>
    </w:p>
    <w:p>
      <w:pPr>
        <w:pStyle w:val="6"/>
      </w:pPr>
    </w:p>
    <w:sectPr>
      <w:footerReference r:id="rId5" w:type="default"/>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02C91"/>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690774"/>
    <w:rsid w:val="0AB55A76"/>
    <w:rsid w:val="0C86692B"/>
    <w:rsid w:val="0CA560FA"/>
    <w:rsid w:val="0D393EBF"/>
    <w:rsid w:val="0F92036E"/>
    <w:rsid w:val="10C83D1A"/>
    <w:rsid w:val="131243B7"/>
    <w:rsid w:val="14033ECF"/>
    <w:rsid w:val="15286CEF"/>
    <w:rsid w:val="162714E3"/>
    <w:rsid w:val="1644780C"/>
    <w:rsid w:val="17E36AF4"/>
    <w:rsid w:val="19DD25E4"/>
    <w:rsid w:val="1A9F4A43"/>
    <w:rsid w:val="1B5B0B3A"/>
    <w:rsid w:val="1B7C4517"/>
    <w:rsid w:val="1C1D65DB"/>
    <w:rsid w:val="1C417613"/>
    <w:rsid w:val="1D3042FA"/>
    <w:rsid w:val="1F005BE2"/>
    <w:rsid w:val="20276D8B"/>
    <w:rsid w:val="20D069DA"/>
    <w:rsid w:val="234938A0"/>
    <w:rsid w:val="23866D0E"/>
    <w:rsid w:val="24534DF9"/>
    <w:rsid w:val="24763169"/>
    <w:rsid w:val="25073FC0"/>
    <w:rsid w:val="250D06A7"/>
    <w:rsid w:val="2685047B"/>
    <w:rsid w:val="2775448C"/>
    <w:rsid w:val="27B54A03"/>
    <w:rsid w:val="27F21C47"/>
    <w:rsid w:val="2B0B655A"/>
    <w:rsid w:val="2B497197"/>
    <w:rsid w:val="2BB67440"/>
    <w:rsid w:val="2C3A6ACB"/>
    <w:rsid w:val="2CAC2D20"/>
    <w:rsid w:val="2CD76BFF"/>
    <w:rsid w:val="2D5215A8"/>
    <w:rsid w:val="2FEC01D0"/>
    <w:rsid w:val="30171D8F"/>
    <w:rsid w:val="314B7C0A"/>
    <w:rsid w:val="347E2CD4"/>
    <w:rsid w:val="362174EA"/>
    <w:rsid w:val="36496D7B"/>
    <w:rsid w:val="36A85B20"/>
    <w:rsid w:val="37A97B52"/>
    <w:rsid w:val="37B02C8E"/>
    <w:rsid w:val="388B0F1B"/>
    <w:rsid w:val="38A972AC"/>
    <w:rsid w:val="39255BDB"/>
    <w:rsid w:val="3AE52F02"/>
    <w:rsid w:val="3BB52F69"/>
    <w:rsid w:val="3BBF5B96"/>
    <w:rsid w:val="3D361E88"/>
    <w:rsid w:val="3DC20F0F"/>
    <w:rsid w:val="3DEB2B85"/>
    <w:rsid w:val="3E2B12C1"/>
    <w:rsid w:val="3E6220AA"/>
    <w:rsid w:val="3FDC3122"/>
    <w:rsid w:val="41057530"/>
    <w:rsid w:val="414A1CE5"/>
    <w:rsid w:val="41737FB7"/>
    <w:rsid w:val="4181781E"/>
    <w:rsid w:val="41D25BC6"/>
    <w:rsid w:val="42520CBD"/>
    <w:rsid w:val="43BF6743"/>
    <w:rsid w:val="456F6C3A"/>
    <w:rsid w:val="46083DA0"/>
    <w:rsid w:val="461F178B"/>
    <w:rsid w:val="46394F9E"/>
    <w:rsid w:val="46A64DD6"/>
    <w:rsid w:val="48032C9F"/>
    <w:rsid w:val="483D231C"/>
    <w:rsid w:val="48521003"/>
    <w:rsid w:val="493704AF"/>
    <w:rsid w:val="49EF783F"/>
    <w:rsid w:val="4A074420"/>
    <w:rsid w:val="4A61791F"/>
    <w:rsid w:val="4C8B3FC2"/>
    <w:rsid w:val="4EE045AB"/>
    <w:rsid w:val="4F2C3F62"/>
    <w:rsid w:val="4FB01980"/>
    <w:rsid w:val="503045D6"/>
    <w:rsid w:val="518101DC"/>
    <w:rsid w:val="51A030B0"/>
    <w:rsid w:val="541A219E"/>
    <w:rsid w:val="545B35BE"/>
    <w:rsid w:val="54E23D1E"/>
    <w:rsid w:val="552A5C3C"/>
    <w:rsid w:val="556233C2"/>
    <w:rsid w:val="5624677D"/>
    <w:rsid w:val="56783F9C"/>
    <w:rsid w:val="572528AB"/>
    <w:rsid w:val="57974EC1"/>
    <w:rsid w:val="5A730A8D"/>
    <w:rsid w:val="5C8A1BB3"/>
    <w:rsid w:val="5CA0764D"/>
    <w:rsid w:val="5CA61CCA"/>
    <w:rsid w:val="5DC10A1D"/>
    <w:rsid w:val="5EA234FA"/>
    <w:rsid w:val="60110153"/>
    <w:rsid w:val="61805BF5"/>
    <w:rsid w:val="61BC489F"/>
    <w:rsid w:val="62EA43A2"/>
    <w:rsid w:val="638C6628"/>
    <w:rsid w:val="638E6018"/>
    <w:rsid w:val="659221ED"/>
    <w:rsid w:val="69F670B0"/>
    <w:rsid w:val="6AC83870"/>
    <w:rsid w:val="6B2C46B0"/>
    <w:rsid w:val="6C5442B5"/>
    <w:rsid w:val="6D3F215D"/>
    <w:rsid w:val="6E721D27"/>
    <w:rsid w:val="6ED03167"/>
    <w:rsid w:val="6F5E2F4E"/>
    <w:rsid w:val="6F8F3E7A"/>
    <w:rsid w:val="704E5D4D"/>
    <w:rsid w:val="70EC17DD"/>
    <w:rsid w:val="717776E0"/>
    <w:rsid w:val="742835D1"/>
    <w:rsid w:val="74C84C71"/>
    <w:rsid w:val="74F80C46"/>
    <w:rsid w:val="755B4E28"/>
    <w:rsid w:val="75972C25"/>
    <w:rsid w:val="77EF2D35"/>
    <w:rsid w:val="77FB06BD"/>
    <w:rsid w:val="78B90C9C"/>
    <w:rsid w:val="79667E59"/>
    <w:rsid w:val="7A0B75CC"/>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rPr>
      <w:rFonts w:eastAsia="宋体"/>
    </w:rPr>
  </w:style>
  <w:style w:type="paragraph" w:styleId="5">
    <w:name w:val="annotation text"/>
    <w:basedOn w:val="1"/>
    <w:link w:val="28"/>
    <w:semiHidden/>
    <w:unhideWhenUsed/>
    <w:qFormat/>
    <w:uiPriority w:val="99"/>
    <w:pPr>
      <w:jc w:val="left"/>
    </w:pPr>
  </w:style>
  <w:style w:type="paragraph" w:styleId="6">
    <w:name w:val="Body Text"/>
    <w:basedOn w:val="1"/>
    <w:next w:val="7"/>
    <w:link w:val="23"/>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ody Text Indent 2"/>
    <w:basedOn w:val="1"/>
    <w:qFormat/>
    <w:uiPriority w:val="0"/>
    <w:pPr>
      <w:spacing w:before="120" w:beforeLines="50" w:line="460" w:lineRule="exact"/>
      <w:ind w:left="784" w:leftChars="392"/>
    </w:pPr>
    <w:rPr>
      <w:rFonts w:ascii="宋体" w:hAnsi="宋体"/>
      <w:sz w:val="24"/>
    </w:rPr>
  </w:style>
  <w:style w:type="paragraph" w:styleId="12">
    <w:name w:val="Balloon Text"/>
    <w:basedOn w:val="1"/>
    <w:link w:val="25"/>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5"/>
    <w:next w:val="5"/>
    <w:link w:val="29"/>
    <w:semiHidden/>
    <w:unhideWhenUsed/>
    <w:qFormat/>
    <w:uiPriority w:val="99"/>
    <w:rPr>
      <w:b/>
      <w:bCs/>
    </w:rPr>
  </w:style>
  <w:style w:type="character" w:styleId="18">
    <w:name w:val="annotation reference"/>
    <w:basedOn w:val="17"/>
    <w:semiHidden/>
    <w:unhideWhenUsed/>
    <w:qFormat/>
    <w:uiPriority w:val="99"/>
    <w:rPr>
      <w:sz w:val="21"/>
      <w:szCs w:val="21"/>
    </w:rPr>
  </w:style>
  <w:style w:type="paragraph" w:customStyle="1" w:styleId="19">
    <w:name w:val="正文1"/>
    <w:basedOn w:val="1"/>
    <w:qFormat/>
    <w:uiPriority w:val="0"/>
    <w:pPr>
      <w:ind w:firstLine="200" w:firstLineChars="200"/>
    </w:pPr>
  </w:style>
  <w:style w:type="character" w:customStyle="1" w:styleId="20">
    <w:name w:val="标题 1 字符"/>
    <w:basedOn w:val="17"/>
    <w:link w:val="3"/>
    <w:qFormat/>
    <w:uiPriority w:val="0"/>
    <w:rPr>
      <w:b/>
      <w:bCs/>
      <w:kern w:val="44"/>
      <w:sz w:val="24"/>
      <w:szCs w:val="44"/>
    </w:rPr>
  </w:style>
  <w:style w:type="character" w:customStyle="1" w:styleId="21">
    <w:name w:val="页眉 字符"/>
    <w:basedOn w:val="17"/>
    <w:link w:val="14"/>
    <w:qFormat/>
    <w:uiPriority w:val="99"/>
    <w:rPr>
      <w:rFonts w:ascii="Calibri" w:hAnsi="Calibri" w:eastAsia="宋体" w:cs="Times New Roman"/>
      <w:sz w:val="18"/>
      <w:szCs w:val="18"/>
    </w:rPr>
  </w:style>
  <w:style w:type="character" w:customStyle="1" w:styleId="22">
    <w:name w:val="页脚 字符"/>
    <w:basedOn w:val="17"/>
    <w:link w:val="13"/>
    <w:qFormat/>
    <w:uiPriority w:val="99"/>
    <w:rPr>
      <w:rFonts w:ascii="Calibri" w:hAnsi="Calibri" w:eastAsia="宋体" w:cs="Times New Roman"/>
      <w:sz w:val="18"/>
      <w:szCs w:val="18"/>
    </w:rPr>
  </w:style>
  <w:style w:type="character" w:customStyle="1" w:styleId="23">
    <w:name w:val="正文文本 字符"/>
    <w:link w:val="6"/>
    <w:qFormat/>
    <w:uiPriority w:val="0"/>
    <w:rPr>
      <w:szCs w:val="24"/>
    </w:rPr>
  </w:style>
  <w:style w:type="character" w:customStyle="1" w:styleId="24">
    <w:name w:val="正文文本 字符1"/>
    <w:basedOn w:val="17"/>
    <w:semiHidden/>
    <w:qFormat/>
    <w:uiPriority w:val="99"/>
    <w:rPr>
      <w:rFonts w:ascii="Times New Roman" w:hAnsi="Times New Roman" w:eastAsia="宋体" w:cs="Times New Roman"/>
      <w:szCs w:val="24"/>
    </w:rPr>
  </w:style>
  <w:style w:type="character" w:customStyle="1" w:styleId="25">
    <w:name w:val="批注框文本 字符"/>
    <w:basedOn w:val="17"/>
    <w:link w:val="12"/>
    <w:semiHidden/>
    <w:qFormat/>
    <w:uiPriority w:val="99"/>
    <w:rPr>
      <w:rFonts w:ascii="Times New Roman" w:hAnsi="Times New Roman" w:eastAsia="宋体" w:cs="Times New Roman"/>
      <w:kern w:val="2"/>
      <w:sz w:val="18"/>
      <w:szCs w:val="18"/>
    </w:rPr>
  </w:style>
  <w:style w:type="character" w:customStyle="1" w:styleId="26">
    <w:name w:val="font11"/>
    <w:basedOn w:val="17"/>
    <w:qFormat/>
    <w:uiPriority w:val="0"/>
    <w:rPr>
      <w:rFonts w:hint="eastAsia" w:ascii="等线" w:hAnsi="等线" w:eastAsia="等线" w:cs="等线"/>
      <w:color w:val="000000"/>
      <w:sz w:val="20"/>
      <w:szCs w:val="20"/>
      <w:u w:val="none"/>
    </w:rPr>
  </w:style>
  <w:style w:type="character" w:customStyle="1" w:styleId="27">
    <w:name w:val="font31"/>
    <w:basedOn w:val="17"/>
    <w:qFormat/>
    <w:uiPriority w:val="0"/>
    <w:rPr>
      <w:rFonts w:hint="eastAsia" w:ascii="等线" w:hAnsi="等线" w:eastAsia="等线" w:cs="等线"/>
      <w:b/>
      <w:bCs/>
      <w:color w:val="000000"/>
      <w:sz w:val="20"/>
      <w:szCs w:val="20"/>
      <w:u w:val="none"/>
    </w:rPr>
  </w:style>
  <w:style w:type="character" w:customStyle="1" w:styleId="28">
    <w:name w:val="批注文字 字符"/>
    <w:basedOn w:val="17"/>
    <w:link w:val="5"/>
    <w:semiHidden/>
    <w:qFormat/>
    <w:uiPriority w:val="99"/>
    <w:rPr>
      <w:kern w:val="2"/>
      <w:sz w:val="21"/>
      <w:szCs w:val="24"/>
    </w:rPr>
  </w:style>
  <w:style w:type="character" w:customStyle="1" w:styleId="29">
    <w:name w:val="批注主题 字符"/>
    <w:basedOn w:val="28"/>
    <w:link w:val="15"/>
    <w:semiHidden/>
    <w:qFormat/>
    <w:uiPriority w:val="99"/>
    <w:rPr>
      <w:b/>
      <w:bCs/>
      <w:kern w:val="2"/>
      <w:sz w:val="21"/>
      <w:szCs w:val="24"/>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51"/>
    <w:basedOn w:val="17"/>
    <w:qFormat/>
    <w:uiPriority w:val="0"/>
    <w:rPr>
      <w:rFonts w:hint="eastAsia" w:ascii="宋体" w:hAnsi="宋体" w:eastAsia="宋体" w:cs="宋体"/>
      <w:b/>
      <w:bCs/>
      <w:color w:val="000000"/>
      <w:sz w:val="20"/>
      <w:szCs w:val="20"/>
      <w:u w:val="single"/>
    </w:rPr>
  </w:style>
  <w:style w:type="character" w:customStyle="1" w:styleId="33">
    <w:name w:val="font21"/>
    <w:basedOn w:val="1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14469</Words>
  <Characters>15381</Characters>
  <Lines>63</Lines>
  <Paragraphs>17</Paragraphs>
  <TotalTime>2</TotalTime>
  <ScaleCrop>false</ScaleCrop>
  <LinksUpToDate>false</LinksUpToDate>
  <CharactersWithSpaces>16314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吻我之眸_遮我半世流离</cp:lastModifiedBy>
  <cp:lastPrinted>2021-01-23T09:26:00Z</cp:lastPrinted>
  <dcterms:modified xsi:type="dcterms:W3CDTF">2023-09-25T07:53:01Z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A6A0018C059741A99D926456EFEAA28C</vt:lpwstr>
  </property>
</Properties>
</file>