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Ansi="宋体" w:cs="宋体"/>
          <w:szCs w:val="24"/>
          <w:highlight w:val="none"/>
        </w:rPr>
      </w:pPr>
    </w:p>
    <w:p>
      <w:pPr>
        <w:pStyle w:val="2"/>
        <w:rPr>
          <w:rFonts w:hAnsi="宋体" w:cs="宋体"/>
          <w:szCs w:val="24"/>
          <w:highlight w:val="none"/>
        </w:rPr>
      </w:pPr>
    </w:p>
    <w:p>
      <w:pPr>
        <w:pStyle w:val="2"/>
        <w:rPr>
          <w:rFonts w:hAnsi="宋体" w:cs="宋体"/>
          <w:szCs w:val="24"/>
          <w:highlight w:val="none"/>
        </w:rPr>
      </w:pPr>
    </w:p>
    <w:p>
      <w:pPr>
        <w:pStyle w:val="2"/>
        <w:rPr>
          <w:rFonts w:hAnsi="宋体" w:cs="宋体"/>
          <w:szCs w:val="24"/>
          <w:highlight w:val="none"/>
        </w:rPr>
      </w:pPr>
    </w:p>
    <w:p>
      <w:pPr>
        <w:pStyle w:val="2"/>
        <w:rPr>
          <w:rFonts w:hAnsi="宋体" w:cs="宋体"/>
          <w:szCs w:val="24"/>
          <w:highlight w:val="none"/>
        </w:rPr>
      </w:pPr>
    </w:p>
    <w:p>
      <w:pPr>
        <w:pStyle w:val="2"/>
        <w:rPr>
          <w:rFonts w:hAnsi="宋体" w:cs="宋体"/>
          <w:szCs w:val="24"/>
          <w:highlight w:val="none"/>
        </w:rPr>
      </w:pPr>
    </w:p>
    <w:p>
      <w:pPr>
        <w:pStyle w:val="2"/>
        <w:rPr>
          <w:rFonts w:hAnsi="宋体" w:cs="宋体"/>
          <w:szCs w:val="24"/>
          <w:highlight w:val="none"/>
        </w:rPr>
      </w:pPr>
    </w:p>
    <w:p>
      <w:pPr>
        <w:pStyle w:val="2"/>
        <w:rPr>
          <w:rFonts w:hAnsi="宋体" w:cs="宋体"/>
          <w:szCs w:val="24"/>
          <w:highlight w:val="none"/>
        </w:rPr>
      </w:pPr>
    </w:p>
    <w:p>
      <w:pPr>
        <w:pStyle w:val="33"/>
        <w:autoSpaceDN w:val="0"/>
        <w:jc w:val="center"/>
        <w:rPr>
          <w:rFonts w:ascii="宋体" w:hAnsi="宋体" w:eastAsia="宋体" w:cs="宋体"/>
          <w:b/>
          <w:sz w:val="36"/>
          <w:szCs w:val="36"/>
          <w:highlight w:val="none"/>
        </w:rPr>
      </w:pPr>
      <w:r>
        <w:rPr>
          <w:rFonts w:hint="eastAsia" w:ascii="宋体" w:hAnsi="宋体" w:eastAsia="宋体" w:cs="宋体"/>
          <w:b/>
          <w:sz w:val="36"/>
          <w:szCs w:val="36"/>
          <w:highlight w:val="none"/>
        </w:rPr>
        <w:t>悠然居项目样板间门窗及外装饰工程施工合同</w:t>
      </w:r>
    </w:p>
    <w:p>
      <w:pPr>
        <w:pStyle w:val="33"/>
        <w:autoSpaceDN w:val="0"/>
        <w:jc w:val="center"/>
        <w:rPr>
          <w:rFonts w:ascii="宋体" w:hAnsi="宋体" w:eastAsia="宋体" w:cs="宋体"/>
          <w:b/>
          <w:sz w:val="36"/>
          <w:szCs w:val="36"/>
          <w:highlight w:val="none"/>
        </w:rPr>
      </w:pPr>
    </w:p>
    <w:p>
      <w:pPr>
        <w:autoSpaceDN w:val="0"/>
        <w:spacing w:line="500" w:lineRule="exact"/>
        <w:ind w:firstLine="960" w:firstLineChars="400"/>
        <w:rPr>
          <w:rFonts w:ascii="宋体" w:hAnsi="宋体" w:eastAsia="宋体" w:cs="宋体"/>
          <w:sz w:val="24"/>
          <w:szCs w:val="24"/>
          <w:highlight w:val="none"/>
        </w:rPr>
      </w:pPr>
    </w:p>
    <w:p>
      <w:pPr>
        <w:autoSpaceDN w:val="0"/>
        <w:spacing w:line="500" w:lineRule="exact"/>
        <w:ind w:firstLine="2520" w:firstLineChars="1050"/>
        <w:rPr>
          <w:rFonts w:ascii="宋体" w:hAnsi="宋体" w:eastAsia="宋体" w:cs="宋体"/>
          <w:sz w:val="24"/>
          <w:szCs w:val="24"/>
          <w:highlight w:val="none"/>
        </w:rPr>
      </w:pPr>
    </w:p>
    <w:p>
      <w:pPr>
        <w:autoSpaceDN w:val="0"/>
        <w:spacing w:line="500" w:lineRule="exact"/>
        <w:ind w:firstLine="2520" w:firstLineChars="1050"/>
        <w:rPr>
          <w:rFonts w:ascii="宋体" w:hAnsi="宋体" w:eastAsia="宋体" w:cs="宋体"/>
          <w:sz w:val="24"/>
          <w:szCs w:val="24"/>
          <w:highlight w:val="none"/>
        </w:rPr>
      </w:pPr>
    </w:p>
    <w:p>
      <w:pPr>
        <w:autoSpaceDN w:val="0"/>
        <w:spacing w:line="500" w:lineRule="exact"/>
        <w:ind w:firstLine="2520" w:firstLineChars="1050"/>
        <w:rPr>
          <w:rFonts w:ascii="宋体" w:hAnsi="宋体" w:eastAsia="宋体" w:cs="宋体"/>
          <w:sz w:val="24"/>
          <w:szCs w:val="24"/>
          <w:highlight w:val="none"/>
        </w:rPr>
      </w:pPr>
    </w:p>
    <w:p>
      <w:pPr>
        <w:autoSpaceDN w:val="0"/>
        <w:spacing w:line="500" w:lineRule="exact"/>
        <w:ind w:firstLine="2520" w:firstLineChars="1050"/>
        <w:rPr>
          <w:rFonts w:ascii="宋体" w:hAnsi="宋体" w:eastAsia="宋体" w:cs="宋体"/>
          <w:sz w:val="24"/>
          <w:szCs w:val="24"/>
          <w:highlight w:val="none"/>
        </w:rPr>
      </w:pPr>
    </w:p>
    <w:p>
      <w:pPr>
        <w:pStyle w:val="25"/>
        <w:rPr>
          <w:rFonts w:ascii="宋体" w:hAnsi="宋体" w:cs="宋体"/>
          <w:szCs w:val="24"/>
          <w:highlight w:val="none"/>
        </w:rPr>
      </w:pPr>
    </w:p>
    <w:p>
      <w:pPr>
        <w:pStyle w:val="8"/>
        <w:rPr>
          <w:rFonts w:ascii="宋体" w:hAnsi="宋体" w:eastAsia="宋体" w:cs="宋体"/>
          <w:sz w:val="24"/>
          <w:szCs w:val="24"/>
          <w:highlight w:val="none"/>
        </w:rPr>
      </w:pPr>
    </w:p>
    <w:p>
      <w:pPr>
        <w:autoSpaceDN w:val="0"/>
        <w:spacing w:line="360" w:lineRule="auto"/>
        <w:rPr>
          <w:rFonts w:ascii="宋体" w:hAnsi="宋体" w:eastAsia="宋体" w:cs="宋体"/>
          <w:b/>
          <w:bCs/>
          <w:sz w:val="24"/>
          <w:szCs w:val="24"/>
          <w:highlight w:val="none"/>
        </w:rPr>
      </w:pPr>
    </w:p>
    <w:p>
      <w:pPr>
        <w:autoSpaceDN w:val="0"/>
        <w:spacing w:line="360" w:lineRule="auto"/>
        <w:ind w:firstLine="787" w:firstLineChars="280"/>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成本代码：3.2.1.3</w:t>
      </w:r>
    </w:p>
    <w:p>
      <w:pPr>
        <w:overflowPunct w:val="0"/>
        <w:autoSpaceDN w:val="0"/>
        <w:spacing w:line="360" w:lineRule="auto"/>
        <w:ind w:firstLine="787" w:firstLineChars="280"/>
        <w:rPr>
          <w:rFonts w:ascii="宋体" w:hAnsi="宋体"/>
          <w:sz w:val="30"/>
          <w:szCs w:val="30"/>
          <w:highlight w:val="none"/>
        </w:rPr>
      </w:pPr>
      <w:r>
        <w:rPr>
          <w:rFonts w:hint="eastAsia" w:ascii="宋体" w:hAnsi="宋体" w:eastAsia="宋体" w:cs="宋体"/>
          <w:b/>
          <w:bCs/>
          <w:sz w:val="28"/>
          <w:szCs w:val="28"/>
          <w:highlight w:val="none"/>
        </w:rPr>
        <w:t xml:space="preserve">   合同编号：</w:t>
      </w:r>
      <w:r>
        <w:rPr>
          <w:rFonts w:hint="eastAsia" w:ascii="宋体" w:hAnsi="宋体" w:eastAsia="宋体" w:cs="宋体"/>
          <w:b/>
          <w:bCs/>
          <w:sz w:val="28"/>
          <w:szCs w:val="28"/>
          <w:highlight w:val="none"/>
          <w:u w:val="none"/>
          <w:lang w:val="en-US" w:eastAsia="zh-CN"/>
        </w:rPr>
        <w:t>BLT.JA.051</w:t>
      </w:r>
      <w:r>
        <w:rPr>
          <w:rFonts w:hint="eastAsia" w:ascii="宋体" w:hAnsi="宋体" w:eastAsia="宋体" w:cs="宋体"/>
          <w:b/>
          <w:bCs/>
          <w:sz w:val="28"/>
          <w:szCs w:val="28"/>
          <w:highlight w:val="none"/>
          <w:u w:val="none"/>
        </w:rPr>
        <w:t xml:space="preserve"> </w:t>
      </w:r>
    </w:p>
    <w:p>
      <w:pPr>
        <w:autoSpaceDN w:val="0"/>
        <w:spacing w:line="360" w:lineRule="auto"/>
        <w:ind w:firstLine="787" w:firstLineChars="280"/>
        <w:rPr>
          <w:rFonts w:ascii="宋体" w:hAnsi="宋体" w:eastAsia="宋体" w:cs="宋体"/>
          <w:b/>
          <w:bCs/>
          <w:sz w:val="28"/>
          <w:szCs w:val="28"/>
          <w:highlight w:val="none"/>
        </w:rPr>
      </w:pPr>
    </w:p>
    <w:p>
      <w:pPr>
        <w:autoSpaceDN w:val="0"/>
        <w:spacing w:line="360" w:lineRule="auto"/>
        <w:ind w:firstLine="787" w:firstLineChars="280"/>
        <w:rPr>
          <w:rFonts w:ascii="宋体" w:hAnsi="宋体" w:eastAsia="宋体" w:cs="宋体"/>
          <w:b/>
          <w:bCs/>
          <w:sz w:val="28"/>
          <w:szCs w:val="28"/>
          <w:highlight w:val="none"/>
        </w:rPr>
      </w:pPr>
    </w:p>
    <w:p>
      <w:pPr>
        <w:autoSpaceDN w:val="0"/>
        <w:spacing w:line="360" w:lineRule="auto"/>
        <w:ind w:firstLine="787" w:firstLineChars="280"/>
        <w:rPr>
          <w:rFonts w:ascii="宋体" w:hAnsi="宋体" w:eastAsia="宋体" w:cs="宋体"/>
          <w:b/>
          <w:bCs/>
          <w:sz w:val="28"/>
          <w:szCs w:val="28"/>
          <w:highlight w:val="none"/>
        </w:rPr>
      </w:pPr>
    </w:p>
    <w:p>
      <w:pPr>
        <w:pStyle w:val="25"/>
        <w:rPr>
          <w:rFonts w:ascii="宋体" w:hAnsi="宋体" w:cs="宋体"/>
          <w:b/>
          <w:bCs/>
          <w:sz w:val="28"/>
          <w:szCs w:val="28"/>
          <w:highlight w:val="none"/>
        </w:rPr>
      </w:pPr>
    </w:p>
    <w:p>
      <w:pPr>
        <w:autoSpaceDN w:val="0"/>
        <w:spacing w:line="360" w:lineRule="auto"/>
        <w:rPr>
          <w:rFonts w:ascii="宋体" w:hAnsi="宋体" w:eastAsia="宋体" w:cs="宋体"/>
          <w:b/>
          <w:bCs/>
          <w:sz w:val="28"/>
          <w:szCs w:val="28"/>
          <w:highlight w:val="none"/>
        </w:rPr>
      </w:pPr>
    </w:p>
    <w:p>
      <w:pPr>
        <w:autoSpaceDN w:val="0"/>
        <w:spacing w:line="360" w:lineRule="auto"/>
        <w:ind w:firstLine="1065" w:firstLineChars="379"/>
        <w:rPr>
          <w:rFonts w:ascii="宋体" w:hAnsi="宋体" w:eastAsia="宋体" w:cs="宋体"/>
          <w:b/>
          <w:bCs/>
          <w:sz w:val="28"/>
          <w:szCs w:val="28"/>
          <w:highlight w:val="none"/>
        </w:rPr>
      </w:pPr>
      <w:r>
        <w:rPr>
          <w:rFonts w:hint="eastAsia" w:ascii="宋体" w:hAnsi="宋体" w:eastAsia="宋体" w:cs="宋体"/>
          <w:b/>
          <w:bCs/>
          <w:sz w:val="28"/>
          <w:szCs w:val="28"/>
          <w:highlight w:val="none"/>
        </w:rPr>
        <w:t>发 包 人：</w:t>
      </w:r>
      <w:r>
        <w:rPr>
          <w:rFonts w:hint="eastAsia" w:ascii="宋体" w:hAnsi="宋体" w:eastAsia="宋体" w:cs="宋体"/>
          <w:b/>
          <w:kern w:val="0"/>
          <w:sz w:val="30"/>
          <w:szCs w:val="30"/>
          <w:highlight w:val="none"/>
          <w:u w:val="single"/>
        </w:rPr>
        <w:t>河南浩德龙瑞置业有限公司</w:t>
      </w:r>
    </w:p>
    <w:p>
      <w:pPr>
        <w:autoSpaceDN w:val="0"/>
        <w:spacing w:line="360" w:lineRule="auto"/>
        <w:ind w:firstLine="1065" w:firstLineChars="379"/>
        <w:rPr>
          <w:rFonts w:ascii="宋体" w:hAnsi="宋体" w:eastAsia="宋体" w:cs="宋体"/>
          <w:b/>
          <w:bCs/>
          <w:sz w:val="28"/>
          <w:szCs w:val="28"/>
          <w:highlight w:val="none"/>
        </w:rPr>
      </w:pPr>
      <w:r>
        <w:rPr>
          <w:rFonts w:hint="eastAsia" w:ascii="宋体" w:hAnsi="宋体" w:eastAsia="宋体" w:cs="宋体"/>
          <w:b/>
          <w:bCs/>
          <w:sz w:val="28"/>
          <w:szCs w:val="28"/>
          <w:highlight w:val="none"/>
        </w:rPr>
        <w:t>承 包 人：</w:t>
      </w:r>
      <w:r>
        <w:rPr>
          <w:rFonts w:hint="eastAsia" w:ascii="宋体" w:hAnsi="宋体" w:eastAsia="宋体" w:cs="宋体"/>
          <w:b/>
          <w:kern w:val="0"/>
          <w:sz w:val="30"/>
          <w:szCs w:val="30"/>
          <w:highlight w:val="none"/>
          <w:u w:val="single"/>
        </w:rPr>
        <w:t>河南泰康建筑工程有限公司</w:t>
      </w:r>
    </w:p>
    <w:p>
      <w:pPr>
        <w:autoSpaceDN w:val="0"/>
        <w:spacing w:line="360" w:lineRule="auto"/>
        <w:ind w:firstLine="1065" w:firstLineChars="379"/>
        <w:rPr>
          <w:rFonts w:ascii="宋体" w:hAnsi="宋体" w:eastAsia="宋体" w:cs="宋体"/>
          <w:sz w:val="28"/>
          <w:szCs w:val="28"/>
          <w:highlight w:val="none"/>
        </w:rPr>
      </w:pPr>
      <w:r>
        <w:rPr>
          <w:rFonts w:hint="eastAsia" w:ascii="宋体" w:hAnsi="宋体" w:eastAsia="宋体" w:cs="宋体"/>
          <w:b/>
          <w:bCs/>
          <w:sz w:val="28"/>
          <w:szCs w:val="28"/>
          <w:highlight w:val="none"/>
        </w:rPr>
        <w:t>签订日期：</w:t>
      </w:r>
      <w:r>
        <w:rPr>
          <w:rFonts w:hint="eastAsia" w:ascii="宋体" w:hAnsi="宋体" w:eastAsia="宋体" w:cs="宋体"/>
          <w:b/>
          <w:bCs/>
          <w:sz w:val="28"/>
          <w:szCs w:val="28"/>
          <w:highlight w:val="none"/>
          <w:u w:val="single"/>
        </w:rPr>
        <w:t>2023年12月</w:t>
      </w:r>
      <w:r>
        <w:rPr>
          <w:rFonts w:hint="eastAsia" w:ascii="宋体" w:hAnsi="宋体" w:eastAsia="宋体" w:cs="宋体"/>
          <w:b/>
          <w:bCs/>
          <w:sz w:val="28"/>
          <w:szCs w:val="28"/>
          <w:highlight w:val="none"/>
          <w:u w:val="single"/>
          <w:lang w:val="en-US" w:eastAsia="zh-CN"/>
        </w:rPr>
        <w:t>15</w:t>
      </w:r>
      <w:r>
        <w:rPr>
          <w:rFonts w:hint="eastAsia" w:ascii="宋体" w:hAnsi="宋体" w:eastAsia="宋体" w:cs="宋体"/>
          <w:b/>
          <w:bCs/>
          <w:sz w:val="28"/>
          <w:szCs w:val="28"/>
          <w:highlight w:val="none"/>
          <w:u w:val="single"/>
        </w:rPr>
        <w:t>日</w:t>
      </w:r>
    </w:p>
    <w:p>
      <w:pPr>
        <w:autoSpaceDN w:val="0"/>
        <w:ind w:firstLine="120" w:firstLineChars="50"/>
        <w:jc w:val="center"/>
        <w:rPr>
          <w:rFonts w:ascii="宋体" w:hAnsi="宋体" w:eastAsia="宋体" w:cs="宋体"/>
          <w:b/>
          <w:bCs/>
          <w:sz w:val="24"/>
          <w:szCs w:val="24"/>
          <w:highlight w:val="none"/>
        </w:rPr>
      </w:pPr>
    </w:p>
    <w:p>
      <w:pPr>
        <w:autoSpaceDN w:val="0"/>
        <w:ind w:firstLine="120" w:firstLineChars="50"/>
        <w:jc w:val="center"/>
        <w:rPr>
          <w:rFonts w:ascii="宋体" w:hAnsi="宋体" w:eastAsia="宋体" w:cs="宋体"/>
          <w:sz w:val="24"/>
          <w:szCs w:val="24"/>
          <w:highlight w:val="none"/>
        </w:rPr>
      </w:pPr>
      <w:r>
        <w:rPr>
          <w:rFonts w:hint="eastAsia" w:ascii="宋体" w:hAnsi="宋体" w:eastAsia="宋体" w:cs="宋体"/>
          <w:b/>
          <w:bCs/>
          <w:sz w:val="24"/>
          <w:szCs w:val="24"/>
          <w:highlight w:val="none"/>
        </w:rPr>
        <w:t xml:space="preserve"> 悠然居项目样板间门窗及外装饰工程施工合同</w:t>
      </w:r>
    </w:p>
    <w:p>
      <w:pPr>
        <w:spacing w:line="580" w:lineRule="exact"/>
        <w:rPr>
          <w:rFonts w:ascii="宋体" w:hAnsi="宋体" w:eastAsia="宋体" w:cs="宋体"/>
          <w:b/>
          <w:bCs/>
          <w:sz w:val="24"/>
          <w:szCs w:val="24"/>
          <w:highlight w:val="none"/>
        </w:rPr>
      </w:pPr>
      <w:r>
        <w:rPr>
          <w:rFonts w:hint="eastAsia" w:ascii="宋体" w:hAnsi="宋体" w:eastAsia="宋体" w:cs="宋体"/>
          <w:b/>
          <w:bCs/>
          <w:sz w:val="24"/>
          <w:szCs w:val="24"/>
          <w:highlight w:val="none"/>
        </w:rPr>
        <w:t>发包人：</w:t>
      </w:r>
      <w:r>
        <w:rPr>
          <w:rFonts w:hint="eastAsia" w:ascii="宋体" w:hAnsi="宋体" w:eastAsia="宋体" w:cs="宋体"/>
          <w:b/>
          <w:bCs/>
          <w:sz w:val="24"/>
          <w:szCs w:val="24"/>
          <w:highlight w:val="none"/>
          <w:u w:val="single"/>
        </w:rPr>
        <w:t>河南浩德龙瑞置业有限公司</w:t>
      </w:r>
      <w:r>
        <w:rPr>
          <w:rFonts w:hint="eastAsia" w:ascii="宋体" w:hAnsi="宋体" w:eastAsia="宋体" w:cs="宋体"/>
          <w:b/>
          <w:sz w:val="24"/>
          <w:szCs w:val="24"/>
          <w:highlight w:val="none"/>
        </w:rPr>
        <w:t>（以下简称甲方）</w:t>
      </w:r>
    </w:p>
    <w:p>
      <w:pPr>
        <w:pStyle w:val="2"/>
        <w:overflowPunct w:val="0"/>
        <w:spacing w:line="360" w:lineRule="auto"/>
        <w:rPr>
          <w:rFonts w:hint="eastAsia" w:ascii="宋体" w:hAnsi="宋体" w:eastAsia="宋体" w:cs="宋体"/>
          <w:b/>
          <w:bCs/>
          <w:kern w:val="2"/>
          <w:position w:val="0"/>
          <w:szCs w:val="24"/>
          <w:highlight w:val="none"/>
          <w:u w:val="single"/>
          <w:lang w:val="en-US" w:eastAsia="zh-CN"/>
        </w:rPr>
      </w:pPr>
      <w:r>
        <w:rPr>
          <w:rFonts w:hint="eastAsia" w:ascii="宋体" w:hAnsi="宋体" w:eastAsia="宋体" w:cs="宋体"/>
          <w:b/>
          <w:bCs/>
          <w:kern w:val="2"/>
          <w:position w:val="0"/>
          <w:szCs w:val="24"/>
          <w:highlight w:val="none"/>
          <w:u w:val="none"/>
        </w:rPr>
        <w:t>统一社会信用代码：</w:t>
      </w:r>
      <w:r>
        <w:rPr>
          <w:rFonts w:hint="eastAsia" w:ascii="宋体" w:hAnsi="宋体" w:eastAsia="宋体" w:cs="宋体"/>
          <w:b/>
          <w:bCs/>
          <w:kern w:val="2"/>
          <w:position w:val="0"/>
          <w:szCs w:val="24"/>
          <w:highlight w:val="none"/>
          <w:u w:val="single"/>
        </w:rPr>
        <w:t>91410300MA9MYURF5B</w:t>
      </w:r>
    </w:p>
    <w:p>
      <w:pPr>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承包方：</w:t>
      </w:r>
      <w:r>
        <w:rPr>
          <w:rFonts w:hint="eastAsia" w:ascii="宋体" w:hAnsi="宋体" w:eastAsia="宋体" w:cs="宋体"/>
          <w:b/>
          <w:bCs/>
          <w:sz w:val="24"/>
          <w:szCs w:val="24"/>
          <w:highlight w:val="none"/>
          <w:u w:val="single"/>
        </w:rPr>
        <w:t>河南泰康建筑工程有限公司</w:t>
      </w:r>
      <w:r>
        <w:rPr>
          <w:rFonts w:hint="eastAsia" w:ascii="宋体" w:hAnsi="宋体" w:eastAsia="宋体" w:cs="宋体"/>
          <w:b/>
          <w:bCs/>
          <w:sz w:val="24"/>
          <w:szCs w:val="24"/>
          <w:highlight w:val="none"/>
        </w:rPr>
        <w:t>（以下简称乙方）</w:t>
      </w:r>
    </w:p>
    <w:p>
      <w:pPr>
        <w:pStyle w:val="2"/>
        <w:rPr>
          <w:rFonts w:hAnsi="宋体" w:cs="宋体"/>
          <w:szCs w:val="24"/>
          <w:highlight w:val="none"/>
        </w:rPr>
      </w:pPr>
      <w:r>
        <w:rPr>
          <w:rFonts w:hint="eastAsia" w:ascii="宋体" w:hAnsi="宋体" w:eastAsia="宋体" w:cs="宋体"/>
          <w:bCs/>
          <w:kern w:val="2"/>
          <w:position w:val="0"/>
          <w:szCs w:val="24"/>
          <w:highlight w:val="none"/>
          <w:u w:val="none"/>
        </w:rPr>
        <w:t>统一社会信用代码：</w:t>
      </w:r>
      <w:r>
        <w:rPr>
          <w:rFonts w:hint="eastAsia" w:ascii="宋体" w:hAnsi="宋体" w:eastAsia="宋体" w:cs="宋体"/>
          <w:bCs/>
          <w:kern w:val="2"/>
          <w:position w:val="0"/>
          <w:sz w:val="24"/>
          <w:szCs w:val="24"/>
          <w:highlight w:val="none"/>
          <w:u w:val="single"/>
        </w:rPr>
        <w:t>91410105576302124N</w:t>
      </w:r>
    </w:p>
    <w:p>
      <w:pPr>
        <w:autoSpaceDN w:val="0"/>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    依照《中华人民共和国民法典》、《中华人民共和国建筑法》及其他有关法律、行政法规，遵循平等、自愿、公平和诚实信用的原则，双方就本悠然居项目样板间门窗及外装饰工程施工事项协商一致，订立本合同。</w:t>
      </w:r>
    </w:p>
    <w:p>
      <w:pPr>
        <w:numPr>
          <w:ilvl w:val="0"/>
          <w:numId w:val="3"/>
        </w:numPr>
        <w:autoSpaceDN w:val="0"/>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工程概况</w:t>
      </w:r>
    </w:p>
    <w:p>
      <w:pPr>
        <w:autoSpaceDN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合同名称： 悠然居项目样板间门窗及外装饰工程施工合同。</w:t>
      </w:r>
    </w:p>
    <w:p>
      <w:pPr>
        <w:autoSpaceDN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工程地点：河南省洛阳市文景路与渠东路交叉口东南角。</w:t>
      </w:r>
    </w:p>
    <w:p>
      <w:pPr>
        <w:autoSpaceDN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资金来源：自筹资金。</w:t>
      </w:r>
    </w:p>
    <w:p>
      <w:pPr>
        <w:numPr>
          <w:ilvl w:val="0"/>
          <w:numId w:val="4"/>
        </w:numPr>
        <w:autoSpaceDN w:val="0"/>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工程承包范围</w:t>
      </w:r>
    </w:p>
    <w:p>
      <w:pPr>
        <w:widowControl/>
        <w:spacing w:line="500" w:lineRule="exact"/>
        <w:ind w:firstLine="352" w:firstLineChars="147"/>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乙方承担悠然居项目样板间门窗及外装饰工程施工图纸的全部内容</w:t>
      </w:r>
      <w:r>
        <w:rPr>
          <w:rFonts w:hint="eastAsia" w:ascii="宋体" w:hAnsi="宋体" w:eastAsia="宋体" w:cs="宋体"/>
          <w:sz w:val="24"/>
          <w:szCs w:val="24"/>
          <w:highlight w:val="none"/>
          <w:lang w:eastAsia="zh-CN"/>
        </w:rPr>
        <w:t>：</w:t>
      </w:r>
    </w:p>
    <w:p>
      <w:pPr>
        <w:widowControl/>
        <w:spacing w:line="500" w:lineRule="exact"/>
        <w:ind w:firstLine="352" w:firstLineChars="147"/>
        <w:rPr>
          <w:rFonts w:hint="eastAsia" w:ascii="宋体" w:hAnsi="宋体" w:eastAsia="宋体" w:cs="宋体"/>
          <w:b w:val="0"/>
          <w:kern w:val="2"/>
          <w:position w:val="0"/>
          <w:sz w:val="24"/>
          <w:szCs w:val="24"/>
          <w:highlight w:val="none"/>
          <w:u w:val="none"/>
        </w:rPr>
      </w:pPr>
      <w:r>
        <w:rPr>
          <w:rFonts w:hint="eastAsia" w:ascii="宋体" w:hAnsi="宋体" w:eastAsia="宋体" w:cs="宋体"/>
          <w:b w:val="0"/>
          <w:kern w:val="2"/>
          <w:position w:val="0"/>
          <w:sz w:val="24"/>
          <w:szCs w:val="24"/>
          <w:highlight w:val="none"/>
          <w:u w:val="none"/>
        </w:rPr>
        <w:t>1、铝合金门窗：悠然居项目3#楼东单元样板间（2F东单元东户工法样板间、2F东单元西户精装修样板间）及东单元公区3F以下（不含三层）、5#楼西单元1-2F西户C1户型复式毛坯样板间门窗制作与安装工程；</w:t>
      </w:r>
    </w:p>
    <w:p>
      <w:pPr>
        <w:widowControl/>
        <w:spacing w:line="500" w:lineRule="exact"/>
        <w:ind w:firstLine="352" w:firstLineChars="147"/>
        <w:rPr>
          <w:rFonts w:hint="eastAsia" w:ascii="宋体" w:hAnsi="宋体" w:eastAsia="宋体" w:cs="宋体"/>
          <w:b w:val="0"/>
          <w:kern w:val="2"/>
          <w:position w:val="0"/>
          <w:sz w:val="24"/>
          <w:szCs w:val="24"/>
          <w:highlight w:val="none"/>
          <w:lang w:eastAsia="zh-CN"/>
        </w:rPr>
      </w:pPr>
      <w:r>
        <w:rPr>
          <w:rFonts w:hint="eastAsia" w:ascii="宋体" w:hAnsi="宋体" w:eastAsia="宋体" w:cs="宋体"/>
          <w:b w:val="0"/>
          <w:kern w:val="2"/>
          <w:position w:val="0"/>
          <w:sz w:val="24"/>
          <w:szCs w:val="24"/>
          <w:highlight w:val="none"/>
          <w:u w:val="none"/>
        </w:rPr>
        <w:t>2、外装饰工程：3#楼东单元2F西户阳露台保温、晶彩石漆及顶棚仿木纹涂料、外墙檐口饰面铝镁锰板（如有）等；3#楼东单元2F东户阳露台墙面及顶棚饰面做工法展示。</w:t>
      </w:r>
    </w:p>
    <w:p>
      <w:pPr>
        <w:widowControl/>
        <w:spacing w:line="500" w:lineRule="exact"/>
        <w:ind w:firstLine="352" w:firstLineChars="147"/>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招标图纸中所包含的门窗的设计、加工制作、储运、安装（安装内容包括不限于：</w:t>
      </w:r>
      <w:r>
        <w:rPr>
          <w:rFonts w:hint="eastAsia" w:ascii="宋体" w:hAnsi="宋体" w:eastAsia="宋体" w:cs="宋体"/>
          <w:sz w:val="24"/>
          <w:szCs w:val="24"/>
          <w:highlight w:val="none"/>
        </w:rPr>
        <w:t>门窗卸货、搬运、就位，打膨胀栓，窗框与墙体接缝处打发泡剂，室内外双面打中性硅酮密封胶、玻璃安装、五金件安装）及安装措施、铝合金门窗的清理、成品保护（自带保护膜）、与总包单位现场协调施工用电（费用乙方自理）、通过验收、交工前框内外、玻璃内外保洁一遍，因质量问题引起的维修和更换；检测（抗风压、水密、气密性、保温、</w:t>
      </w:r>
      <w:r>
        <w:rPr>
          <w:rFonts w:hint="eastAsia" w:ascii="宋体" w:hAnsi="宋体" w:eastAsia="宋体" w:cs="宋体"/>
          <w:bCs/>
          <w:sz w:val="24"/>
          <w:szCs w:val="24"/>
          <w:highlight w:val="none"/>
        </w:rPr>
        <w:t>隔音</w:t>
      </w:r>
      <w:r>
        <w:rPr>
          <w:rFonts w:hint="eastAsia" w:ascii="宋体" w:hAnsi="宋体" w:eastAsia="宋体" w:cs="宋体"/>
          <w:sz w:val="24"/>
          <w:szCs w:val="24"/>
          <w:highlight w:val="none"/>
        </w:rPr>
        <w:t>等检测）、保修、防雷接地连接、垃圾清理清运等。乙方加工前须自行核对门窗清单、设计图纸及变更，并在现场实地踏勘且进行门窗洞口复核，确认无误后再进行制作加工，包括为完成上述内容而有必要采取的隐含的所有施工及安全等各方面的措施等，同时包括与本工程其他相关施工单位的配合等。</w:t>
      </w:r>
    </w:p>
    <w:p>
      <w:pPr>
        <w:widowControl/>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乙方严格按照图纸及规范进行详细深化设计（包括计算书），详细设计包括但不限于对外窗和连窗进行平剖面节点（窗框与混凝土墙体的连接方式，窗框与保温位置的处理，固定设置飘窗的拐角处处理、防水处理）分楼详细设计；详细设计应在合同签订后5个工作日内提供窗型详图。详细设计图经甲方确认后方可组织加工生产、安装等后续工作。由于乙方详细设计图纸不完善或未到现场实地踏勘、未进行门窗洞口复核所造成的相关安全、设计缺陷、质量缺陷、验收责任问题由乙方承担。</w:t>
      </w:r>
    </w:p>
    <w:p>
      <w:pPr>
        <w:widowControl/>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3、乙方须现场复核洞口尺寸及土建方提供的三线准确性</w:t>
      </w:r>
      <w:r>
        <w:rPr>
          <w:rStyle w:val="24"/>
          <w:rFonts w:hint="eastAsia" w:ascii="宋体" w:hAnsi="宋体" w:eastAsia="宋体" w:cs="宋体"/>
          <w:sz w:val="24"/>
          <w:szCs w:val="24"/>
          <w:highlight w:val="none"/>
        </w:rPr>
        <w:t>，</w:t>
      </w:r>
      <w:r>
        <w:rPr>
          <w:rFonts w:hint="eastAsia" w:ascii="宋体" w:hAnsi="宋体" w:eastAsia="宋体" w:cs="宋体"/>
          <w:sz w:val="24"/>
          <w:szCs w:val="24"/>
          <w:highlight w:val="none"/>
        </w:rPr>
        <w:t>门窗渗漏责任由乙方负责。</w:t>
      </w:r>
    </w:p>
    <w:p>
      <w:pPr>
        <w:widowControl/>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本工程采用净口安装，如避雷接地等电位金属片已覆盖，总包负责找出等电位金属片，乙方负责连接。安装前乙方需要至现场准确核对洞口尺寸，并由甲方工程部或监理、乙方、总包三方对粉刷后的洞口净尺寸签字确认。</w:t>
      </w:r>
    </w:p>
    <w:p>
      <w:pPr>
        <w:pStyle w:val="3"/>
        <w:numPr>
          <w:ilvl w:val="0"/>
          <w:numId w:val="0"/>
        </w:numPr>
        <w:spacing w:line="240" w:lineRule="auto"/>
        <w:rPr>
          <w:rFonts w:ascii="宋体" w:hAnsi="宋体" w:eastAsia="宋体" w:cs="宋体"/>
          <w:sz w:val="24"/>
          <w:szCs w:val="24"/>
          <w:highlight w:val="none"/>
        </w:rPr>
      </w:pPr>
      <w:r>
        <w:rPr>
          <w:rFonts w:hint="eastAsia" w:ascii="宋体" w:hAnsi="宋体" w:eastAsia="宋体" w:cs="宋体"/>
          <w:sz w:val="24"/>
          <w:szCs w:val="24"/>
          <w:highlight w:val="none"/>
        </w:rPr>
        <w:t>三、承包方式</w:t>
      </w:r>
    </w:p>
    <w:p>
      <w:pPr>
        <w:widowControl/>
        <w:spacing w:line="500" w:lineRule="exact"/>
        <w:ind w:firstLine="352" w:firstLineChars="147"/>
        <w:rPr>
          <w:rFonts w:ascii="宋体" w:hAnsi="宋体" w:eastAsia="宋体" w:cs="宋体"/>
          <w:sz w:val="24"/>
          <w:szCs w:val="24"/>
          <w:highlight w:val="none"/>
        </w:rPr>
      </w:pPr>
      <w:r>
        <w:rPr>
          <w:rFonts w:hint="eastAsia" w:ascii="宋体" w:hAnsi="宋体" w:eastAsia="宋体" w:cs="宋体"/>
          <w:sz w:val="24"/>
          <w:szCs w:val="24"/>
          <w:highlight w:val="none"/>
        </w:rPr>
        <w:t>1、本合同约定采用暂定综合单价的承包方式，固定综合单价应包含门窗制作、安装工程的全部费用，包括但不限于施工所需的人工费、材料费、机械费、加工制作费、按要求配置辅材件、运输费、装卸费、施工安装费、施工水电费、安全文明施工费、成品及半成品保护费、检测费、垃圾清运费、门窗清洁费、风险、质保、管理费、利润、税金等全部费用。甲方仅承担针对总承包方的配合费。</w:t>
      </w:r>
    </w:p>
    <w:p>
      <w:pPr>
        <w:widowControl/>
        <w:spacing w:line="500" w:lineRule="exact"/>
        <w:ind w:firstLine="352" w:firstLineChars="147"/>
        <w:rPr>
          <w:rFonts w:ascii="宋体" w:hAnsi="宋体" w:eastAsia="宋体" w:cs="宋体"/>
          <w:sz w:val="24"/>
          <w:szCs w:val="24"/>
          <w:highlight w:val="none"/>
        </w:rPr>
      </w:pPr>
      <w:r>
        <w:rPr>
          <w:rFonts w:hint="eastAsia" w:ascii="宋体" w:hAnsi="宋体" w:eastAsia="宋体" w:cs="宋体"/>
          <w:sz w:val="24"/>
          <w:szCs w:val="24"/>
          <w:highlight w:val="none"/>
        </w:rPr>
        <w:t>2、采取本合同约定的标准，包工包料、包质量、包验收、包制作安装、包工期、包风险、包售后服务等承包方式，按照甲方确认的设计施工图、材料，承包合同约定范围内门窗工程的制作及安装。</w:t>
      </w:r>
    </w:p>
    <w:p>
      <w:pPr>
        <w:pStyle w:val="3"/>
        <w:numPr>
          <w:ilvl w:val="0"/>
          <w:numId w:val="0"/>
        </w:numPr>
        <w:spacing w:line="240" w:lineRule="auto"/>
        <w:rPr>
          <w:rFonts w:ascii="宋体" w:hAnsi="宋体" w:eastAsia="宋体" w:cs="宋体"/>
          <w:sz w:val="24"/>
          <w:szCs w:val="24"/>
          <w:highlight w:val="none"/>
        </w:rPr>
      </w:pPr>
      <w:r>
        <w:rPr>
          <w:rFonts w:hint="eastAsia" w:ascii="宋体" w:hAnsi="宋体" w:eastAsia="宋体" w:cs="宋体"/>
          <w:sz w:val="24"/>
          <w:szCs w:val="24"/>
          <w:highlight w:val="none"/>
        </w:rPr>
        <w:t>四、工期要求</w:t>
      </w:r>
    </w:p>
    <w:p>
      <w:pPr>
        <w:topLinePunct/>
        <w:autoSpaceDE w:val="0"/>
        <w:spacing w:line="360" w:lineRule="auto"/>
        <w:ind w:firstLine="528" w:firstLineChars="200"/>
        <w:rPr>
          <w:rFonts w:ascii="宋体" w:hAnsi="宋体" w:eastAsia="宋体" w:cs="宋体"/>
          <w:sz w:val="24"/>
          <w:szCs w:val="24"/>
          <w:highlight w:val="none"/>
        </w:rPr>
      </w:pPr>
      <w:r>
        <w:rPr>
          <w:rFonts w:hint="eastAsia" w:ascii="宋体" w:hAnsi="宋体" w:eastAsia="宋体" w:cs="宋体"/>
          <w:spacing w:val="12"/>
          <w:sz w:val="24"/>
          <w:szCs w:val="24"/>
          <w:highlight w:val="none"/>
        </w:rPr>
        <w:t>总工期30日历天。开工日期暂定为2023年</w:t>
      </w:r>
      <w:r>
        <w:rPr>
          <w:rFonts w:hint="eastAsia" w:ascii="宋体" w:hAnsi="宋体" w:eastAsia="宋体" w:cs="宋体"/>
          <w:spacing w:val="12"/>
          <w:sz w:val="24"/>
          <w:szCs w:val="24"/>
          <w:highlight w:val="none"/>
          <w:u w:val="single"/>
        </w:rPr>
        <w:t>12月</w:t>
      </w:r>
      <w:r>
        <w:rPr>
          <w:rFonts w:hint="eastAsia" w:ascii="宋体" w:hAnsi="宋体" w:eastAsia="宋体" w:cs="宋体"/>
          <w:spacing w:val="12"/>
          <w:sz w:val="24"/>
          <w:szCs w:val="24"/>
          <w:highlight w:val="none"/>
          <w:u w:val="single"/>
          <w:lang w:val="en-US" w:eastAsia="zh-CN"/>
        </w:rPr>
        <w:t>15</w:t>
      </w:r>
      <w:r>
        <w:rPr>
          <w:rFonts w:hint="eastAsia" w:ascii="宋体" w:hAnsi="宋体" w:eastAsia="宋体" w:cs="宋体"/>
          <w:spacing w:val="12"/>
          <w:sz w:val="24"/>
          <w:szCs w:val="24"/>
          <w:highlight w:val="none"/>
        </w:rPr>
        <w:t>日，</w:t>
      </w:r>
      <w:r>
        <w:rPr>
          <w:rFonts w:hint="eastAsia" w:ascii="宋体" w:hAnsi="宋体" w:eastAsia="宋体" w:cs="宋体"/>
          <w:sz w:val="24"/>
          <w:szCs w:val="24"/>
          <w:highlight w:val="none"/>
        </w:rPr>
        <w:t>具体开工时间以甲方发出的书面通知为准，乙方承诺满足甲方施工工期要求并不因此要求工期补偿/赔偿。</w:t>
      </w:r>
    </w:p>
    <w:p>
      <w:pPr>
        <w:topLinePunct/>
        <w:autoSpaceDE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2、施工过程中如遇甲方责任或不可抗力等因素所延误的工期，经甲、乙双方签证认可后予以调整，并在此基础上确定完工日期。 </w:t>
      </w:r>
    </w:p>
    <w:p>
      <w:pPr>
        <w:pStyle w:val="3"/>
        <w:numPr>
          <w:ilvl w:val="0"/>
          <w:numId w:val="0"/>
        </w:numPr>
        <w:spacing w:line="240" w:lineRule="auto"/>
        <w:rPr>
          <w:rFonts w:ascii="宋体" w:hAnsi="宋体" w:eastAsia="宋体" w:cs="宋体"/>
          <w:sz w:val="24"/>
          <w:szCs w:val="24"/>
          <w:highlight w:val="none"/>
        </w:rPr>
      </w:pPr>
      <w:bookmarkStart w:id="0" w:name="_Hlt503692535"/>
      <w:bookmarkEnd w:id="0"/>
      <w:r>
        <w:rPr>
          <w:rFonts w:hint="eastAsia" w:ascii="宋体" w:hAnsi="宋体" w:eastAsia="宋体" w:cs="宋体"/>
          <w:sz w:val="24"/>
          <w:szCs w:val="24"/>
          <w:highlight w:val="none"/>
        </w:rPr>
        <w:t>五、合同价格</w:t>
      </w:r>
    </w:p>
    <w:p>
      <w:pPr>
        <w:pStyle w:val="2"/>
        <w:spacing w:line="360" w:lineRule="auto"/>
        <w:ind w:firstLine="480" w:firstLineChars="200"/>
        <w:rPr>
          <w:rFonts w:hAnsi="宋体" w:cs="宋体"/>
          <w:b w:val="0"/>
          <w:bCs/>
          <w:szCs w:val="24"/>
          <w:highlight w:val="none"/>
        </w:rPr>
      </w:pPr>
      <w:r>
        <w:rPr>
          <w:rFonts w:hint="eastAsia" w:hAnsi="宋体" w:cs="宋体"/>
          <w:b w:val="0"/>
          <w:bCs/>
          <w:szCs w:val="24"/>
          <w:highlight w:val="none"/>
        </w:rPr>
        <w:t>1、合同含税暂定总价为</w:t>
      </w:r>
      <w:r>
        <w:rPr>
          <w:rFonts w:hint="eastAsia" w:hAnsi="宋体" w:cs="宋体"/>
          <w:b w:val="0"/>
          <w:bCs/>
          <w:szCs w:val="24"/>
          <w:highlight w:val="none"/>
          <w:u w:val="single"/>
        </w:rPr>
        <w:t>¥113293.96</w:t>
      </w:r>
      <w:r>
        <w:rPr>
          <w:rFonts w:hint="eastAsia" w:hAnsi="宋体" w:cs="宋体"/>
          <w:b w:val="0"/>
          <w:bCs/>
          <w:szCs w:val="24"/>
          <w:highlight w:val="none"/>
        </w:rPr>
        <w:t>元（</w:t>
      </w:r>
      <w:r>
        <w:rPr>
          <w:rFonts w:hint="eastAsia" w:hAnsi="宋体" w:cs="宋体"/>
          <w:b w:val="0"/>
          <w:bCs/>
          <w:szCs w:val="24"/>
          <w:highlight w:val="none"/>
          <w:u w:val="single"/>
        </w:rPr>
        <w:t>大写人民币壹拾壹万叁仟贰佰玖拾叁元玖角陆分</w:t>
      </w:r>
      <w:r>
        <w:rPr>
          <w:rFonts w:hint="eastAsia" w:hAnsi="宋体" w:cs="宋体"/>
          <w:b w:val="0"/>
          <w:bCs/>
          <w:szCs w:val="24"/>
          <w:highlight w:val="none"/>
        </w:rPr>
        <w:t>（以下简称“合同总价”）。其中不含税金额为¥</w:t>
      </w:r>
      <w:r>
        <w:rPr>
          <w:rFonts w:hint="eastAsia" w:hAnsi="宋体" w:cs="宋体"/>
          <w:b w:val="0"/>
          <w:bCs/>
          <w:szCs w:val="24"/>
          <w:highlight w:val="none"/>
          <w:u w:val="single"/>
        </w:rPr>
        <w:t>103939.41</w:t>
      </w:r>
      <w:r>
        <w:rPr>
          <w:rFonts w:hint="eastAsia" w:hAnsi="宋体" w:cs="宋体"/>
          <w:b w:val="0"/>
          <w:bCs/>
          <w:szCs w:val="24"/>
          <w:highlight w:val="none"/>
        </w:rPr>
        <w:t>元，增值税税金为¥</w:t>
      </w:r>
      <w:r>
        <w:rPr>
          <w:rFonts w:hint="eastAsia" w:hAnsi="宋体" w:cs="宋体"/>
          <w:b w:val="0"/>
          <w:bCs/>
          <w:szCs w:val="24"/>
          <w:highlight w:val="none"/>
          <w:u w:val="single"/>
        </w:rPr>
        <w:t>9354.55</w:t>
      </w:r>
      <w:r>
        <w:rPr>
          <w:rFonts w:hint="eastAsia" w:hAnsi="宋体" w:cs="宋体"/>
          <w:b w:val="0"/>
          <w:bCs/>
          <w:szCs w:val="24"/>
          <w:highlight w:val="none"/>
        </w:rPr>
        <w:t>元，税率</w:t>
      </w:r>
      <w:r>
        <w:rPr>
          <w:rFonts w:hint="eastAsia" w:hAnsi="宋体" w:cs="宋体"/>
          <w:b w:val="0"/>
          <w:bCs/>
          <w:szCs w:val="24"/>
          <w:highlight w:val="none"/>
          <w:u w:val="single"/>
        </w:rPr>
        <w:t>9</w:t>
      </w:r>
      <w:r>
        <w:rPr>
          <w:rFonts w:hint="eastAsia" w:hAnsi="宋体" w:cs="宋体"/>
          <w:b w:val="0"/>
          <w:bCs/>
          <w:szCs w:val="24"/>
          <w:highlight w:val="none"/>
        </w:rPr>
        <w:t>%。详见附件《价格清单》。</w:t>
      </w:r>
    </w:p>
    <w:p>
      <w:pPr>
        <w:spacing w:line="360" w:lineRule="auto"/>
        <w:ind w:firstLine="240" w:firstLineChars="100"/>
        <w:rPr>
          <w:rFonts w:ascii="宋体" w:hAnsi="宋体" w:eastAsia="宋体" w:cs="宋体"/>
          <w:bCs/>
          <w:kern w:val="0"/>
          <w:position w:val="-10"/>
          <w:sz w:val="24"/>
          <w:szCs w:val="24"/>
          <w:highlight w:val="none"/>
        </w:rPr>
      </w:pPr>
      <w:r>
        <w:rPr>
          <w:rFonts w:hint="eastAsia" w:ascii="宋体" w:hAnsi="宋体" w:eastAsia="宋体" w:cs="宋体"/>
          <w:bCs/>
          <w:kern w:val="0"/>
          <w:position w:val="-10"/>
          <w:sz w:val="24"/>
          <w:szCs w:val="24"/>
          <w:highlight w:val="none"/>
        </w:rPr>
        <w:t xml:space="preserve">2、增值税税率说明： </w:t>
      </w:r>
    </w:p>
    <w:p>
      <w:pPr>
        <w:spacing w:line="360" w:lineRule="auto"/>
        <w:ind w:firstLine="480" w:firstLineChars="200"/>
        <w:rPr>
          <w:rFonts w:ascii="宋体" w:hAnsi="宋体" w:eastAsia="宋体" w:cs="宋体"/>
          <w:bCs/>
          <w:kern w:val="0"/>
          <w:position w:val="-10"/>
          <w:sz w:val="24"/>
          <w:szCs w:val="24"/>
          <w:highlight w:val="none"/>
        </w:rPr>
      </w:pPr>
      <w:r>
        <w:rPr>
          <w:rFonts w:hint="eastAsia" w:ascii="宋体" w:hAnsi="宋体" w:eastAsia="宋体" w:cs="宋体"/>
          <w:bCs/>
          <w:kern w:val="0"/>
          <w:position w:val="-10"/>
          <w:sz w:val="24"/>
          <w:szCs w:val="24"/>
          <w:highlight w:val="none"/>
        </w:rPr>
        <w:t>2.1、合同价增值税税率按%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80" w:firstLineChars="200"/>
        <w:rPr>
          <w:rFonts w:ascii="宋体" w:hAnsi="宋体" w:eastAsia="宋体" w:cs="宋体"/>
          <w:bCs/>
          <w:kern w:val="0"/>
          <w:position w:val="-10"/>
          <w:sz w:val="24"/>
          <w:szCs w:val="24"/>
          <w:highlight w:val="none"/>
        </w:rPr>
      </w:pPr>
      <w:r>
        <w:rPr>
          <w:rFonts w:hint="eastAsia" w:ascii="宋体" w:hAnsi="宋体" w:eastAsia="宋体" w:cs="宋体"/>
          <w:bCs/>
          <w:kern w:val="0"/>
          <w:position w:val="-10"/>
          <w:sz w:val="24"/>
          <w:szCs w:val="24"/>
          <w:highlight w:val="none"/>
        </w:rPr>
        <w:t>2.2、如因乙方纳税资格变更引起增值税税率变化，风险由乙方自行承担（税率增加的，甲方仍按原税率支付税金；税率减小的，甲方按减小后的税率支付税金）。</w:t>
      </w:r>
    </w:p>
    <w:p>
      <w:pPr>
        <w:pStyle w:val="3"/>
        <w:numPr>
          <w:ilvl w:val="0"/>
          <w:numId w:val="0"/>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六、工程价款支付 </w:t>
      </w:r>
    </w:p>
    <w:p>
      <w:pPr>
        <w:widowControl/>
        <w:spacing w:line="500" w:lineRule="exact"/>
        <w:ind w:firstLine="240" w:firstLineChars="100"/>
        <w:rPr>
          <w:rFonts w:ascii="宋体" w:hAnsi="宋体" w:eastAsia="宋体" w:cs="宋体"/>
          <w:sz w:val="24"/>
          <w:szCs w:val="24"/>
          <w:highlight w:val="none"/>
        </w:rPr>
      </w:pPr>
      <w:r>
        <w:rPr>
          <w:rFonts w:hint="eastAsia" w:ascii="宋体" w:hAnsi="宋体" w:eastAsia="宋体" w:cs="宋体"/>
          <w:sz w:val="24"/>
          <w:szCs w:val="24"/>
          <w:highlight w:val="none"/>
        </w:rPr>
        <w:t>1、门及窗框安装完成并经甲方、监理验收合格后，支付至已完工程对应门窗总造价的40%；</w:t>
      </w:r>
    </w:p>
    <w:p>
      <w:pPr>
        <w:widowControl/>
        <w:spacing w:line="500" w:lineRule="exact"/>
        <w:ind w:firstLine="240" w:firstLineChars="100"/>
        <w:rPr>
          <w:rFonts w:ascii="宋体" w:hAnsi="宋体" w:eastAsia="宋体" w:cs="宋体"/>
          <w:sz w:val="24"/>
          <w:szCs w:val="24"/>
          <w:highlight w:val="none"/>
        </w:rPr>
      </w:pPr>
      <w:r>
        <w:rPr>
          <w:rFonts w:hint="eastAsia" w:ascii="宋体" w:hAnsi="宋体" w:eastAsia="宋体" w:cs="宋体"/>
          <w:sz w:val="24"/>
          <w:szCs w:val="24"/>
          <w:highlight w:val="none"/>
        </w:rPr>
        <w:t>2、门及窗扇、玻璃安装完成并经甲方、监理验收合格后，支付至已完工程对应门窗总造价的80%；</w:t>
      </w:r>
    </w:p>
    <w:p>
      <w:pPr>
        <w:widowControl/>
        <w:spacing w:line="500" w:lineRule="exact"/>
        <w:ind w:firstLine="240" w:firstLineChars="100"/>
        <w:rPr>
          <w:rFonts w:ascii="宋体" w:hAnsi="宋体" w:eastAsia="宋体" w:cs="宋体"/>
          <w:sz w:val="24"/>
          <w:szCs w:val="24"/>
          <w:highlight w:val="none"/>
        </w:rPr>
      </w:pPr>
      <w:r>
        <w:rPr>
          <w:rFonts w:hint="eastAsia" w:ascii="宋体" w:hAnsi="宋体" w:eastAsia="宋体" w:cs="宋体"/>
          <w:sz w:val="24"/>
          <w:szCs w:val="24"/>
          <w:highlight w:val="none"/>
        </w:rPr>
        <w:t>3、装饰面层施工完成（料盘口除外），经甲方、监理验收合格，甲方支付乙方已完工程造价的80%。</w:t>
      </w:r>
    </w:p>
    <w:p>
      <w:pPr>
        <w:widowControl/>
        <w:spacing w:line="500" w:lineRule="exact"/>
        <w:ind w:firstLine="240" w:firstLineChars="100"/>
        <w:rPr>
          <w:rFonts w:ascii="宋体" w:hAnsi="宋体" w:eastAsia="宋体" w:cs="宋体"/>
          <w:sz w:val="24"/>
          <w:szCs w:val="24"/>
          <w:highlight w:val="none"/>
        </w:rPr>
      </w:pPr>
      <w:r>
        <w:rPr>
          <w:rFonts w:hint="eastAsia" w:ascii="宋体" w:hAnsi="宋体" w:eastAsia="宋体" w:cs="宋体"/>
          <w:sz w:val="24"/>
          <w:szCs w:val="24"/>
          <w:highlight w:val="none"/>
        </w:rPr>
        <w:t>4、工程全部完工后30日内乙方应向甲方提交竣工资料、验收、结算等所有文件并经甲方确认,办理正式竣工验收合格和配合甲方完成结算手续后付至结算金额的97%。</w:t>
      </w:r>
    </w:p>
    <w:p>
      <w:pPr>
        <w:widowControl/>
        <w:spacing w:line="500" w:lineRule="exact"/>
        <w:ind w:firstLine="240" w:firstLineChars="100"/>
        <w:rPr>
          <w:rFonts w:ascii="宋体" w:hAnsi="宋体" w:eastAsia="宋体" w:cs="宋体"/>
          <w:sz w:val="24"/>
          <w:szCs w:val="24"/>
          <w:highlight w:val="none"/>
        </w:rPr>
      </w:pPr>
      <w:r>
        <w:rPr>
          <w:rFonts w:hint="eastAsia" w:ascii="宋体" w:hAnsi="宋体" w:eastAsia="宋体" w:cs="宋体"/>
          <w:sz w:val="24"/>
          <w:szCs w:val="24"/>
          <w:highlight w:val="none"/>
        </w:rPr>
        <w:t>5、工程剩余金额（即结算金额的3%）留为质保金。工程质保期为2年，自工程全部施工完成，并经甲方验收合格之日起开始计算。质保期满且无质量问题无息退还剩余款项（若有）。质保期内，如因工程质量问题、用料质量问题、维修或乙方其他违约行为等导致乙方存在应支付未支付款项或甲方代乙方支出的款项的，甲方有权在工程质保金中直接扣除，质保金不足以弥补甲方损失的，乙方应负责赔偿。</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6、每次付款前及/或选择以工抵方式支付的，乙方应按甲方要求出具合法有效的增值税专用发票。当甲方向乙方累计支付款项至本合同结算价款的97％时，乙方须向甲方开具结算价款100％的合法有效的增值税专用发票，否则甲方除扣留质保金外，还有权延迟支付该批次工程款且不视为违约。乙方应在开票之后5个工作日内将发票送达甲方，甲方签收发票的日期为发票的送达日期。</w:t>
      </w:r>
      <w:r>
        <w:rPr>
          <w:rFonts w:hint="eastAsia" w:ascii="宋体" w:hAnsi="宋体" w:eastAsia="宋体" w:cs="宋体"/>
          <w:sz w:val="24"/>
          <w:szCs w:val="24"/>
          <w:highlight w:val="none"/>
        </w:rPr>
        <w:tab/>
      </w:r>
    </w:p>
    <w:p>
      <w:pPr>
        <w:widowControl/>
        <w:spacing w:line="500" w:lineRule="exact"/>
        <w:ind w:firstLine="240" w:firstLineChars="100"/>
        <w:rPr>
          <w:rFonts w:ascii="宋体" w:hAnsi="宋体" w:eastAsia="宋体" w:cs="宋体"/>
          <w:sz w:val="24"/>
          <w:szCs w:val="24"/>
          <w:highlight w:val="none"/>
        </w:rPr>
      </w:pPr>
      <w:r>
        <w:rPr>
          <w:rFonts w:hint="eastAsia" w:ascii="宋体" w:hAnsi="宋体" w:eastAsia="宋体" w:cs="宋体"/>
          <w:sz w:val="24"/>
          <w:szCs w:val="24"/>
          <w:highlight w:val="none"/>
        </w:rPr>
        <w:t>7、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widowControl/>
        <w:spacing w:line="500" w:lineRule="exact"/>
        <w:ind w:firstLine="240" w:firstLineChars="100"/>
        <w:rPr>
          <w:rFonts w:ascii="宋体" w:hAnsi="宋体" w:eastAsia="宋体" w:cs="宋体"/>
          <w:sz w:val="24"/>
          <w:szCs w:val="24"/>
          <w:highlight w:val="none"/>
        </w:rPr>
      </w:pPr>
      <w:r>
        <w:rPr>
          <w:rFonts w:hint="eastAsia" w:ascii="宋体" w:hAnsi="宋体" w:eastAsia="宋体" w:cs="宋体"/>
          <w:sz w:val="24"/>
          <w:szCs w:val="24"/>
          <w:highlight w:val="none"/>
        </w:rPr>
        <w:t>8、对发票不合规的约定：</w:t>
      </w:r>
    </w:p>
    <w:p>
      <w:pPr>
        <w:widowControl/>
        <w:spacing w:line="500" w:lineRule="exact"/>
        <w:ind w:firstLine="240" w:firstLineChars="100"/>
        <w:rPr>
          <w:rFonts w:ascii="宋体" w:hAnsi="宋体" w:eastAsia="宋体" w:cs="宋体"/>
          <w:sz w:val="24"/>
          <w:szCs w:val="24"/>
          <w:highlight w:val="none"/>
        </w:rPr>
      </w:pPr>
      <w:r>
        <w:rPr>
          <w:rFonts w:hint="eastAsia" w:ascii="宋体" w:hAnsi="宋体" w:eastAsia="宋体" w:cs="宋体"/>
          <w:sz w:val="24"/>
          <w:szCs w:val="24"/>
          <w:highlight w:val="none"/>
        </w:rPr>
        <w:t>8.1、乙方提供的发票为增值税专用发票的，因乙方迟延送达、开具错误等原因导致其提供的增值税专用发票没有通过税务部门认证，造成甲方不能抵扣的，甲方有权拒绝接收。</w:t>
      </w:r>
    </w:p>
    <w:p>
      <w:pPr>
        <w:widowControl/>
        <w:spacing w:line="500" w:lineRule="exact"/>
        <w:ind w:firstLine="240" w:firstLineChars="100"/>
        <w:rPr>
          <w:rFonts w:ascii="宋体" w:hAnsi="宋体" w:eastAsia="宋体" w:cs="宋体"/>
          <w:sz w:val="24"/>
          <w:szCs w:val="24"/>
          <w:highlight w:val="none"/>
        </w:rPr>
      </w:pPr>
      <w:r>
        <w:rPr>
          <w:rFonts w:hint="eastAsia" w:ascii="宋体" w:hAnsi="宋体" w:eastAsia="宋体" w:cs="宋体"/>
          <w:sz w:val="24"/>
          <w:szCs w:val="24"/>
          <w:highlight w:val="none"/>
        </w:rPr>
        <w:t>8.2、乙方开具虚假、作废（因正常业务需要作废发票，乙方不需要承担责任；如乙方提供作废发票未告知甲方由甲方或其他部门人发现的，要求重新开具并要承担责任）等无效发票或者违反国家法律法规开具、提供发票的，乙方应自行承担相应法律责任，赔偿由此给甲方造成的全部损失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widowControl/>
        <w:spacing w:line="500" w:lineRule="exact"/>
        <w:ind w:firstLine="240" w:firstLineChars="100"/>
        <w:rPr>
          <w:rFonts w:ascii="宋体" w:hAnsi="宋体" w:eastAsia="宋体" w:cs="宋体"/>
          <w:sz w:val="24"/>
          <w:szCs w:val="24"/>
          <w:highlight w:val="none"/>
        </w:rPr>
      </w:pPr>
      <w:r>
        <w:rPr>
          <w:rFonts w:hint="eastAsia" w:ascii="宋体" w:hAnsi="宋体" w:eastAsia="宋体" w:cs="宋体"/>
          <w:sz w:val="24"/>
          <w:szCs w:val="24"/>
          <w:highlight w:val="none"/>
        </w:rPr>
        <w:t>9、其他税务风险的合同约定：</w:t>
      </w:r>
    </w:p>
    <w:p>
      <w:pPr>
        <w:widowControl/>
        <w:spacing w:line="500" w:lineRule="exact"/>
        <w:ind w:firstLine="240" w:firstLineChars="100"/>
        <w:rPr>
          <w:rFonts w:ascii="宋体" w:hAnsi="宋体" w:eastAsia="宋体" w:cs="宋体"/>
          <w:sz w:val="24"/>
          <w:szCs w:val="24"/>
          <w:highlight w:val="none"/>
        </w:rPr>
      </w:pPr>
      <w:r>
        <w:rPr>
          <w:rFonts w:hint="eastAsia" w:ascii="宋体" w:hAnsi="宋体" w:eastAsia="宋体" w:cs="宋体"/>
          <w:sz w:val="24"/>
          <w:szCs w:val="24"/>
          <w:highlight w:val="none"/>
        </w:rPr>
        <w:t>9.1、如果甲方丢失增值税专用发票联和抵扣联，乙方应向甲方提供专用发票记账联复印件，并加盖乙方发票专用章。如因甲方丢失发票原因导致乙方被税务机关处罚的，甲方应承担由此产生的后果及费用。</w:t>
      </w:r>
    </w:p>
    <w:p>
      <w:pPr>
        <w:widowControl/>
        <w:spacing w:line="500" w:lineRule="exact"/>
        <w:ind w:firstLine="240" w:firstLineChars="100"/>
        <w:rPr>
          <w:rFonts w:ascii="宋体" w:hAnsi="宋体" w:eastAsia="宋体" w:cs="宋体"/>
          <w:sz w:val="24"/>
          <w:szCs w:val="24"/>
          <w:highlight w:val="none"/>
        </w:rPr>
      </w:pPr>
      <w:r>
        <w:rPr>
          <w:rFonts w:hint="eastAsia" w:ascii="宋体" w:hAnsi="宋体" w:eastAsia="宋体" w:cs="宋体"/>
          <w:sz w:val="24"/>
          <w:szCs w:val="24"/>
          <w:highlight w:val="none"/>
        </w:rPr>
        <w:t>9.2、如果获得开具的汇总专用发票，则乙方应提供其防伪税控系统开具的《销售货物或者提供应税劳务清单》，并加盖发票专用章。</w:t>
      </w:r>
    </w:p>
    <w:p>
      <w:pPr>
        <w:widowControl/>
        <w:spacing w:line="500" w:lineRule="exact"/>
        <w:ind w:firstLine="240" w:firstLineChars="100"/>
        <w:rPr>
          <w:rFonts w:ascii="宋体" w:hAnsi="宋体" w:eastAsia="宋体" w:cs="宋体"/>
          <w:sz w:val="24"/>
          <w:szCs w:val="24"/>
          <w:highlight w:val="none"/>
        </w:rPr>
      </w:pPr>
      <w:r>
        <w:rPr>
          <w:rFonts w:hint="eastAsia" w:ascii="宋体" w:hAnsi="宋体" w:eastAsia="宋体" w:cs="宋体"/>
          <w:sz w:val="24"/>
          <w:szCs w:val="24"/>
          <w:highlight w:val="none"/>
        </w:rPr>
        <w:t>10、真实发生且合理合规的设计变更、现场签证事项，在按甲方制度审批完成后的次月随节点进度款进行付款（每次具备支付条件的签证变更金额累计金额需超过3万元，累计已审批变更签证金额不足3万元时依次滚动到下节点，甲方内部流程显示为审批中或未发起审批的金额不具备支付条件）；支付比例为流程已审批完成且已确认金额的80%，剩余20%于竣工结算后支付。</w:t>
      </w:r>
    </w:p>
    <w:p>
      <w:pPr>
        <w:widowControl/>
        <w:spacing w:line="500" w:lineRule="exact"/>
        <w:rPr>
          <w:rFonts w:ascii="宋体" w:hAnsi="宋体" w:eastAsia="宋体" w:cs="宋体"/>
          <w:b/>
          <w:bCs/>
          <w:sz w:val="24"/>
          <w:szCs w:val="24"/>
          <w:highlight w:val="none"/>
        </w:rPr>
      </w:pPr>
      <w:r>
        <w:rPr>
          <w:rFonts w:hint="eastAsia" w:ascii="宋体" w:hAnsi="宋体" w:eastAsia="宋体" w:cs="宋体"/>
          <w:b/>
          <w:bCs/>
          <w:sz w:val="24"/>
          <w:szCs w:val="24"/>
          <w:highlight w:val="none"/>
        </w:rPr>
        <w:t>七、技术质量要求</w:t>
      </w:r>
    </w:p>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七-1、门窗执行施工及验收规范</w:t>
      </w:r>
    </w:p>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应符合现行国家、行业及地方等相关技术标准及规范</w:t>
      </w:r>
    </w:p>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2、主要材料品牌要求</w:t>
      </w:r>
    </w:p>
    <w:p>
      <w:pPr>
        <w:widowControl/>
        <w:spacing w:line="500" w:lineRule="exact"/>
        <w:rPr>
          <w:rFonts w:ascii="宋体" w:hAnsi="宋体" w:eastAsia="宋体" w:cs="宋体"/>
          <w:sz w:val="24"/>
          <w:szCs w:val="24"/>
        </w:rPr>
      </w:pPr>
      <w:r>
        <w:rPr>
          <w:rFonts w:hint="eastAsia" w:ascii="宋体" w:hAnsi="宋体" w:eastAsia="宋体" w:cs="宋体"/>
          <w:sz w:val="24"/>
          <w:szCs w:val="24"/>
        </w:rPr>
        <w:t>2.1型材选用：选用</w:t>
      </w:r>
      <w:r>
        <w:rPr>
          <w:rFonts w:hint="eastAsia" w:ascii="宋体" w:hAnsi="宋体" w:eastAsia="宋体" w:cs="宋体"/>
          <w:sz w:val="24"/>
          <w:szCs w:val="24"/>
          <w:lang w:eastAsia="zh-CN"/>
        </w:rPr>
        <w:t>如下表，以封样为准</w:t>
      </w:r>
      <w:r>
        <w:rPr>
          <w:rFonts w:hint="eastAsia" w:ascii="宋体" w:hAnsi="宋体" w:eastAsia="宋体" w:cs="宋体"/>
          <w:sz w:val="24"/>
          <w:szCs w:val="24"/>
        </w:rPr>
        <w:t xml:space="preserve">   </w:t>
      </w:r>
      <w:bookmarkStart w:id="1" w:name="_GoBack"/>
      <w:bookmarkEnd w:id="1"/>
    </w:p>
    <w:p>
      <w:pPr>
        <w:widowControl/>
        <w:spacing w:line="500" w:lineRule="exact"/>
        <w:rPr>
          <w:rFonts w:hint="eastAsia" w:ascii="宋体" w:hAnsi="宋体" w:eastAsia="宋体" w:cs="宋体"/>
          <w:sz w:val="24"/>
          <w:szCs w:val="24"/>
        </w:rPr>
      </w:pPr>
      <w:r>
        <w:rPr>
          <w:rFonts w:hint="eastAsia" w:ascii="宋体" w:hAnsi="宋体" w:eastAsia="宋体" w:cs="宋体"/>
          <w:sz w:val="24"/>
          <w:szCs w:val="24"/>
        </w:rPr>
        <w:t>2.2玻璃原片：选用</w:t>
      </w:r>
      <w:r>
        <w:rPr>
          <w:rFonts w:hint="eastAsia" w:ascii="宋体" w:hAnsi="宋体" w:eastAsia="宋体" w:cs="宋体"/>
          <w:sz w:val="24"/>
          <w:szCs w:val="24"/>
          <w:lang w:eastAsia="zh-CN"/>
        </w:rPr>
        <w:t>如下表，以封样为准</w:t>
      </w:r>
      <w:r>
        <w:rPr>
          <w:rFonts w:hint="eastAsia" w:ascii="宋体" w:hAnsi="宋体" w:eastAsia="宋体" w:cs="宋体"/>
          <w:sz w:val="24"/>
          <w:szCs w:val="24"/>
        </w:rPr>
        <w:t xml:space="preserve"> </w:t>
      </w:r>
    </w:p>
    <w:p>
      <w:pPr>
        <w:widowControl/>
        <w:spacing w:line="500" w:lineRule="exact"/>
        <w:rPr>
          <w:rFonts w:hint="eastAsia" w:ascii="宋体" w:hAnsi="宋体" w:eastAsia="宋体" w:cs="宋体"/>
          <w:sz w:val="24"/>
          <w:szCs w:val="24"/>
        </w:rPr>
      </w:pPr>
      <w:r>
        <w:rPr>
          <w:rFonts w:hint="eastAsia" w:ascii="宋体" w:hAnsi="宋体" w:eastAsia="宋体" w:cs="宋体"/>
          <w:sz w:val="24"/>
          <w:szCs w:val="24"/>
        </w:rPr>
        <w:t>2.3五金配件：采用</w:t>
      </w:r>
      <w:r>
        <w:rPr>
          <w:rFonts w:hint="eastAsia" w:ascii="宋体" w:hAnsi="宋体" w:eastAsia="宋体" w:cs="宋体"/>
          <w:sz w:val="24"/>
          <w:szCs w:val="24"/>
          <w:lang w:eastAsia="zh-CN"/>
        </w:rPr>
        <w:t>如下表，以封样为准</w:t>
      </w:r>
      <w:r>
        <w:rPr>
          <w:rFonts w:hint="eastAsia" w:ascii="宋体" w:hAnsi="宋体" w:eastAsia="宋体" w:cs="宋体"/>
          <w:sz w:val="24"/>
          <w:szCs w:val="24"/>
        </w:rPr>
        <w:t xml:space="preserve"> </w:t>
      </w:r>
    </w:p>
    <w:p>
      <w:pPr>
        <w:widowControl/>
        <w:spacing w:line="500" w:lineRule="exact"/>
        <w:rPr>
          <w:rFonts w:hint="eastAsia" w:ascii="宋体" w:hAnsi="宋体" w:eastAsia="宋体" w:cs="宋体"/>
          <w:sz w:val="24"/>
          <w:szCs w:val="24"/>
        </w:rPr>
      </w:pPr>
      <w:r>
        <w:rPr>
          <w:rFonts w:hint="eastAsia" w:ascii="宋体" w:hAnsi="宋体" w:eastAsia="宋体" w:cs="宋体"/>
          <w:sz w:val="24"/>
          <w:szCs w:val="24"/>
        </w:rPr>
        <w:t>2.4密封胶：采用</w:t>
      </w:r>
      <w:r>
        <w:rPr>
          <w:rFonts w:hint="eastAsia" w:ascii="宋体" w:hAnsi="宋体" w:eastAsia="宋体" w:cs="宋体"/>
          <w:sz w:val="24"/>
          <w:szCs w:val="24"/>
          <w:lang w:eastAsia="zh-CN"/>
        </w:rPr>
        <w:t>如下表，以封样为准</w:t>
      </w:r>
      <w:r>
        <w:rPr>
          <w:rFonts w:hint="eastAsia" w:ascii="宋体" w:hAnsi="宋体" w:eastAsia="宋体" w:cs="宋体"/>
          <w:sz w:val="24"/>
          <w:szCs w:val="24"/>
        </w:rPr>
        <w:t xml:space="preserve"> </w:t>
      </w:r>
    </w:p>
    <w:p>
      <w:pPr>
        <w:widowControl/>
        <w:spacing w:line="500" w:lineRule="exact"/>
        <w:rPr>
          <w:rFonts w:hint="eastAsia" w:ascii="宋体" w:hAnsi="宋体" w:eastAsia="宋体" w:cs="宋体"/>
          <w:sz w:val="24"/>
          <w:szCs w:val="24"/>
        </w:rPr>
      </w:pPr>
      <w:r>
        <w:rPr>
          <w:rFonts w:hint="eastAsia" w:ascii="宋体" w:hAnsi="宋体" w:eastAsia="宋体" w:cs="宋体"/>
          <w:sz w:val="24"/>
          <w:szCs w:val="24"/>
        </w:rPr>
        <w:t>2.5发泡胶：采用</w:t>
      </w:r>
      <w:r>
        <w:rPr>
          <w:rFonts w:hint="eastAsia" w:ascii="宋体" w:hAnsi="宋体" w:eastAsia="宋体" w:cs="宋体"/>
          <w:sz w:val="24"/>
          <w:szCs w:val="24"/>
          <w:lang w:eastAsia="zh-CN"/>
        </w:rPr>
        <w:t>如下表，以封样为准</w:t>
      </w:r>
      <w:r>
        <w:rPr>
          <w:rFonts w:hint="eastAsia" w:ascii="宋体" w:hAnsi="宋体" w:eastAsia="宋体" w:cs="宋体"/>
          <w:sz w:val="24"/>
          <w:szCs w:val="24"/>
        </w:rPr>
        <w:t xml:space="preserve"> </w:t>
      </w:r>
    </w:p>
    <w:p>
      <w:pPr>
        <w:widowControl/>
        <w:spacing w:line="500" w:lineRule="exact"/>
        <w:rPr>
          <w:rFonts w:hint="eastAsia" w:ascii="宋体" w:hAnsi="宋体" w:eastAsia="宋体" w:cs="宋体"/>
          <w:sz w:val="24"/>
          <w:szCs w:val="24"/>
          <w:lang w:eastAsia="zh-CN"/>
        </w:rPr>
      </w:pPr>
      <w:r>
        <w:rPr>
          <w:rFonts w:hint="eastAsia" w:ascii="宋体" w:hAnsi="宋体" w:eastAsia="宋体" w:cs="宋体"/>
          <w:sz w:val="24"/>
          <w:szCs w:val="24"/>
        </w:rPr>
        <w:t>2.6密封胶条：选用</w:t>
      </w:r>
      <w:r>
        <w:rPr>
          <w:rFonts w:hint="eastAsia" w:ascii="宋体" w:hAnsi="宋体" w:eastAsia="宋体" w:cs="宋体"/>
          <w:sz w:val="24"/>
          <w:szCs w:val="24"/>
          <w:lang w:eastAsia="zh-CN"/>
        </w:rPr>
        <w:t>如下表</w:t>
      </w:r>
      <w:r>
        <w:rPr>
          <w:rFonts w:hint="eastAsia" w:ascii="宋体" w:hAnsi="宋体" w:eastAsia="宋体" w:cs="宋体"/>
          <w:sz w:val="24"/>
          <w:szCs w:val="24"/>
        </w:rPr>
        <w:t xml:space="preserve"> </w:t>
      </w:r>
      <w:r>
        <w:rPr>
          <w:rFonts w:hint="eastAsia" w:ascii="宋体" w:hAnsi="宋体" w:eastAsia="宋体" w:cs="宋体"/>
          <w:sz w:val="24"/>
          <w:szCs w:val="24"/>
          <w:lang w:eastAsia="zh-CN"/>
        </w:rPr>
        <w:t>，以封样为准</w:t>
      </w:r>
    </w:p>
    <w:p>
      <w:pPr>
        <w:widowControl/>
        <w:spacing w:line="500" w:lineRule="exact"/>
        <w:rPr>
          <w:rFonts w:ascii="宋体" w:hAnsi="宋体" w:eastAsia="宋体" w:cs="宋体"/>
          <w:sz w:val="24"/>
          <w:szCs w:val="24"/>
        </w:rPr>
      </w:pPr>
      <w:r>
        <w:rPr>
          <w:rFonts w:hint="eastAsia" w:ascii="宋体" w:hAnsi="宋体" w:eastAsia="宋体" w:cs="宋体"/>
          <w:sz w:val="24"/>
          <w:szCs w:val="24"/>
        </w:rPr>
        <w:t xml:space="preserve"> 2.7隐形纱窗：采用(</w:t>
      </w:r>
      <w:r>
        <w:rPr>
          <w:rFonts w:hint="eastAsia" w:ascii="宋体" w:hAnsi="宋体" w:eastAsia="宋体" w:cs="宋体"/>
          <w:sz w:val="24"/>
          <w:szCs w:val="24"/>
          <w:lang w:eastAsia="zh-CN"/>
        </w:rPr>
        <w:t>本项目无纱窗</w:t>
      </w:r>
      <w:r>
        <w:rPr>
          <w:rFonts w:hint="eastAsia" w:ascii="宋体" w:hAnsi="宋体" w:eastAsia="宋体" w:cs="宋体"/>
          <w:sz w:val="24"/>
          <w:szCs w:val="24"/>
        </w:rPr>
        <w:t>)</w:t>
      </w:r>
    </w:p>
    <w:tbl>
      <w:tblPr>
        <w:tblStyle w:val="20"/>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4155"/>
        <w:gridCol w:w="4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24" w:type="dxa"/>
            <w:vAlign w:val="center"/>
          </w:tcPr>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序号</w:t>
            </w:r>
          </w:p>
        </w:tc>
        <w:tc>
          <w:tcPr>
            <w:tcW w:w="4155" w:type="dxa"/>
            <w:vAlign w:val="center"/>
          </w:tcPr>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材料名称</w:t>
            </w:r>
          </w:p>
        </w:tc>
        <w:tc>
          <w:tcPr>
            <w:tcW w:w="4634" w:type="dxa"/>
            <w:vAlign w:val="center"/>
          </w:tcPr>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品牌或产地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24" w:type="dxa"/>
            <w:vAlign w:val="center"/>
          </w:tcPr>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4155" w:type="dxa"/>
            <w:vAlign w:val="center"/>
          </w:tcPr>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型材（国产尼龙隔热条）</w:t>
            </w:r>
          </w:p>
        </w:tc>
        <w:tc>
          <w:tcPr>
            <w:tcW w:w="4634" w:type="dxa"/>
            <w:vAlign w:val="center"/>
          </w:tcPr>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兴发、南山、凤铝、华建、坚美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vAlign w:val="center"/>
          </w:tcPr>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2</w:t>
            </w:r>
          </w:p>
        </w:tc>
        <w:tc>
          <w:tcPr>
            <w:tcW w:w="4155" w:type="dxa"/>
            <w:vAlign w:val="center"/>
          </w:tcPr>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中空玻璃（或钢化玻璃）</w:t>
            </w:r>
          </w:p>
        </w:tc>
        <w:tc>
          <w:tcPr>
            <w:tcW w:w="4634" w:type="dxa"/>
            <w:vAlign w:val="center"/>
          </w:tcPr>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北玻、南玻、信义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vAlign w:val="center"/>
          </w:tcPr>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3</w:t>
            </w:r>
          </w:p>
        </w:tc>
        <w:tc>
          <w:tcPr>
            <w:tcW w:w="4155" w:type="dxa"/>
            <w:vAlign w:val="center"/>
          </w:tcPr>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5mm厚玻璃</w:t>
            </w:r>
          </w:p>
        </w:tc>
        <w:tc>
          <w:tcPr>
            <w:tcW w:w="4634" w:type="dxa"/>
            <w:vAlign w:val="center"/>
          </w:tcPr>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北玻、南玻、信义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vAlign w:val="center"/>
          </w:tcPr>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4</w:t>
            </w:r>
          </w:p>
        </w:tc>
        <w:tc>
          <w:tcPr>
            <w:tcW w:w="4155" w:type="dxa"/>
            <w:vAlign w:val="center"/>
          </w:tcPr>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五金配件</w:t>
            </w:r>
          </w:p>
        </w:tc>
        <w:tc>
          <w:tcPr>
            <w:tcW w:w="4634" w:type="dxa"/>
            <w:vAlign w:val="center"/>
          </w:tcPr>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坚朗、国强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vAlign w:val="center"/>
          </w:tcPr>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5</w:t>
            </w:r>
          </w:p>
        </w:tc>
        <w:tc>
          <w:tcPr>
            <w:tcW w:w="4155" w:type="dxa"/>
            <w:vAlign w:val="center"/>
          </w:tcPr>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密封胶</w:t>
            </w:r>
          </w:p>
        </w:tc>
        <w:tc>
          <w:tcPr>
            <w:tcW w:w="4634" w:type="dxa"/>
            <w:vAlign w:val="center"/>
          </w:tcPr>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广州白云、之江、成都硅宝、安泰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vAlign w:val="center"/>
          </w:tcPr>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6</w:t>
            </w:r>
          </w:p>
        </w:tc>
        <w:tc>
          <w:tcPr>
            <w:tcW w:w="4155" w:type="dxa"/>
            <w:vAlign w:val="center"/>
          </w:tcPr>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发泡胶</w:t>
            </w:r>
          </w:p>
        </w:tc>
        <w:tc>
          <w:tcPr>
            <w:tcW w:w="4634" w:type="dxa"/>
            <w:vAlign w:val="center"/>
          </w:tcPr>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北京斯科瑞、中天氟硅、广州安泰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vAlign w:val="center"/>
          </w:tcPr>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7</w:t>
            </w:r>
          </w:p>
        </w:tc>
        <w:tc>
          <w:tcPr>
            <w:tcW w:w="4155" w:type="dxa"/>
            <w:vAlign w:val="center"/>
          </w:tcPr>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密封胶条</w:t>
            </w:r>
          </w:p>
        </w:tc>
        <w:tc>
          <w:tcPr>
            <w:tcW w:w="4634" w:type="dxa"/>
            <w:vAlign w:val="center"/>
          </w:tcPr>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浙江新安东、江阴海达、开封龙亭</w:t>
            </w:r>
          </w:p>
        </w:tc>
      </w:tr>
    </w:tbl>
    <w:p>
      <w:pPr>
        <w:widowControl/>
        <w:spacing w:line="500" w:lineRule="exact"/>
        <w:rPr>
          <w:rFonts w:ascii="宋体" w:hAnsi="宋体" w:eastAsia="宋体" w:cs="宋体"/>
          <w:sz w:val="24"/>
          <w:szCs w:val="24"/>
          <w:highlight w:val="none"/>
        </w:rPr>
      </w:pPr>
    </w:p>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3、玻璃技术要求</w:t>
      </w:r>
    </w:p>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3.1工程所采用的各种玻璃（钢化玻璃、中空玻璃）其外观质量及相关性能必须符合国家及当地现行标准。钢化玻璃必须在任意一角可视位置标注3C标志。</w:t>
      </w:r>
    </w:p>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3.2安全玻璃：玻璃是否采用安全玻璃应按照部位、设计图纸、材料结构计算和规范要求确定，钢化玻璃为双面钢化。如有防火要求，必须达到国家、地方规范要求的耐火极限；</w:t>
      </w:r>
    </w:p>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3.3中空玻璃符合国家标准“GB/T11944—2012”的规定;单层玻璃符合国家标准“JGJ113-2009”的规定;</w:t>
      </w:r>
    </w:p>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3.4玻璃厚度及其他特殊要求详见甲方审核批准的设计图纸要求，颜色以甲方审核封样样品为准，品种、性能指标满足施工图纸等相关规范技术要求。不同部位的玻璃使用必须符合设计图纸、建筑玻璃应用技术规范（JGJ113-2009）、建筑安全玻璃管理规定（发改运行［2003］2116号）及相关规范地方规定之要求。</w:t>
      </w:r>
    </w:p>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4、型材技术要求</w:t>
      </w:r>
    </w:p>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4.1铝合金门窗为隔热断桥铝合金型材，型材的材质由优质铝锭加工而成,不能掺夹其它材质的材料，铝合金型材的强度、壁厚、硬度等指标应该符合国家规范GB 5237.1~6-2008（2012）的要求。如有防火要求，必须达到现行国家、地方要求的耐火极限。</w:t>
      </w:r>
    </w:p>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4.2铝型材表面处理采用静电粉末喷涂，最薄处不小于40μm，具体颜色及表面效果详见甲方已确认的材料样板。</w:t>
      </w:r>
    </w:p>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4.3铝合金型材壁厚应符合国家规范及图纸和招标单位要求，其中门型材截面主要受力部位最小实测壁厚不小于2.0mm，窗型材截面主要受力部位最小实测壁厚不小于1.4mm，玻璃压条等配套铝材壁厚不小于1.0mm。</w:t>
      </w:r>
    </w:p>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4.4型材系列:隔热断桥门窗采用65系列，乙方依据国家及地方相应的规范要求在招标书中规定的型材厂家中选择型材，进行投标技术文件的深化设计工作。</w:t>
      </w:r>
    </w:p>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4.5隔热条：隔热条采用14.8mm聚酰胺66（国产PA66）隔热条，其品质必须符合GB/T23615—2009《铝合金建筑型材用辅助材料》和EN1424—2004《隔热金属型材性能要求和测试试验》规定，统一由型材厂家穿入型材后发货。甲方不接受由门窗厂组装隔热条的型材。</w:t>
      </w:r>
    </w:p>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5、五金配件技术要求</w:t>
      </w:r>
    </w:p>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5.1所有配件必须满足行业标准及相关规范。</w:t>
      </w:r>
    </w:p>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5.2两点锁或多点锁：平开门采用面板门执手及带锁芯的锁盒；推拉窗用月牙锁或手动勾锁；平开窗用两点联动锁，所有把手要求固定牢靠，锁把手表面涂层厚度要求大于60μm。锁点和锁扣采用锌合金制作，铝型材需考虑与多点锁连杆配套的欧标槽，保证型材与多点锁配套一致，启闭灵活。</w:t>
      </w:r>
    </w:p>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5.3铰链：外平开窗采用摩擦铰链，材质要求采用304不锈钢制作，摩擦铰链采用方槽，槽宽度一般要达到22mm；方槽不锈钢厚度为1.2mm，铰链片宽度19mm，厚度3mm，活动块与链片连接采用二点连接，方槽、活动块和链片应采用304不锈钢。上悬窗除摩擦铰链外还应根据窗扇的尺寸配风撑，开启角度及开启距离应符合规范要求。内平开窗除铰链外配固定风撑，平开门采用标准门合页（三个合页）。</w:t>
      </w:r>
    </w:p>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5.4固定螺栓、螺钉：必须为不锈钢制品。</w:t>
      </w:r>
    </w:p>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5.5密封胶条：采用三元乙丙密封胶条，含胶量不低于30％，质量应符合国家现行标准要求。转角胶条必须切断时要求使用转角料（转角接头）；转角处胶条没有必要切断的，不允许切断，且只允许有一个接口留在窗上口。</w:t>
      </w:r>
    </w:p>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5.6密封毛条：门窗用密封毛条应经过硅化处理的丙纶纤维防水型夹片密封毛条，并应符合现行行业标准《建筑门窗密封毛条技术条件》JC／T635中规定，密封条安装时应留有比门窗的装配边长20～30mm的余量，转角处应斜面断开，并用胶粘剂粘贴牢固，避免收缩产生缝隙。</w:t>
      </w:r>
    </w:p>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 xml:space="preserve"> 5.7地弹簧：选用优质配套产品，地弹簧应符合承重要求。</w:t>
      </w:r>
    </w:p>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 xml:space="preserve"> 5.8发泡剂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防水砂浆</w:t>
      </w:r>
      <w:r>
        <w:rPr>
          <w:rFonts w:hint="eastAsia" w:ascii="宋体" w:hAnsi="宋体" w:eastAsia="宋体" w:cs="宋体"/>
          <w:sz w:val="24"/>
          <w:szCs w:val="24"/>
          <w:highlight w:val="none"/>
        </w:rPr>
        <w:t>：铝框与墙体间填充聚氨酯发泡剂，发泡剂的膨胀量应为50-60倍</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阳露台推拉门等于室外接触部位，门下槛及两侧墙面300高范围内应填塞防水砂浆，形成U型砂浆填塞区域</w:t>
      </w:r>
      <w:r>
        <w:rPr>
          <w:rFonts w:hint="eastAsia" w:ascii="宋体" w:hAnsi="宋体" w:eastAsia="宋体" w:cs="宋体"/>
          <w:sz w:val="24"/>
          <w:szCs w:val="24"/>
          <w:highlight w:val="none"/>
        </w:rPr>
        <w:t>。</w:t>
      </w:r>
    </w:p>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5.9防雷连接：铝合金门窗防雷用连接件应采用厚度≥2mm的热镀锌扁钢或可靠的连接导体与主体连接，应采用专门的防雷连接件与窗框进行可靠的螺钉或铆钉机械连接。建筑外窗的防雷设计，应符合现行国家标准《建筑物防雷设计规范》（GB50057）的规定。一、二、三类防雷建筑物，其建筑高度分别在30m、45m、60m及以上的外墙窗户，应采取防侧击和等电位保护措施，与建筑物防雷装置进行连接。</w:t>
      </w:r>
    </w:p>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5.10金属连接件：门窗框扇连接处所用螺钉、铆钉要求采用不锈钢螺钉或不锈钢拉铆钉，螺钉连接处需打胶密封。平开窗框料及窗扇料采用铝合金角码用撞角机撞角连接，连接处须采用不锈钢加强钢片及微膨胀组角胶、断面胶密封，中挺需采用专用角码及销钉或型材丝道连接不得采用角铝。</w:t>
      </w:r>
    </w:p>
    <w:p>
      <w:pPr>
        <w:widowControl/>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5.11固定点：门窗框与墙体连接必须牢固，固定点应距窗角、中竖框150~200mm，固定点间距应小于500mm，且不得打在砖缝内。在砌体上安装门窗严禁用钉和射钉固定。 </w:t>
      </w:r>
    </w:p>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5.12钢附框安装部位：飘窗及卫生间上悬窗与外保温碰口处，与外墙大面保温板交接处，影响开启的窗型需增加钢副框。钢副框选用65*50*1.5mm/65*30*1.5mm镀锌钢管国产优质产品。</w:t>
      </w:r>
    </w:p>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6、门窗性能及其它要求</w:t>
      </w:r>
    </w:p>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本工程所用型材系列要求</w:t>
      </w:r>
    </w:p>
    <w:tbl>
      <w:tblPr>
        <w:tblStyle w:val="20"/>
        <w:tblW w:w="7810" w:type="dxa"/>
        <w:tblInd w:w="2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3462"/>
        <w:gridCol w:w="1840"/>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1" w:type="dxa"/>
            <w:vAlign w:val="center"/>
          </w:tcPr>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楼号</w:t>
            </w:r>
          </w:p>
        </w:tc>
        <w:tc>
          <w:tcPr>
            <w:tcW w:w="3462" w:type="dxa"/>
            <w:vAlign w:val="center"/>
          </w:tcPr>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断桥铝合金型材系列</w:t>
            </w:r>
          </w:p>
        </w:tc>
        <w:tc>
          <w:tcPr>
            <w:tcW w:w="1840" w:type="dxa"/>
            <w:vAlign w:val="center"/>
          </w:tcPr>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扣条方式</w:t>
            </w:r>
          </w:p>
        </w:tc>
        <w:tc>
          <w:tcPr>
            <w:tcW w:w="1397" w:type="dxa"/>
            <w:vAlign w:val="center"/>
          </w:tcPr>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纱扇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111" w:type="dxa"/>
            <w:vAlign w:val="center"/>
          </w:tcPr>
          <w:p>
            <w:pPr>
              <w:widowControl/>
              <w:spacing w:line="500" w:lineRule="exac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5#</w:t>
            </w:r>
          </w:p>
        </w:tc>
        <w:tc>
          <w:tcPr>
            <w:tcW w:w="3462" w:type="dxa"/>
            <w:vAlign w:val="center"/>
          </w:tcPr>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65系列</w:t>
            </w:r>
          </w:p>
        </w:tc>
        <w:tc>
          <w:tcPr>
            <w:tcW w:w="1840" w:type="dxa"/>
            <w:vAlign w:val="center"/>
          </w:tcPr>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按图纸要求</w:t>
            </w:r>
          </w:p>
        </w:tc>
        <w:tc>
          <w:tcPr>
            <w:tcW w:w="1397" w:type="dxa"/>
            <w:vAlign w:val="center"/>
          </w:tcPr>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无</w:t>
            </w:r>
          </w:p>
        </w:tc>
      </w:tr>
    </w:tbl>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本工程所用玻璃要求</w:t>
      </w:r>
    </w:p>
    <w:tbl>
      <w:tblPr>
        <w:tblStyle w:val="20"/>
        <w:tblW w:w="8909" w:type="dxa"/>
        <w:tblInd w:w="195" w:type="dxa"/>
        <w:tblLayout w:type="fixed"/>
        <w:tblCellMar>
          <w:top w:w="0" w:type="dxa"/>
          <w:left w:w="108" w:type="dxa"/>
          <w:bottom w:w="0" w:type="dxa"/>
          <w:right w:w="108" w:type="dxa"/>
        </w:tblCellMar>
      </w:tblPr>
      <w:tblGrid>
        <w:gridCol w:w="972"/>
        <w:gridCol w:w="7937"/>
      </w:tblGrid>
      <w:tr>
        <w:tblPrEx>
          <w:tblCellMar>
            <w:top w:w="0" w:type="dxa"/>
            <w:left w:w="108" w:type="dxa"/>
            <w:bottom w:w="0" w:type="dxa"/>
            <w:right w:w="108" w:type="dxa"/>
          </w:tblCellMar>
        </w:tblPrEx>
        <w:trPr>
          <w:trHeight w:val="292"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楼号</w:t>
            </w:r>
          </w:p>
        </w:tc>
        <w:tc>
          <w:tcPr>
            <w:tcW w:w="7937" w:type="dxa"/>
            <w:tcBorders>
              <w:top w:val="single" w:color="auto" w:sz="4" w:space="0"/>
              <w:left w:val="nil"/>
              <w:bottom w:val="single" w:color="auto" w:sz="4" w:space="0"/>
              <w:right w:val="single" w:color="000000" w:sz="4" w:space="0"/>
            </w:tcBorders>
            <w:vAlign w:val="center"/>
          </w:tcPr>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玻璃规格</w:t>
            </w:r>
          </w:p>
        </w:tc>
      </w:tr>
      <w:tr>
        <w:tblPrEx>
          <w:tblCellMar>
            <w:top w:w="0" w:type="dxa"/>
            <w:left w:w="108" w:type="dxa"/>
            <w:bottom w:w="0" w:type="dxa"/>
            <w:right w:w="108" w:type="dxa"/>
          </w:tblCellMar>
        </w:tblPrEx>
        <w:trPr>
          <w:trHeight w:val="769" w:hRule="atLeast"/>
        </w:trPr>
        <w:tc>
          <w:tcPr>
            <w:tcW w:w="972" w:type="dxa"/>
            <w:vMerge w:val="restart"/>
            <w:tcBorders>
              <w:top w:val="single" w:color="auto" w:sz="4" w:space="0"/>
              <w:left w:val="single" w:color="auto" w:sz="4" w:space="0"/>
              <w:right w:val="single" w:color="auto" w:sz="4" w:space="0"/>
            </w:tcBorders>
            <w:vAlign w:val="center"/>
          </w:tcPr>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3#</w:t>
            </w:r>
          </w:p>
        </w:tc>
        <w:tc>
          <w:tcPr>
            <w:tcW w:w="7937" w:type="dxa"/>
            <w:tcBorders>
              <w:top w:val="single" w:color="auto" w:sz="4" w:space="0"/>
              <w:left w:val="nil"/>
              <w:bottom w:val="single" w:color="auto" w:sz="4" w:space="0"/>
              <w:right w:val="single" w:color="auto" w:sz="4" w:space="0"/>
            </w:tcBorders>
            <w:vAlign w:val="center"/>
          </w:tcPr>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65系列断桥铝铝合金门联窗/幕墙窗5+9A+5+9A+5中空玻璃</w:t>
            </w:r>
          </w:p>
        </w:tc>
      </w:tr>
      <w:tr>
        <w:tblPrEx>
          <w:tblCellMar>
            <w:top w:w="0" w:type="dxa"/>
            <w:left w:w="108" w:type="dxa"/>
            <w:bottom w:w="0" w:type="dxa"/>
            <w:right w:w="108" w:type="dxa"/>
          </w:tblCellMar>
        </w:tblPrEx>
        <w:trPr>
          <w:trHeight w:val="769" w:hRule="atLeast"/>
        </w:trPr>
        <w:tc>
          <w:tcPr>
            <w:tcW w:w="972" w:type="dxa"/>
            <w:vMerge w:val="continue"/>
            <w:tcBorders>
              <w:left w:val="single" w:color="auto" w:sz="4" w:space="0"/>
              <w:right w:val="single" w:color="auto" w:sz="4" w:space="0"/>
            </w:tcBorders>
            <w:vAlign w:val="center"/>
          </w:tcPr>
          <w:p>
            <w:pPr>
              <w:widowControl/>
              <w:spacing w:line="500" w:lineRule="exact"/>
              <w:rPr>
                <w:rFonts w:ascii="宋体" w:hAnsi="宋体" w:eastAsia="宋体" w:cs="宋体"/>
                <w:sz w:val="24"/>
                <w:szCs w:val="24"/>
                <w:highlight w:val="none"/>
              </w:rPr>
            </w:pPr>
          </w:p>
        </w:tc>
        <w:tc>
          <w:tcPr>
            <w:tcW w:w="7937" w:type="dxa"/>
            <w:tcBorders>
              <w:top w:val="single" w:color="auto" w:sz="4" w:space="0"/>
              <w:left w:val="nil"/>
              <w:bottom w:val="single" w:color="auto" w:sz="4" w:space="0"/>
              <w:right w:val="single" w:color="auto" w:sz="4" w:space="0"/>
            </w:tcBorders>
            <w:vAlign w:val="center"/>
          </w:tcPr>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65系列断桥铝铝合金推拉窗5Low-e+9A+5中空玻璃</w:t>
            </w:r>
          </w:p>
        </w:tc>
      </w:tr>
      <w:tr>
        <w:tblPrEx>
          <w:tblCellMar>
            <w:top w:w="0" w:type="dxa"/>
            <w:left w:w="108" w:type="dxa"/>
            <w:bottom w:w="0" w:type="dxa"/>
            <w:right w:w="108" w:type="dxa"/>
          </w:tblCellMar>
        </w:tblPrEx>
        <w:trPr>
          <w:trHeight w:val="769" w:hRule="atLeast"/>
        </w:trPr>
        <w:tc>
          <w:tcPr>
            <w:tcW w:w="972" w:type="dxa"/>
            <w:vMerge w:val="continue"/>
            <w:tcBorders>
              <w:left w:val="single" w:color="auto" w:sz="4" w:space="0"/>
              <w:right w:val="single" w:color="auto" w:sz="4" w:space="0"/>
            </w:tcBorders>
            <w:vAlign w:val="center"/>
          </w:tcPr>
          <w:p>
            <w:pPr>
              <w:widowControl/>
              <w:spacing w:line="500" w:lineRule="exact"/>
              <w:rPr>
                <w:rFonts w:ascii="宋体" w:hAnsi="宋体" w:eastAsia="宋体" w:cs="宋体"/>
                <w:sz w:val="24"/>
                <w:szCs w:val="24"/>
                <w:highlight w:val="none"/>
              </w:rPr>
            </w:pPr>
          </w:p>
        </w:tc>
        <w:tc>
          <w:tcPr>
            <w:tcW w:w="7937" w:type="dxa"/>
            <w:tcBorders>
              <w:top w:val="single" w:color="auto" w:sz="4" w:space="0"/>
              <w:left w:val="nil"/>
              <w:bottom w:val="single" w:color="auto" w:sz="4" w:space="0"/>
              <w:right w:val="single" w:color="auto" w:sz="4" w:space="0"/>
            </w:tcBorders>
            <w:vAlign w:val="center"/>
          </w:tcPr>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65系列断热铝合金多腔密封三玻节能外平开窗5+9A+5+9A+5。</w:t>
            </w:r>
          </w:p>
        </w:tc>
      </w:tr>
      <w:tr>
        <w:tblPrEx>
          <w:tblCellMar>
            <w:top w:w="0" w:type="dxa"/>
            <w:left w:w="108" w:type="dxa"/>
            <w:bottom w:w="0" w:type="dxa"/>
            <w:right w:w="108" w:type="dxa"/>
          </w:tblCellMar>
        </w:tblPrEx>
        <w:trPr>
          <w:trHeight w:val="769" w:hRule="atLeast"/>
        </w:trPr>
        <w:tc>
          <w:tcPr>
            <w:tcW w:w="972" w:type="dxa"/>
            <w:vMerge w:val="continue"/>
            <w:tcBorders>
              <w:left w:val="single" w:color="auto" w:sz="4" w:space="0"/>
              <w:right w:val="single" w:color="auto" w:sz="4" w:space="0"/>
            </w:tcBorders>
            <w:vAlign w:val="center"/>
          </w:tcPr>
          <w:p>
            <w:pPr>
              <w:widowControl/>
              <w:spacing w:line="500" w:lineRule="exact"/>
              <w:rPr>
                <w:rFonts w:ascii="宋体" w:hAnsi="宋体" w:eastAsia="宋体" w:cs="宋体"/>
                <w:sz w:val="24"/>
                <w:szCs w:val="24"/>
                <w:highlight w:val="none"/>
              </w:rPr>
            </w:pPr>
          </w:p>
        </w:tc>
        <w:tc>
          <w:tcPr>
            <w:tcW w:w="7937" w:type="dxa"/>
            <w:tcBorders>
              <w:top w:val="single" w:color="auto" w:sz="4" w:space="0"/>
              <w:left w:val="nil"/>
              <w:bottom w:val="single" w:color="auto" w:sz="4" w:space="0"/>
              <w:right w:val="single" w:color="auto" w:sz="4" w:space="0"/>
            </w:tcBorders>
            <w:vAlign w:val="center"/>
          </w:tcPr>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65系列断桥铝三玻窗5mm+9A+5mm+9A+5mm窗传热系数≤2.0W/m(㎡.K)</w:t>
            </w:r>
          </w:p>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断桥窗框(Low-E 中空SuperSE-I)5mm+9A+5mm≤2.4W/m(㎡.K)。</w:t>
            </w:r>
          </w:p>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当外窗为安全玻璃时玻璃面积＞2㎡，需采用6mm厚钢化玻璃。</w:t>
            </w:r>
          </w:p>
        </w:tc>
      </w:tr>
      <w:tr>
        <w:tblPrEx>
          <w:tblCellMar>
            <w:top w:w="0" w:type="dxa"/>
            <w:left w:w="108" w:type="dxa"/>
            <w:bottom w:w="0" w:type="dxa"/>
            <w:right w:w="108" w:type="dxa"/>
          </w:tblCellMar>
        </w:tblPrEx>
        <w:trPr>
          <w:trHeight w:val="769" w:hRule="atLeast"/>
        </w:trPr>
        <w:tc>
          <w:tcPr>
            <w:tcW w:w="972" w:type="dxa"/>
            <w:tcBorders>
              <w:left w:val="single" w:color="auto" w:sz="4" w:space="0"/>
              <w:bottom w:val="single" w:color="auto" w:sz="4" w:space="0"/>
              <w:right w:val="single" w:color="auto" w:sz="4" w:space="0"/>
            </w:tcBorders>
            <w:vAlign w:val="center"/>
          </w:tcPr>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5#</w:t>
            </w:r>
          </w:p>
        </w:tc>
        <w:tc>
          <w:tcPr>
            <w:tcW w:w="7937" w:type="dxa"/>
            <w:tcBorders>
              <w:top w:val="single" w:color="auto" w:sz="4" w:space="0"/>
              <w:left w:val="nil"/>
              <w:bottom w:val="single" w:color="auto" w:sz="4" w:space="0"/>
              <w:right w:val="single" w:color="auto" w:sz="4" w:space="0"/>
            </w:tcBorders>
            <w:vAlign w:val="center"/>
          </w:tcPr>
          <w:p>
            <w:pPr>
              <w:widowControl/>
              <w:spacing w:line="50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同上</w:t>
            </w:r>
          </w:p>
        </w:tc>
      </w:tr>
    </w:tbl>
    <w:p>
      <w:pPr>
        <w:widowControl/>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7、 材料进场及施工要求</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7.1所有材料必须先送样品供甲方、监理及设计人员确认并封样后，方可进场施工。各种材料的技术等级、光泽度、外观等质量应符合设计图纸、甲方封板要求及国家现行行业标准优等品的要求。材料送样须包括但不限于以下材料：</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A、热浸镀锌拉片</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B、型材：各不同型号300mm长</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C、玻璃：各不同型号600mmx600mm</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D、五金配件</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E、毛条：300mm长</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 xml:space="preserve">F、发泡胶 </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G、密封胶：300mm长</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H、密封胶条：300mm长</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I、铝材色卡</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G、防雷连接件</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K、把手</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L、锁具</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M、不锈钢螺钉</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上述材料除须同时提交相关厂家资料及检测报告，所有封样材料必须进行三方会签方可使用。乙方应确保所有进场施工材料之厂家、规格、型号为甲方及监理所审批认可。</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7.2材料半成品（框料、衬钢、防水、五金、扇料、玻璃、胶条、密封胶等材料）进场必须经过监理、甲方工程师按合同要求履行验收手续（保留验收手续，以备查验），并按有关规定进行取样送检。铝型材、玻璃、各种配件、胶和防水材料等都必须提供合格证。窗框和扇框组角位置必须打组角胶。</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7.3门窗施工前应按当地的有关规定抽验，进行抗风压、气密、水密、保温、隔音等性能的检测试验，合格后方可大面积施工。</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7.4乙方施工进度及顺序应满足总包的要求和管理，采用净口安装，从上到下分层施工。</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7.5图纸深化及洞口量尺要求：</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7.5.1本工程的所有合约及提示图所表示的仅是设计示意及概念图，乙方须按照合约及招标图结合有关当地部门、国家及行业规范或标准、工程的建筑结构及机电施工图的要求进行深化施工图及大样设计完善工作，包括：设计说明、门窗大样图、主要节点图、计算书等，加强中挺、安全玻璃须在图纸中注明。乙方须通过深化图审批，甲方签字确认后方可按有关图纸进行加工工作，否则所有返工将由乙方负责。</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7.5.2所有门窗的尺寸和数量均需经现场复核洞口，并对设计进行相应的调整。若因现场尺寸与设计图纸不符造成返工的，费用由乙方负责。若有临时发生的现场变更和增补工程，乙方承诺尽快完成变更和增补工程的设计，并须经现场监理和甲方的确认后开始施工。</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7.6乙方安装门窗前，需核对图纸查验门窗开启是否与结构梁或各种管道有打架、碰撞的情况，如遇到该情况，需及时向监理及甲方汇报，否则，因为该项失误造成的经济损失，甲方概不负责，均由乙方自理。</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7.7防水性能要求</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7.7.1铝合金外门窗铝型材接缝处均应打上防水胶做防水处理，并应保持美观；所有型材对接和螺钉、拉铆钉固定处要求打玻璃胶。</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7.7.2铝合金外门窗框料的适当处设置排水孔；</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7.7.3方通上端头须封堵，避免方通内积水；</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7.8现场安装所有门窗塞缝完毕后应通知监理工程师检查验收作好隐蔽记录。</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7.9乙方须先做样品门窗提交甲方审核后方可在工厂批量加工，甲方将不定期到工厂检查加工的质量和进度。所有门、窗框与墙体连接处室外需打防水耐候胶密封（必须填充聚氨酯发泡剂），室内需打嵌缝胶密封。</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7.10推拉门和推拉窗要求装防盗块（防风掉落块）、防撞块、铝滑轨，在光、勾企（扇竖料）处上下密封有漏洞处加装密封件密封。</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7.11现场安装（包括周边塞缝和防水）必须先做实体样板间，经过总包、甲方及监理工程师的验收后才可大面积施工。</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7.12乙方铝材表面要作好成品保护直至工程竣工验收后移交完毕。</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7.13工程完工后，除按规范、标准要求验收外，外门窗还必须进行淋水试验验收（乙方提前报淋水方案报甲方、监理审核）。在移交给业主前，全部门窗进行清洁（仅一次）、调整、达到正常使用功能并符合相应的国家及地方规范要求。</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7.14送审要求</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在正式大规模施工前，乙方必须通过甲方及监理对下列项目之审批方可进行大面积施工：</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A、性能测试合格报告(此项施工单可与施工同步进行但须负责因日后报告不合格所发生之所有责任)</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B、施工组织设计（施工单位总工签字盖章的质量控制体系、质量控制措施、成品保护措施、工期保证措施必须具备）</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C、材料送审、实体模型、现场样板层工艺样板</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D、深化施工图、结构计算书</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E、玻璃生产厂家报告</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F、铝材生产厂家报告</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G、胶条生产厂家报告</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H、硅酮胶生产厂家报告</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7.15 施工组织设计</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乙方应于进场施工时提交施工组织设计以说明工程的准备工作、管理架构、材料审批计划、质量保证计划、验收计划、整体进度计划包括但不限于深化设计、材料送审计划、制造、运输及安装计划；现场储存计划、检测安排、成品保护计划、淋水测试方案、安全计划、交付工作安排包括完工清洗计划和相应措施及其他人员配置。</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7.16乙方须按合同要求提供整套实物原大样板包括窗框及窗扇及其它配件以便观察各构件及配件之安装情况予甲方及监理审批。</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7.17工程完工后，除按规范、标准要求验收外，外门窗还必须进行淋水试验验收。试水位置主要包括窗周边，施工单位须提供淋水试验的相关人员、材料及工具并提交所须淋水方案予以审批，内容包括：</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A、淋水流程</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B、人手、水泵、供水及喷水量要求</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C、压力要求</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D、每樘窗试水时间要求</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E、渗漏分析及整改方案</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F、安全及文明施工保证措施</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7.18所有未能通过验收之施工必须进行整改工作，整改工作必须有全过程记录包括过程照片记录。整改工作完成后乙方须提交有关资料予甲方及监理要求复检，复检验收合格后方可进行下一度工序。乙方须妥善保存所有施工记录包括自检及整改记录。甲方及监理将定时抽查。乙方必须针对甲方或监理发出有关整改之函件及时作出回复，否则将按违约进行处理。</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7.19每周进度报告内容应包括形象进度照片、加工厂进度、材料运输进场进度、材料及资料送审及审批进度、每周施工计划、施工问题、施工进度统计(上一周及累计)包括核对洞口、窗框安装进度、发泡剂施工进度、收口进度以及调试进度等。</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7.20乙方必须按照验收程序验收方。当有关规范、法规、标准或合同内出现差异及矛盾时，应以现行的规范为准。</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7.21洞口检查</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A、在进行任何加工工作之前，乙方应对现有土建结构洞口进行尺寸复核并提交相关报告予甲方及监理审核。</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B、检查水平线，划垂直线、进出线。</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C、检查洞口基层是否滿足安装要求。</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D、制作各户窗表，方便现场检查及核对各窗形尺寸。</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E、窗框与洞口之间隙不得少于15mm不得超过30mm。过大之洞口必须使用同标号细石混凝土填塞后方可进行窗框安装工作。</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F、所有普查及整改工作必须有全过程记录。</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铝门窗框安装及锚固件</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A、检查水平线，划垂直线、进出线。</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B、检查平整度、垂直度及对角度。</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C、窗框安装必须牢固，膨胀螺栓不能牢固于抹灰及砖缝上。</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D、固定拉片射钉位置应在钢筋混凝土位置或预制混凝土块，否则必须采用膨胀螺钉固定。</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E、固定拉片必须为热镀锌，并检查是否有生锈现象。</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F、锚固件之间的间距不应大于500mm，锚固件距墙角不得大于200mm。</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G、外框成品保护必须采用三面包裝方式，如保护膜脱落必须重新补贴。</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H、防雷连接必须满足有关要求。</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I、乙方须核对窗及门扇之开启方向并确定窗门扇及框之安装位置。</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填塞及收口</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A、乙须确保填塞材料为审批品牌及型号。</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B、发泡胶填塞以及收口施工完毕后必须通过隐蔽验收方可进行下一道工序。</w:t>
      </w:r>
    </w:p>
    <w:p>
      <w:pPr>
        <w:spacing w:line="360" w:lineRule="auto"/>
        <w:ind w:firstLine="547" w:firstLineChars="228"/>
        <w:rPr>
          <w:rFonts w:ascii="宋体" w:hAnsi="宋体" w:eastAsia="宋体" w:cs="宋体"/>
          <w:bCs/>
          <w:strike/>
          <w:sz w:val="24"/>
          <w:szCs w:val="24"/>
          <w:highlight w:val="none"/>
        </w:rPr>
      </w:pPr>
      <w:r>
        <w:rPr>
          <w:rFonts w:hint="eastAsia" w:ascii="宋体" w:hAnsi="宋体" w:eastAsia="宋体" w:cs="宋体"/>
          <w:bCs/>
          <w:sz w:val="24"/>
          <w:szCs w:val="24"/>
          <w:highlight w:val="none"/>
        </w:rPr>
        <w:t>C、发泡胶填塞收口必须密实。发泡胶填塞应控制在1~1.5cm之间，不得大于1.5cm。</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铝门窗最终实物检查</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A、乙方须提交最终自检报告予甲方及监理审核。</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B、检查铝材表面污染、划痕、碰伤、色差、并缝空隙。</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C、检查五金件齐全、是否审批品牌、安装牢固包括螺钉是否松动或脱落、开启灵活。</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D、检查密封胶条是位松脱、顺直且不得间断。</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E、检查结构胶和密封胶胶形呈45度、顺直、平整及不得间断，密封胶颜色需经甲方及监理同意方可采用。</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F、窗扇开启方向正确且开启畅顺，检查门窗关闭时，框与扇无明显缝隙以及关闭紧密。</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G、检查玻璃材料表面污染、划痕、碰伤、所须3C标志及色差。</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乙方须安排足够人手包括验收、调试及整改人手以配合甲方及监理之最终验收。</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8、产品包装和保护要求</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8.1在产品明显部位应注明产品标志：制造厂名或商标、产品名称、产品型号规格、安装部位、制造日期、编号等。</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8.2型材正表面用胶质薄膜保护，窗框四角及容易磨损的部位采用防撞击及摩擦措施。运输中捆扎稳妥，以保证产品不受磨擦损伤。对没有进行保护或受损的产品，甲方有权拒收，由此产生的一切工期和经济损失均由乙方承担。</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8.3门窗安装时外框四周采用三面包装方式，即：除与墙体接触的部位外均采用纸质或胶带包装，与墙体接触的部位不进行包装，门窗外框与墙体间隙注胶（发泡剂）完毕后直到装玻璃前方能去除包装物。</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8.4乙方必须提供产品安装后详细的保护措施（包括但不限于：铝合金型材包塑料胶带、玻璃贴保护膜、门框下槛用胶合板钉木盒予以保护等，该成品保护措施费用已包含在综合单价中），并配合总包土建单位进行监督和保护，直至工程验收通过并完成相应的门窗保护材料的清理工作。</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8.5在完成正式验收之前，乙方承担成品保护的责任。</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8.6铝门窗进入施工现场后应立即安放于室内竖直摆放，材料不能接触地面，底部用枕木垫起高于地面100mm以上，严禁与酸、碱性材料一起存放，室内应整洁、干燥及通风。</w:t>
      </w:r>
    </w:p>
    <w:p>
      <w:pPr>
        <w:spacing w:line="360" w:lineRule="auto"/>
        <w:ind w:firstLine="547" w:firstLineChars="228"/>
        <w:rPr>
          <w:rFonts w:ascii="宋体" w:hAnsi="宋体" w:eastAsia="宋体" w:cs="宋体"/>
          <w:bCs/>
          <w:sz w:val="24"/>
          <w:szCs w:val="24"/>
          <w:highlight w:val="none"/>
        </w:rPr>
      </w:pPr>
      <w:r>
        <w:rPr>
          <w:rFonts w:hint="eastAsia" w:ascii="宋体" w:hAnsi="宋体" w:eastAsia="宋体" w:cs="宋体"/>
          <w:bCs/>
          <w:sz w:val="24"/>
          <w:szCs w:val="24"/>
          <w:highlight w:val="none"/>
        </w:rPr>
        <w:t>8.7乙方应注意门窗施工单位自身及其它施工单位于进行焊接作业时，应采取有效措施，防止电焊火花损坏周围的铝门窗型材、玻璃、附件等材料。</w:t>
      </w:r>
    </w:p>
    <w:p>
      <w:pPr>
        <w:tabs>
          <w:tab w:val="left" w:pos="0"/>
        </w:tabs>
        <w:wordWrap w:val="0"/>
        <w:overflowPunct w:val="0"/>
        <w:topLinePunct/>
        <w:autoSpaceDE w:val="0"/>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七-2、外墙漆技术规范及质量要求</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甲控乙供主材一览表：</w:t>
      </w:r>
    </w:p>
    <w:tbl>
      <w:tblPr>
        <w:tblStyle w:val="20"/>
        <w:tblW w:w="8708"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5"/>
        <w:gridCol w:w="6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95" w:type="dxa"/>
            <w:vAlign w:val="center"/>
          </w:tcPr>
          <w:p>
            <w:pPr>
              <w:widowControl/>
              <w:spacing w:line="360" w:lineRule="auto"/>
              <w:jc w:val="center"/>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材料名称</w:t>
            </w:r>
          </w:p>
        </w:tc>
        <w:tc>
          <w:tcPr>
            <w:tcW w:w="6213" w:type="dxa"/>
            <w:vAlign w:val="center"/>
          </w:tcPr>
          <w:p>
            <w:pPr>
              <w:widowControl/>
              <w:spacing w:line="360" w:lineRule="auto"/>
              <w:jc w:val="center"/>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指定厂家和品牌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exact"/>
        </w:trPr>
        <w:tc>
          <w:tcPr>
            <w:tcW w:w="2495" w:type="dxa"/>
            <w:vAlign w:val="center"/>
          </w:tcPr>
          <w:p>
            <w:pPr>
              <w:widowControl/>
              <w:spacing w:line="360" w:lineRule="auto"/>
              <w:jc w:val="center"/>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外墙腻子</w:t>
            </w:r>
          </w:p>
        </w:tc>
        <w:tc>
          <w:tcPr>
            <w:tcW w:w="6213" w:type="dxa"/>
            <w:vAlign w:val="center"/>
          </w:tcPr>
          <w:p>
            <w:pPr>
              <w:widowControl/>
              <w:spacing w:line="360" w:lineRule="auto"/>
              <w:jc w:val="center"/>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“阿力克”、“胖子”、“立邦”、“天津荣新”、等品牌，由投标方自选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2495" w:type="dxa"/>
            <w:vAlign w:val="center"/>
          </w:tcPr>
          <w:p>
            <w:pPr>
              <w:widowControl/>
              <w:spacing w:line="360" w:lineRule="auto"/>
              <w:jc w:val="center"/>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抹面砂浆</w:t>
            </w:r>
          </w:p>
        </w:tc>
        <w:tc>
          <w:tcPr>
            <w:tcW w:w="6213" w:type="dxa"/>
            <w:vAlign w:val="center"/>
          </w:tcPr>
          <w:p>
            <w:pPr>
              <w:widowControl/>
              <w:spacing w:line="360" w:lineRule="auto"/>
              <w:jc w:val="center"/>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“阿力克”、“立邦”、“德嘉丽”等品牌由投标方自选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trPr>
        <w:tc>
          <w:tcPr>
            <w:tcW w:w="2495" w:type="dxa"/>
            <w:vAlign w:val="center"/>
          </w:tcPr>
          <w:p>
            <w:pPr>
              <w:widowControl/>
              <w:spacing w:line="360" w:lineRule="auto"/>
              <w:jc w:val="center"/>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底漆、饰面漆</w:t>
            </w:r>
          </w:p>
        </w:tc>
        <w:tc>
          <w:tcPr>
            <w:tcW w:w="6213" w:type="dxa"/>
            <w:vAlign w:val="center"/>
          </w:tcPr>
          <w:p>
            <w:pPr>
              <w:widowControl/>
              <w:spacing w:line="360" w:lineRule="auto"/>
              <w:jc w:val="center"/>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“多乐士”、“三棵树”、“立邦” “富思特”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trPr>
        <w:tc>
          <w:tcPr>
            <w:tcW w:w="2495" w:type="dxa"/>
            <w:vAlign w:val="center"/>
          </w:tcPr>
          <w:p>
            <w:pPr>
              <w:widowControl/>
              <w:spacing w:line="360" w:lineRule="auto"/>
              <w:jc w:val="center"/>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保温</w:t>
            </w:r>
          </w:p>
        </w:tc>
        <w:tc>
          <w:tcPr>
            <w:tcW w:w="6213" w:type="dxa"/>
            <w:vAlign w:val="center"/>
          </w:tcPr>
          <w:p>
            <w:pPr>
              <w:widowControl/>
              <w:spacing w:line="360" w:lineRule="auto"/>
              <w:jc w:val="center"/>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按设计标准</w:t>
            </w:r>
          </w:p>
        </w:tc>
      </w:tr>
    </w:tbl>
    <w:p>
      <w:pPr>
        <w:pStyle w:val="25"/>
        <w:rPr>
          <w:highlight w:val="none"/>
        </w:rPr>
      </w:pPr>
    </w:p>
    <w:p>
      <w:pPr>
        <w:tabs>
          <w:tab w:val="left" w:pos="0"/>
        </w:tabs>
        <w:wordWrap w:val="0"/>
        <w:overflowPunct w:val="0"/>
        <w:topLinePunct/>
        <w:autoSpaceDE w:val="0"/>
        <w:spacing w:line="360" w:lineRule="auto"/>
        <w:ind w:firstLine="482" w:firstLineChars="200"/>
        <w:rPr>
          <w:rFonts w:ascii="宋体" w:hAnsi="宋体" w:eastAsia="宋体" w:cs="宋体"/>
          <w:b/>
          <w:bCs/>
          <w:sz w:val="24"/>
          <w:highlight w:val="none"/>
        </w:rPr>
      </w:pPr>
      <w:r>
        <w:rPr>
          <w:rFonts w:hint="eastAsia" w:ascii="宋体" w:hAnsi="宋体" w:eastAsia="宋体" w:cs="宋体"/>
          <w:b/>
          <w:bCs/>
          <w:sz w:val="24"/>
          <w:highlight w:val="none"/>
        </w:rPr>
        <w:t>1、国家、地方、行业相关的主要设计规范、规定及标准包括但不限于：</w:t>
      </w:r>
    </w:p>
    <w:p>
      <w:pPr>
        <w:tabs>
          <w:tab w:val="left" w:pos="1080"/>
        </w:tabs>
        <w:overflowPunct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《建筑工程施工质量验收统一标准》        GB50300-2013</w:t>
      </w:r>
    </w:p>
    <w:p>
      <w:pPr>
        <w:tabs>
          <w:tab w:val="left" w:pos="1080"/>
        </w:tabs>
        <w:overflowPunct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《建筑装饰装修工程质量验收规范》        GB50210-2018</w:t>
      </w:r>
    </w:p>
    <w:p>
      <w:pPr>
        <w:tabs>
          <w:tab w:val="left" w:pos="1080"/>
        </w:tabs>
        <w:overflowPunct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《河南省工程建设标准设计》              12YJ1~14</w:t>
      </w:r>
    </w:p>
    <w:p>
      <w:pPr>
        <w:tabs>
          <w:tab w:val="left" w:pos="1080"/>
        </w:tabs>
        <w:overflowPunct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《外墙保温工程技术规程》                JGJ 144-2019</w:t>
      </w:r>
    </w:p>
    <w:p>
      <w:pPr>
        <w:tabs>
          <w:tab w:val="left" w:pos="1080"/>
        </w:tabs>
        <w:overflowPunct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《建筑施工安全检查标准》                JGJ59-2011</w:t>
      </w:r>
    </w:p>
    <w:p>
      <w:pPr>
        <w:tabs>
          <w:tab w:val="left" w:pos="1080"/>
        </w:tabs>
        <w:overflowPunct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《施工现场临时用电安全技术规范》        JGJ46-2005</w:t>
      </w:r>
    </w:p>
    <w:p>
      <w:pPr>
        <w:pStyle w:val="8"/>
        <w:overflowPunct w:val="0"/>
        <w:ind w:firstLine="480" w:firstLineChars="200"/>
        <w:rPr>
          <w:rFonts w:ascii="宋体" w:hAnsi="宋体" w:eastAsia="宋体" w:cs="宋体"/>
          <w:highlight w:val="none"/>
        </w:rPr>
      </w:pPr>
      <w:r>
        <w:rPr>
          <w:rFonts w:hint="eastAsia" w:ascii="宋体" w:hAnsi="宋体" w:eastAsia="宋体" w:cs="宋体"/>
          <w:sz w:val="24"/>
          <w:szCs w:val="24"/>
          <w:highlight w:val="none"/>
        </w:rPr>
        <w:t>《建筑施工高处作业安全技术规范》JGJ 80-2016</w:t>
      </w:r>
    </w:p>
    <w:p>
      <w:pPr>
        <w:pStyle w:val="9"/>
        <w:overflowPunct w:val="0"/>
        <w:spacing w:line="360" w:lineRule="auto"/>
        <w:rPr>
          <w:rFonts w:hAnsi="宋体"/>
          <w:color w:val="auto"/>
          <w:highlight w:val="none"/>
        </w:rPr>
      </w:pPr>
      <w:r>
        <w:rPr>
          <w:rFonts w:hint="eastAsia" w:hAnsi="宋体"/>
          <w:color w:val="auto"/>
          <w:highlight w:val="none"/>
        </w:rPr>
        <w:t xml:space="preserve">    《建筑施工安全技术统一规范》            GB50870-2013</w:t>
      </w:r>
    </w:p>
    <w:p>
      <w:pPr>
        <w:overflowPunct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《浩德地产外墙涂饰施工工艺标准》</w:t>
      </w:r>
    </w:p>
    <w:p>
      <w:pPr>
        <w:pStyle w:val="8"/>
        <w:overflowPunct w:val="0"/>
        <w:rPr>
          <w:rFonts w:ascii="宋体" w:hAnsi="宋体" w:eastAsia="宋体" w:cs="宋体"/>
          <w:highlight w:val="none"/>
        </w:rPr>
      </w:pPr>
      <w:r>
        <w:rPr>
          <w:rFonts w:hint="eastAsia" w:ascii="宋体" w:hAnsi="宋体" w:eastAsia="宋体" w:cs="宋体"/>
          <w:sz w:val="24"/>
          <w:szCs w:val="24"/>
          <w:highlight w:val="none"/>
        </w:rPr>
        <w:t>《中浩德地产集团工程精细化手册1.0工艺标准》</w:t>
      </w:r>
    </w:p>
    <w:p>
      <w:pPr>
        <w:overflowPunct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与本工程有关的其他技术规范和验收标准</w:t>
      </w:r>
    </w:p>
    <w:p>
      <w:pPr>
        <w:wordWrap w:val="0"/>
        <w:overflowPunct w:val="0"/>
        <w:topLinePunct/>
        <w:autoSpaceDE w:val="0"/>
        <w:spacing w:line="360" w:lineRule="auto"/>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说明：</w:t>
      </w:r>
    </w:p>
    <w:p>
      <w:pPr>
        <w:wordWrap w:val="0"/>
        <w:overflowPunct w:val="0"/>
        <w:topLinePunct/>
        <w:autoSpaceDE w:val="0"/>
        <w:spacing w:line="360" w:lineRule="auto"/>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1.1、以上引用标准，如果已有更新标准，则执行合同签订之日前的最新标准。</w:t>
      </w:r>
    </w:p>
    <w:p>
      <w:pPr>
        <w:wordWrap w:val="0"/>
        <w:overflowPunct w:val="0"/>
        <w:topLinePunct/>
        <w:autoSpaceDE w:val="0"/>
        <w:spacing w:line="360" w:lineRule="auto"/>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1.2、以上只列出一些主要规范、标准，本项目涉及的有关内容按相应规范、标准执行；</w:t>
      </w:r>
    </w:p>
    <w:p>
      <w:pPr>
        <w:wordWrap w:val="0"/>
        <w:overflowPunct w:val="0"/>
        <w:topLinePunct/>
        <w:autoSpaceDE w:val="0"/>
        <w:spacing w:line="360" w:lineRule="auto"/>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1.3、以上所列的主要技术标准和规范，如未能达到国际或国内最新标准时，乙方应在施工及选用设备和材料时按最近的国际或国内标准执行，并提供采用的国际或国内标准、规范和所应用的最新版本的有关技术依据资料。</w:t>
      </w:r>
    </w:p>
    <w:p>
      <w:pPr>
        <w:wordWrap w:val="0"/>
        <w:overflowPunct w:val="0"/>
        <w:topLinePunct/>
        <w:autoSpaceDE w:val="0"/>
        <w:spacing w:line="360" w:lineRule="auto"/>
        <w:ind w:firstLine="482" w:firstLineChars="200"/>
        <w:rPr>
          <w:rFonts w:ascii="宋体" w:hAnsi="宋体" w:eastAsia="宋体" w:cs="宋体"/>
          <w:b/>
          <w:sz w:val="24"/>
          <w:szCs w:val="24"/>
          <w:highlight w:val="none"/>
        </w:rPr>
      </w:pPr>
      <w:r>
        <w:rPr>
          <w:rFonts w:hint="eastAsia" w:ascii="宋体" w:hAnsi="宋体" w:eastAsia="宋体" w:cs="宋体"/>
          <w:b/>
          <w:sz w:val="24"/>
          <w:szCs w:val="24"/>
          <w:highlight w:val="none"/>
        </w:rPr>
        <w:t>2、技术要求</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1.在投标单位接收到招标文件后自行踏勘现场，饰面漆颜色效果与一标段保持一致，以甲方最终确认的封样为准，材料变更需经甲方书面认可并重新提供样品封存。</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 xml:space="preserve">2.投标单位送样经我司认可后将成为中标后施工样板，我司将按照样板规格及颜色进行检查及验收。 </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3、分割图设计：在接到中标通知书后，十日内将各楼宇的外墙漆施工分割方案提交我司，在我司审核确定后，按确定分割方案进行施工。</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4、外墙漆工程各涂层厚度适中，喷涂 丰满、平整，光泽统一，饰面美观，投标方应完全遵循以下技术要求，并在施工过程中严格按照步骤进行。</w:t>
      </w:r>
    </w:p>
    <w:p>
      <w:pPr>
        <w:pStyle w:val="2"/>
        <w:adjustRightInd/>
        <w:spacing w:line="360" w:lineRule="auto"/>
        <w:ind w:firstLine="480" w:firstLineChars="200"/>
        <w:jc w:val="both"/>
        <w:rPr>
          <w:rFonts w:hAnsi="宋体" w:cs="宋体"/>
          <w:b w:val="0"/>
          <w:bCs/>
          <w:szCs w:val="24"/>
          <w:highlight w:val="none"/>
        </w:rPr>
      </w:pPr>
      <w:r>
        <w:rPr>
          <w:rFonts w:hint="eastAsia" w:hAnsi="宋体" w:cs="宋体"/>
          <w:b w:val="0"/>
          <w:bCs/>
          <w:szCs w:val="24"/>
          <w:highlight w:val="none"/>
        </w:rPr>
        <w:t>（1）</w:t>
      </w:r>
      <w:r>
        <w:rPr>
          <w:rFonts w:hint="eastAsia" w:hAnsi="宋体" w:cs="宋体"/>
          <w:b w:val="0"/>
          <w:bCs/>
          <w:szCs w:val="24"/>
          <w:highlight w:val="none"/>
          <w:lang w:val="en-US" w:eastAsia="zh-CN"/>
        </w:rPr>
        <w:t>刮涂外墙漆</w:t>
      </w:r>
    </w:p>
    <w:tbl>
      <w:tblPr>
        <w:tblStyle w:val="20"/>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84"/>
        <w:gridCol w:w="1418"/>
        <w:gridCol w:w="1134"/>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11" w:type="dxa"/>
            <w:shd w:val="clear" w:color="auto" w:fill="auto"/>
            <w:noWrap/>
            <w:vAlign w:val="center"/>
          </w:tcPr>
          <w:p>
            <w:pPr>
              <w:widowControl/>
              <w:jc w:val="center"/>
              <w:rPr>
                <w:rFonts w:ascii="宋体" w:hAnsi="宋体" w:eastAsia="宋体" w:cs="宋体"/>
                <w:sz w:val="24"/>
                <w:szCs w:val="24"/>
                <w:highlight w:val="none"/>
              </w:rPr>
            </w:pPr>
            <w:r>
              <w:rPr>
                <w:rFonts w:hint="eastAsia" w:ascii="宋体" w:hAnsi="宋体" w:eastAsia="宋体" w:cs="宋体"/>
                <w:sz w:val="24"/>
                <w:szCs w:val="24"/>
                <w:highlight w:val="none"/>
              </w:rPr>
              <w:t>工序</w:t>
            </w:r>
          </w:p>
        </w:tc>
        <w:tc>
          <w:tcPr>
            <w:tcW w:w="1984" w:type="dxa"/>
            <w:shd w:val="clear" w:color="auto" w:fill="auto"/>
            <w:noWrap/>
            <w:vAlign w:val="center"/>
          </w:tcPr>
          <w:p>
            <w:pPr>
              <w:widowControl/>
              <w:jc w:val="center"/>
              <w:rPr>
                <w:rFonts w:ascii="宋体" w:hAnsi="宋体" w:eastAsia="宋体" w:cs="宋体"/>
                <w:sz w:val="24"/>
                <w:szCs w:val="24"/>
                <w:highlight w:val="none"/>
              </w:rPr>
            </w:pPr>
            <w:r>
              <w:rPr>
                <w:rFonts w:hint="eastAsia" w:ascii="宋体" w:hAnsi="宋体" w:eastAsia="宋体" w:cs="宋体"/>
                <w:sz w:val="24"/>
                <w:szCs w:val="24"/>
                <w:highlight w:val="none"/>
              </w:rPr>
              <w:t>涂料名称</w:t>
            </w:r>
          </w:p>
        </w:tc>
        <w:tc>
          <w:tcPr>
            <w:tcW w:w="1418" w:type="dxa"/>
            <w:shd w:val="clear" w:color="auto" w:fill="auto"/>
            <w:noWrap/>
            <w:vAlign w:val="center"/>
          </w:tcPr>
          <w:p>
            <w:pPr>
              <w:widowControl/>
              <w:jc w:val="center"/>
              <w:rPr>
                <w:rFonts w:ascii="宋体" w:hAnsi="宋体" w:eastAsia="宋体" w:cs="宋体"/>
                <w:sz w:val="24"/>
                <w:szCs w:val="24"/>
                <w:highlight w:val="none"/>
              </w:rPr>
            </w:pPr>
            <w:r>
              <w:rPr>
                <w:rFonts w:hint="eastAsia" w:ascii="宋体" w:hAnsi="宋体" w:eastAsia="宋体" w:cs="宋体"/>
                <w:sz w:val="24"/>
                <w:szCs w:val="24"/>
                <w:highlight w:val="none"/>
              </w:rPr>
              <w:t>涂装方式</w:t>
            </w:r>
          </w:p>
        </w:tc>
        <w:tc>
          <w:tcPr>
            <w:tcW w:w="1134" w:type="dxa"/>
            <w:shd w:val="clear" w:color="auto" w:fill="auto"/>
            <w:noWrap/>
            <w:vAlign w:val="center"/>
          </w:tcPr>
          <w:p>
            <w:pPr>
              <w:widowControl/>
              <w:jc w:val="center"/>
              <w:rPr>
                <w:rFonts w:ascii="宋体" w:hAnsi="宋体" w:eastAsia="宋体" w:cs="宋体"/>
                <w:sz w:val="24"/>
                <w:szCs w:val="24"/>
                <w:highlight w:val="none"/>
              </w:rPr>
            </w:pPr>
            <w:r>
              <w:rPr>
                <w:rFonts w:hint="eastAsia" w:ascii="宋体" w:hAnsi="宋体" w:eastAsia="宋体" w:cs="宋体"/>
                <w:sz w:val="24"/>
                <w:szCs w:val="24"/>
                <w:highlight w:val="none"/>
              </w:rPr>
              <w:t>涂装</w:t>
            </w:r>
          </w:p>
          <w:p>
            <w:pPr>
              <w:widowControl/>
              <w:jc w:val="center"/>
              <w:rPr>
                <w:rFonts w:ascii="宋体" w:hAnsi="宋体" w:eastAsia="宋体" w:cs="宋体"/>
                <w:sz w:val="24"/>
                <w:szCs w:val="24"/>
                <w:highlight w:val="none"/>
              </w:rPr>
            </w:pPr>
            <w:r>
              <w:rPr>
                <w:rFonts w:hint="eastAsia" w:ascii="宋体" w:hAnsi="宋体" w:eastAsia="宋体" w:cs="宋体"/>
                <w:sz w:val="24"/>
                <w:szCs w:val="24"/>
                <w:highlight w:val="none"/>
              </w:rPr>
              <w:t>道数</w:t>
            </w:r>
          </w:p>
        </w:tc>
        <w:tc>
          <w:tcPr>
            <w:tcW w:w="2693" w:type="dxa"/>
            <w:shd w:val="clear" w:color="auto" w:fill="auto"/>
            <w:noWrap/>
            <w:vAlign w:val="center"/>
          </w:tcPr>
          <w:p>
            <w:pPr>
              <w:widowControl/>
              <w:jc w:val="center"/>
              <w:rPr>
                <w:rFonts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511" w:type="dxa"/>
            <w:noWrap/>
            <w:vAlign w:val="center"/>
          </w:tcPr>
          <w:p>
            <w:pPr>
              <w:widowControl/>
              <w:jc w:val="center"/>
              <w:rPr>
                <w:rFonts w:ascii="宋体" w:hAnsi="宋体" w:eastAsia="宋体" w:cs="宋体"/>
                <w:sz w:val="24"/>
                <w:szCs w:val="24"/>
                <w:highlight w:val="none"/>
              </w:rPr>
            </w:pPr>
            <w:r>
              <w:rPr>
                <w:rFonts w:hint="eastAsia" w:ascii="宋体" w:hAnsi="宋体" w:eastAsia="宋体" w:cs="宋体"/>
                <w:sz w:val="24"/>
                <w:szCs w:val="24"/>
                <w:highlight w:val="none"/>
              </w:rPr>
              <w:t>基层找平</w:t>
            </w:r>
          </w:p>
        </w:tc>
        <w:tc>
          <w:tcPr>
            <w:tcW w:w="1984" w:type="dxa"/>
            <w:noWrap/>
            <w:vAlign w:val="center"/>
          </w:tcPr>
          <w:p>
            <w:pPr>
              <w:jc w:val="left"/>
              <w:rPr>
                <w:rFonts w:ascii="宋体" w:hAnsi="宋体" w:eastAsia="宋体" w:cs="宋体"/>
                <w:bCs/>
                <w:sz w:val="24"/>
                <w:szCs w:val="24"/>
                <w:highlight w:val="none"/>
              </w:rPr>
            </w:pPr>
            <w:r>
              <w:rPr>
                <w:rFonts w:hint="eastAsia" w:ascii="宋体" w:hAnsi="宋体" w:eastAsia="宋体" w:cs="宋体"/>
                <w:bCs/>
                <w:sz w:val="24"/>
                <w:szCs w:val="24"/>
                <w:highlight w:val="none"/>
              </w:rPr>
              <w:t>外墙耐水腻子</w:t>
            </w:r>
          </w:p>
        </w:tc>
        <w:tc>
          <w:tcPr>
            <w:tcW w:w="1418" w:type="dxa"/>
            <w:noWrap/>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刮涂</w:t>
            </w:r>
          </w:p>
        </w:tc>
        <w:tc>
          <w:tcPr>
            <w:tcW w:w="1134" w:type="dxa"/>
            <w:noWrap/>
            <w:vAlign w:val="center"/>
          </w:tcPr>
          <w:p>
            <w:pPr>
              <w:widowControl/>
              <w:jc w:val="center"/>
              <w:rPr>
                <w:rFonts w:ascii="宋体" w:hAnsi="宋体" w:eastAsia="宋体" w:cs="宋体"/>
                <w:sz w:val="24"/>
                <w:szCs w:val="24"/>
                <w:highlight w:val="none"/>
              </w:rPr>
            </w:pPr>
            <w:r>
              <w:rPr>
                <w:rFonts w:hint="eastAsia" w:ascii="宋体" w:hAnsi="宋体" w:eastAsia="宋体" w:cs="宋体"/>
                <w:sz w:val="24"/>
                <w:szCs w:val="24"/>
                <w:highlight w:val="none"/>
              </w:rPr>
              <w:t>1-2</w:t>
            </w:r>
          </w:p>
        </w:tc>
        <w:tc>
          <w:tcPr>
            <w:tcW w:w="2693" w:type="dxa"/>
            <w:noWrap/>
            <w:vAlign w:val="center"/>
          </w:tcPr>
          <w:p>
            <w:pPr>
              <w:widowControl/>
              <w:jc w:val="left"/>
              <w:rPr>
                <w:rFonts w:ascii="宋体" w:hAnsi="宋体" w:eastAsia="宋体" w:cs="宋体"/>
                <w:sz w:val="24"/>
                <w:szCs w:val="24"/>
                <w:highlight w:val="none"/>
              </w:rPr>
            </w:pPr>
            <w:r>
              <w:rPr>
                <w:rFonts w:hint="eastAsia" w:ascii="宋体" w:hAnsi="宋体" w:eastAsia="宋体" w:cs="宋体"/>
                <w:sz w:val="24"/>
                <w:szCs w:val="24"/>
                <w:highlight w:val="none"/>
              </w:rPr>
              <w:t>实际耗量与墙体的平整度有差异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11" w:type="dxa"/>
            <w:noWrap/>
            <w:vAlign w:val="center"/>
          </w:tcPr>
          <w:p>
            <w:pPr>
              <w:widowControl/>
              <w:jc w:val="center"/>
              <w:rPr>
                <w:rFonts w:ascii="宋体" w:hAnsi="宋体" w:eastAsia="宋体" w:cs="宋体"/>
                <w:sz w:val="24"/>
                <w:szCs w:val="24"/>
                <w:highlight w:val="none"/>
              </w:rPr>
            </w:pPr>
            <w:r>
              <w:rPr>
                <w:rFonts w:hint="eastAsia" w:ascii="宋体" w:hAnsi="宋体" w:eastAsia="宋体" w:cs="宋体"/>
                <w:sz w:val="24"/>
                <w:szCs w:val="24"/>
                <w:highlight w:val="none"/>
              </w:rPr>
              <w:t>底漆</w:t>
            </w:r>
          </w:p>
        </w:tc>
        <w:tc>
          <w:tcPr>
            <w:tcW w:w="1984" w:type="dxa"/>
            <w:noWrap/>
            <w:vAlign w:val="center"/>
          </w:tcPr>
          <w:p>
            <w:pPr>
              <w:jc w:val="left"/>
              <w:rPr>
                <w:rFonts w:ascii="宋体" w:hAnsi="宋体" w:eastAsia="宋体" w:cs="宋体"/>
                <w:bCs/>
                <w:sz w:val="24"/>
                <w:szCs w:val="24"/>
                <w:highlight w:val="none"/>
              </w:rPr>
            </w:pPr>
            <w:r>
              <w:rPr>
                <w:rFonts w:hint="eastAsia" w:ascii="宋体" w:hAnsi="宋体" w:eastAsia="宋体" w:cs="宋体"/>
                <w:bCs/>
                <w:sz w:val="24"/>
                <w:szCs w:val="24"/>
                <w:highlight w:val="none"/>
              </w:rPr>
              <w:t>封闭抗碱底漆</w:t>
            </w:r>
          </w:p>
        </w:tc>
        <w:tc>
          <w:tcPr>
            <w:tcW w:w="1418" w:type="dxa"/>
            <w:noWrap/>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辊涂</w:t>
            </w:r>
          </w:p>
        </w:tc>
        <w:tc>
          <w:tcPr>
            <w:tcW w:w="1134" w:type="dxa"/>
            <w:noWrap/>
            <w:vAlign w:val="center"/>
          </w:tcPr>
          <w:p>
            <w:pPr>
              <w:widowControl/>
              <w:jc w:val="cente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2693" w:type="dxa"/>
            <w:noWrap/>
            <w:vAlign w:val="center"/>
          </w:tcPr>
          <w:p>
            <w:pPr>
              <w:jc w:val="left"/>
              <w:rPr>
                <w:rFonts w:ascii="宋体" w:hAnsi="宋体" w:eastAsia="宋体" w:cs="宋体"/>
                <w:sz w:val="24"/>
                <w:szCs w:val="24"/>
                <w:highlight w:val="none"/>
              </w:rPr>
            </w:pPr>
            <w:r>
              <w:rPr>
                <w:rFonts w:hint="eastAsia" w:ascii="宋体" w:hAnsi="宋体" w:eastAsia="宋体" w:cs="宋体"/>
                <w:sz w:val="24"/>
                <w:szCs w:val="24"/>
                <w:highlight w:val="none"/>
              </w:rPr>
              <w:t>实际耗量与墙体的粗糙度有差异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11" w:type="dxa"/>
            <w:noWrap/>
            <w:vAlign w:val="center"/>
          </w:tcPr>
          <w:p>
            <w:pPr>
              <w:widowControl/>
              <w:jc w:val="center"/>
              <w:rPr>
                <w:rFonts w:ascii="宋体" w:hAnsi="宋体" w:eastAsia="宋体" w:cs="宋体"/>
                <w:sz w:val="24"/>
                <w:szCs w:val="24"/>
                <w:highlight w:val="none"/>
              </w:rPr>
            </w:pPr>
            <w:r>
              <w:rPr>
                <w:rFonts w:hint="eastAsia" w:ascii="宋体" w:hAnsi="宋体" w:eastAsia="宋体" w:cs="宋体"/>
                <w:sz w:val="24"/>
                <w:szCs w:val="24"/>
                <w:highlight w:val="none"/>
              </w:rPr>
              <w:t>中涂</w:t>
            </w:r>
          </w:p>
        </w:tc>
        <w:tc>
          <w:tcPr>
            <w:tcW w:w="1984" w:type="dxa"/>
            <w:noWrap/>
            <w:vAlign w:val="center"/>
          </w:tcPr>
          <w:p>
            <w:pPr>
              <w:jc w:val="left"/>
              <w:rPr>
                <w:rFonts w:ascii="宋体" w:hAnsi="宋体" w:eastAsia="宋体" w:cs="宋体"/>
                <w:bCs/>
                <w:sz w:val="24"/>
                <w:szCs w:val="24"/>
                <w:highlight w:val="none"/>
              </w:rPr>
            </w:pPr>
            <w:r>
              <w:rPr>
                <w:rFonts w:hint="eastAsia" w:ascii="宋体" w:hAnsi="宋体" w:eastAsia="宋体" w:cs="宋体"/>
                <w:sz w:val="24"/>
                <w:szCs w:val="24"/>
                <w:highlight w:val="none"/>
              </w:rPr>
              <w:t>真石面漆</w:t>
            </w:r>
          </w:p>
        </w:tc>
        <w:tc>
          <w:tcPr>
            <w:tcW w:w="1418" w:type="dxa"/>
            <w:noWrap/>
            <w:vAlign w:val="center"/>
          </w:tcPr>
          <w:p>
            <w:pPr>
              <w:widowControl/>
              <w:jc w:val="center"/>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刮</w:t>
            </w:r>
            <w:r>
              <w:rPr>
                <w:rFonts w:hint="eastAsia" w:ascii="宋体" w:hAnsi="宋体" w:eastAsia="宋体" w:cs="宋体"/>
                <w:sz w:val="24"/>
                <w:szCs w:val="24"/>
                <w:highlight w:val="none"/>
              </w:rPr>
              <w:t>涂</w:t>
            </w:r>
          </w:p>
        </w:tc>
        <w:tc>
          <w:tcPr>
            <w:tcW w:w="1134" w:type="dxa"/>
            <w:noWrap/>
            <w:vAlign w:val="center"/>
          </w:tcPr>
          <w:p>
            <w:pPr>
              <w:widowControl/>
              <w:jc w:val="center"/>
              <w:rPr>
                <w:rFonts w:ascii="宋体" w:hAnsi="宋体" w:eastAsia="宋体" w:cs="宋体"/>
                <w:sz w:val="24"/>
                <w:szCs w:val="24"/>
                <w:highlight w:val="none"/>
              </w:rPr>
            </w:pPr>
            <w:r>
              <w:rPr>
                <w:rFonts w:hint="eastAsia" w:ascii="宋体" w:hAnsi="宋体" w:eastAsia="宋体" w:cs="宋体"/>
                <w:sz w:val="24"/>
                <w:szCs w:val="24"/>
                <w:highlight w:val="none"/>
              </w:rPr>
              <w:t>2</w:t>
            </w:r>
          </w:p>
        </w:tc>
        <w:tc>
          <w:tcPr>
            <w:tcW w:w="2693" w:type="dxa"/>
            <w:noWrap/>
            <w:vAlign w:val="center"/>
          </w:tcPr>
          <w:p>
            <w:pPr>
              <w:jc w:val="left"/>
              <w:rPr>
                <w:rFonts w:ascii="宋体" w:hAnsi="宋体" w:eastAsia="宋体" w:cs="宋体"/>
                <w:sz w:val="24"/>
                <w:szCs w:val="24"/>
                <w:highlight w:val="none"/>
              </w:rPr>
            </w:pPr>
            <w:r>
              <w:rPr>
                <w:rFonts w:hint="eastAsia" w:ascii="宋体" w:hAnsi="宋体" w:eastAsia="宋体" w:cs="宋体"/>
                <w:sz w:val="24"/>
                <w:szCs w:val="24"/>
                <w:highlight w:val="none"/>
              </w:rPr>
              <w:t>实际耗量与效果和厚度有差异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511" w:type="dxa"/>
            <w:noWrap/>
            <w:vAlign w:val="center"/>
          </w:tcPr>
          <w:p>
            <w:pPr>
              <w:widowControl/>
              <w:jc w:val="center"/>
              <w:rPr>
                <w:rFonts w:ascii="宋体" w:hAnsi="宋体" w:eastAsia="宋体" w:cs="宋体"/>
                <w:sz w:val="24"/>
                <w:szCs w:val="24"/>
                <w:highlight w:val="none"/>
              </w:rPr>
            </w:pPr>
            <w:r>
              <w:rPr>
                <w:rFonts w:hint="eastAsia" w:ascii="宋体" w:hAnsi="宋体" w:eastAsia="宋体" w:cs="宋体"/>
                <w:sz w:val="24"/>
                <w:szCs w:val="24"/>
                <w:highlight w:val="none"/>
              </w:rPr>
              <w:t>罩面清漆</w:t>
            </w:r>
          </w:p>
        </w:tc>
        <w:tc>
          <w:tcPr>
            <w:tcW w:w="1984" w:type="dxa"/>
            <w:noWrap/>
            <w:vAlign w:val="center"/>
          </w:tcPr>
          <w:p>
            <w:pPr>
              <w:widowControl/>
              <w:jc w:val="left"/>
              <w:rPr>
                <w:rFonts w:ascii="宋体" w:hAnsi="宋体" w:eastAsia="宋体" w:cs="宋体"/>
                <w:sz w:val="24"/>
                <w:szCs w:val="24"/>
                <w:highlight w:val="none"/>
              </w:rPr>
            </w:pPr>
            <w:r>
              <w:rPr>
                <w:rFonts w:hint="eastAsia" w:ascii="宋体" w:hAnsi="宋体" w:eastAsia="宋体" w:cs="宋体"/>
                <w:bCs/>
                <w:sz w:val="24"/>
                <w:szCs w:val="24"/>
                <w:highlight w:val="none"/>
              </w:rPr>
              <w:t>耐沾污罩面清漆</w:t>
            </w:r>
          </w:p>
        </w:tc>
        <w:tc>
          <w:tcPr>
            <w:tcW w:w="1418" w:type="dxa"/>
            <w:noWrap/>
            <w:vAlign w:val="center"/>
          </w:tcPr>
          <w:p>
            <w:pPr>
              <w:widowControl/>
              <w:jc w:val="center"/>
              <w:rPr>
                <w:rFonts w:ascii="宋体" w:hAnsi="宋体" w:eastAsia="宋体" w:cs="宋体"/>
                <w:sz w:val="24"/>
                <w:szCs w:val="24"/>
                <w:highlight w:val="none"/>
              </w:rPr>
            </w:pPr>
            <w:r>
              <w:rPr>
                <w:rFonts w:hint="eastAsia" w:ascii="宋体" w:hAnsi="宋体" w:eastAsia="宋体" w:cs="宋体"/>
                <w:sz w:val="24"/>
                <w:szCs w:val="24"/>
                <w:highlight w:val="none"/>
              </w:rPr>
              <w:t>辊涂</w:t>
            </w:r>
          </w:p>
        </w:tc>
        <w:tc>
          <w:tcPr>
            <w:tcW w:w="1134" w:type="dxa"/>
            <w:noWrap/>
            <w:vAlign w:val="center"/>
          </w:tcPr>
          <w:p>
            <w:pPr>
              <w:widowControl/>
              <w:jc w:val="cente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2693" w:type="dxa"/>
            <w:noWrap/>
            <w:vAlign w:val="center"/>
          </w:tcPr>
          <w:p>
            <w:pPr>
              <w:jc w:val="left"/>
              <w:rPr>
                <w:rFonts w:ascii="宋体" w:hAnsi="宋体" w:eastAsia="宋体" w:cs="宋体"/>
                <w:sz w:val="24"/>
                <w:szCs w:val="24"/>
                <w:highlight w:val="none"/>
              </w:rPr>
            </w:pPr>
            <w:r>
              <w:rPr>
                <w:rFonts w:hint="eastAsia" w:ascii="宋体" w:hAnsi="宋体" w:eastAsia="宋体" w:cs="宋体"/>
                <w:sz w:val="24"/>
                <w:szCs w:val="24"/>
                <w:highlight w:val="none"/>
              </w:rPr>
              <w:t>实际耗量与表面粗糙度有差异</w:t>
            </w:r>
          </w:p>
        </w:tc>
      </w:tr>
    </w:tbl>
    <w:p>
      <w:pPr>
        <w:pStyle w:val="2"/>
        <w:adjustRightInd/>
        <w:spacing w:line="360" w:lineRule="auto"/>
        <w:ind w:firstLine="480" w:firstLineChars="200"/>
        <w:jc w:val="both"/>
        <w:rPr>
          <w:rFonts w:hAnsi="宋体" w:cs="宋体"/>
          <w:b w:val="0"/>
          <w:bCs/>
          <w:szCs w:val="24"/>
          <w:highlight w:val="none"/>
        </w:rPr>
      </w:pPr>
      <w:r>
        <w:rPr>
          <w:rFonts w:hint="eastAsia" w:hAnsi="宋体" w:cs="宋体"/>
          <w:b w:val="0"/>
          <w:bCs/>
          <w:szCs w:val="24"/>
          <w:highlight w:val="none"/>
        </w:rPr>
        <w:t>（2）平涂乳胶漆</w:t>
      </w:r>
    </w:p>
    <w:tbl>
      <w:tblPr>
        <w:tblStyle w:val="20"/>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84"/>
        <w:gridCol w:w="1418"/>
        <w:gridCol w:w="1134"/>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11" w:type="dxa"/>
            <w:shd w:val="clear" w:color="auto" w:fill="auto"/>
            <w:noWrap/>
            <w:vAlign w:val="center"/>
          </w:tcPr>
          <w:p>
            <w:pPr>
              <w:widowControl/>
              <w:jc w:val="center"/>
              <w:rPr>
                <w:rFonts w:ascii="宋体" w:hAnsi="宋体" w:eastAsia="宋体" w:cs="宋体"/>
                <w:sz w:val="24"/>
                <w:szCs w:val="24"/>
                <w:highlight w:val="none"/>
              </w:rPr>
            </w:pPr>
            <w:r>
              <w:rPr>
                <w:rFonts w:hint="eastAsia" w:ascii="宋体" w:hAnsi="宋体" w:eastAsia="宋体" w:cs="宋体"/>
                <w:sz w:val="24"/>
                <w:szCs w:val="24"/>
                <w:highlight w:val="none"/>
              </w:rPr>
              <w:t>工序</w:t>
            </w:r>
          </w:p>
        </w:tc>
        <w:tc>
          <w:tcPr>
            <w:tcW w:w="1984" w:type="dxa"/>
            <w:shd w:val="clear" w:color="auto" w:fill="auto"/>
            <w:noWrap/>
            <w:vAlign w:val="center"/>
          </w:tcPr>
          <w:p>
            <w:pPr>
              <w:widowControl/>
              <w:jc w:val="center"/>
              <w:rPr>
                <w:rFonts w:ascii="宋体" w:hAnsi="宋体" w:eastAsia="宋体" w:cs="宋体"/>
                <w:sz w:val="24"/>
                <w:szCs w:val="24"/>
                <w:highlight w:val="none"/>
              </w:rPr>
            </w:pPr>
            <w:r>
              <w:rPr>
                <w:rFonts w:hint="eastAsia" w:ascii="宋体" w:hAnsi="宋体" w:eastAsia="宋体" w:cs="宋体"/>
                <w:sz w:val="24"/>
                <w:szCs w:val="24"/>
                <w:highlight w:val="none"/>
              </w:rPr>
              <w:t>涂料名称</w:t>
            </w:r>
          </w:p>
        </w:tc>
        <w:tc>
          <w:tcPr>
            <w:tcW w:w="1418" w:type="dxa"/>
            <w:shd w:val="clear" w:color="auto" w:fill="auto"/>
            <w:noWrap/>
            <w:vAlign w:val="center"/>
          </w:tcPr>
          <w:p>
            <w:pPr>
              <w:widowControl/>
              <w:jc w:val="center"/>
              <w:rPr>
                <w:rFonts w:ascii="宋体" w:hAnsi="宋体" w:eastAsia="宋体" w:cs="宋体"/>
                <w:sz w:val="24"/>
                <w:szCs w:val="24"/>
                <w:highlight w:val="none"/>
              </w:rPr>
            </w:pPr>
            <w:r>
              <w:rPr>
                <w:rFonts w:hint="eastAsia" w:ascii="宋体" w:hAnsi="宋体" w:eastAsia="宋体" w:cs="宋体"/>
                <w:sz w:val="24"/>
                <w:szCs w:val="24"/>
                <w:highlight w:val="none"/>
              </w:rPr>
              <w:t>涂装方式</w:t>
            </w:r>
          </w:p>
        </w:tc>
        <w:tc>
          <w:tcPr>
            <w:tcW w:w="1134" w:type="dxa"/>
            <w:shd w:val="clear" w:color="auto" w:fill="auto"/>
            <w:noWrap/>
            <w:vAlign w:val="center"/>
          </w:tcPr>
          <w:p>
            <w:pPr>
              <w:widowControl/>
              <w:jc w:val="center"/>
              <w:rPr>
                <w:rFonts w:ascii="宋体" w:hAnsi="宋体" w:eastAsia="宋体" w:cs="宋体"/>
                <w:sz w:val="24"/>
                <w:szCs w:val="24"/>
                <w:highlight w:val="none"/>
              </w:rPr>
            </w:pPr>
            <w:r>
              <w:rPr>
                <w:rFonts w:hint="eastAsia" w:ascii="宋体" w:hAnsi="宋体" w:eastAsia="宋体" w:cs="宋体"/>
                <w:sz w:val="24"/>
                <w:szCs w:val="24"/>
                <w:highlight w:val="none"/>
              </w:rPr>
              <w:t>涂装</w:t>
            </w:r>
          </w:p>
          <w:p>
            <w:pPr>
              <w:widowControl/>
              <w:jc w:val="center"/>
              <w:rPr>
                <w:rFonts w:ascii="宋体" w:hAnsi="宋体" w:eastAsia="宋体" w:cs="宋体"/>
                <w:sz w:val="24"/>
                <w:szCs w:val="24"/>
                <w:highlight w:val="none"/>
              </w:rPr>
            </w:pPr>
            <w:r>
              <w:rPr>
                <w:rFonts w:hint="eastAsia" w:ascii="宋体" w:hAnsi="宋体" w:eastAsia="宋体" w:cs="宋体"/>
                <w:sz w:val="24"/>
                <w:szCs w:val="24"/>
                <w:highlight w:val="none"/>
              </w:rPr>
              <w:t>道数</w:t>
            </w:r>
          </w:p>
        </w:tc>
        <w:tc>
          <w:tcPr>
            <w:tcW w:w="2693" w:type="dxa"/>
            <w:shd w:val="clear" w:color="auto" w:fill="auto"/>
            <w:noWrap/>
            <w:vAlign w:val="center"/>
          </w:tcPr>
          <w:p>
            <w:pPr>
              <w:widowControl/>
              <w:jc w:val="center"/>
              <w:rPr>
                <w:rFonts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511" w:type="dxa"/>
            <w:noWrap/>
            <w:vAlign w:val="center"/>
          </w:tcPr>
          <w:p>
            <w:pPr>
              <w:widowControl/>
              <w:jc w:val="center"/>
              <w:rPr>
                <w:rFonts w:ascii="宋体" w:hAnsi="宋体" w:eastAsia="宋体" w:cs="宋体"/>
                <w:sz w:val="24"/>
                <w:szCs w:val="24"/>
                <w:highlight w:val="none"/>
              </w:rPr>
            </w:pPr>
            <w:r>
              <w:rPr>
                <w:rFonts w:hint="eastAsia" w:ascii="宋体" w:hAnsi="宋体" w:eastAsia="宋体" w:cs="宋体"/>
                <w:sz w:val="24"/>
                <w:szCs w:val="24"/>
                <w:highlight w:val="none"/>
              </w:rPr>
              <w:t>基层找平</w:t>
            </w:r>
          </w:p>
        </w:tc>
        <w:tc>
          <w:tcPr>
            <w:tcW w:w="1984" w:type="dxa"/>
            <w:noWrap/>
            <w:vAlign w:val="center"/>
          </w:tcPr>
          <w:p>
            <w:pPr>
              <w:jc w:val="left"/>
              <w:rPr>
                <w:rFonts w:ascii="宋体" w:hAnsi="宋体" w:eastAsia="宋体" w:cs="宋体"/>
                <w:bCs/>
                <w:sz w:val="24"/>
                <w:szCs w:val="24"/>
                <w:highlight w:val="none"/>
              </w:rPr>
            </w:pPr>
            <w:r>
              <w:rPr>
                <w:rFonts w:hint="eastAsia" w:ascii="宋体" w:hAnsi="宋体" w:eastAsia="宋体" w:cs="宋体"/>
                <w:bCs/>
                <w:sz w:val="24"/>
                <w:szCs w:val="24"/>
                <w:highlight w:val="none"/>
              </w:rPr>
              <w:t>外墙耐水腻子</w:t>
            </w:r>
          </w:p>
        </w:tc>
        <w:tc>
          <w:tcPr>
            <w:tcW w:w="1418" w:type="dxa"/>
            <w:noWrap/>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刮涂</w:t>
            </w:r>
          </w:p>
        </w:tc>
        <w:tc>
          <w:tcPr>
            <w:tcW w:w="1134" w:type="dxa"/>
            <w:noWrap/>
            <w:vAlign w:val="center"/>
          </w:tcPr>
          <w:p>
            <w:pPr>
              <w:widowControl/>
              <w:jc w:val="center"/>
              <w:rPr>
                <w:rFonts w:ascii="宋体" w:hAnsi="宋体" w:eastAsia="宋体" w:cs="宋体"/>
                <w:sz w:val="24"/>
                <w:szCs w:val="24"/>
                <w:highlight w:val="none"/>
              </w:rPr>
            </w:pPr>
            <w:r>
              <w:rPr>
                <w:rFonts w:hint="eastAsia" w:ascii="宋体" w:hAnsi="宋体" w:eastAsia="宋体" w:cs="宋体"/>
                <w:sz w:val="24"/>
                <w:szCs w:val="24"/>
                <w:highlight w:val="none"/>
              </w:rPr>
              <w:t>1-2</w:t>
            </w:r>
          </w:p>
        </w:tc>
        <w:tc>
          <w:tcPr>
            <w:tcW w:w="2693" w:type="dxa"/>
            <w:noWrap/>
            <w:vAlign w:val="center"/>
          </w:tcPr>
          <w:p>
            <w:pPr>
              <w:widowControl/>
              <w:jc w:val="left"/>
              <w:rPr>
                <w:rFonts w:ascii="宋体" w:hAnsi="宋体" w:eastAsia="宋体" w:cs="宋体"/>
                <w:sz w:val="24"/>
                <w:szCs w:val="24"/>
                <w:highlight w:val="none"/>
              </w:rPr>
            </w:pPr>
            <w:r>
              <w:rPr>
                <w:rFonts w:hint="eastAsia" w:ascii="宋体" w:hAnsi="宋体" w:eastAsia="宋体" w:cs="宋体"/>
                <w:sz w:val="24"/>
                <w:szCs w:val="24"/>
                <w:highlight w:val="none"/>
              </w:rPr>
              <w:t>实际耗量与墙体的平整度有差异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11" w:type="dxa"/>
            <w:noWrap/>
            <w:vAlign w:val="center"/>
          </w:tcPr>
          <w:p>
            <w:pPr>
              <w:widowControl/>
              <w:jc w:val="center"/>
              <w:rPr>
                <w:rFonts w:ascii="宋体" w:hAnsi="宋体" w:eastAsia="宋体" w:cs="宋体"/>
                <w:sz w:val="24"/>
                <w:szCs w:val="24"/>
                <w:highlight w:val="none"/>
              </w:rPr>
            </w:pPr>
            <w:r>
              <w:rPr>
                <w:rFonts w:hint="eastAsia" w:ascii="宋体" w:hAnsi="宋体" w:eastAsia="宋体" w:cs="宋体"/>
                <w:sz w:val="24"/>
                <w:szCs w:val="24"/>
                <w:highlight w:val="none"/>
              </w:rPr>
              <w:t>底漆</w:t>
            </w:r>
          </w:p>
        </w:tc>
        <w:tc>
          <w:tcPr>
            <w:tcW w:w="1984" w:type="dxa"/>
            <w:noWrap/>
            <w:vAlign w:val="center"/>
          </w:tcPr>
          <w:p>
            <w:pPr>
              <w:jc w:val="left"/>
              <w:rPr>
                <w:rFonts w:ascii="宋体" w:hAnsi="宋体" w:eastAsia="宋体" w:cs="宋体"/>
                <w:bCs/>
                <w:sz w:val="24"/>
                <w:szCs w:val="24"/>
                <w:highlight w:val="none"/>
              </w:rPr>
            </w:pPr>
            <w:r>
              <w:rPr>
                <w:rFonts w:hint="eastAsia" w:ascii="宋体" w:hAnsi="宋体" w:eastAsia="宋体" w:cs="宋体"/>
                <w:bCs/>
                <w:sz w:val="24"/>
                <w:szCs w:val="24"/>
                <w:highlight w:val="none"/>
              </w:rPr>
              <w:t>封闭抗碱底漆（乳胶漆用）</w:t>
            </w:r>
          </w:p>
        </w:tc>
        <w:tc>
          <w:tcPr>
            <w:tcW w:w="1418" w:type="dxa"/>
            <w:noWrap/>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辊涂</w:t>
            </w:r>
          </w:p>
        </w:tc>
        <w:tc>
          <w:tcPr>
            <w:tcW w:w="1134" w:type="dxa"/>
            <w:noWrap/>
            <w:vAlign w:val="center"/>
          </w:tcPr>
          <w:p>
            <w:pPr>
              <w:widowControl/>
              <w:jc w:val="cente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2693" w:type="dxa"/>
            <w:noWrap/>
            <w:vAlign w:val="center"/>
          </w:tcPr>
          <w:p>
            <w:pPr>
              <w:jc w:val="left"/>
              <w:rPr>
                <w:rFonts w:ascii="宋体" w:hAnsi="宋体" w:eastAsia="宋体" w:cs="宋体"/>
                <w:sz w:val="24"/>
                <w:szCs w:val="24"/>
                <w:highlight w:val="none"/>
              </w:rPr>
            </w:pPr>
            <w:r>
              <w:rPr>
                <w:rFonts w:hint="eastAsia" w:ascii="宋体" w:hAnsi="宋体" w:eastAsia="宋体" w:cs="宋体"/>
                <w:sz w:val="24"/>
                <w:szCs w:val="24"/>
                <w:highlight w:val="none"/>
              </w:rPr>
              <w:t>实际耗量与墙体的粗糙度有差异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11" w:type="dxa"/>
            <w:noWrap/>
            <w:vAlign w:val="center"/>
          </w:tcPr>
          <w:p>
            <w:pPr>
              <w:widowControl/>
              <w:jc w:val="center"/>
              <w:rPr>
                <w:rFonts w:ascii="宋体" w:hAnsi="宋体" w:eastAsia="宋体" w:cs="宋体"/>
                <w:sz w:val="24"/>
                <w:szCs w:val="24"/>
                <w:highlight w:val="none"/>
              </w:rPr>
            </w:pPr>
            <w:r>
              <w:rPr>
                <w:rFonts w:hint="eastAsia" w:ascii="宋体" w:hAnsi="宋体" w:eastAsia="宋体" w:cs="宋体"/>
                <w:sz w:val="24"/>
                <w:szCs w:val="24"/>
                <w:highlight w:val="none"/>
              </w:rPr>
              <w:t>面漆</w:t>
            </w:r>
          </w:p>
        </w:tc>
        <w:tc>
          <w:tcPr>
            <w:tcW w:w="1984" w:type="dxa"/>
            <w:noWrap/>
            <w:vAlign w:val="center"/>
          </w:tcPr>
          <w:p>
            <w:pPr>
              <w:jc w:val="left"/>
              <w:rPr>
                <w:rFonts w:ascii="宋体" w:hAnsi="宋体" w:eastAsia="宋体" w:cs="宋体"/>
                <w:bCs/>
                <w:sz w:val="24"/>
                <w:szCs w:val="24"/>
                <w:highlight w:val="none"/>
              </w:rPr>
            </w:pPr>
            <w:r>
              <w:rPr>
                <w:rFonts w:hint="eastAsia" w:ascii="宋体" w:hAnsi="宋体" w:eastAsia="宋体" w:cs="宋体"/>
                <w:sz w:val="24"/>
                <w:szCs w:val="24"/>
                <w:highlight w:val="none"/>
              </w:rPr>
              <w:t>乳胶面漆</w:t>
            </w:r>
          </w:p>
        </w:tc>
        <w:tc>
          <w:tcPr>
            <w:tcW w:w="1418" w:type="dxa"/>
            <w:noWrap/>
            <w:vAlign w:val="center"/>
          </w:tcPr>
          <w:p>
            <w:pPr>
              <w:widowControl/>
              <w:jc w:val="center"/>
              <w:rPr>
                <w:rFonts w:ascii="宋体" w:hAnsi="宋体" w:eastAsia="宋体" w:cs="宋体"/>
                <w:sz w:val="24"/>
                <w:szCs w:val="24"/>
                <w:highlight w:val="none"/>
              </w:rPr>
            </w:pPr>
            <w:r>
              <w:rPr>
                <w:rFonts w:hint="eastAsia" w:ascii="宋体" w:hAnsi="宋体" w:eastAsia="宋体" w:cs="宋体"/>
                <w:sz w:val="24"/>
                <w:szCs w:val="24"/>
                <w:highlight w:val="none"/>
              </w:rPr>
              <w:t>平涂</w:t>
            </w:r>
          </w:p>
        </w:tc>
        <w:tc>
          <w:tcPr>
            <w:tcW w:w="1134" w:type="dxa"/>
            <w:noWrap/>
            <w:vAlign w:val="center"/>
          </w:tcPr>
          <w:p>
            <w:pPr>
              <w:widowControl/>
              <w:jc w:val="center"/>
              <w:rPr>
                <w:rFonts w:ascii="宋体" w:hAnsi="宋体" w:eastAsia="宋体" w:cs="宋体"/>
                <w:sz w:val="24"/>
                <w:szCs w:val="24"/>
                <w:highlight w:val="none"/>
              </w:rPr>
            </w:pPr>
            <w:r>
              <w:rPr>
                <w:rFonts w:hint="eastAsia" w:ascii="宋体" w:hAnsi="宋体" w:eastAsia="宋体" w:cs="宋体"/>
                <w:sz w:val="24"/>
                <w:szCs w:val="24"/>
                <w:highlight w:val="none"/>
              </w:rPr>
              <w:t>2</w:t>
            </w:r>
          </w:p>
        </w:tc>
        <w:tc>
          <w:tcPr>
            <w:tcW w:w="2693" w:type="dxa"/>
            <w:noWrap/>
            <w:vAlign w:val="center"/>
          </w:tcPr>
          <w:p>
            <w:pPr>
              <w:jc w:val="left"/>
              <w:rPr>
                <w:rFonts w:ascii="宋体" w:hAnsi="宋体" w:eastAsia="宋体" w:cs="宋体"/>
                <w:sz w:val="24"/>
                <w:szCs w:val="24"/>
                <w:highlight w:val="none"/>
              </w:rPr>
            </w:pPr>
            <w:r>
              <w:rPr>
                <w:rFonts w:hint="eastAsia" w:ascii="宋体" w:hAnsi="宋体" w:eastAsia="宋体" w:cs="宋体"/>
                <w:sz w:val="24"/>
                <w:szCs w:val="24"/>
                <w:highlight w:val="none"/>
              </w:rPr>
              <w:t>实际耗量与效果和厚度有差异</w:t>
            </w:r>
          </w:p>
        </w:tc>
      </w:tr>
    </w:tbl>
    <w:p>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5、施工工序构成：</w:t>
      </w:r>
    </w:p>
    <w:tbl>
      <w:tblPr>
        <w:tblStyle w:val="20"/>
        <w:tblW w:w="9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6"/>
        <w:gridCol w:w="1754"/>
        <w:gridCol w:w="7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06" w:type="dxa"/>
            <w:noWrap/>
            <w:tcMar>
              <w:top w:w="20" w:type="dxa"/>
              <w:left w:w="20" w:type="dxa"/>
              <w:bottom w:w="0" w:type="dxa"/>
              <w:right w:w="20" w:type="dxa"/>
            </w:tcMar>
            <w:vAlign w:val="center"/>
          </w:tcPr>
          <w:p>
            <w:pPr>
              <w:jc w:val="center"/>
              <w:rPr>
                <w:rFonts w:ascii="宋体" w:hAnsi="宋体" w:eastAsia="宋体" w:cs="宋体"/>
                <w:bCs/>
                <w:sz w:val="24"/>
                <w:szCs w:val="24"/>
                <w:highlight w:val="none"/>
              </w:rPr>
            </w:pPr>
            <w:r>
              <w:rPr>
                <w:rFonts w:hint="eastAsia" w:ascii="宋体" w:hAnsi="宋体" w:eastAsia="宋体" w:cs="宋体"/>
                <w:bCs/>
                <w:sz w:val="24"/>
                <w:szCs w:val="24"/>
                <w:highlight w:val="none"/>
              </w:rPr>
              <w:t>工序</w:t>
            </w:r>
          </w:p>
        </w:tc>
        <w:tc>
          <w:tcPr>
            <w:tcW w:w="1754" w:type="dxa"/>
            <w:noWrap/>
            <w:tcMar>
              <w:top w:w="20" w:type="dxa"/>
              <w:left w:w="20" w:type="dxa"/>
              <w:bottom w:w="0" w:type="dxa"/>
              <w:right w:w="20" w:type="dxa"/>
            </w:tcMar>
            <w:vAlign w:val="center"/>
          </w:tcPr>
          <w:p>
            <w:pPr>
              <w:jc w:val="center"/>
              <w:rPr>
                <w:rFonts w:ascii="宋体" w:hAnsi="宋体" w:eastAsia="宋体" w:cs="宋体"/>
                <w:bCs/>
                <w:sz w:val="24"/>
                <w:szCs w:val="24"/>
                <w:highlight w:val="none"/>
              </w:rPr>
            </w:pPr>
            <w:r>
              <w:rPr>
                <w:rFonts w:hint="eastAsia" w:ascii="宋体" w:hAnsi="宋体" w:eastAsia="宋体" w:cs="宋体"/>
                <w:bCs/>
                <w:sz w:val="24"/>
                <w:szCs w:val="24"/>
                <w:highlight w:val="none"/>
              </w:rPr>
              <w:t>工序及材料名称</w:t>
            </w:r>
          </w:p>
        </w:tc>
        <w:tc>
          <w:tcPr>
            <w:tcW w:w="7504" w:type="dxa"/>
            <w:noWrap/>
            <w:tcMar>
              <w:top w:w="20" w:type="dxa"/>
              <w:left w:w="20" w:type="dxa"/>
              <w:bottom w:w="0" w:type="dxa"/>
              <w:right w:w="20" w:type="dxa"/>
            </w:tcMar>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施工工艺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606" w:type="dxa"/>
            <w:noWrap/>
            <w:tcMar>
              <w:top w:w="20" w:type="dxa"/>
              <w:left w:w="20" w:type="dxa"/>
              <w:bottom w:w="0" w:type="dxa"/>
              <w:right w:w="20" w:type="dxa"/>
            </w:tcMar>
            <w:vAlign w:val="center"/>
          </w:tcPr>
          <w:p>
            <w:pPr>
              <w:jc w:val="center"/>
              <w:rPr>
                <w:rFonts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754" w:type="dxa"/>
            <w:noWrap/>
            <w:tcMar>
              <w:top w:w="20" w:type="dxa"/>
              <w:left w:w="20" w:type="dxa"/>
              <w:bottom w:w="0" w:type="dxa"/>
              <w:right w:w="20" w:type="dxa"/>
            </w:tcMar>
            <w:vAlign w:val="center"/>
          </w:tcPr>
          <w:p>
            <w:pPr>
              <w:rPr>
                <w:rFonts w:ascii="宋体" w:hAnsi="宋体" w:eastAsia="宋体" w:cs="宋体"/>
                <w:bCs/>
                <w:sz w:val="24"/>
                <w:szCs w:val="24"/>
                <w:highlight w:val="none"/>
              </w:rPr>
            </w:pPr>
            <w:r>
              <w:rPr>
                <w:rFonts w:hint="eastAsia" w:ascii="宋体" w:hAnsi="宋体" w:eastAsia="宋体" w:cs="宋体"/>
                <w:bCs/>
                <w:sz w:val="24"/>
                <w:szCs w:val="24"/>
                <w:highlight w:val="none"/>
              </w:rPr>
              <w:t>基层检查</w:t>
            </w:r>
          </w:p>
        </w:tc>
        <w:tc>
          <w:tcPr>
            <w:tcW w:w="7504" w:type="dxa"/>
            <w:noWrap/>
            <w:tcMar>
              <w:top w:w="20" w:type="dxa"/>
              <w:left w:w="20" w:type="dxa"/>
              <w:bottom w:w="0" w:type="dxa"/>
              <w:right w:w="20" w:type="dxa"/>
            </w:tcMar>
            <w:vAlign w:val="center"/>
          </w:tcPr>
          <w:p>
            <w:pPr>
              <w:rPr>
                <w:rFonts w:ascii="宋体" w:hAnsi="宋体" w:eastAsia="宋体" w:cs="宋体"/>
                <w:sz w:val="24"/>
                <w:szCs w:val="24"/>
                <w:highlight w:val="none"/>
              </w:rPr>
            </w:pPr>
            <w:r>
              <w:rPr>
                <w:rFonts w:hint="eastAsia" w:ascii="宋体" w:hAnsi="宋体" w:eastAsia="宋体" w:cs="宋体"/>
                <w:sz w:val="24"/>
                <w:szCs w:val="24"/>
                <w:highlight w:val="none"/>
              </w:rPr>
              <w:t>基层需符合</w:t>
            </w:r>
            <w:r>
              <w:rPr>
                <w:rFonts w:hint="eastAsia" w:ascii="宋体" w:hAnsi="宋体" w:eastAsia="宋体" w:cs="宋体"/>
                <w:b/>
                <w:sz w:val="24"/>
                <w:szCs w:val="24"/>
                <w:highlight w:val="none"/>
              </w:rPr>
              <w:t>基层一般条件要求</w:t>
            </w:r>
            <w:r>
              <w:rPr>
                <w:rFonts w:hint="eastAsia" w:ascii="宋体" w:hAnsi="宋体" w:eastAsia="宋体" w:cs="宋体"/>
                <w:sz w:val="24"/>
                <w:szCs w:val="24"/>
                <w:highlight w:val="none"/>
              </w:rPr>
              <w:t>中的相关要求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06" w:type="dxa"/>
            <w:noWrap/>
            <w:tcMar>
              <w:top w:w="20" w:type="dxa"/>
              <w:left w:w="20" w:type="dxa"/>
              <w:bottom w:w="0" w:type="dxa"/>
              <w:right w:w="20" w:type="dxa"/>
            </w:tcMar>
            <w:vAlign w:val="center"/>
          </w:tcPr>
          <w:p>
            <w:pPr>
              <w:jc w:val="center"/>
              <w:rPr>
                <w:rFonts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754" w:type="dxa"/>
            <w:noWrap/>
            <w:tcMar>
              <w:top w:w="20" w:type="dxa"/>
              <w:left w:w="20" w:type="dxa"/>
              <w:bottom w:w="0" w:type="dxa"/>
              <w:right w:w="20" w:type="dxa"/>
            </w:tcMar>
            <w:vAlign w:val="center"/>
          </w:tcPr>
          <w:p>
            <w:pPr>
              <w:rPr>
                <w:rFonts w:ascii="宋体" w:hAnsi="宋体" w:eastAsia="宋体" w:cs="宋体"/>
                <w:bCs/>
                <w:sz w:val="24"/>
                <w:szCs w:val="24"/>
                <w:highlight w:val="none"/>
              </w:rPr>
            </w:pPr>
            <w:r>
              <w:rPr>
                <w:rFonts w:hint="eastAsia" w:ascii="宋体" w:hAnsi="宋体" w:eastAsia="宋体" w:cs="宋体"/>
                <w:bCs/>
                <w:sz w:val="24"/>
                <w:szCs w:val="24"/>
                <w:highlight w:val="none"/>
              </w:rPr>
              <w:t>基层局部打磨修补</w:t>
            </w:r>
          </w:p>
        </w:tc>
        <w:tc>
          <w:tcPr>
            <w:tcW w:w="7504" w:type="dxa"/>
            <w:noWrap/>
            <w:tcMar>
              <w:top w:w="20" w:type="dxa"/>
              <w:left w:w="20" w:type="dxa"/>
              <w:bottom w:w="0" w:type="dxa"/>
              <w:right w:w="20" w:type="dxa"/>
            </w:tcMar>
            <w:vAlign w:val="center"/>
          </w:tcPr>
          <w:p>
            <w:pPr>
              <w:rPr>
                <w:rFonts w:ascii="宋体" w:hAnsi="宋体" w:eastAsia="宋体" w:cs="宋体"/>
                <w:sz w:val="24"/>
                <w:szCs w:val="24"/>
                <w:highlight w:val="none"/>
              </w:rPr>
            </w:pPr>
            <w:r>
              <w:rPr>
                <w:rFonts w:hint="eastAsia" w:ascii="宋体" w:hAnsi="宋体" w:eastAsia="宋体" w:cs="宋体"/>
                <w:sz w:val="24"/>
                <w:szCs w:val="24"/>
                <w:highlight w:val="none"/>
              </w:rPr>
              <w:t>对于局部高出部位用角磨机打磨平整。部分存在偏差较大的凹陷、和脚手孔洞及部分掉角要提前用聚合物抗裂砂浆修补。对开裂空鼓面积超过200cm</w:t>
            </w:r>
            <w:r>
              <w:rPr>
                <w:rFonts w:hint="eastAsia" w:ascii="宋体" w:hAnsi="宋体" w:eastAsia="宋体" w:cs="宋体"/>
                <w:sz w:val="24"/>
                <w:szCs w:val="24"/>
                <w:highlight w:val="none"/>
                <w:vertAlign w:val="superscript"/>
              </w:rPr>
              <w:t>2</w:t>
            </w:r>
            <w:r>
              <w:rPr>
                <w:rFonts w:hint="eastAsia" w:ascii="宋体" w:hAnsi="宋体" w:eastAsia="宋体" w:cs="宋体"/>
                <w:sz w:val="24"/>
                <w:szCs w:val="24"/>
                <w:highlight w:val="none"/>
              </w:rPr>
              <w:t>的部位需打掉重新粘贴保温板、网格布，用聚合物抗裂砂浆抹平。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606" w:type="dxa"/>
            <w:noWrap/>
            <w:tcMar>
              <w:top w:w="20" w:type="dxa"/>
              <w:left w:w="20" w:type="dxa"/>
              <w:bottom w:w="0" w:type="dxa"/>
              <w:right w:w="20" w:type="dxa"/>
            </w:tcMar>
            <w:vAlign w:val="center"/>
          </w:tcPr>
          <w:p>
            <w:pPr>
              <w:jc w:val="center"/>
              <w:rPr>
                <w:rFonts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1754" w:type="dxa"/>
            <w:noWrap/>
            <w:tcMar>
              <w:top w:w="20" w:type="dxa"/>
              <w:left w:w="20" w:type="dxa"/>
              <w:bottom w:w="0" w:type="dxa"/>
              <w:right w:w="20" w:type="dxa"/>
            </w:tcMar>
            <w:vAlign w:val="center"/>
          </w:tcPr>
          <w:p>
            <w:pPr>
              <w:rPr>
                <w:rFonts w:ascii="宋体" w:hAnsi="宋体" w:eastAsia="宋体" w:cs="宋体"/>
                <w:bCs/>
                <w:sz w:val="24"/>
                <w:szCs w:val="24"/>
                <w:highlight w:val="none"/>
              </w:rPr>
            </w:pPr>
            <w:r>
              <w:rPr>
                <w:rFonts w:hint="eastAsia" w:ascii="宋体" w:hAnsi="宋体" w:eastAsia="宋体" w:cs="宋体"/>
                <w:bCs/>
                <w:sz w:val="24"/>
                <w:szCs w:val="24"/>
                <w:highlight w:val="none"/>
              </w:rPr>
              <w:t>腻子打磨</w:t>
            </w:r>
          </w:p>
        </w:tc>
        <w:tc>
          <w:tcPr>
            <w:tcW w:w="7504" w:type="dxa"/>
            <w:noWrap/>
            <w:tcMar>
              <w:top w:w="20" w:type="dxa"/>
              <w:left w:w="20" w:type="dxa"/>
              <w:bottom w:w="0" w:type="dxa"/>
              <w:right w:w="20" w:type="dxa"/>
            </w:tcMar>
            <w:vAlign w:val="center"/>
          </w:tcPr>
          <w:p>
            <w:pPr>
              <w:rPr>
                <w:rFonts w:ascii="宋体" w:hAnsi="宋体" w:eastAsia="宋体" w:cs="宋体"/>
                <w:sz w:val="24"/>
                <w:szCs w:val="24"/>
                <w:highlight w:val="none"/>
              </w:rPr>
            </w:pPr>
            <w:r>
              <w:rPr>
                <w:rFonts w:hint="eastAsia" w:ascii="宋体" w:hAnsi="宋体" w:eastAsia="宋体" w:cs="宋体"/>
                <w:sz w:val="24"/>
                <w:szCs w:val="24"/>
                <w:highlight w:val="none"/>
              </w:rPr>
              <w:t>腻子干燥后用240目左右砂布打磨，确保墙面的平整度。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06" w:type="dxa"/>
            <w:noWrap/>
            <w:tcMar>
              <w:top w:w="20" w:type="dxa"/>
              <w:left w:w="20" w:type="dxa"/>
              <w:bottom w:w="0" w:type="dxa"/>
              <w:right w:w="20" w:type="dxa"/>
            </w:tcMar>
            <w:vAlign w:val="center"/>
          </w:tcPr>
          <w:p>
            <w:pPr>
              <w:jc w:val="center"/>
              <w:rPr>
                <w:rFonts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1754" w:type="dxa"/>
            <w:noWrap/>
            <w:tcMar>
              <w:top w:w="20" w:type="dxa"/>
              <w:left w:w="20" w:type="dxa"/>
              <w:bottom w:w="0" w:type="dxa"/>
              <w:right w:w="20" w:type="dxa"/>
            </w:tcMar>
            <w:vAlign w:val="center"/>
          </w:tcPr>
          <w:p>
            <w:pPr>
              <w:rPr>
                <w:rFonts w:ascii="宋体" w:hAnsi="宋体" w:eastAsia="宋体" w:cs="宋体"/>
                <w:bCs/>
                <w:sz w:val="24"/>
                <w:szCs w:val="24"/>
                <w:highlight w:val="none"/>
              </w:rPr>
            </w:pPr>
            <w:r>
              <w:rPr>
                <w:rFonts w:hint="eastAsia" w:ascii="宋体" w:hAnsi="宋体" w:eastAsia="宋体" w:cs="宋体"/>
                <w:bCs/>
                <w:sz w:val="24"/>
                <w:szCs w:val="24"/>
                <w:highlight w:val="none"/>
              </w:rPr>
              <w:t>涂装封闭抗碱底漆</w:t>
            </w:r>
          </w:p>
        </w:tc>
        <w:tc>
          <w:tcPr>
            <w:tcW w:w="7504" w:type="dxa"/>
            <w:noWrap/>
            <w:tcMar>
              <w:top w:w="20" w:type="dxa"/>
              <w:left w:w="20" w:type="dxa"/>
              <w:bottom w:w="0" w:type="dxa"/>
              <w:right w:w="20" w:type="dxa"/>
            </w:tcMar>
            <w:vAlign w:val="center"/>
          </w:tcPr>
          <w:p>
            <w:pPr>
              <w:rPr>
                <w:rFonts w:ascii="宋体" w:hAnsi="宋体" w:eastAsia="宋体" w:cs="宋体"/>
                <w:sz w:val="24"/>
                <w:szCs w:val="24"/>
                <w:highlight w:val="none"/>
              </w:rPr>
            </w:pPr>
            <w:r>
              <w:rPr>
                <w:rFonts w:hint="eastAsia" w:ascii="宋体" w:hAnsi="宋体" w:eastAsia="宋体" w:cs="宋体"/>
                <w:sz w:val="24"/>
                <w:szCs w:val="24"/>
                <w:highlight w:val="none"/>
              </w:rPr>
              <w:t>腻子彻底干燥磨平后，涂装一道</w:t>
            </w:r>
            <w:r>
              <w:rPr>
                <w:rFonts w:hint="eastAsia" w:ascii="宋体" w:hAnsi="宋体" w:eastAsia="宋体" w:cs="宋体"/>
                <w:bCs/>
                <w:sz w:val="24"/>
                <w:szCs w:val="24"/>
                <w:highlight w:val="none"/>
              </w:rPr>
              <w:t>封闭底漆</w:t>
            </w:r>
            <w:r>
              <w:rPr>
                <w:rFonts w:hint="eastAsia" w:ascii="宋体" w:hAnsi="宋体" w:eastAsia="宋体" w:cs="宋体"/>
                <w:sz w:val="24"/>
                <w:szCs w:val="24"/>
                <w:highlight w:val="none"/>
              </w:rPr>
              <w:t>，涂装时漆膜厚度控制要均匀，门窗边角、分格缝处要涂装到位，不流挂，不少涂、不漏涂。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noWrap/>
            <w:vAlign w:val="center"/>
          </w:tcPr>
          <w:p>
            <w:pPr>
              <w:jc w:val="center"/>
              <w:rPr>
                <w:rFonts w:ascii="宋体" w:hAnsi="宋体" w:eastAsia="宋体" w:cs="宋体"/>
                <w:bCs/>
                <w:sz w:val="24"/>
                <w:szCs w:val="24"/>
                <w:highlight w:val="none"/>
              </w:rPr>
            </w:pPr>
            <w:r>
              <w:rPr>
                <w:rFonts w:hint="eastAsia" w:ascii="宋体" w:hAnsi="宋体" w:eastAsia="宋体" w:cs="宋体"/>
                <w:bCs/>
                <w:sz w:val="24"/>
                <w:szCs w:val="24"/>
                <w:highlight w:val="none"/>
              </w:rPr>
              <w:t>5</w:t>
            </w:r>
          </w:p>
        </w:tc>
        <w:tc>
          <w:tcPr>
            <w:tcW w:w="1754" w:type="dxa"/>
            <w:noWrap/>
            <w:vAlign w:val="center"/>
          </w:tcPr>
          <w:p>
            <w:pPr>
              <w:tabs>
                <w:tab w:val="left" w:pos="540"/>
                <w:tab w:val="left" w:pos="1222"/>
              </w:tabs>
              <w:rPr>
                <w:rFonts w:ascii="宋体" w:hAnsi="宋体" w:eastAsia="宋体" w:cs="宋体"/>
                <w:bCs/>
                <w:sz w:val="24"/>
                <w:szCs w:val="24"/>
                <w:highlight w:val="none"/>
              </w:rPr>
            </w:pPr>
            <w:r>
              <w:rPr>
                <w:rFonts w:hint="eastAsia" w:ascii="宋体" w:hAnsi="宋体" w:eastAsia="宋体" w:cs="宋体"/>
                <w:bCs/>
                <w:sz w:val="24"/>
                <w:szCs w:val="24"/>
                <w:highlight w:val="none"/>
              </w:rPr>
              <w:t>弹线分格、涂装分缝漆</w:t>
            </w:r>
          </w:p>
        </w:tc>
        <w:tc>
          <w:tcPr>
            <w:tcW w:w="7504" w:type="dxa"/>
            <w:noWrap/>
            <w:vAlign w:val="center"/>
          </w:tcPr>
          <w:p>
            <w:pPr>
              <w:tabs>
                <w:tab w:val="left" w:pos="540"/>
                <w:tab w:val="left" w:pos="1222"/>
              </w:tabs>
              <w:rPr>
                <w:rFonts w:ascii="宋体" w:hAnsi="宋体" w:eastAsia="宋体" w:cs="宋体"/>
                <w:bCs/>
                <w:sz w:val="24"/>
                <w:szCs w:val="24"/>
                <w:highlight w:val="none"/>
              </w:rPr>
            </w:pPr>
            <w:r>
              <w:rPr>
                <w:rFonts w:hint="eastAsia" w:ascii="宋体" w:hAnsi="宋体" w:eastAsia="宋体" w:cs="宋体"/>
                <w:bCs/>
                <w:sz w:val="24"/>
                <w:szCs w:val="24"/>
                <w:highlight w:val="none"/>
              </w:rPr>
              <w:t>底漆完全实干后，按设计要求分格弹线，沿分格线涂装分缝漆（非弹性水性乳胶漆）1道。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06" w:type="dxa"/>
            <w:noWrap/>
            <w:vAlign w:val="center"/>
          </w:tcPr>
          <w:p>
            <w:pPr>
              <w:jc w:val="center"/>
              <w:rPr>
                <w:rFonts w:ascii="宋体" w:hAnsi="宋体" w:eastAsia="宋体" w:cs="宋体"/>
                <w:bCs/>
                <w:sz w:val="24"/>
                <w:szCs w:val="24"/>
                <w:highlight w:val="none"/>
              </w:rPr>
            </w:pPr>
            <w:r>
              <w:rPr>
                <w:rFonts w:hint="eastAsia" w:ascii="宋体" w:hAnsi="宋体" w:eastAsia="宋体" w:cs="宋体"/>
                <w:bCs/>
                <w:sz w:val="24"/>
                <w:szCs w:val="24"/>
                <w:highlight w:val="none"/>
              </w:rPr>
              <w:t>6</w:t>
            </w:r>
          </w:p>
        </w:tc>
        <w:tc>
          <w:tcPr>
            <w:tcW w:w="1754" w:type="dxa"/>
            <w:noWrap/>
            <w:vAlign w:val="center"/>
          </w:tcPr>
          <w:p>
            <w:pPr>
              <w:tabs>
                <w:tab w:val="left" w:pos="540"/>
                <w:tab w:val="left" w:pos="1222"/>
              </w:tabs>
              <w:rPr>
                <w:rFonts w:ascii="宋体" w:hAnsi="宋体" w:eastAsia="宋体" w:cs="宋体"/>
                <w:bCs/>
                <w:sz w:val="24"/>
                <w:szCs w:val="24"/>
                <w:highlight w:val="none"/>
              </w:rPr>
            </w:pPr>
            <w:r>
              <w:rPr>
                <w:rFonts w:hint="eastAsia" w:ascii="宋体" w:hAnsi="宋体" w:eastAsia="宋体" w:cs="宋体"/>
                <w:bCs/>
                <w:sz w:val="24"/>
                <w:szCs w:val="24"/>
                <w:highlight w:val="none"/>
              </w:rPr>
              <w:t>粘贴分色纸</w:t>
            </w:r>
          </w:p>
        </w:tc>
        <w:tc>
          <w:tcPr>
            <w:tcW w:w="7504" w:type="dxa"/>
            <w:noWrap/>
            <w:vAlign w:val="center"/>
          </w:tcPr>
          <w:p>
            <w:pPr>
              <w:tabs>
                <w:tab w:val="left" w:pos="540"/>
                <w:tab w:val="left" w:pos="1222"/>
              </w:tabs>
              <w:rPr>
                <w:rFonts w:ascii="宋体" w:hAnsi="宋体" w:eastAsia="宋体" w:cs="宋体"/>
                <w:bCs/>
                <w:sz w:val="24"/>
                <w:szCs w:val="24"/>
                <w:highlight w:val="none"/>
              </w:rPr>
            </w:pPr>
            <w:r>
              <w:rPr>
                <w:rFonts w:hint="eastAsia" w:ascii="宋体" w:hAnsi="宋体" w:eastAsia="宋体" w:cs="宋体"/>
                <w:bCs/>
                <w:sz w:val="24"/>
                <w:szCs w:val="24"/>
                <w:highlight w:val="none"/>
              </w:rPr>
              <w:t>分缝漆干燥后，沿弹好的分格线粘贴分色美纹纸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noWrap/>
            <w:vAlign w:val="center"/>
          </w:tcPr>
          <w:p>
            <w:pPr>
              <w:jc w:val="center"/>
              <w:rPr>
                <w:rFonts w:ascii="宋体" w:hAnsi="宋体" w:eastAsia="宋体" w:cs="宋体"/>
                <w:bCs/>
                <w:sz w:val="24"/>
                <w:szCs w:val="24"/>
                <w:highlight w:val="none"/>
              </w:rPr>
            </w:pPr>
            <w:r>
              <w:rPr>
                <w:rFonts w:hint="eastAsia" w:ascii="宋体" w:hAnsi="宋体" w:eastAsia="宋体" w:cs="宋体"/>
                <w:bCs/>
                <w:sz w:val="24"/>
                <w:szCs w:val="24"/>
                <w:highlight w:val="none"/>
              </w:rPr>
              <w:t>7</w:t>
            </w:r>
          </w:p>
        </w:tc>
        <w:tc>
          <w:tcPr>
            <w:tcW w:w="1754" w:type="dxa"/>
            <w:noWrap/>
            <w:vAlign w:val="center"/>
          </w:tcPr>
          <w:p>
            <w:pPr>
              <w:tabs>
                <w:tab w:val="left" w:pos="540"/>
                <w:tab w:val="left" w:pos="1222"/>
              </w:tabs>
              <w:rPr>
                <w:rFonts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刮</w:t>
            </w:r>
            <w:r>
              <w:rPr>
                <w:rFonts w:hint="eastAsia" w:ascii="宋体" w:hAnsi="宋体" w:eastAsia="宋体" w:cs="宋体"/>
                <w:bCs/>
                <w:sz w:val="24"/>
                <w:szCs w:val="24"/>
                <w:highlight w:val="none"/>
              </w:rPr>
              <w:t>涂外墙漆</w:t>
            </w:r>
          </w:p>
        </w:tc>
        <w:tc>
          <w:tcPr>
            <w:tcW w:w="7504" w:type="dxa"/>
            <w:noWrap/>
            <w:vAlign w:val="center"/>
          </w:tcPr>
          <w:p>
            <w:pPr>
              <w:spacing w:line="276"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1.需用专用</w:t>
            </w:r>
            <w:r>
              <w:rPr>
                <w:rFonts w:hint="eastAsia" w:ascii="宋体" w:hAnsi="宋体" w:eastAsia="宋体" w:cs="宋体"/>
                <w:sz w:val="24"/>
                <w:szCs w:val="24"/>
                <w:highlight w:val="none"/>
                <w:lang w:val="en-US" w:eastAsia="zh-CN"/>
              </w:rPr>
              <w:t>刮刀刮涂</w:t>
            </w:r>
            <w:r>
              <w:rPr>
                <w:rFonts w:hint="eastAsia" w:ascii="宋体" w:hAnsi="宋体" w:eastAsia="宋体" w:cs="宋体"/>
                <w:sz w:val="24"/>
                <w:szCs w:val="24"/>
                <w:highlight w:val="none"/>
              </w:rPr>
              <w:t>；</w:t>
            </w:r>
          </w:p>
          <w:p>
            <w:pPr>
              <w:spacing w:line="276"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 xml:space="preserve">2.外墙漆一般无需稀释，可轻轻摇晃漆桶，有较大彩点的效果，可将漆桶上下翻转，反复两次，确保喷涂时彩点均匀，该产品严禁机械搅拌； </w:t>
            </w:r>
          </w:p>
          <w:p>
            <w:pPr>
              <w:tabs>
                <w:tab w:val="left" w:pos="540"/>
                <w:tab w:val="left" w:pos="1222"/>
              </w:tabs>
              <w:rPr>
                <w:rFonts w:ascii="宋体" w:hAnsi="宋体" w:eastAsia="宋体" w:cs="宋体"/>
                <w:bCs/>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刮</w:t>
            </w:r>
            <w:r>
              <w:rPr>
                <w:rFonts w:hint="eastAsia" w:ascii="宋体" w:hAnsi="宋体" w:eastAsia="宋体" w:cs="宋体"/>
                <w:sz w:val="24"/>
                <w:szCs w:val="24"/>
                <w:highlight w:val="none"/>
              </w:rPr>
              <w:t>涂时，均匀将漆</w:t>
            </w:r>
            <w:r>
              <w:rPr>
                <w:rFonts w:hint="eastAsia" w:ascii="宋体" w:hAnsi="宋体" w:eastAsia="宋体" w:cs="宋体"/>
                <w:sz w:val="24"/>
                <w:szCs w:val="24"/>
                <w:highlight w:val="none"/>
                <w:lang w:val="en-US" w:eastAsia="zh-CN"/>
              </w:rPr>
              <w:t>刮</w:t>
            </w:r>
            <w:r>
              <w:rPr>
                <w:rFonts w:hint="eastAsia" w:ascii="宋体" w:hAnsi="宋体" w:eastAsia="宋体" w:cs="宋体"/>
                <w:sz w:val="24"/>
                <w:szCs w:val="24"/>
                <w:highlight w:val="none"/>
              </w:rPr>
              <w:t>涂到墙面，注意避免一次</w:t>
            </w:r>
            <w:r>
              <w:rPr>
                <w:rFonts w:hint="eastAsia" w:ascii="宋体" w:hAnsi="宋体" w:eastAsia="宋体" w:cs="宋体"/>
                <w:sz w:val="24"/>
                <w:szCs w:val="24"/>
                <w:highlight w:val="none"/>
                <w:lang w:val="en-US" w:eastAsia="zh-CN"/>
              </w:rPr>
              <w:t>刮</w:t>
            </w:r>
            <w:r>
              <w:rPr>
                <w:rFonts w:hint="eastAsia" w:ascii="宋体" w:hAnsi="宋体" w:eastAsia="宋体" w:cs="宋体"/>
                <w:sz w:val="24"/>
                <w:szCs w:val="24"/>
                <w:highlight w:val="none"/>
              </w:rPr>
              <w:t>涂过厚产生流挂，根据效果不同，一般需喷涂2道。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noWrap/>
            <w:vAlign w:val="center"/>
          </w:tcPr>
          <w:p>
            <w:pPr>
              <w:jc w:val="center"/>
              <w:rPr>
                <w:rFonts w:ascii="宋体" w:hAnsi="宋体" w:eastAsia="宋体" w:cs="宋体"/>
                <w:bCs/>
                <w:sz w:val="24"/>
                <w:szCs w:val="24"/>
                <w:highlight w:val="none"/>
              </w:rPr>
            </w:pPr>
            <w:r>
              <w:rPr>
                <w:rFonts w:hint="eastAsia" w:ascii="宋体" w:hAnsi="宋体" w:eastAsia="宋体" w:cs="宋体"/>
                <w:bCs/>
                <w:sz w:val="24"/>
                <w:szCs w:val="24"/>
                <w:highlight w:val="none"/>
              </w:rPr>
              <w:t>8</w:t>
            </w:r>
          </w:p>
        </w:tc>
        <w:tc>
          <w:tcPr>
            <w:tcW w:w="1754" w:type="dxa"/>
            <w:noWrap/>
            <w:vAlign w:val="center"/>
          </w:tcPr>
          <w:p>
            <w:pPr>
              <w:rPr>
                <w:rFonts w:ascii="宋体" w:hAnsi="宋体" w:eastAsia="宋体" w:cs="宋体"/>
                <w:bCs/>
                <w:sz w:val="24"/>
                <w:szCs w:val="24"/>
                <w:highlight w:val="none"/>
              </w:rPr>
            </w:pPr>
            <w:r>
              <w:rPr>
                <w:rFonts w:hint="eastAsia" w:ascii="宋体" w:hAnsi="宋体" w:eastAsia="宋体" w:cs="宋体"/>
                <w:bCs/>
                <w:sz w:val="24"/>
                <w:szCs w:val="24"/>
                <w:highlight w:val="none"/>
              </w:rPr>
              <w:t>揭去分色纸</w:t>
            </w:r>
          </w:p>
        </w:tc>
        <w:tc>
          <w:tcPr>
            <w:tcW w:w="7504" w:type="dxa"/>
            <w:noWrap/>
            <w:vAlign w:val="center"/>
          </w:tcPr>
          <w:p>
            <w:pPr>
              <w:tabs>
                <w:tab w:val="left" w:pos="540"/>
                <w:tab w:val="left" w:pos="1222"/>
              </w:tabs>
              <w:rPr>
                <w:rFonts w:ascii="宋体" w:hAnsi="宋体" w:eastAsia="宋体" w:cs="宋体"/>
                <w:bCs/>
                <w:sz w:val="24"/>
                <w:szCs w:val="24"/>
                <w:highlight w:val="none"/>
              </w:rPr>
            </w:pPr>
            <w:r>
              <w:rPr>
                <w:rFonts w:hint="eastAsia" w:ascii="宋体" w:hAnsi="宋体" w:eastAsia="宋体" w:cs="宋体"/>
                <w:bCs/>
                <w:sz w:val="24"/>
                <w:szCs w:val="24"/>
                <w:highlight w:val="none"/>
              </w:rPr>
              <w:t>外墙漆涂装成活后，立即去除分格用的分色纸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noWrap/>
            <w:vAlign w:val="center"/>
          </w:tcPr>
          <w:p>
            <w:pPr>
              <w:jc w:val="center"/>
              <w:rPr>
                <w:rFonts w:ascii="宋体" w:hAnsi="宋体" w:eastAsia="宋体" w:cs="宋体"/>
                <w:bCs/>
                <w:sz w:val="24"/>
                <w:szCs w:val="24"/>
                <w:highlight w:val="none"/>
              </w:rPr>
            </w:pPr>
            <w:r>
              <w:rPr>
                <w:rFonts w:hint="eastAsia" w:ascii="宋体" w:hAnsi="宋体" w:eastAsia="宋体" w:cs="宋体"/>
                <w:bCs/>
                <w:sz w:val="24"/>
                <w:szCs w:val="24"/>
                <w:highlight w:val="none"/>
              </w:rPr>
              <w:t>9</w:t>
            </w:r>
          </w:p>
        </w:tc>
        <w:tc>
          <w:tcPr>
            <w:tcW w:w="1754" w:type="dxa"/>
            <w:noWrap/>
            <w:vAlign w:val="center"/>
          </w:tcPr>
          <w:p>
            <w:pPr>
              <w:rPr>
                <w:rFonts w:ascii="宋体" w:hAnsi="宋体" w:eastAsia="宋体" w:cs="宋体"/>
                <w:bCs/>
                <w:sz w:val="24"/>
                <w:szCs w:val="24"/>
                <w:highlight w:val="none"/>
              </w:rPr>
            </w:pPr>
            <w:r>
              <w:rPr>
                <w:rFonts w:hint="eastAsia" w:ascii="宋体" w:hAnsi="宋体" w:eastAsia="宋体" w:cs="宋体"/>
                <w:bCs/>
                <w:sz w:val="24"/>
                <w:szCs w:val="24"/>
                <w:highlight w:val="none"/>
              </w:rPr>
              <w:t>涂装耐沾污罩面清漆</w:t>
            </w:r>
          </w:p>
        </w:tc>
        <w:tc>
          <w:tcPr>
            <w:tcW w:w="7504" w:type="dxa"/>
            <w:noWrap/>
            <w:vAlign w:val="center"/>
          </w:tcPr>
          <w:p>
            <w:pPr>
              <w:rPr>
                <w:rFonts w:ascii="宋体" w:hAnsi="宋体" w:eastAsia="宋体" w:cs="宋体"/>
                <w:sz w:val="24"/>
                <w:szCs w:val="24"/>
                <w:highlight w:val="none"/>
              </w:rPr>
            </w:pPr>
            <w:r>
              <w:rPr>
                <w:rFonts w:hint="eastAsia" w:ascii="宋体" w:hAnsi="宋体" w:eastAsia="宋体" w:cs="宋体"/>
                <w:sz w:val="24"/>
                <w:szCs w:val="24"/>
                <w:highlight w:val="none"/>
              </w:rPr>
              <w:t>外墙漆干燥后，使用中毛辊涂，辊涂耐沾污罩面清漆，辊涂时漆膜厚度要控制均匀，避免一次性厚涂，要少蘸料，多辊涂，避免流挂，每一分格块中要一次性完成，确保每块中的漆膜厚度与光泽均匀一致无发花。</w:t>
            </w:r>
          </w:p>
        </w:tc>
      </w:tr>
    </w:tbl>
    <w:p>
      <w:pPr>
        <w:tabs>
          <w:tab w:val="left" w:pos="1080"/>
        </w:tabs>
        <w:overflowPunct w:val="0"/>
        <w:spacing w:line="360" w:lineRule="auto"/>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3、质量要求：</w:t>
      </w:r>
    </w:p>
    <w:p>
      <w:pPr>
        <w:overflowPunct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3.1、在天气温差较大时，致使内外层干燥速度不同，为避免表干里不干的状况，此时应改用小嘴喷枪，薄喷多层，尽量控制每层的干燥速度，喷涂距离以略远为好。</w:t>
      </w:r>
    </w:p>
    <w:p>
      <w:pPr>
        <w:overflowPunct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3.2 、喷涂后要求表面平整，起伏小，颗粒分布均匀、密实，颜色一致并不得有过密过稀疏、流坠等质量缺陷。</w:t>
      </w:r>
    </w:p>
    <w:p>
      <w:pPr>
        <w:overflowPunct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3.3、干燥后不得有发白、发花、变黄迹象，不允许有脱皮、漏刷、反锈、开裂、针孔、砂眼、反碱现象，并且光泽一致，颜色一致。</w:t>
      </w:r>
    </w:p>
    <w:p>
      <w:pPr>
        <w:overflowPunct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3.4、各部位的分色要干净，不得有咬色现象。</w:t>
      </w:r>
    </w:p>
    <w:p>
      <w:pPr>
        <w:overflowPunct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3.5、严禁雨天施工。</w:t>
      </w:r>
    </w:p>
    <w:p>
      <w:pPr>
        <w:overflowPunct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3.6、本工程的施工图纸、做法说明、设计变更和有关国家标准作为本工程质量评定验收标准。</w:t>
      </w:r>
    </w:p>
    <w:p>
      <w:pPr>
        <w:overflowPunct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3.7、本工程质量应达到质量评定合格标准。</w:t>
      </w:r>
    </w:p>
    <w:p>
      <w:pPr>
        <w:overflowPunct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3.8、乙方有上述任意一项不能达到合同约定质量要求的，应无条件重新施工至满足甲方要求为止，并承担因此导致的逾期完工得违约责任。</w:t>
      </w:r>
    </w:p>
    <w:p>
      <w:pPr>
        <w:overflowPunct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3.9、外墙涂料施工前应对外墙质量（空鼓、立面垂直度、表面平整度、阴阳角方正、分格条及线条直线度等）进行检查，检查合格后与甲方、总包单位进行工作面移交；未进行交接的，乙方自行开始施工，存在质量问题由乙方承担，并由乙方赔偿因此给甲方造成的经济损失。</w:t>
      </w:r>
    </w:p>
    <w:p>
      <w:pPr>
        <w:overflowPunct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3.10、外墙涂料（含阳台内侧外墙涂料）施工前，乙方应对已施工的阳台栏杆、铝合金门窗及百叶的成品保护措施进行检查。对未保护到位或损坏的要求责任单位进行保护后再进行施工，否则因涂料施工造成污染引起的相关责任由乙方承担。</w:t>
      </w:r>
    </w:p>
    <w:p>
      <w:pPr>
        <w:overflowPunct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3.11、涂料工具清洗应定点清洗、施工应定点搅拌，并对周边已完成的成品进行保护，否则因其造成污染引起的相关责任由乙方承担。</w:t>
      </w:r>
    </w:p>
    <w:p>
      <w:pPr>
        <w:overflowPunct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3.12、外墙涂料施工前，窗框与涂料面交接打胶部位应贴美纹纸进行保护，保证窗框周边打胶位置的平整。</w:t>
      </w:r>
    </w:p>
    <w:p>
      <w:pPr>
        <w:overflowPunct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3.13、涂料工程完成后，周边已完成的成品在清理保护膜/美纹纸时，粘在保护膜/纸上的外涂材料掉落由乙方负责清理。</w:t>
      </w:r>
    </w:p>
    <w:p>
      <w:pPr>
        <w:pStyle w:val="2"/>
        <w:rPr>
          <w:highlight w:val="none"/>
        </w:rPr>
      </w:pPr>
    </w:p>
    <w:p>
      <w:pPr>
        <w:widowControl/>
        <w:spacing w:line="500" w:lineRule="exact"/>
        <w:rPr>
          <w:rFonts w:ascii="宋体" w:hAnsi="宋体" w:eastAsia="宋体" w:cs="宋体"/>
          <w:b/>
          <w:sz w:val="24"/>
          <w:szCs w:val="24"/>
          <w:highlight w:val="none"/>
        </w:rPr>
      </w:pPr>
      <w:r>
        <w:rPr>
          <w:rFonts w:hint="eastAsia" w:ascii="宋体" w:hAnsi="宋体" w:eastAsia="宋体" w:cs="宋体"/>
          <w:b/>
          <w:bCs/>
          <w:sz w:val="24"/>
          <w:szCs w:val="24"/>
          <w:highlight w:val="none"/>
        </w:rPr>
        <w:t>八、</w:t>
      </w:r>
      <w:r>
        <w:rPr>
          <w:rFonts w:hint="eastAsia" w:ascii="宋体" w:hAnsi="宋体" w:eastAsia="宋体" w:cs="宋体"/>
          <w:b/>
          <w:sz w:val="24"/>
          <w:szCs w:val="24"/>
          <w:highlight w:val="none"/>
        </w:rPr>
        <w:t>验收</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bCs/>
          <w:sz w:val="24"/>
          <w:szCs w:val="24"/>
          <w:highlight w:val="none"/>
        </w:rPr>
        <w:t>1、工程验收必须以合同约定的质量要求、材料品牌、规格、型号、施工图纸及有关变更的书面文件、国家颁布的施工及验收规范和质量检验标准为依据。避难间及其它有防火要求的防火窗必须满足施工图设计的要求，乙方要负责通过消防验收。</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bCs/>
          <w:sz w:val="24"/>
          <w:szCs w:val="24"/>
          <w:highlight w:val="none"/>
        </w:rPr>
        <w:t>2、验收中如发现不合格需返工或修补的部分，乙方应及时进行整改，在规定期限内完成。经验收合格后再进行移交，由此发生的费用及逾期责任由乙方承担。</w:t>
      </w:r>
    </w:p>
    <w:p>
      <w:pPr>
        <w:spacing w:line="360" w:lineRule="auto"/>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3、竣工工程验收以国家规定的施工验收规范质量检验标准为依据，在进行竣工验收时，乙方应向甲方提供增减工程变更的有关手续和中间交工验收纪录、隐蔽验收工程纪录、所有材料及设备合格证书产地证明等有关材料、所有安装工程的竣工图纸。</w:t>
      </w:r>
    </w:p>
    <w:p>
      <w:pPr>
        <w:spacing w:line="360" w:lineRule="auto"/>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4、双方应及时办理工程检查验收手续，分项工程完成后乙方应及时向监理单位报验，由监理单位组织甲方、乙方共同验收，并办理验收手续。</w:t>
      </w:r>
    </w:p>
    <w:p>
      <w:pPr>
        <w:spacing w:line="360" w:lineRule="auto"/>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5、工程全部完工后，乙方提交铝合金工程竣工验收申请后14日历天内，甲方组织进行竣工验收，并开具竣工验收意见。</w:t>
      </w:r>
    </w:p>
    <w:p>
      <w:pPr>
        <w:spacing w:line="360" w:lineRule="auto"/>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6、工程验收合格后，乙方负责按工程竣工资料归档要求，提交满足洛阳市建筑工程质量监督站对技术资料的要求的交竣工资料肆套，把有关资料送交甲方。</w:t>
      </w:r>
    </w:p>
    <w:p>
      <w:pPr>
        <w:widowControl/>
        <w:spacing w:before="4" w:line="360" w:lineRule="auto"/>
        <w:ind w:firstLine="120" w:firstLineChars="50"/>
        <w:rPr>
          <w:rFonts w:ascii="宋体" w:hAnsi="宋体" w:eastAsia="宋体" w:cs="宋体"/>
          <w:b/>
          <w:sz w:val="24"/>
          <w:szCs w:val="24"/>
          <w:highlight w:val="none"/>
        </w:rPr>
      </w:pPr>
      <w:r>
        <w:rPr>
          <w:rFonts w:hint="eastAsia" w:ascii="宋体" w:hAnsi="宋体" w:eastAsia="宋体" w:cs="宋体"/>
          <w:b/>
          <w:sz w:val="24"/>
          <w:szCs w:val="24"/>
          <w:highlight w:val="none"/>
        </w:rPr>
        <w:t>九、结算办法</w:t>
      </w:r>
    </w:p>
    <w:p>
      <w:pPr>
        <w:snapToGrid w:val="0"/>
        <w:spacing w:line="360" w:lineRule="auto"/>
        <w:ind w:firstLine="420" w:firstLineChars="175"/>
        <w:rPr>
          <w:rFonts w:ascii="宋体" w:hAnsi="宋体" w:eastAsia="宋体" w:cs="宋体"/>
          <w:bCs/>
          <w:sz w:val="24"/>
          <w:szCs w:val="24"/>
          <w:highlight w:val="none"/>
        </w:rPr>
      </w:pPr>
      <w:r>
        <w:rPr>
          <w:rFonts w:hint="eastAsia" w:ascii="宋体" w:hAnsi="宋体" w:eastAsia="宋体" w:cs="宋体"/>
          <w:bCs/>
          <w:sz w:val="24"/>
          <w:szCs w:val="24"/>
          <w:highlight w:val="none"/>
        </w:rPr>
        <w:t>1、结算时依据图纸和现场实际情况，结算总价＝</w:t>
      </w:r>
      <w:r>
        <w:rPr>
          <w:rFonts w:hint="eastAsia" w:ascii="宋体" w:hAnsi="宋体" w:eastAsia="宋体" w:cs="宋体"/>
          <w:bCs/>
          <w:sz w:val="24"/>
          <w:szCs w:val="24"/>
          <w:highlight w:val="none"/>
          <w:u w:val="single"/>
        </w:rPr>
        <w:t>固定综合单价×</w:t>
      </w:r>
      <w:r>
        <w:rPr>
          <w:rFonts w:hint="eastAsia" w:ascii="宋体" w:hAnsi="宋体" w:eastAsia="宋体" w:cs="宋体"/>
          <w:sz w:val="24"/>
          <w:szCs w:val="24"/>
          <w:highlight w:val="none"/>
        </w:rPr>
        <w:t>施工图的门窗洞净口面积</w:t>
      </w:r>
      <w:r>
        <w:rPr>
          <w:rFonts w:hint="eastAsia" w:ascii="宋体" w:hAnsi="宋体" w:eastAsia="宋体" w:cs="宋体"/>
          <w:bCs/>
          <w:sz w:val="24"/>
          <w:szCs w:val="24"/>
          <w:highlight w:val="none"/>
          <w:u w:val="single"/>
        </w:rPr>
        <w:t>±变更签证造价-其他应扣费用</w:t>
      </w:r>
      <w:r>
        <w:rPr>
          <w:rFonts w:hint="eastAsia" w:ascii="宋体" w:hAnsi="宋体" w:eastAsia="宋体" w:cs="宋体"/>
          <w:bCs/>
          <w:sz w:val="24"/>
          <w:szCs w:val="24"/>
          <w:highlight w:val="none"/>
        </w:rPr>
        <w:t xml:space="preserve">，门窗洞净口面积为粉刷后的洞口面积。若变更签证有附表中门、窗等形式之外的形式与后附工程量清单项目相同或相近的，则采用其相同或相近的单价，如后附工程量清单项目中没有相同或相近的，则由甲方认价后按照认价计入结算，其价格另行协商，且需在工程施工前上报招采合约部进行认价，并在结算时执行，结算后并入结算总价；否则按照甲方单方认定价格执行，进入结算总价。 </w:t>
      </w:r>
    </w:p>
    <w:p>
      <w:pPr>
        <w:spacing w:line="360" w:lineRule="auto"/>
        <w:ind w:firstLine="420" w:firstLineChars="175"/>
        <w:rPr>
          <w:rFonts w:ascii="宋体" w:hAnsi="宋体" w:eastAsia="宋体" w:cs="宋体"/>
          <w:bCs/>
          <w:sz w:val="24"/>
          <w:szCs w:val="24"/>
          <w:highlight w:val="none"/>
        </w:rPr>
      </w:pPr>
      <w:r>
        <w:rPr>
          <w:rFonts w:hint="eastAsia" w:ascii="宋体" w:hAnsi="宋体" w:eastAsia="宋体" w:cs="宋体"/>
          <w:bCs/>
          <w:sz w:val="24"/>
          <w:szCs w:val="24"/>
          <w:highlight w:val="none"/>
        </w:rPr>
        <w:t>2、甲方应在接到完成竣工结算资料起</w:t>
      </w:r>
      <w:r>
        <w:rPr>
          <w:rFonts w:hint="eastAsia" w:ascii="宋体" w:hAnsi="宋体" w:eastAsia="宋体" w:cs="宋体"/>
          <w:bCs/>
          <w:sz w:val="24"/>
          <w:szCs w:val="24"/>
          <w:highlight w:val="none"/>
          <w:u w:val="single"/>
        </w:rPr>
        <w:t xml:space="preserve"> 28个 </w:t>
      </w:r>
      <w:r>
        <w:rPr>
          <w:rFonts w:hint="eastAsia" w:ascii="宋体" w:hAnsi="宋体" w:eastAsia="宋体" w:cs="宋体"/>
          <w:bCs/>
          <w:sz w:val="24"/>
          <w:szCs w:val="24"/>
          <w:highlight w:val="none"/>
        </w:rPr>
        <w:t xml:space="preserve">工作日内进行核对（审查）并提出书面审查意见。  </w:t>
      </w:r>
    </w:p>
    <w:p>
      <w:pPr>
        <w:widowControl/>
        <w:adjustRightInd w:val="0"/>
        <w:snapToGrid w:val="0"/>
        <w:spacing w:line="360" w:lineRule="auto"/>
        <w:ind w:firstLine="480" w:firstLineChars="200"/>
        <w:jc w:val="left"/>
        <w:rPr>
          <w:rFonts w:ascii="宋体" w:hAnsi="宋体" w:eastAsia="宋体" w:cs="宋体"/>
          <w:bCs/>
          <w:sz w:val="24"/>
          <w:szCs w:val="24"/>
          <w:highlight w:val="none"/>
        </w:rPr>
      </w:pPr>
      <w:r>
        <w:rPr>
          <w:rFonts w:hint="eastAsia" w:ascii="宋体" w:hAnsi="宋体" w:eastAsia="宋体" w:cs="宋体"/>
          <w:bCs/>
          <w:sz w:val="24"/>
          <w:szCs w:val="24"/>
          <w:highlight w:val="none"/>
        </w:rPr>
        <w:t>3、</w:t>
      </w:r>
      <w:r>
        <w:rPr>
          <w:rFonts w:hint="eastAsia" w:ascii="宋体" w:hAnsi="宋体" w:eastAsia="宋体" w:cs="宋体"/>
          <w:sz w:val="24"/>
          <w:szCs w:val="24"/>
          <w:highlight w:val="none"/>
        </w:rPr>
        <w:t>乙方报送结算书应诚实准确，若最终审减额（报送金额-结算金额）超过结算金额的5%，则需要乙方向甲方支付超出5%部分的金额3%作为违约金，且违约金在结算金额中一次性扣除。</w:t>
      </w:r>
    </w:p>
    <w:p>
      <w:pPr>
        <w:snapToGrid w:val="0"/>
        <w:spacing w:line="360" w:lineRule="auto"/>
        <w:ind w:firstLine="420" w:firstLineChars="175"/>
        <w:rPr>
          <w:rFonts w:ascii="宋体" w:hAnsi="宋体" w:eastAsia="宋体" w:cs="宋体"/>
          <w:sz w:val="24"/>
          <w:szCs w:val="24"/>
          <w:highlight w:val="none"/>
        </w:rPr>
      </w:pPr>
      <w:r>
        <w:rPr>
          <w:rFonts w:hint="eastAsia" w:ascii="宋体" w:hAnsi="宋体" w:eastAsia="宋体" w:cs="宋体"/>
          <w:bCs/>
          <w:sz w:val="24"/>
          <w:szCs w:val="24"/>
          <w:highlight w:val="none"/>
        </w:rPr>
        <w:t>4、设计变更与现场签证必须进行一单一算、一月一清。为了保证甲方成本管理部、项目工程部及乙方三方资料的完整性和一致性，每月5日之前，应按“一月一清”的原则，对上月所有甲方发出的设计变更单和收到的工程签证单进行核对和清理，并签字确认。对于乙方在结算时提出的、月结月清中未登记的设计变更和现场签证，甲方有权不接收、不计算、不结算和不支付费用。</w:t>
      </w:r>
    </w:p>
    <w:p>
      <w:pPr>
        <w:pStyle w:val="3"/>
        <w:numPr>
          <w:ilvl w:val="0"/>
          <w:numId w:val="0"/>
        </w:numPr>
        <w:rPr>
          <w:rFonts w:ascii="宋体" w:hAnsi="宋体" w:eastAsia="宋体" w:cs="宋体"/>
          <w:sz w:val="24"/>
          <w:szCs w:val="24"/>
          <w:highlight w:val="none"/>
        </w:rPr>
      </w:pPr>
      <w:r>
        <w:rPr>
          <w:rFonts w:hint="eastAsia" w:ascii="宋体" w:hAnsi="宋体" w:eastAsia="宋体" w:cs="宋体"/>
          <w:sz w:val="24"/>
          <w:szCs w:val="24"/>
          <w:highlight w:val="none"/>
        </w:rPr>
        <w:t>十、双方责任与义务</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1、甲方的责任与义务</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1.1、遵守法律、法规和规章，甲方应在其实施本合同的全部工作中遵守与本合同有关的法律、法规和规章，并应承担由于其自身违反上述法律、法规和规章的责任。</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1.2、甲方委派为现场代表，电话，监督、检查产品、工程的质量，协调工作中发生的有关事宜，并参与产品、工程的初验、验收和签证工作。如现场代表变更则需及时通知乙方。</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1.3、甲方应提供乙方所需工程建筑图、说明书、建筑平面图、变更图及有关技术文件等作为乙方产品设计和施工的有效依据。</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1.4、甲方协调乙方与土建单位施工配合问题，并督促工程进度。</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1.5、签订合同时，甲方向乙方提供建筑施工图、变更通知及相关材料1套。</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1.6、甲方应及时按合同要求给乙方拨付工程款、组织工程竣工验收并按合同规定办理竣工结算。</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1.7、进场材料及施工成品、半成品达不到标准要求的，甲方有权责令乙方调换。</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1.8、为乙方协调水源、电源接驳点。</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1.9、若该项目施工单位工期延误15天以上，甲方有权委托其他施工单位施工，委托产生的费用按该部分合同额的1.3倍从下一批工程款中扣除。</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 乙方责任与义务</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2.1、遵守法律、法规和规章，乙方应在其负责的各项工作中遵守与本合同工程有关的法律、法规和规章，并保证甲方免于承担由于乙方违反上述法律、法规和规章的任何责任。</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2.2、乙方委派为现场代表  温金麒  ，电话：15838204321，负责施工期间的施工质量、安全问题，协调工作中发生的有关事宜。如现场代表变更则需经甲方同意。</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2.3、乙方应服从甲方、监理单位、总承包单位的管理，密切配合总承包单位施工，遵守工地的有关规定；严格实行工序开工前向监理报验制度。</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2.4、本工程监理单位：中机十院国际工程有限公司。</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2.5、乙方不得将该工程转包或分包，否则甲方不支付乙方所发生的任何费用。</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2.6、</w:t>
      </w:r>
      <w:r>
        <w:rPr>
          <w:rFonts w:hint="eastAsia" w:ascii="宋体" w:hAnsi="宋体" w:eastAsia="宋体" w:cs="宋体"/>
          <w:sz w:val="24"/>
          <w:szCs w:val="24"/>
          <w:lang w:val="en-US" w:eastAsia="zh-CN"/>
        </w:rPr>
        <w:t>负责施工现场的安全管理工作。</w:t>
      </w:r>
      <w:r>
        <w:rPr>
          <w:rFonts w:hint="eastAsia" w:ascii="宋体" w:hAnsi="宋体" w:eastAsia="宋体" w:cs="宋体"/>
          <w:sz w:val="24"/>
          <w:szCs w:val="24"/>
        </w:rPr>
        <w:t>按照施工安全规范的要求，采取相应的安全施工防护措施，发生安全事故与甲方及总承包单位无关，一切责任由乙方承担，甲方因此承担责任的，乙方应负责赔偿；做到文明施工，工完料清、场清；乙方做好半成品保护工作</w:t>
      </w:r>
      <w:r>
        <w:rPr>
          <w:rFonts w:hint="eastAsia" w:ascii="宋体" w:hAnsi="宋体" w:eastAsia="宋体" w:cs="宋体"/>
          <w:sz w:val="24"/>
          <w:szCs w:val="24"/>
          <w:lang w:eastAsia="zh-CN"/>
        </w:rPr>
        <w:t>，</w:t>
      </w:r>
      <w:r>
        <w:rPr>
          <w:rFonts w:hint="eastAsia" w:ascii="宋体" w:hAnsi="宋体" w:eastAsia="宋体" w:cs="宋体"/>
          <w:sz w:val="24"/>
          <w:szCs w:val="24"/>
        </w:rPr>
        <w:t>对验收合格</w:t>
      </w:r>
      <w:r>
        <w:rPr>
          <w:rFonts w:hint="eastAsia" w:ascii="宋体" w:hAnsi="宋体" w:eastAsia="宋体" w:cs="宋体"/>
          <w:sz w:val="24"/>
          <w:szCs w:val="24"/>
          <w:lang w:val="en-US" w:eastAsia="zh-CN"/>
        </w:rPr>
        <w:t>移交甲方</w:t>
      </w:r>
      <w:r>
        <w:rPr>
          <w:rFonts w:hint="eastAsia" w:ascii="宋体" w:hAnsi="宋体" w:eastAsia="宋体" w:cs="宋体"/>
          <w:sz w:val="24"/>
          <w:szCs w:val="24"/>
        </w:rPr>
        <w:t>前的安全负全责。</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2.7、做好各项质量自检记录，参加竣工验收，编制工程结算。</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2.8、遵守国家或地方政府及有关部门对施工现场管理规定；服从甲方的有关指令</w:t>
      </w:r>
      <w:r>
        <w:rPr>
          <w:rFonts w:hint="eastAsia" w:ascii="宋体" w:hAnsi="宋体" w:eastAsia="宋体" w:cs="宋体"/>
          <w:sz w:val="24"/>
          <w:szCs w:val="24"/>
          <w:highlight w:val="none"/>
          <w:lang w:val="en-US" w:eastAsia="zh-CN"/>
        </w:rPr>
        <w:t>及项目现场管理制度</w:t>
      </w:r>
      <w:r>
        <w:rPr>
          <w:rFonts w:hint="eastAsia" w:ascii="宋体" w:hAnsi="宋体" w:eastAsia="宋体" w:cs="宋体"/>
          <w:sz w:val="24"/>
          <w:szCs w:val="24"/>
          <w:highlight w:val="none"/>
        </w:rPr>
        <w:t>，积极配合甲方进度安排。</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2.9、依据规范要求，负责组织工程验收及检测。</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2.10、根据施工验收规范及甲方要求，及时向甲方和总承包单位提供该分项技术资料。</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2.11、甲方告知水源电源接驳点，但是具体接驳工作及产生的水电费由乙方自行承担。乙方在施工中用水、用电耗直接向总承包单位缴纳（具体的计量计价方式由乙方和总承包单位自行协商确定）。</w:t>
      </w:r>
    </w:p>
    <w:p>
      <w:pPr>
        <w:pStyle w:val="8"/>
        <w:rPr>
          <w:rFonts w:ascii="宋体" w:hAnsi="宋体" w:eastAsia="宋体" w:cs="宋体"/>
          <w:sz w:val="24"/>
          <w:szCs w:val="24"/>
          <w:highlight w:val="none"/>
        </w:rPr>
      </w:pPr>
      <w:r>
        <w:rPr>
          <w:rFonts w:hint="eastAsia" w:ascii="宋体" w:hAnsi="宋体" w:eastAsia="宋体" w:cs="宋体"/>
          <w:sz w:val="24"/>
          <w:szCs w:val="24"/>
          <w:highlight w:val="none"/>
        </w:rPr>
        <w:t xml:space="preserve"> 2.12 乙方派驻本工程的人员，未经甲方书面同意不得擅自更换，但是，甲方有权要求乙方更换甲方认为不合适或不能胜任本项目的人员。乙方擅自更换安排在本项目的人员，每发现一次，应按5000元/人次的标准向甲方支付违约金；甲方认为相关人员不合适或不能胜任本项目的，有权要求乙方更换，乙方应立即安排更换并再次经甲方面试合格后方可进场，更换后的人员须具有相关资格且乙方应合理安排更换期间的工作。</w:t>
      </w:r>
    </w:p>
    <w:p>
      <w:pPr>
        <w:pStyle w:val="3"/>
        <w:numPr>
          <w:ilvl w:val="0"/>
          <w:numId w:val="0"/>
        </w:numPr>
        <w:rPr>
          <w:rFonts w:ascii="宋体" w:hAnsi="宋体" w:eastAsia="宋体" w:cs="宋体"/>
          <w:sz w:val="24"/>
          <w:szCs w:val="24"/>
          <w:highlight w:val="none"/>
        </w:rPr>
      </w:pPr>
      <w:r>
        <w:rPr>
          <w:rFonts w:hint="eastAsia" w:ascii="宋体" w:hAnsi="宋体" w:eastAsia="宋体" w:cs="宋体"/>
          <w:sz w:val="24"/>
          <w:szCs w:val="24"/>
          <w:highlight w:val="none"/>
        </w:rPr>
        <w:t>十一、违约责任</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1、除不可抗力外，甲乙双方应严格遵守本合同的条款，否则，违约方须承担违约责任。</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2、如因乙方原因逾期进场、完工的或总体工程未能按本合同约定工期进场、完工的，视为乙方违约，每逾期一天，按5000元/天向甲方计支付违约金，同时因施工逾期引起的相关损失由乙方承担。</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3、乙方存在其他任何逾期违约行为但未达到甲方行使单方解除条件的，每逾期一日，按2000元/日向甲方支付违约金，本合同另有约定时除外。</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4、乙方存在其他违约行为但未达到甲方行使单方解除条件的，每存在一项/次违约行为，乙方应按2000元/次（项）向甲方支付违约金。</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5、乙方提供产品的品牌、规格、型号等与本合同约定不符的，视为乙方违约，甲方有权拒绝验收，乙方应在5日内无偿更换。</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乙方提供的产品质量、施工的工程质量、质保期服务质量未能达到本合同约定的质量要求和验收标准的，或进度上不符合甲方要求的，视为乙方违约，甲方有权拒绝验收；乙方应在甲方同意的期限内进行更换、维修、整改，因此造成逾期的，按逾期条款承担违约责任。</w:t>
      </w:r>
    </w:p>
    <w:p>
      <w:pPr>
        <w:pStyle w:val="8"/>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7、如因乙方原因未通过门窗及消防验收，乙方负责进行整改直至通过验收。</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8、乙方违约导致甲方解除合同的，乙方所有人员必须在3日内撤离施工现场，甲方已支付的预付款（如有）需在3日内退还至甲方，由此造成的所有损失均由乙方负责。</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9、乙方应向甲方支付的违约金等，甲方有权直接在甲方应付未付款中扣除，违约金不足以弥补甲方损失的，甲方可继续向乙方追偿。</w:t>
      </w:r>
    </w:p>
    <w:p>
      <w:pPr>
        <w:pStyle w:val="8"/>
        <w:overflowPunct w:val="0"/>
        <w:topLinePunct/>
        <w:autoSpaceDE w:val="0"/>
        <w:ind w:firstLine="240" w:firstLineChars="1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10、合同约定应由乙方完成的工作内容（包括但不限于：承包范围、清单范围内门窗施工工程、图纸会审纪要、设计变更、现场签证等），如乙方拒绝施工或不能按合同要求的工期或质量标准完成施工，甲方有权安排第三方实施，并按照另行委托造价的1.3倍从乙方下一次的付款节点中扣除，且影响工期的责任由乙方负责。</w:t>
      </w:r>
    </w:p>
    <w:p>
      <w:pPr>
        <w:pStyle w:val="8"/>
        <w:overflowPunct w:val="0"/>
        <w:topLinePun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11、甲方（含甲方关联企业）各项目均独立核算，乙方不能因其他项目工程款支付问题影响本项目施工进度、发生如围堵本项目等影响本项目形象的事件，每发生一次，按</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万元/次向甲方支付违约金。</w:t>
      </w:r>
    </w:p>
    <w:p>
      <w:pPr>
        <w:pStyle w:val="8"/>
        <w:overflowPunct w:val="0"/>
        <w:topLinePunct/>
        <w:autoSpaceDE w:val="0"/>
        <w:spacing w:line="360" w:lineRule="auto"/>
        <w:ind w:firstLine="240" w:firstLineChars="1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12</w:t>
      </w:r>
      <w:r>
        <w:rPr>
          <w:rFonts w:hint="eastAsia" w:ascii="宋体" w:hAnsi="宋体" w:eastAsia="宋体" w:cs="宋体"/>
          <w:kern w:val="0"/>
          <w:sz w:val="24"/>
          <w:szCs w:val="24"/>
          <w:highlight w:val="none"/>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100%结算，乙方拒不履行保修责任或未按期完成保修事项的，该部分工程量甲方不予结算。</w:t>
      </w:r>
    </w:p>
    <w:p>
      <w:pPr>
        <w:pStyle w:val="8"/>
        <w:overflowPunct w:val="0"/>
        <w:topLinePunct/>
        <w:ind w:firstLine="240" w:firstLineChars="100"/>
      </w:pPr>
      <w:r>
        <w:rPr>
          <w:rFonts w:hint="eastAsia" w:ascii="宋体" w:hAnsi="宋体" w:eastAsia="宋体" w:cs="宋体"/>
          <w:kern w:val="0"/>
          <w:sz w:val="24"/>
          <w:szCs w:val="24"/>
          <w:highlight w:val="none"/>
          <w:lang w:val="en-US" w:eastAsia="zh-CN" w:bidi="ar"/>
        </w:rPr>
        <w:t>14</w:t>
      </w:r>
      <w:r>
        <w:rPr>
          <w:rFonts w:hint="eastAsia" w:ascii="宋体" w:hAnsi="宋体" w:eastAsia="宋体" w:cs="宋体"/>
          <w:kern w:val="0"/>
          <w:sz w:val="24"/>
          <w:szCs w:val="24"/>
          <w:highlight w:val="none"/>
          <w:lang w:bidi="ar"/>
        </w:rPr>
        <w:t>、</w:t>
      </w:r>
      <w:r>
        <w:rPr>
          <w:rFonts w:hint="eastAsia" w:ascii="宋体" w:hAnsi="宋体" w:eastAsia="宋体" w:cs="宋体"/>
          <w:kern w:val="0"/>
          <w:sz w:val="24"/>
          <w:szCs w:val="24"/>
          <w:highlight w:val="none"/>
        </w:rPr>
        <w:t>合同约定应由乙方完成的工作内容(包括但不限于：承包范围内图纸会审纪要、设计变更、现场签证等)，如乙方拒绝施工或不能按合同要求的工期或质量标准完成施工，经甲方催告后仍不采取措施或采取的措施仍不符合合同约定的，甲方可安排第三方实施，并按照另行委托造价(另行发包价格)的1.3倍从乙方下一次的付款节点中扣除，且影响工期的责任由乙方负责。</w:t>
      </w:r>
    </w:p>
    <w:p>
      <w:pPr>
        <w:pStyle w:val="3"/>
        <w:numPr>
          <w:ilvl w:val="0"/>
          <w:numId w:val="0"/>
        </w:numPr>
        <w:rPr>
          <w:rFonts w:ascii="宋体" w:hAnsi="宋体" w:eastAsia="宋体" w:cs="宋体"/>
          <w:sz w:val="24"/>
          <w:szCs w:val="24"/>
          <w:highlight w:val="none"/>
        </w:rPr>
      </w:pPr>
      <w:r>
        <w:rPr>
          <w:rFonts w:hint="eastAsia" w:ascii="宋体" w:hAnsi="宋体" w:eastAsia="宋体" w:cs="宋体"/>
          <w:sz w:val="24"/>
          <w:szCs w:val="24"/>
          <w:highlight w:val="none"/>
        </w:rPr>
        <w:t>十二、不可抗力</w:t>
      </w:r>
    </w:p>
    <w:p>
      <w:pPr>
        <w:pStyle w:val="8"/>
        <w:overflowPunct w:val="0"/>
        <w:topLinePunct/>
        <w:autoSpaceDE w:val="0"/>
        <w:ind w:firstLine="240" w:firstLineChars="100"/>
        <w:jc w:val="left"/>
        <w:rPr>
          <w:rFonts w:ascii="宋体" w:hAnsi="宋体" w:eastAsia="宋体" w:cs="宋体"/>
          <w:sz w:val="24"/>
          <w:szCs w:val="24"/>
          <w:highlight w:val="none"/>
        </w:rPr>
      </w:pPr>
      <w:r>
        <w:rPr>
          <w:rFonts w:hint="eastAsia" w:ascii="宋体" w:hAnsi="宋体" w:eastAsia="宋体" w:cs="宋体"/>
          <w:sz w:val="24"/>
          <w:szCs w:val="24"/>
          <w:highlight w:val="none"/>
        </w:rPr>
        <w:t>1、不可抗力指因战争、动乱、瘟疫、空中飞行物坠落或其他非双方责任造成的爆炸、火灾以及9级以上的台风、7级及7级以上的地震等。（以当地行业主管部门的公告为准 ）</w:t>
      </w:r>
    </w:p>
    <w:p>
      <w:pPr>
        <w:pStyle w:val="8"/>
        <w:topLinePunct/>
        <w:autoSpaceDE w:val="0"/>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pPr>
        <w:pStyle w:val="8"/>
        <w:topLinePunct/>
        <w:autoSpaceDE w:val="0"/>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3、费用承担：</w:t>
      </w:r>
    </w:p>
    <w:p>
      <w:pPr>
        <w:pStyle w:val="8"/>
        <w:topLinePunct/>
        <w:autoSpaceDE w:val="0"/>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3.1、人员伤亡由所属单位负责，并承担相应费用；</w:t>
      </w:r>
    </w:p>
    <w:p>
      <w:pPr>
        <w:pStyle w:val="8"/>
        <w:topLinePunct/>
        <w:autoSpaceDE w:val="0"/>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3.2、造成乙方工程设备、机械的损失等损失由乙方承担；</w:t>
      </w:r>
    </w:p>
    <w:p>
      <w:pPr>
        <w:pStyle w:val="8"/>
        <w:topLinePunct/>
        <w:autoSpaceDE w:val="0"/>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3.3、所需清理修复工作的责任与费用的承担，双方另行商定。</w:t>
      </w:r>
    </w:p>
    <w:p>
      <w:pPr>
        <w:pStyle w:val="3"/>
        <w:numPr>
          <w:ilvl w:val="0"/>
          <w:numId w:val="0"/>
        </w:numPr>
        <w:rPr>
          <w:rFonts w:ascii="宋体" w:hAnsi="宋体" w:eastAsia="宋体" w:cs="宋体"/>
          <w:sz w:val="24"/>
          <w:szCs w:val="24"/>
          <w:highlight w:val="none"/>
        </w:rPr>
      </w:pPr>
      <w:r>
        <w:rPr>
          <w:rFonts w:hint="eastAsia" w:ascii="宋体" w:hAnsi="宋体" w:eastAsia="宋体" w:cs="宋体"/>
          <w:sz w:val="24"/>
          <w:szCs w:val="24"/>
          <w:highlight w:val="none"/>
        </w:rPr>
        <w:t>十三、送达条款</w:t>
      </w:r>
    </w:p>
    <w:p>
      <w:pPr>
        <w:topLinePunct/>
        <w:autoSpaceDE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甲乙双方明确送达信息如下：</w:t>
      </w:r>
    </w:p>
    <w:p>
      <w:pPr>
        <w:topLinePunct/>
        <w:autoSpaceDE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1、甲方确认的送达信息为：</w:t>
      </w:r>
    </w:p>
    <w:p>
      <w:pPr>
        <w:tabs>
          <w:tab w:val="left" w:pos="0"/>
          <w:tab w:val="left" w:pos="1276"/>
        </w:tabs>
        <w:topLinePunct/>
        <w:autoSpaceDE w:val="0"/>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送达地址：</w:t>
      </w:r>
      <w:r>
        <w:rPr>
          <w:rFonts w:hint="eastAsia" w:ascii="宋体" w:hAnsi="宋体" w:eastAsia="宋体" w:cs="宋体"/>
          <w:spacing w:val="8"/>
          <w:sz w:val="24"/>
          <w:szCs w:val="24"/>
          <w:highlight w:val="none"/>
          <w:u w:val="single"/>
        </w:rPr>
        <w:t>洛阳市洛龙区关林西路8号中浩德控股集团有限公司1楼</w:t>
      </w:r>
      <w:r>
        <w:rPr>
          <w:rFonts w:hint="eastAsia" w:ascii="宋体" w:hAnsi="宋体" w:eastAsia="宋体" w:cs="宋体"/>
          <w:sz w:val="24"/>
          <w:szCs w:val="24"/>
          <w:highlight w:val="none"/>
        </w:rPr>
        <w:t xml:space="preserve">。        </w:t>
      </w:r>
    </w:p>
    <w:p>
      <w:pPr>
        <w:tabs>
          <w:tab w:val="left" w:pos="1276"/>
        </w:tabs>
        <w:topLinePunct/>
        <w:autoSpaceDE w:val="0"/>
        <w:spacing w:line="360" w:lineRule="auto"/>
        <w:ind w:left="420" w:leftChars="200"/>
        <w:rPr>
          <w:rFonts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single"/>
        </w:rPr>
        <w:t>成本管理部</w:t>
      </w:r>
      <w:r>
        <w:rPr>
          <w:rFonts w:hint="eastAsia" w:ascii="宋体" w:hAnsi="宋体" w:eastAsia="宋体" w:cs="宋体"/>
          <w:sz w:val="24"/>
          <w:szCs w:val="24"/>
          <w:highlight w:val="none"/>
        </w:rPr>
        <w:t>；联系固话：</w:t>
      </w:r>
      <w:r>
        <w:rPr>
          <w:rFonts w:hint="eastAsia" w:ascii="宋体" w:hAnsi="宋体" w:eastAsia="宋体" w:cs="宋体"/>
          <w:sz w:val="24"/>
          <w:szCs w:val="24"/>
          <w:highlight w:val="none"/>
          <w:u w:val="single"/>
        </w:rPr>
        <w:t>0379-60667770</w:t>
      </w:r>
      <w:r>
        <w:rPr>
          <w:rFonts w:hint="eastAsia" w:ascii="宋体" w:hAnsi="宋体" w:eastAsia="宋体" w:cs="宋体"/>
          <w:sz w:val="24"/>
          <w:szCs w:val="24"/>
          <w:highlight w:val="none"/>
        </w:rPr>
        <w:t>；联系手机 ：</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 xml:space="preserve">。     </w:t>
      </w:r>
    </w:p>
    <w:p>
      <w:pPr>
        <w:topLinePunct/>
        <w:autoSpaceDE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2、乙方确认的送达信息为： </w:t>
      </w:r>
    </w:p>
    <w:p>
      <w:pPr>
        <w:topLinePunct/>
        <w:autoSpaceDE w:val="0"/>
        <w:spacing w:line="360" w:lineRule="auto"/>
        <w:rPr>
          <w:rFonts w:ascii="宋体" w:hAnsi="宋体" w:eastAsia="宋体" w:cs="宋体"/>
          <w:sz w:val="24"/>
          <w:szCs w:val="24"/>
          <w:highlight w:val="none"/>
          <w:u w:val="single"/>
        </w:rPr>
      </w:pPr>
      <w:r>
        <w:rPr>
          <w:rFonts w:hint="eastAsia" w:ascii="宋体" w:hAnsi="宋体" w:eastAsia="宋体" w:cs="宋体"/>
          <w:sz w:val="24"/>
          <w:szCs w:val="24"/>
          <w:highlight w:val="none"/>
        </w:rPr>
        <w:t>送达地址：郑州市金水区卫生路11号附1号院办公楼</w:t>
      </w:r>
      <w:r>
        <w:rPr>
          <w:rFonts w:hint="eastAsia" w:ascii="宋体" w:hAnsi="宋体" w:eastAsia="宋体" w:cs="宋体"/>
          <w:sz w:val="24"/>
          <w:szCs w:val="24"/>
          <w:highlight w:val="none"/>
          <w:u w:val="single"/>
        </w:rPr>
        <w:t>。</w:t>
      </w:r>
    </w:p>
    <w:p>
      <w:pPr>
        <w:topLinePunct/>
        <w:autoSpaceDE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联系人：温金麒 ；联系电话：0371-53370119；联系手机 ：15838204321 。</w:t>
      </w:r>
    </w:p>
    <w:p>
      <w:pPr>
        <w:topLinePunct/>
        <w:autoSpaceDE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邮箱：1990575343@qq.com</w:t>
      </w:r>
    </w:p>
    <w:p>
      <w:pPr>
        <w:spacing w:line="360" w:lineRule="auto"/>
        <w:ind w:firstLine="468" w:firstLineChars="195"/>
        <w:rPr>
          <w:rFonts w:ascii="宋体" w:hAnsi="宋体" w:eastAsia="宋体" w:cs="宋体"/>
          <w:sz w:val="24"/>
          <w:szCs w:val="24"/>
          <w:highlight w:val="none"/>
        </w:rPr>
      </w:pPr>
      <w:r>
        <w:rPr>
          <w:rFonts w:hint="eastAsia" w:ascii="宋体" w:hAnsi="宋体" w:eastAsia="宋体" w:cs="宋体"/>
          <w:sz w:val="24"/>
          <w:szCs w:val="24"/>
          <w:highlight w:val="none"/>
        </w:rPr>
        <w:t>3、双方在此共同确认，上述送达信息将作为双方在合同项下邮寄往来通知、函件等任何文件资料及法院送达法律文书的唯一有效送达地址及联系信息。任何一方变更送达信息，应当提前10日书面通知对方，否则视为未变更。任何一方按照上述送达信息向对方邮寄任何文件资料，自邮件发出后的第3日视为已经有效送达对方并产生相应的法律后果，不论该邮件是否已经由对方实际签收。</w:t>
      </w:r>
    </w:p>
    <w:p>
      <w:pPr>
        <w:pStyle w:val="3"/>
        <w:numPr>
          <w:ilvl w:val="0"/>
          <w:numId w:val="0"/>
        </w:numPr>
        <w:rPr>
          <w:rFonts w:ascii="宋体" w:hAnsi="宋体" w:eastAsia="宋体" w:cs="宋体"/>
          <w:sz w:val="24"/>
          <w:szCs w:val="24"/>
          <w:highlight w:val="none"/>
        </w:rPr>
      </w:pPr>
      <w:r>
        <w:rPr>
          <w:rFonts w:hint="eastAsia" w:ascii="宋体" w:hAnsi="宋体" w:eastAsia="宋体" w:cs="宋体"/>
          <w:sz w:val="24"/>
          <w:szCs w:val="24"/>
          <w:highlight w:val="none"/>
        </w:rPr>
        <w:t>十四、合同解约条款</w:t>
      </w:r>
    </w:p>
    <w:p>
      <w:pPr>
        <w:tabs>
          <w:tab w:val="left" w:pos="90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乙方存在如下任一情况的，甲方有权要求乙方按照合同总价的20%支付违约金（本合同另有约定时除外），且有权解除本合同，解除通知到达乙方之日生效，该违约金不足以弥补甲方损失，乙方还应继续承担赔偿责任。</w:t>
      </w:r>
    </w:p>
    <w:p>
      <w:pPr>
        <w:tabs>
          <w:tab w:val="left" w:pos="90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1.1、本工程达不到建筑门窗工程及建筑装修验收规范合格标准及/或不能通过验收（含消防相关）的；</w:t>
      </w:r>
    </w:p>
    <w:p>
      <w:pPr>
        <w:tabs>
          <w:tab w:val="left" w:pos="90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1.2、乙方未能按时进场施工的，在甲方发出书面通知后的5日内仍未进场施工的；</w:t>
      </w:r>
    </w:p>
    <w:p>
      <w:pPr>
        <w:tabs>
          <w:tab w:val="left" w:pos="90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1.3、乙方在施工过程中非因不可抗力因素、乙方原因造成连续停工7日以上或累计达 7日的；</w:t>
      </w:r>
    </w:p>
    <w:p>
      <w:pPr>
        <w:tabs>
          <w:tab w:val="left" w:pos="90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1.4、乙方逾期竣工达7日及以上的；</w:t>
      </w:r>
    </w:p>
    <w:p>
      <w:pPr>
        <w:tabs>
          <w:tab w:val="left" w:pos="90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1.5、乙方人员在施工区内出现打架斗殴行为至警察出警、立案、相关行为人</w:t>
      </w:r>
      <w:r>
        <w:rPr>
          <w:rFonts w:hint="eastAsia" w:ascii="宋体" w:hAnsi="宋体" w:eastAsia="宋体" w:cs="宋体"/>
          <w:sz w:val="24"/>
          <w:szCs w:val="24"/>
          <w:lang w:val="en-US" w:eastAsia="zh-CN"/>
        </w:rPr>
        <w:t>受到</w:t>
      </w:r>
      <w:r>
        <w:rPr>
          <w:rFonts w:hint="eastAsia" w:ascii="宋体" w:hAnsi="宋体" w:eastAsia="宋体" w:cs="宋体"/>
          <w:sz w:val="24"/>
          <w:szCs w:val="24"/>
          <w:highlight w:val="none"/>
        </w:rPr>
        <w:t>行政处罚或刑事处罚的，且乙方未妥善处理的；</w:t>
      </w:r>
    </w:p>
    <w:p>
      <w:pPr>
        <w:tabs>
          <w:tab w:val="left" w:pos="90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1.6、乙方擅自把工程分包或转包给其他任何单位的；</w:t>
      </w:r>
    </w:p>
    <w:p>
      <w:pPr>
        <w:tabs>
          <w:tab w:val="left" w:pos="90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1.7、乙方与甲方工作人员串通、虚构事实或使用其他方式虚报工程量的；</w:t>
      </w:r>
    </w:p>
    <w:p>
      <w:pPr>
        <w:tabs>
          <w:tab w:val="left" w:pos="90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1.8、甲方或监理方对同一施工问题连续下发三次整改通知书后乙方无作为或整改问题未在整改通知书要求的期限内解决；</w:t>
      </w:r>
    </w:p>
    <w:p>
      <w:pPr>
        <w:tabs>
          <w:tab w:val="left" w:pos="90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1.9、乙方购置不符合合同约定的品牌、厂家、产地、材质、工艺、规格、型号等标准的产品或者假冒伪劣产品用于本工程；</w:t>
      </w:r>
    </w:p>
    <w:p>
      <w:pPr>
        <w:tabs>
          <w:tab w:val="left" w:pos="90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1.10、乙方存在其他违约行为，经甲方书面通知之日7日内仍未纠正的。</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合同解除后，对于乙方已完工部分且质量合格的按照实际工程量给予结算70%；对于不合格部分责令整改，整改合格后给予结算工程70%。若乙方拒绝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bCs/>
          <w:sz w:val="24"/>
          <w:szCs w:val="24"/>
          <w:highlight w:val="none"/>
        </w:rPr>
        <w:t>3、如合同解约甲方有权委托其他公司进行施工。</w:t>
      </w:r>
    </w:p>
    <w:p>
      <w:pPr>
        <w:pStyle w:val="3"/>
        <w:numPr>
          <w:ilvl w:val="0"/>
          <w:numId w:val="0"/>
        </w:numPr>
        <w:rPr>
          <w:rFonts w:ascii="宋体" w:hAnsi="宋体" w:eastAsia="宋体" w:cs="宋体"/>
          <w:sz w:val="24"/>
          <w:szCs w:val="24"/>
          <w:highlight w:val="none"/>
        </w:rPr>
      </w:pPr>
      <w:r>
        <w:rPr>
          <w:rFonts w:hint="eastAsia" w:ascii="宋体" w:hAnsi="宋体" w:eastAsia="宋体" w:cs="宋体"/>
          <w:sz w:val="24"/>
          <w:szCs w:val="24"/>
          <w:highlight w:val="none"/>
        </w:rPr>
        <w:t>十五、争议的解决</w:t>
      </w:r>
    </w:p>
    <w:p>
      <w:pPr>
        <w:topLinePunct/>
        <w:autoSpaceDE w:val="0"/>
        <w:spacing w:line="360" w:lineRule="auto"/>
        <w:ind w:firstLine="512" w:firstLineChars="200"/>
        <w:rPr>
          <w:rFonts w:ascii="宋体" w:hAnsi="宋体" w:eastAsia="宋体" w:cs="宋体"/>
          <w:b/>
          <w:sz w:val="24"/>
          <w:szCs w:val="24"/>
          <w:highlight w:val="none"/>
        </w:rPr>
      </w:pPr>
      <w:r>
        <w:rPr>
          <w:rFonts w:hint="eastAsia" w:ascii="宋体" w:hAnsi="宋体" w:eastAsia="宋体" w:cs="宋体"/>
          <w:spacing w:val="8"/>
          <w:sz w:val="24"/>
          <w:szCs w:val="24"/>
          <w:highlight w:val="none"/>
        </w:rPr>
        <w:t>本合同履行过程中发生争议或纠纷的，由当事人双方协商解决。协商不成时，双方同意向合同签约地人民法院提起诉讼。</w:t>
      </w:r>
    </w:p>
    <w:p>
      <w:pPr>
        <w:pStyle w:val="3"/>
        <w:numPr>
          <w:ilvl w:val="0"/>
          <w:numId w:val="0"/>
        </w:numPr>
        <w:rPr>
          <w:rFonts w:ascii="宋体" w:hAnsi="宋体" w:eastAsia="宋体" w:cs="宋体"/>
          <w:sz w:val="24"/>
          <w:szCs w:val="24"/>
          <w:highlight w:val="none"/>
        </w:rPr>
      </w:pPr>
      <w:r>
        <w:rPr>
          <w:rFonts w:hint="eastAsia" w:ascii="宋体" w:hAnsi="宋体" w:eastAsia="宋体" w:cs="宋体"/>
          <w:sz w:val="24"/>
          <w:szCs w:val="24"/>
          <w:highlight w:val="none"/>
        </w:rPr>
        <w:t>十六、其他</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1、本合同未尽事宜双方协商解决或另签补充协议，补充协议与本合同具有同等法律效力。</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2、本合同一式柒份，甲方伍份，乙方贰份，均具有同等法律效力。</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3、本合同及其补充协议自双方盖章之日起生效。</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4、合同签订地点：洛阳市洛龙区关林西路8号中浩德控股集团有限公司1楼。</w:t>
      </w:r>
    </w:p>
    <w:p>
      <w:pPr>
        <w:pStyle w:val="2"/>
        <w:ind w:firstLine="0" w:firstLineChars="0"/>
        <w:rPr>
          <w:rFonts w:hint="default" w:eastAsia="宋体"/>
          <w:highlight w:val="none"/>
          <w:lang w:val="en-US" w:eastAsia="zh-CN"/>
        </w:rPr>
      </w:pPr>
    </w:p>
    <w:p>
      <w:pPr>
        <w:rPr>
          <w:rFonts w:ascii="宋体" w:hAnsi="宋体" w:eastAsia="宋体" w:cs="宋体"/>
          <w:sz w:val="24"/>
          <w:szCs w:val="24"/>
          <w:highlight w:val="none"/>
        </w:rPr>
      </w:pPr>
      <w:r>
        <w:rPr>
          <w:rFonts w:hint="eastAsia" w:ascii="宋体" w:hAnsi="宋体" w:eastAsia="宋体" w:cs="宋体"/>
          <w:b/>
          <w:bCs/>
          <w:kern w:val="44"/>
          <w:sz w:val="24"/>
          <w:szCs w:val="24"/>
          <w:highlight w:val="none"/>
        </w:rPr>
        <w:t>十七、合同附件</w:t>
      </w:r>
    </w:p>
    <w:p>
      <w:pPr>
        <w:spacing w:line="360" w:lineRule="auto"/>
        <w:ind w:firstLine="512" w:firstLineChars="200"/>
        <w:rPr>
          <w:rFonts w:ascii="宋体" w:hAnsi="宋体" w:eastAsia="宋体" w:cs="宋体"/>
          <w:spacing w:val="8"/>
          <w:sz w:val="24"/>
          <w:szCs w:val="24"/>
          <w:highlight w:val="none"/>
        </w:rPr>
      </w:pPr>
      <w:r>
        <w:rPr>
          <w:rFonts w:hint="eastAsia" w:ascii="宋体" w:hAnsi="宋体" w:eastAsia="宋体" w:cs="宋体"/>
          <w:spacing w:val="8"/>
          <w:sz w:val="24"/>
          <w:szCs w:val="24"/>
          <w:highlight w:val="none"/>
        </w:rPr>
        <w:t>1、合同附件一、《廉政合作协议》</w:t>
      </w:r>
    </w:p>
    <w:p>
      <w:pPr>
        <w:spacing w:line="360" w:lineRule="auto"/>
        <w:ind w:firstLine="512" w:firstLineChars="200"/>
        <w:rPr>
          <w:rFonts w:ascii="宋体" w:hAnsi="宋体" w:eastAsia="宋体" w:cs="宋体"/>
          <w:spacing w:val="8"/>
          <w:sz w:val="24"/>
          <w:szCs w:val="24"/>
          <w:highlight w:val="none"/>
        </w:rPr>
      </w:pPr>
      <w:r>
        <w:rPr>
          <w:rFonts w:hint="eastAsia" w:ascii="宋体" w:hAnsi="宋体" w:eastAsia="宋体" w:cs="宋体"/>
          <w:spacing w:val="8"/>
          <w:sz w:val="24"/>
          <w:szCs w:val="24"/>
          <w:highlight w:val="none"/>
        </w:rPr>
        <w:t>2、合同附件二、《乙方派驻本工程人员名单表》</w:t>
      </w:r>
    </w:p>
    <w:p>
      <w:pPr>
        <w:spacing w:line="360" w:lineRule="auto"/>
        <w:ind w:firstLine="512" w:firstLineChars="200"/>
        <w:rPr>
          <w:rFonts w:ascii="宋体" w:hAnsi="宋体" w:eastAsia="宋体" w:cs="宋体"/>
          <w:spacing w:val="8"/>
          <w:sz w:val="24"/>
          <w:szCs w:val="24"/>
          <w:highlight w:val="none"/>
        </w:rPr>
      </w:pPr>
      <w:r>
        <w:rPr>
          <w:rFonts w:hint="eastAsia" w:ascii="宋体" w:hAnsi="宋体" w:eastAsia="宋体" w:cs="宋体"/>
          <w:spacing w:val="8"/>
          <w:sz w:val="24"/>
          <w:szCs w:val="24"/>
          <w:highlight w:val="none"/>
        </w:rPr>
        <w:t>3、合同附件三、《价格清单》（单独打印后附装订）</w:t>
      </w:r>
    </w:p>
    <w:p>
      <w:pPr>
        <w:spacing w:line="360" w:lineRule="auto"/>
        <w:ind w:firstLine="512" w:firstLineChars="200"/>
        <w:rPr>
          <w:rFonts w:ascii="宋体" w:hAnsi="宋体" w:eastAsia="宋体" w:cs="宋体"/>
          <w:spacing w:val="8"/>
          <w:sz w:val="24"/>
          <w:szCs w:val="24"/>
          <w:highlight w:val="none"/>
        </w:rPr>
      </w:pPr>
      <w:r>
        <w:rPr>
          <w:rFonts w:hint="eastAsia" w:ascii="宋体" w:hAnsi="宋体" w:eastAsia="宋体" w:cs="宋体"/>
          <w:spacing w:val="8"/>
          <w:sz w:val="24"/>
          <w:szCs w:val="24"/>
          <w:highlight w:val="none"/>
        </w:rPr>
        <w:t>（以下无正文）</w:t>
      </w:r>
    </w:p>
    <w:p>
      <w:pPr>
        <w:topLinePunct/>
        <w:autoSpaceDE w:val="0"/>
        <w:spacing w:line="360" w:lineRule="auto"/>
        <w:ind w:firstLine="480" w:firstLineChars="200"/>
        <w:rPr>
          <w:rFonts w:ascii="宋体" w:hAnsi="宋体" w:eastAsia="宋体" w:cs="宋体"/>
          <w:sz w:val="24"/>
          <w:szCs w:val="24"/>
          <w:highlight w:val="none"/>
        </w:rPr>
      </w:pPr>
      <w:r>
        <w:rPr>
          <w:rFonts w:hint="eastAsia" w:ascii="宋体" w:hAnsi="宋体" w:eastAsia="宋体" w:cs="宋体"/>
          <w:bCs/>
          <w:sz w:val="24"/>
          <w:szCs w:val="24"/>
          <w:highlight w:val="none"/>
        </w:rPr>
        <w:t xml:space="preserve">甲方：（盖章）                     乙方：（盖章）  </w:t>
      </w:r>
    </w:p>
    <w:p>
      <w:pPr>
        <w:topLinePunct/>
        <w:autoSpaceDE w:val="0"/>
        <w:spacing w:line="360" w:lineRule="auto"/>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 xml:space="preserve">河南浩德龙瑞置业有限公司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河南泰康建筑工程有限公司</w:t>
      </w:r>
    </w:p>
    <w:p>
      <w:pPr>
        <w:topLinePunct/>
        <w:autoSpaceDE w:val="0"/>
        <w:spacing w:line="360" w:lineRule="auto"/>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法定代表人：                          法定代表人：</w:t>
      </w:r>
    </w:p>
    <w:p>
      <w:pPr>
        <w:topLinePunct/>
        <w:autoSpaceDE w:val="0"/>
        <w:spacing w:line="360" w:lineRule="auto"/>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委托代理人：                          委托代理人：</w:t>
      </w:r>
    </w:p>
    <w:p>
      <w:pPr>
        <w:topLinePunct/>
        <w:autoSpaceDE w:val="0"/>
        <w:spacing w:line="360" w:lineRule="auto"/>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纳税人识别号：</w:t>
      </w:r>
      <w:r>
        <w:rPr>
          <w:rFonts w:ascii="宋体" w:hAnsi="宋体"/>
          <w:sz w:val="24"/>
          <w:szCs w:val="24"/>
          <w:highlight w:val="none"/>
        </w:rPr>
        <w:t>91410300MA9MYURF5B</w:t>
      </w:r>
      <w:r>
        <w:rPr>
          <w:rFonts w:hint="eastAsia" w:ascii="宋体" w:hAnsi="宋体"/>
          <w:sz w:val="24"/>
          <w:szCs w:val="24"/>
          <w:highlight w:val="none"/>
          <w:lang w:val="en-US" w:eastAsia="zh-CN"/>
        </w:rPr>
        <w:t xml:space="preserve">   </w:t>
      </w:r>
      <w:r>
        <w:rPr>
          <w:rFonts w:hint="eastAsia" w:ascii="宋体" w:hAnsi="宋体" w:eastAsia="宋体" w:cs="宋体"/>
          <w:bCs/>
          <w:sz w:val="24"/>
          <w:szCs w:val="24"/>
          <w:highlight w:val="none"/>
        </w:rPr>
        <w:t>纳税人识别号：91410105576302124N</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开户行：</w:t>
      </w:r>
      <w:r>
        <w:rPr>
          <w:rFonts w:ascii="宋体" w:hAnsi="宋体"/>
          <w:sz w:val="24"/>
          <w:szCs w:val="24"/>
          <w:highlight w:val="none"/>
        </w:rPr>
        <w:t>中原银行股份有限公司</w:t>
      </w:r>
      <w:r>
        <w:rPr>
          <w:rFonts w:hint="eastAsia" w:ascii="宋体" w:hAnsi="宋体" w:cs="宋体"/>
          <w:bCs/>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开户行：上海浦东发展银行郑州分行</w:t>
      </w:r>
    </w:p>
    <w:p>
      <w:pPr>
        <w:topLinePunct w:val="0"/>
        <w:autoSpaceDE/>
        <w:spacing w:line="360" w:lineRule="auto"/>
        <w:ind w:firstLine="480" w:firstLineChars="200"/>
        <w:rPr>
          <w:rFonts w:hint="eastAsia" w:ascii="宋体" w:hAnsi="宋体" w:eastAsia="宋体" w:cs="宋体"/>
          <w:sz w:val="24"/>
          <w:szCs w:val="24"/>
          <w:highlight w:val="none"/>
        </w:rPr>
      </w:pPr>
      <w:r>
        <w:rPr>
          <w:rFonts w:ascii="宋体" w:hAnsi="宋体"/>
          <w:sz w:val="24"/>
          <w:szCs w:val="24"/>
          <w:highlight w:val="none"/>
        </w:rPr>
        <w:t>洛阳万豪中心支行</w:t>
      </w:r>
      <w:r>
        <w:rPr>
          <w:rFonts w:hint="eastAsia" w:ascii="宋体" w:hAnsi="宋体"/>
          <w:sz w:val="24"/>
          <w:szCs w:val="24"/>
          <w:highlight w:val="none"/>
          <w:lang w:val="en-US" w:eastAsia="zh-CN"/>
        </w:rPr>
        <w:t xml:space="preserve">                 </w:t>
      </w:r>
      <w:r>
        <w:rPr>
          <w:rFonts w:hint="eastAsia" w:ascii="宋体" w:hAnsi="宋体" w:cs="宋体"/>
          <w:bCs/>
          <w:szCs w:val="24"/>
          <w:highlight w:val="none"/>
        </w:rPr>
        <w:t xml:space="preserve"> </w:t>
      </w:r>
      <w:r>
        <w:rPr>
          <w:rFonts w:hint="eastAsia" w:ascii="宋体" w:hAnsi="宋体" w:eastAsia="宋体" w:cs="宋体"/>
          <w:sz w:val="24"/>
          <w:szCs w:val="24"/>
          <w:highlight w:val="none"/>
        </w:rPr>
        <w:t>健康路支行</w:t>
      </w:r>
    </w:p>
    <w:p>
      <w:pPr>
        <w:topLinePunct w:val="0"/>
        <w:autoSpaceDE/>
        <w:spacing w:line="360" w:lineRule="auto"/>
        <w:ind w:firstLine="480" w:firstLineChars="200"/>
        <w:rPr>
          <w:rFonts w:ascii="宋体" w:hAnsi="宋体" w:eastAsia="宋体" w:cs="宋体"/>
          <w:bCs/>
          <w:sz w:val="24"/>
          <w:szCs w:val="24"/>
          <w:highlight w:val="none"/>
        </w:rPr>
      </w:pPr>
      <w:r>
        <w:rPr>
          <w:rFonts w:hint="eastAsia" w:ascii="宋体" w:hAnsi="宋体" w:eastAsia="宋体" w:cs="宋体"/>
          <w:sz w:val="24"/>
          <w:szCs w:val="24"/>
          <w:highlight w:val="none"/>
        </w:rPr>
        <w:t>账号：</w:t>
      </w:r>
      <w:r>
        <w:rPr>
          <w:rFonts w:ascii="宋体" w:hAnsi="宋体"/>
          <w:sz w:val="24"/>
          <w:szCs w:val="24"/>
          <w:highlight w:val="none"/>
        </w:rPr>
        <w:t>410311010160004001</w:t>
      </w:r>
      <w:r>
        <w:rPr>
          <w:rFonts w:ascii="宋体" w:hAnsi="宋体" w:cs="宋体"/>
          <w:bCs/>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bCs/>
          <w:sz w:val="24"/>
          <w:szCs w:val="24"/>
          <w:highlight w:val="none"/>
        </w:rPr>
        <w:t>账号：76040155100000829</w:t>
      </w:r>
    </w:p>
    <w:p>
      <w:pPr>
        <w:topLinePunct/>
        <w:autoSpaceDE w:val="0"/>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签订日期：</w:t>
      </w:r>
      <w:r>
        <w:rPr>
          <w:rFonts w:hint="eastAsia" w:ascii="宋体" w:hAnsi="宋体" w:eastAsia="宋体" w:cs="宋体"/>
          <w:bCs/>
          <w:sz w:val="24"/>
          <w:szCs w:val="24"/>
          <w:highlight w:val="none"/>
          <w:u w:val="single"/>
        </w:rPr>
        <w:t>2023</w:t>
      </w:r>
      <w:r>
        <w:rPr>
          <w:rFonts w:hint="eastAsia" w:ascii="宋体" w:hAnsi="宋体" w:eastAsia="宋体" w:cs="宋体"/>
          <w:bCs/>
          <w:sz w:val="24"/>
          <w:szCs w:val="24"/>
          <w:highlight w:val="none"/>
        </w:rPr>
        <w:t>年</w:t>
      </w:r>
      <w:r>
        <w:rPr>
          <w:rFonts w:hint="eastAsia" w:ascii="宋体" w:hAnsi="宋体" w:eastAsia="宋体" w:cs="宋体"/>
          <w:bCs/>
          <w:sz w:val="24"/>
          <w:szCs w:val="24"/>
          <w:highlight w:val="none"/>
          <w:u w:val="single"/>
        </w:rPr>
        <w:t>12</w:t>
      </w:r>
      <w:r>
        <w:rPr>
          <w:rFonts w:hint="eastAsia" w:ascii="宋体" w:hAnsi="宋体" w:eastAsia="宋体" w:cs="宋体"/>
          <w:bCs/>
          <w:sz w:val="24"/>
          <w:szCs w:val="24"/>
          <w:highlight w:val="none"/>
        </w:rPr>
        <w:t>月</w:t>
      </w:r>
      <w:r>
        <w:rPr>
          <w:rFonts w:hint="eastAsia" w:ascii="宋体" w:hAnsi="宋体" w:eastAsia="宋体" w:cs="宋体"/>
          <w:bCs/>
          <w:sz w:val="24"/>
          <w:szCs w:val="24"/>
          <w:highlight w:val="none"/>
          <w:lang w:val="en-US" w:eastAsia="zh-CN"/>
        </w:rPr>
        <w:t>15</w:t>
      </w:r>
      <w:r>
        <w:rPr>
          <w:rFonts w:hint="eastAsia" w:ascii="宋体" w:hAnsi="宋体" w:eastAsia="宋体" w:cs="宋体"/>
          <w:bCs/>
          <w:sz w:val="24"/>
          <w:szCs w:val="24"/>
          <w:highlight w:val="none"/>
        </w:rPr>
        <w:t>日         签订日期：</w:t>
      </w:r>
      <w:r>
        <w:rPr>
          <w:rFonts w:hint="eastAsia" w:ascii="宋体" w:hAnsi="宋体" w:eastAsia="宋体" w:cs="宋体"/>
          <w:bCs/>
          <w:sz w:val="24"/>
          <w:szCs w:val="24"/>
          <w:highlight w:val="none"/>
          <w:u w:val="single"/>
        </w:rPr>
        <w:t>2023</w:t>
      </w:r>
      <w:r>
        <w:rPr>
          <w:rFonts w:hint="eastAsia" w:ascii="宋体" w:hAnsi="宋体" w:eastAsia="宋体" w:cs="宋体"/>
          <w:bCs/>
          <w:sz w:val="24"/>
          <w:szCs w:val="24"/>
          <w:highlight w:val="none"/>
        </w:rPr>
        <w:t>年12月</w:t>
      </w:r>
      <w:r>
        <w:rPr>
          <w:rFonts w:hint="eastAsia" w:ascii="宋体" w:hAnsi="宋体" w:eastAsia="宋体" w:cs="宋体"/>
          <w:bCs/>
          <w:sz w:val="24"/>
          <w:szCs w:val="24"/>
          <w:highlight w:val="none"/>
          <w:lang w:val="en-US" w:eastAsia="zh-CN"/>
        </w:rPr>
        <w:t>15</w:t>
      </w:r>
      <w:r>
        <w:rPr>
          <w:rFonts w:hint="eastAsia" w:ascii="宋体" w:hAnsi="宋体" w:eastAsia="宋体" w:cs="宋体"/>
          <w:bCs/>
          <w:sz w:val="24"/>
          <w:szCs w:val="24"/>
          <w:highlight w:val="none"/>
        </w:rPr>
        <w:t>日</w:t>
      </w:r>
    </w:p>
    <w:p>
      <w:pPr>
        <w:pStyle w:val="2"/>
        <w:rPr>
          <w:rFonts w:hAnsi="宋体" w:cs="宋体"/>
          <w:bCs/>
          <w:szCs w:val="24"/>
          <w:highlight w:val="none"/>
        </w:rPr>
      </w:pPr>
    </w:p>
    <w:p>
      <w:pPr>
        <w:tabs>
          <w:tab w:val="left" w:pos="4465"/>
        </w:tabs>
        <w:spacing w:line="360" w:lineRule="auto"/>
        <w:rPr>
          <w:rFonts w:ascii="宋体" w:hAnsi="宋体" w:eastAsia="宋体" w:cs="宋体"/>
          <w:b/>
          <w:szCs w:val="24"/>
          <w:highlight w:val="none"/>
        </w:rPr>
      </w:pPr>
      <w:r>
        <w:rPr>
          <w:rFonts w:hint="eastAsia" w:ascii="宋体" w:hAnsi="宋体" w:eastAsia="宋体" w:cs="宋体"/>
          <w:b/>
          <w:szCs w:val="24"/>
          <w:highlight w:val="none"/>
        </w:rPr>
        <w:t>附件一、廉政合作协议</w:t>
      </w:r>
    </w:p>
    <w:p>
      <w:pPr>
        <w:spacing w:line="360" w:lineRule="auto"/>
        <w:ind w:firstLine="292" w:firstLineChars="91"/>
        <w:jc w:val="center"/>
        <w:rPr>
          <w:rFonts w:ascii="宋体" w:hAnsi="宋体" w:eastAsia="宋体" w:cs="宋体"/>
          <w:b/>
          <w:bCs/>
          <w:sz w:val="32"/>
          <w:szCs w:val="32"/>
          <w:highlight w:val="none"/>
          <w:lang w:val="zh-CN"/>
        </w:rPr>
      </w:pPr>
      <w:r>
        <w:rPr>
          <w:rFonts w:hint="eastAsia" w:ascii="宋体" w:hAnsi="宋体" w:eastAsia="宋体" w:cs="宋体"/>
          <w:b/>
          <w:bCs/>
          <w:sz w:val="32"/>
          <w:szCs w:val="32"/>
          <w:highlight w:val="none"/>
          <w:lang w:val="zh-CN"/>
        </w:rPr>
        <w:t>廉政合作协议</w:t>
      </w:r>
    </w:p>
    <w:p>
      <w:pPr>
        <w:spacing w:line="360" w:lineRule="auto"/>
        <w:rPr>
          <w:rFonts w:ascii="宋体" w:hAnsi="宋体" w:eastAsia="宋体" w:cs="宋体"/>
          <w:b/>
          <w:szCs w:val="24"/>
          <w:highlight w:val="none"/>
        </w:rPr>
      </w:pPr>
      <w:r>
        <w:rPr>
          <w:rFonts w:hint="eastAsia" w:ascii="宋体" w:hAnsi="宋体" w:eastAsia="宋体" w:cs="宋体"/>
          <w:b/>
          <w:szCs w:val="24"/>
          <w:highlight w:val="none"/>
        </w:rPr>
        <w:t>甲方：河南浩德龙瑞置业有限公司</w:t>
      </w:r>
    </w:p>
    <w:p>
      <w:pPr>
        <w:spacing w:line="360" w:lineRule="auto"/>
        <w:rPr>
          <w:rFonts w:ascii="宋体" w:hAnsi="宋体" w:eastAsia="宋体" w:cs="宋体"/>
          <w:b/>
          <w:szCs w:val="24"/>
          <w:highlight w:val="none"/>
        </w:rPr>
      </w:pPr>
      <w:r>
        <w:rPr>
          <w:rFonts w:hint="eastAsia" w:ascii="宋体" w:hAnsi="宋体" w:eastAsia="宋体" w:cs="宋体"/>
          <w:b/>
          <w:szCs w:val="24"/>
          <w:highlight w:val="none"/>
        </w:rPr>
        <w:t>乙方： 河南泰康建筑工程有限公司</w:t>
      </w:r>
    </w:p>
    <w:p>
      <w:pPr>
        <w:spacing w:line="360" w:lineRule="auto"/>
        <w:ind w:firstLine="420" w:firstLineChars="200"/>
        <w:rPr>
          <w:rFonts w:ascii="宋体" w:hAnsi="宋体" w:eastAsia="宋体" w:cs="宋体"/>
          <w:szCs w:val="28"/>
          <w:highlight w:val="none"/>
        </w:rPr>
      </w:pPr>
      <w:r>
        <w:rPr>
          <w:rFonts w:hint="eastAsia" w:ascii="宋体" w:hAnsi="宋体" w:eastAsia="宋体" w:cs="宋体"/>
          <w:szCs w:val="28"/>
          <w:highlight w:val="none"/>
        </w:rPr>
        <w:t>为加强工程项目建设期间的廉政管理，确保项目高效优质按期竣工，甲、乙双方经协商签订本协议并作为双方共同遵守的廉政行为准则。</w:t>
      </w:r>
    </w:p>
    <w:p>
      <w:pPr>
        <w:spacing w:line="360" w:lineRule="auto"/>
        <w:ind w:firstLine="422" w:firstLineChars="200"/>
        <w:rPr>
          <w:rFonts w:ascii="宋体" w:hAnsi="宋体" w:eastAsia="宋体" w:cs="宋体"/>
          <w:b/>
          <w:szCs w:val="28"/>
          <w:highlight w:val="none"/>
        </w:rPr>
      </w:pPr>
      <w:r>
        <w:rPr>
          <w:rFonts w:hint="eastAsia" w:ascii="宋体" w:hAnsi="宋体" w:eastAsia="宋体" w:cs="宋体"/>
          <w:b/>
          <w:szCs w:val="28"/>
          <w:highlight w:val="none"/>
        </w:rPr>
        <w:t>一．甲方责任</w:t>
      </w:r>
    </w:p>
    <w:p>
      <w:pPr>
        <w:spacing w:line="360" w:lineRule="auto"/>
        <w:ind w:firstLine="420" w:firstLineChars="200"/>
        <w:rPr>
          <w:rFonts w:ascii="宋体" w:hAnsi="宋体" w:eastAsia="宋体" w:cs="宋体"/>
          <w:szCs w:val="28"/>
          <w:highlight w:val="none"/>
        </w:rPr>
      </w:pPr>
      <w:r>
        <w:rPr>
          <w:rFonts w:hint="eastAsia" w:ascii="宋体" w:hAnsi="宋体" w:eastAsia="宋体" w:cs="宋体"/>
          <w:szCs w:val="28"/>
          <w:highlight w:val="none"/>
        </w:rPr>
        <w:t>1．甲方有责任向乙方介绍本单位有关廉政管理的各项制度和规定。</w:t>
      </w:r>
    </w:p>
    <w:p>
      <w:pPr>
        <w:spacing w:line="360" w:lineRule="auto"/>
        <w:ind w:firstLine="420" w:firstLineChars="200"/>
        <w:rPr>
          <w:rFonts w:ascii="宋体" w:hAnsi="宋体" w:eastAsia="宋体" w:cs="宋体"/>
          <w:szCs w:val="28"/>
          <w:highlight w:val="none"/>
        </w:rPr>
      </w:pPr>
      <w:r>
        <w:rPr>
          <w:rFonts w:hint="eastAsia" w:ascii="宋体" w:hAnsi="宋体" w:eastAsia="宋体" w:cs="宋体"/>
          <w:szCs w:val="28"/>
          <w:highlight w:val="none"/>
        </w:rPr>
        <w:t>2．甲方有责任对本单位项目管理人员进行廉政教育。</w:t>
      </w:r>
    </w:p>
    <w:p>
      <w:pPr>
        <w:spacing w:line="360" w:lineRule="auto"/>
        <w:ind w:firstLine="420" w:firstLineChars="200"/>
        <w:rPr>
          <w:rFonts w:ascii="宋体" w:hAnsi="宋体" w:eastAsia="宋体" w:cs="宋体"/>
          <w:szCs w:val="28"/>
          <w:highlight w:val="none"/>
        </w:rPr>
      </w:pPr>
      <w:r>
        <w:rPr>
          <w:rFonts w:hint="eastAsia" w:ascii="宋体" w:hAnsi="宋体" w:eastAsia="宋体" w:cs="宋体"/>
          <w:szCs w:val="28"/>
          <w:highlight w:val="none"/>
        </w:rPr>
        <w:t>3．甲方人员应严格遵守本单位有关廉政管理的规定，不得接受乙方的宴请，不得接受任何形式的实物、现金或礼券。</w:t>
      </w:r>
    </w:p>
    <w:p>
      <w:pPr>
        <w:spacing w:line="360" w:lineRule="auto"/>
        <w:ind w:firstLine="420" w:firstLineChars="200"/>
        <w:rPr>
          <w:rFonts w:ascii="宋体" w:hAnsi="宋体" w:eastAsia="宋体" w:cs="宋体"/>
          <w:szCs w:val="28"/>
          <w:highlight w:val="none"/>
        </w:rPr>
      </w:pPr>
      <w:r>
        <w:rPr>
          <w:rFonts w:hint="eastAsia" w:ascii="宋体" w:hAnsi="宋体" w:eastAsia="宋体" w:cs="宋体"/>
          <w:szCs w:val="28"/>
          <w:highlight w:val="none"/>
        </w:rPr>
        <w:t>4．甲方在项目建设期间发现甲方人员任何形式的索贿受贿行为，均应及时采取措施予以制止，并及时通报乙方单位领导。</w:t>
      </w:r>
    </w:p>
    <w:p>
      <w:pPr>
        <w:spacing w:line="360" w:lineRule="auto"/>
        <w:ind w:firstLine="420" w:firstLineChars="200"/>
        <w:rPr>
          <w:rFonts w:ascii="宋体" w:hAnsi="宋体" w:eastAsia="宋体" w:cs="宋体"/>
          <w:szCs w:val="28"/>
          <w:highlight w:val="none"/>
        </w:rPr>
      </w:pPr>
      <w:r>
        <w:rPr>
          <w:rFonts w:hint="eastAsia" w:ascii="宋体" w:hAnsi="宋体" w:eastAsia="宋体" w:cs="宋体"/>
          <w:szCs w:val="28"/>
          <w:highlight w:val="none"/>
        </w:rPr>
        <w:t>5．甲方人员如违反廉政管理制度及本协议规定，甲方应视情节轻重、影响大小给予处罚。</w:t>
      </w:r>
    </w:p>
    <w:p>
      <w:pPr>
        <w:spacing w:line="360" w:lineRule="auto"/>
        <w:ind w:firstLine="420" w:firstLineChars="200"/>
        <w:rPr>
          <w:rFonts w:ascii="宋体" w:hAnsi="宋体" w:eastAsia="宋体" w:cs="宋体"/>
          <w:szCs w:val="28"/>
          <w:highlight w:val="none"/>
        </w:rPr>
      </w:pPr>
      <w:r>
        <w:rPr>
          <w:rFonts w:hint="eastAsia" w:ascii="宋体" w:hAnsi="宋体" w:eastAsia="宋体" w:cs="宋体"/>
          <w:szCs w:val="28"/>
          <w:highlight w:val="none"/>
        </w:rPr>
        <w:t>6．对于乙方举报甲方人员违反廉政规定的情况，甲方应及时进行调查，根据调查情况进行处理。</w:t>
      </w:r>
    </w:p>
    <w:p>
      <w:pPr>
        <w:spacing w:line="360" w:lineRule="auto"/>
        <w:ind w:firstLine="422" w:firstLineChars="200"/>
        <w:rPr>
          <w:rFonts w:ascii="宋体" w:hAnsi="宋体" w:eastAsia="宋体" w:cs="宋体"/>
          <w:b/>
          <w:szCs w:val="28"/>
          <w:highlight w:val="none"/>
        </w:rPr>
      </w:pPr>
      <w:r>
        <w:rPr>
          <w:rFonts w:hint="eastAsia" w:ascii="宋体" w:hAnsi="宋体" w:eastAsia="宋体" w:cs="宋体"/>
          <w:b/>
          <w:szCs w:val="28"/>
          <w:highlight w:val="none"/>
        </w:rPr>
        <w:t>二．乙方责任</w:t>
      </w:r>
    </w:p>
    <w:p>
      <w:pPr>
        <w:spacing w:line="360" w:lineRule="auto"/>
        <w:ind w:firstLine="420" w:firstLineChars="200"/>
        <w:rPr>
          <w:rFonts w:ascii="宋体" w:hAnsi="宋体" w:eastAsia="宋体" w:cs="宋体"/>
          <w:szCs w:val="28"/>
          <w:highlight w:val="none"/>
        </w:rPr>
      </w:pPr>
      <w:r>
        <w:rPr>
          <w:rFonts w:hint="eastAsia" w:ascii="宋体" w:hAnsi="宋体" w:eastAsia="宋体" w:cs="宋体"/>
          <w:szCs w:val="28"/>
          <w:highlight w:val="none"/>
        </w:rPr>
        <w:t>1．乙方应保证乙方有关人员了解甲方有关廉政管理的各项制度及本协议的规定，并遵照执行。</w:t>
      </w:r>
    </w:p>
    <w:p>
      <w:pPr>
        <w:spacing w:line="360" w:lineRule="auto"/>
        <w:ind w:firstLine="420" w:firstLineChars="200"/>
        <w:rPr>
          <w:rFonts w:ascii="宋体" w:hAnsi="宋体" w:eastAsia="宋体" w:cs="宋体"/>
          <w:szCs w:val="28"/>
          <w:highlight w:val="none"/>
        </w:rPr>
      </w:pPr>
      <w:r>
        <w:rPr>
          <w:rFonts w:hint="eastAsia" w:ascii="宋体" w:hAnsi="宋体" w:eastAsia="宋体" w:cs="宋体"/>
          <w:szCs w:val="28"/>
          <w:highlight w:val="none"/>
        </w:rPr>
        <w:t>2．乙方不得宴请甲方人员，不得以任何形式赠送实物、现金或礼券。</w:t>
      </w:r>
    </w:p>
    <w:p>
      <w:pPr>
        <w:spacing w:line="360" w:lineRule="auto"/>
        <w:ind w:firstLine="420" w:firstLineChars="200"/>
        <w:rPr>
          <w:rFonts w:ascii="宋体" w:hAnsi="宋体" w:eastAsia="宋体" w:cs="宋体"/>
          <w:szCs w:val="28"/>
          <w:highlight w:val="none"/>
        </w:rPr>
      </w:pPr>
      <w:r>
        <w:rPr>
          <w:rFonts w:hint="eastAsia" w:ascii="宋体" w:hAnsi="宋体" w:eastAsia="宋体" w:cs="宋体"/>
          <w:szCs w:val="28"/>
          <w:highlight w:val="none"/>
        </w:rPr>
        <w:t>3．乙方在项目建设期间发现乙方人员任何向甲方人员行贿行为，均应及时采取措施予以制止，并及时通报甲方单位领导。</w:t>
      </w:r>
    </w:p>
    <w:p>
      <w:pPr>
        <w:spacing w:line="360" w:lineRule="auto"/>
        <w:ind w:firstLine="420" w:firstLineChars="200"/>
        <w:rPr>
          <w:rFonts w:ascii="宋体" w:hAnsi="宋体" w:eastAsia="宋体" w:cs="宋体"/>
          <w:szCs w:val="28"/>
          <w:highlight w:val="none"/>
        </w:rPr>
      </w:pPr>
      <w:r>
        <w:rPr>
          <w:rFonts w:hint="eastAsia" w:ascii="宋体" w:hAnsi="宋体" w:eastAsia="宋体" w:cs="宋体"/>
          <w:szCs w:val="28"/>
          <w:highlight w:val="none"/>
        </w:rPr>
        <w:t>4．乙方有责任接受甲方对乙方在项目建设期间廉政管理执行情况的监督。</w:t>
      </w:r>
    </w:p>
    <w:p>
      <w:pPr>
        <w:spacing w:line="360" w:lineRule="auto"/>
        <w:ind w:firstLine="420" w:firstLineChars="200"/>
        <w:rPr>
          <w:rFonts w:ascii="宋体" w:hAnsi="宋体" w:eastAsia="宋体" w:cs="宋体"/>
          <w:szCs w:val="28"/>
          <w:highlight w:val="none"/>
        </w:rPr>
      </w:pPr>
      <w:r>
        <w:rPr>
          <w:rFonts w:hint="eastAsia" w:ascii="宋体" w:hAnsi="宋体" w:eastAsia="宋体" w:cs="宋体"/>
          <w:szCs w:val="28"/>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万-100万元的违约金。</w:t>
      </w:r>
    </w:p>
    <w:p>
      <w:pPr>
        <w:spacing w:line="360" w:lineRule="auto"/>
        <w:ind w:firstLine="420" w:firstLineChars="200"/>
        <w:rPr>
          <w:rFonts w:ascii="宋体" w:hAnsi="宋体" w:eastAsia="宋体" w:cs="宋体"/>
          <w:szCs w:val="28"/>
          <w:highlight w:val="none"/>
        </w:rPr>
      </w:pPr>
      <w:r>
        <w:rPr>
          <w:rFonts w:hint="eastAsia" w:ascii="宋体" w:hAnsi="宋体" w:eastAsia="宋体" w:cs="宋体"/>
          <w:szCs w:val="28"/>
          <w:highlight w:val="none"/>
        </w:rPr>
        <w:t>6．如因乙方或其人员在项目建设期间贿赂甲方人员，被检察机关立案查处的，甲方有权终止合同履行或解除合同，由此给甲方造成的损失，均由乙方负责赔偿。</w:t>
      </w:r>
    </w:p>
    <w:p>
      <w:pPr>
        <w:spacing w:line="360" w:lineRule="auto"/>
        <w:ind w:firstLine="422" w:firstLineChars="200"/>
        <w:rPr>
          <w:rFonts w:ascii="宋体" w:hAnsi="宋体" w:eastAsia="宋体" w:cs="宋体"/>
          <w:b/>
          <w:szCs w:val="28"/>
          <w:highlight w:val="none"/>
        </w:rPr>
      </w:pPr>
      <w:r>
        <w:rPr>
          <w:rFonts w:hint="eastAsia" w:ascii="宋体" w:hAnsi="宋体" w:eastAsia="宋体" w:cs="宋体"/>
          <w:b/>
          <w:szCs w:val="28"/>
          <w:highlight w:val="none"/>
        </w:rPr>
        <w:t xml:space="preserve"> 三、为维护甲乙双方的合法利益，营造良好的商务环境，甲方建立多种举报渠道（如下）。甲方审计监察部人员将恪守职业道德，严格履行保密义务！</w:t>
      </w:r>
    </w:p>
    <w:p>
      <w:pPr>
        <w:spacing w:line="360" w:lineRule="auto"/>
        <w:ind w:firstLine="420" w:firstLineChars="200"/>
        <w:rPr>
          <w:rFonts w:ascii="宋体" w:hAnsi="宋体" w:eastAsia="宋体" w:cs="宋体"/>
          <w:bCs/>
          <w:szCs w:val="28"/>
          <w:highlight w:val="none"/>
        </w:rPr>
      </w:pPr>
      <w:r>
        <w:rPr>
          <w:rFonts w:hint="eastAsia" w:ascii="宋体" w:hAnsi="宋体" w:eastAsia="宋体" w:cs="宋体"/>
          <w:bCs/>
          <w:szCs w:val="28"/>
          <w:highlight w:val="none"/>
        </w:rPr>
        <w:t>（1）微信小程序举报（扫描右侧二维码进入程序，举报信息直达集团董事长）；</w:t>
      </w:r>
    </w:p>
    <w:p>
      <w:pPr>
        <w:spacing w:line="360" w:lineRule="auto"/>
        <w:ind w:firstLine="420" w:firstLineChars="200"/>
        <w:rPr>
          <w:rFonts w:ascii="宋体" w:hAnsi="宋体" w:eastAsia="宋体" w:cs="宋体"/>
          <w:szCs w:val="28"/>
          <w:highlight w:val="none"/>
        </w:rPr>
      </w:pPr>
      <w:r>
        <w:rPr>
          <w:rFonts w:hint="eastAsia" w:ascii="宋体" w:hAnsi="宋体" w:eastAsia="宋体" w:cs="宋体"/>
          <w:highlight w:val="none"/>
        </w:rPr>
        <w:drawing>
          <wp:anchor distT="0" distB="0" distL="114300" distR="114300" simplePos="0" relativeHeight="251659264" behindDoc="0" locked="0" layoutInCell="1" allowOverlap="1">
            <wp:simplePos x="0" y="0"/>
            <wp:positionH relativeFrom="column">
              <wp:posOffset>4482465</wp:posOffset>
            </wp:positionH>
            <wp:positionV relativeFrom="paragraph">
              <wp:posOffset>96520</wp:posOffset>
            </wp:positionV>
            <wp:extent cx="935990" cy="935990"/>
            <wp:effectExtent l="0" t="0" r="8890" b="8890"/>
            <wp:wrapNone/>
            <wp:docPr id="1" name="图片 2"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32dc313b898daf07a491037a11ba2c8"/>
                    <pic:cNvPicPr>
                      <a:picLocks noChangeAspect="1"/>
                    </pic:cNvPicPr>
                  </pic:nvPicPr>
                  <pic:blipFill>
                    <a:blip r:embed="rId5"/>
                    <a:stretch>
                      <a:fillRect/>
                    </a:stretch>
                  </pic:blipFill>
                  <pic:spPr>
                    <a:xfrm>
                      <a:off x="0" y="0"/>
                      <a:ext cx="935990" cy="935990"/>
                    </a:xfrm>
                    <a:prstGeom prst="rect">
                      <a:avLst/>
                    </a:prstGeom>
                    <a:noFill/>
                    <a:ln>
                      <a:noFill/>
                    </a:ln>
                  </pic:spPr>
                </pic:pic>
              </a:graphicData>
            </a:graphic>
          </wp:anchor>
        </w:drawing>
      </w:r>
      <w:r>
        <w:rPr>
          <w:rFonts w:hint="eastAsia" w:ascii="宋体" w:hAnsi="宋体" w:eastAsia="宋体" w:cs="宋体"/>
          <w:szCs w:val="28"/>
          <w:highlight w:val="none"/>
        </w:rPr>
        <w:t>（2）邮箱：shenji@chinahonden.com</w:t>
      </w:r>
    </w:p>
    <w:p>
      <w:pPr>
        <w:spacing w:line="360" w:lineRule="auto"/>
        <w:ind w:firstLine="420" w:firstLineChars="200"/>
        <w:rPr>
          <w:rFonts w:ascii="宋体" w:hAnsi="宋体" w:eastAsia="宋体" w:cs="宋体"/>
          <w:szCs w:val="28"/>
          <w:highlight w:val="none"/>
        </w:rPr>
      </w:pPr>
      <w:r>
        <w:rPr>
          <w:rFonts w:hint="eastAsia" w:ascii="宋体" w:hAnsi="宋体" w:eastAsia="宋体" w:cs="宋体"/>
          <w:szCs w:val="28"/>
          <w:highlight w:val="none"/>
        </w:rPr>
        <w:t>（3）电话：风控总监毛政辉：13693798532</w:t>
      </w:r>
    </w:p>
    <w:p>
      <w:pPr>
        <w:spacing w:line="360" w:lineRule="auto"/>
        <w:ind w:firstLine="420" w:firstLineChars="200"/>
        <w:rPr>
          <w:rFonts w:ascii="宋体" w:hAnsi="宋体" w:eastAsia="宋体" w:cs="宋体"/>
          <w:szCs w:val="28"/>
          <w:highlight w:val="none"/>
        </w:rPr>
      </w:pPr>
      <w:r>
        <w:rPr>
          <w:rFonts w:hint="eastAsia" w:ascii="宋体" w:hAnsi="宋体" w:eastAsia="宋体" w:cs="宋体"/>
          <w:szCs w:val="28"/>
          <w:highlight w:val="none"/>
        </w:rPr>
        <w:t>（4）电话：审计监察副总监齐全中：18137710188</w:t>
      </w:r>
    </w:p>
    <w:p>
      <w:pPr>
        <w:spacing w:line="360" w:lineRule="auto"/>
        <w:ind w:firstLine="420" w:firstLineChars="200"/>
        <w:rPr>
          <w:rFonts w:ascii="宋体" w:hAnsi="宋体" w:eastAsia="宋体" w:cs="宋体"/>
          <w:szCs w:val="28"/>
          <w:highlight w:val="none"/>
        </w:rPr>
      </w:pPr>
      <w:r>
        <w:rPr>
          <w:rFonts w:hint="eastAsia" w:ascii="宋体" w:hAnsi="宋体" w:eastAsia="宋体" w:cs="宋体"/>
          <w:szCs w:val="28"/>
          <w:highlight w:val="none"/>
        </w:rPr>
        <w:t>（5）电话：审计监察高级经理苏文倩：18839528225</w:t>
      </w:r>
    </w:p>
    <w:p>
      <w:pPr>
        <w:ind w:firstLine="480" w:firstLineChars="200"/>
        <w:rPr>
          <w:rFonts w:ascii="宋体" w:hAnsi="宋体" w:eastAsia="宋体" w:cs="宋体"/>
          <w:sz w:val="24"/>
          <w:szCs w:val="28"/>
          <w:highlight w:val="none"/>
        </w:rPr>
      </w:pPr>
      <w:r>
        <w:rPr>
          <w:rFonts w:hint="eastAsia" w:ascii="宋体" w:hAnsi="宋体" w:eastAsia="宋体" w:cs="宋体"/>
          <w:sz w:val="24"/>
          <w:szCs w:val="28"/>
          <w:highlight w:val="none"/>
        </w:rPr>
        <w:t>（6）信件举报邮寄地址：洛阳市洛龙区关林西路8号中浩德控股集团有限公司审计监察部（收）。</w:t>
      </w:r>
    </w:p>
    <w:p>
      <w:pPr>
        <w:spacing w:line="360" w:lineRule="auto"/>
        <w:ind w:firstLine="422" w:firstLineChars="200"/>
        <w:rPr>
          <w:rFonts w:ascii="宋体" w:hAnsi="宋体" w:eastAsia="宋体" w:cs="宋体"/>
          <w:b/>
          <w:szCs w:val="28"/>
          <w:highlight w:val="none"/>
        </w:rPr>
      </w:pPr>
      <w:r>
        <w:rPr>
          <w:rFonts w:hint="eastAsia" w:ascii="宋体" w:hAnsi="宋体" w:eastAsia="宋体" w:cs="宋体"/>
          <w:b/>
          <w:szCs w:val="28"/>
          <w:highlight w:val="none"/>
        </w:rPr>
        <w:t>四、甲乙双方发现对方工作人员有下列行为之一的，可通过第三条约定的渠道进行举报：</w:t>
      </w:r>
    </w:p>
    <w:p>
      <w:pPr>
        <w:spacing w:line="360" w:lineRule="auto"/>
        <w:ind w:firstLine="420" w:firstLineChars="200"/>
        <w:rPr>
          <w:rFonts w:ascii="宋体" w:hAnsi="宋体" w:eastAsia="宋体" w:cs="宋体"/>
          <w:szCs w:val="28"/>
          <w:highlight w:val="none"/>
        </w:rPr>
      </w:pPr>
      <w:r>
        <w:rPr>
          <w:rFonts w:hint="eastAsia" w:ascii="宋体" w:hAnsi="宋体" w:eastAsia="宋体" w:cs="宋体"/>
          <w:szCs w:val="28"/>
          <w:highlight w:val="none"/>
        </w:rPr>
        <w:t>1.推诿扯皮、有责不负、处事消极、渎职失职、弄虚作假等行为。</w:t>
      </w:r>
    </w:p>
    <w:p>
      <w:pPr>
        <w:spacing w:line="360" w:lineRule="auto"/>
        <w:ind w:firstLine="420" w:firstLineChars="200"/>
        <w:rPr>
          <w:rFonts w:ascii="宋体" w:hAnsi="宋体" w:eastAsia="宋体" w:cs="宋体"/>
          <w:szCs w:val="28"/>
          <w:highlight w:val="none"/>
        </w:rPr>
      </w:pPr>
      <w:r>
        <w:rPr>
          <w:rFonts w:hint="eastAsia" w:ascii="宋体" w:hAnsi="宋体" w:eastAsia="宋体" w:cs="宋体"/>
          <w:szCs w:val="28"/>
          <w:highlight w:val="none"/>
        </w:rPr>
        <w:t>2.以权谋私、滥用职权、处事不公、隐瞒事故、违章指挥造成公司严重事故隐患的行为。</w:t>
      </w:r>
    </w:p>
    <w:p>
      <w:pPr>
        <w:spacing w:line="360" w:lineRule="auto"/>
        <w:ind w:firstLine="420" w:firstLineChars="200"/>
        <w:rPr>
          <w:rFonts w:ascii="宋体" w:hAnsi="宋体" w:eastAsia="宋体" w:cs="宋体"/>
          <w:szCs w:val="28"/>
          <w:highlight w:val="none"/>
        </w:rPr>
      </w:pPr>
      <w:r>
        <w:rPr>
          <w:rFonts w:hint="eastAsia" w:ascii="宋体" w:hAnsi="宋体" w:eastAsia="宋体" w:cs="宋体"/>
          <w:szCs w:val="28"/>
          <w:highlight w:val="none"/>
        </w:rPr>
        <w:t>3.贪污、受贿、盗窃、欺上瞒下等违法乱纪行为。</w:t>
      </w:r>
    </w:p>
    <w:p>
      <w:pPr>
        <w:spacing w:line="360" w:lineRule="auto"/>
        <w:ind w:firstLine="420" w:firstLineChars="200"/>
        <w:rPr>
          <w:rFonts w:ascii="宋体" w:hAnsi="宋体" w:eastAsia="宋体" w:cs="宋体"/>
          <w:szCs w:val="28"/>
          <w:highlight w:val="none"/>
        </w:rPr>
      </w:pPr>
      <w:r>
        <w:rPr>
          <w:rFonts w:hint="eastAsia" w:ascii="宋体" w:hAnsi="宋体" w:eastAsia="宋体" w:cs="宋体"/>
          <w:szCs w:val="28"/>
          <w:highlight w:val="none"/>
        </w:rPr>
        <w:t>4.出卖、泄露公司商业机密等危害公司行为。</w:t>
      </w:r>
    </w:p>
    <w:p>
      <w:pPr>
        <w:spacing w:line="360" w:lineRule="auto"/>
        <w:ind w:firstLine="420" w:firstLineChars="200"/>
        <w:rPr>
          <w:rFonts w:ascii="宋体" w:hAnsi="宋体" w:eastAsia="宋体" w:cs="宋体"/>
          <w:szCs w:val="28"/>
          <w:highlight w:val="none"/>
        </w:rPr>
      </w:pPr>
      <w:r>
        <w:rPr>
          <w:rFonts w:hint="eastAsia" w:ascii="宋体" w:hAnsi="宋体" w:eastAsia="宋体" w:cs="宋体"/>
          <w:szCs w:val="28"/>
          <w:highlight w:val="none"/>
        </w:rPr>
        <w:t>5.重大经济活动未按公司制度、流程执行的违规违纪行为。</w:t>
      </w:r>
    </w:p>
    <w:p>
      <w:pPr>
        <w:spacing w:line="360" w:lineRule="auto"/>
        <w:ind w:firstLine="420" w:firstLineChars="200"/>
        <w:rPr>
          <w:rFonts w:ascii="宋体" w:hAnsi="宋体" w:eastAsia="宋体" w:cs="宋体"/>
          <w:szCs w:val="28"/>
          <w:highlight w:val="none"/>
        </w:rPr>
      </w:pPr>
      <w:r>
        <w:rPr>
          <w:rFonts w:hint="eastAsia" w:ascii="宋体" w:hAnsi="宋体" w:eastAsia="宋体" w:cs="宋体"/>
          <w:szCs w:val="28"/>
          <w:highlight w:val="none"/>
        </w:rPr>
        <w:t>6.利用职权，任人唯亲，拉帮结派，搞小利益团体或对同事正当行使权利进行打击报复的行为。</w:t>
      </w:r>
    </w:p>
    <w:p>
      <w:pPr>
        <w:spacing w:line="360" w:lineRule="auto"/>
        <w:ind w:firstLine="420" w:firstLineChars="200"/>
        <w:rPr>
          <w:rFonts w:ascii="宋体" w:hAnsi="宋体" w:eastAsia="宋体" w:cs="宋体"/>
          <w:szCs w:val="28"/>
          <w:highlight w:val="none"/>
        </w:rPr>
      </w:pPr>
      <w:r>
        <w:rPr>
          <w:rFonts w:hint="eastAsia" w:ascii="宋体" w:hAnsi="宋体" w:eastAsia="宋体" w:cs="宋体"/>
          <w:szCs w:val="28"/>
          <w:highlight w:val="none"/>
        </w:rPr>
        <w:t>7.故意涂改公司文件或以公司名义谋私利，损害公司荣誉和利益的行为。</w:t>
      </w:r>
    </w:p>
    <w:p>
      <w:pPr>
        <w:spacing w:line="360" w:lineRule="auto"/>
        <w:ind w:firstLine="420" w:firstLineChars="200"/>
        <w:rPr>
          <w:rFonts w:ascii="宋体" w:hAnsi="宋体" w:eastAsia="宋体" w:cs="宋体"/>
          <w:szCs w:val="28"/>
          <w:highlight w:val="none"/>
        </w:rPr>
      </w:pPr>
      <w:r>
        <w:rPr>
          <w:rFonts w:hint="eastAsia" w:ascii="宋体" w:hAnsi="宋体" w:eastAsia="宋体" w:cs="宋体"/>
          <w:szCs w:val="28"/>
          <w:highlight w:val="none"/>
        </w:rPr>
        <w:t>8.私自侵占、挪用公司财物，损坏公司重要设备或资产的行为。</w:t>
      </w:r>
    </w:p>
    <w:p>
      <w:pPr>
        <w:spacing w:line="360" w:lineRule="auto"/>
        <w:ind w:firstLine="420" w:firstLineChars="200"/>
        <w:rPr>
          <w:rFonts w:ascii="宋体" w:hAnsi="宋体" w:eastAsia="宋体" w:cs="宋体"/>
          <w:szCs w:val="28"/>
          <w:highlight w:val="none"/>
        </w:rPr>
      </w:pPr>
      <w:r>
        <w:rPr>
          <w:rFonts w:hint="eastAsia" w:ascii="宋体" w:hAnsi="宋体" w:eastAsia="宋体" w:cs="宋体"/>
          <w:szCs w:val="28"/>
          <w:highlight w:val="none"/>
        </w:rPr>
        <w:t>9.破坏团队和谐，故意挑拨员工之间关系，对同事恶意侮辱、陷害、制造事端的行为。</w:t>
      </w:r>
    </w:p>
    <w:p>
      <w:pPr>
        <w:spacing w:line="360" w:lineRule="auto"/>
        <w:ind w:firstLine="420" w:firstLineChars="200"/>
        <w:rPr>
          <w:rFonts w:ascii="宋体" w:hAnsi="宋体" w:eastAsia="宋体" w:cs="宋体"/>
          <w:szCs w:val="28"/>
          <w:highlight w:val="none"/>
        </w:rPr>
      </w:pPr>
      <w:r>
        <w:rPr>
          <w:rFonts w:hint="eastAsia" w:ascii="宋体" w:hAnsi="宋体" w:eastAsia="宋体" w:cs="宋体"/>
          <w:szCs w:val="28"/>
          <w:highlight w:val="none"/>
        </w:rPr>
        <w:t>10.妄议集团经营、管理、决策部署、会议决议，对正当行使职权的执法部门、员工进行设置障碍、诋毁、恶意侮辱的行为。</w:t>
      </w:r>
    </w:p>
    <w:p>
      <w:pPr>
        <w:spacing w:line="360" w:lineRule="auto"/>
        <w:ind w:firstLine="420" w:firstLineChars="200"/>
        <w:rPr>
          <w:rFonts w:ascii="宋体" w:hAnsi="宋体" w:eastAsia="宋体" w:cs="宋体"/>
          <w:highlight w:val="none"/>
        </w:rPr>
      </w:pPr>
      <w:r>
        <w:rPr>
          <w:rFonts w:hint="eastAsia" w:ascii="宋体" w:hAnsi="宋体" w:eastAsia="宋体" w:cs="宋体"/>
          <w:szCs w:val="28"/>
          <w:highlight w:val="none"/>
        </w:rPr>
        <w:t>11.其他违反法律或者甲方公司相关制度的行为。</w:t>
      </w:r>
    </w:p>
    <w:p>
      <w:pPr>
        <w:spacing w:line="360" w:lineRule="auto"/>
        <w:ind w:firstLine="420" w:firstLineChars="200"/>
        <w:rPr>
          <w:rFonts w:ascii="宋体" w:hAnsi="宋体" w:eastAsia="宋体" w:cs="宋体"/>
          <w:szCs w:val="28"/>
          <w:highlight w:val="none"/>
        </w:rPr>
      </w:pPr>
      <w:r>
        <w:rPr>
          <w:rFonts w:hint="eastAsia" w:ascii="宋体" w:hAnsi="宋体" w:eastAsia="宋体" w:cs="宋体"/>
          <w:highlight w:val="none"/>
        </w:rPr>
        <w:t>（以下无正文）</w:t>
      </w:r>
    </w:p>
    <w:p>
      <w:pPr>
        <w:spacing w:line="360" w:lineRule="auto"/>
        <w:ind w:left="6090" w:leftChars="100" w:hanging="5880" w:hangingChars="2800"/>
        <w:rPr>
          <w:rFonts w:ascii="宋体" w:hAnsi="宋体" w:eastAsia="宋体" w:cs="宋体"/>
          <w:szCs w:val="28"/>
          <w:highlight w:val="none"/>
        </w:rPr>
      </w:pPr>
      <w:r>
        <w:rPr>
          <w:rFonts w:hint="eastAsia" w:ascii="宋体" w:hAnsi="宋体" w:eastAsia="宋体" w:cs="宋体"/>
          <w:szCs w:val="28"/>
          <w:highlight w:val="none"/>
        </w:rPr>
        <w:t>甲方（盖章）：                        乙方（盖章）：</w:t>
      </w:r>
    </w:p>
    <w:p>
      <w:pPr>
        <w:spacing w:line="360" w:lineRule="auto"/>
        <w:ind w:left="6090" w:leftChars="100" w:hanging="5880" w:hangingChars="2800"/>
        <w:rPr>
          <w:rFonts w:ascii="宋体" w:hAnsi="宋体" w:eastAsia="宋体" w:cs="宋体"/>
          <w:szCs w:val="28"/>
          <w:highlight w:val="none"/>
        </w:rPr>
      </w:pPr>
      <w:r>
        <w:rPr>
          <w:rFonts w:hint="eastAsia" w:ascii="宋体" w:hAnsi="宋体" w:eastAsia="宋体" w:cs="宋体"/>
          <w:szCs w:val="28"/>
          <w:highlight w:val="none"/>
        </w:rPr>
        <w:t xml:space="preserve">河南浩德龙瑞置业有限公司     </w:t>
      </w:r>
      <w:r>
        <w:rPr>
          <w:rFonts w:hint="eastAsia" w:ascii="宋体" w:hAnsi="宋体" w:eastAsia="宋体" w:cs="宋体"/>
          <w:szCs w:val="28"/>
          <w:highlight w:val="none"/>
          <w:lang w:val="en-US" w:eastAsia="zh-CN"/>
        </w:rPr>
        <w:t xml:space="preserve">    </w:t>
      </w:r>
      <w:r>
        <w:rPr>
          <w:rFonts w:hint="eastAsia" w:ascii="宋体" w:hAnsi="宋体" w:eastAsia="宋体" w:cs="宋体"/>
          <w:szCs w:val="28"/>
          <w:highlight w:val="none"/>
        </w:rPr>
        <w:t>河南泰康建筑工程有限公司</w:t>
      </w:r>
    </w:p>
    <w:p>
      <w:pPr>
        <w:spacing w:line="360" w:lineRule="auto"/>
        <w:ind w:firstLine="210" w:firstLineChars="100"/>
        <w:rPr>
          <w:rFonts w:ascii="宋体" w:hAnsi="宋体" w:eastAsia="宋体" w:cs="宋体"/>
          <w:szCs w:val="28"/>
          <w:highlight w:val="none"/>
        </w:rPr>
      </w:pPr>
      <w:r>
        <w:rPr>
          <w:rFonts w:hint="eastAsia" w:ascii="宋体" w:hAnsi="宋体" w:eastAsia="宋体" w:cs="宋体"/>
          <w:szCs w:val="28"/>
          <w:highlight w:val="none"/>
        </w:rPr>
        <w:t>签订日期：</w:t>
      </w:r>
      <w:r>
        <w:rPr>
          <w:rFonts w:hint="eastAsia" w:ascii="宋体" w:hAnsi="宋体" w:eastAsia="宋体" w:cs="宋体"/>
          <w:szCs w:val="28"/>
          <w:highlight w:val="none"/>
          <w:u w:val="single"/>
        </w:rPr>
        <w:t>2023</w:t>
      </w:r>
      <w:r>
        <w:rPr>
          <w:rFonts w:hint="eastAsia" w:ascii="宋体" w:hAnsi="宋体" w:eastAsia="宋体" w:cs="宋体"/>
          <w:szCs w:val="28"/>
          <w:highlight w:val="none"/>
        </w:rPr>
        <w:t>年</w:t>
      </w:r>
      <w:r>
        <w:rPr>
          <w:rFonts w:hint="eastAsia" w:ascii="宋体" w:hAnsi="宋体" w:eastAsia="宋体" w:cs="宋体"/>
          <w:szCs w:val="28"/>
          <w:highlight w:val="none"/>
          <w:u w:val="single"/>
        </w:rPr>
        <w:t>12月</w:t>
      </w:r>
      <w:r>
        <w:rPr>
          <w:rFonts w:hint="eastAsia" w:ascii="宋体" w:hAnsi="宋体" w:eastAsia="宋体" w:cs="宋体"/>
          <w:szCs w:val="28"/>
          <w:highlight w:val="none"/>
          <w:u w:val="single"/>
          <w:lang w:val="en-US" w:eastAsia="zh-CN"/>
        </w:rPr>
        <w:t>15</w:t>
      </w:r>
      <w:r>
        <w:rPr>
          <w:rFonts w:hint="eastAsia" w:ascii="宋体" w:hAnsi="宋体" w:eastAsia="宋体" w:cs="宋体"/>
          <w:szCs w:val="28"/>
          <w:highlight w:val="none"/>
        </w:rPr>
        <w:t>日          签订日期：</w:t>
      </w:r>
      <w:r>
        <w:rPr>
          <w:rFonts w:hint="eastAsia" w:ascii="宋体" w:hAnsi="宋体" w:eastAsia="宋体" w:cs="宋体"/>
          <w:szCs w:val="28"/>
          <w:highlight w:val="none"/>
          <w:u w:val="single"/>
        </w:rPr>
        <w:t>2023</w:t>
      </w:r>
      <w:r>
        <w:rPr>
          <w:rFonts w:hint="eastAsia" w:ascii="宋体" w:hAnsi="宋体" w:eastAsia="宋体" w:cs="宋体"/>
          <w:szCs w:val="28"/>
          <w:highlight w:val="none"/>
        </w:rPr>
        <w:t>年</w:t>
      </w:r>
      <w:r>
        <w:rPr>
          <w:rFonts w:hint="eastAsia" w:ascii="宋体" w:hAnsi="宋体" w:eastAsia="宋体" w:cs="宋体"/>
          <w:szCs w:val="28"/>
          <w:highlight w:val="none"/>
          <w:u w:val="single"/>
        </w:rPr>
        <w:t>12月</w:t>
      </w:r>
      <w:r>
        <w:rPr>
          <w:rFonts w:hint="eastAsia" w:ascii="宋体" w:hAnsi="宋体" w:eastAsia="宋体" w:cs="宋体"/>
          <w:szCs w:val="28"/>
          <w:highlight w:val="none"/>
          <w:u w:val="single"/>
          <w:lang w:val="en-US" w:eastAsia="zh-CN"/>
        </w:rPr>
        <w:t>15</w:t>
      </w:r>
      <w:r>
        <w:rPr>
          <w:rFonts w:hint="eastAsia" w:ascii="宋体" w:hAnsi="宋体" w:eastAsia="宋体" w:cs="宋体"/>
          <w:szCs w:val="28"/>
          <w:highlight w:val="none"/>
        </w:rPr>
        <w:t xml:space="preserve">日  </w:t>
      </w:r>
    </w:p>
    <w:p>
      <w:pPr>
        <w:pStyle w:val="2"/>
        <w:rPr>
          <w:rFonts w:hAnsi="宋体" w:cs="宋体"/>
          <w:szCs w:val="28"/>
          <w:highlight w:val="none"/>
        </w:rPr>
      </w:pPr>
    </w:p>
    <w:p>
      <w:pPr>
        <w:pStyle w:val="2"/>
        <w:rPr>
          <w:rFonts w:hAnsi="宋体" w:cs="宋体"/>
          <w:szCs w:val="28"/>
          <w:highlight w:val="none"/>
        </w:rPr>
      </w:pPr>
    </w:p>
    <w:p>
      <w:pPr>
        <w:pStyle w:val="2"/>
        <w:spacing w:line="360" w:lineRule="auto"/>
        <w:rPr>
          <w:rFonts w:hAnsi="宋体" w:cs="宋体"/>
          <w:bCs/>
          <w:szCs w:val="28"/>
          <w:highlight w:val="none"/>
        </w:rPr>
      </w:pPr>
      <w:r>
        <w:rPr>
          <w:rFonts w:hint="eastAsia" w:hAnsi="宋体" w:cs="宋体"/>
          <w:bCs/>
          <w:szCs w:val="28"/>
          <w:highlight w:val="none"/>
        </w:rPr>
        <w:t>附件二、《乙方派驻本工程人员名单表》</w:t>
      </w:r>
    </w:p>
    <w:tbl>
      <w:tblPr>
        <w:tblStyle w:val="20"/>
        <w:tblW w:w="9578" w:type="dxa"/>
        <w:tblInd w:w="93" w:type="dxa"/>
        <w:tblLayout w:type="fixed"/>
        <w:tblCellMar>
          <w:top w:w="0" w:type="dxa"/>
          <w:left w:w="108" w:type="dxa"/>
          <w:bottom w:w="0" w:type="dxa"/>
          <w:right w:w="108" w:type="dxa"/>
        </w:tblCellMar>
      </w:tblPr>
      <w:tblGrid>
        <w:gridCol w:w="614"/>
        <w:gridCol w:w="1556"/>
        <w:gridCol w:w="1069"/>
        <w:gridCol w:w="1626"/>
        <w:gridCol w:w="1276"/>
        <w:gridCol w:w="1291"/>
        <w:gridCol w:w="2146"/>
      </w:tblGrid>
      <w:tr>
        <w:tblPrEx>
          <w:tblCellMar>
            <w:top w:w="0" w:type="dxa"/>
            <w:left w:w="108" w:type="dxa"/>
            <w:bottom w:w="0" w:type="dxa"/>
            <w:right w:w="108" w:type="dxa"/>
          </w:tblCellMar>
        </w:tblPrEx>
        <w:trPr>
          <w:trHeight w:val="971" w:hRule="atLeast"/>
        </w:trPr>
        <w:tc>
          <w:tcPr>
            <w:tcW w:w="9578" w:type="dxa"/>
            <w:gridSpan w:val="7"/>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bCs/>
                <w:szCs w:val="21"/>
                <w:highlight w:val="none"/>
              </w:rPr>
            </w:pPr>
            <w:r>
              <w:rPr>
                <w:rFonts w:hint="eastAsia" w:ascii="宋体" w:hAnsi="宋体" w:eastAsia="宋体" w:cs="宋体"/>
                <w:b/>
                <w:bCs/>
                <w:kern w:val="0"/>
                <w:szCs w:val="21"/>
                <w:highlight w:val="none"/>
              </w:rPr>
              <w:t>《乙方派驻本工程人员名单表》</w:t>
            </w:r>
          </w:p>
        </w:tc>
      </w:tr>
      <w:tr>
        <w:tblPrEx>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szCs w:val="21"/>
                <w:highlight w:val="none"/>
              </w:rPr>
            </w:pPr>
            <w:r>
              <w:rPr>
                <w:rFonts w:hint="eastAsia" w:ascii="宋体" w:hAnsi="宋体" w:eastAsia="宋体" w:cs="宋体"/>
                <w:kern w:val="0"/>
                <w:szCs w:val="21"/>
                <w:highlight w:val="none"/>
              </w:rPr>
              <w:t>序号</w:t>
            </w:r>
          </w:p>
        </w:tc>
        <w:tc>
          <w:tcPr>
            <w:tcW w:w="15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szCs w:val="21"/>
                <w:highlight w:val="none"/>
              </w:rPr>
            </w:pPr>
            <w:r>
              <w:rPr>
                <w:rFonts w:hint="eastAsia" w:ascii="宋体" w:hAnsi="宋体" w:eastAsia="宋体" w:cs="宋体"/>
                <w:kern w:val="0"/>
                <w:szCs w:val="21"/>
                <w:highlight w:val="none"/>
              </w:rPr>
              <w:t>专业</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szCs w:val="21"/>
                <w:highlight w:val="none"/>
              </w:rPr>
            </w:pPr>
            <w:r>
              <w:rPr>
                <w:rFonts w:hint="eastAsia" w:ascii="宋体" w:hAnsi="宋体" w:eastAsia="宋体" w:cs="宋体"/>
                <w:kern w:val="0"/>
                <w:szCs w:val="21"/>
                <w:highlight w:val="none"/>
              </w:rPr>
              <w:t>姓名</w:t>
            </w:r>
          </w:p>
        </w:tc>
        <w:tc>
          <w:tcPr>
            <w:tcW w:w="16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szCs w:val="21"/>
                <w:highlight w:val="none"/>
              </w:rPr>
            </w:pPr>
            <w:r>
              <w:rPr>
                <w:rFonts w:hint="eastAsia" w:ascii="宋体" w:hAnsi="宋体" w:eastAsia="宋体" w:cs="宋体"/>
                <w:kern w:val="0"/>
                <w:szCs w:val="21"/>
                <w:highlight w:val="none"/>
              </w:rPr>
              <w:t>职称</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szCs w:val="21"/>
                <w:highlight w:val="none"/>
              </w:rPr>
            </w:pPr>
            <w:r>
              <w:rPr>
                <w:rFonts w:hint="eastAsia" w:ascii="宋体" w:hAnsi="宋体" w:eastAsia="宋体" w:cs="宋体"/>
                <w:kern w:val="0"/>
                <w:szCs w:val="21"/>
                <w:highlight w:val="none"/>
              </w:rPr>
              <w:t>学历</w:t>
            </w:r>
          </w:p>
        </w:tc>
        <w:tc>
          <w:tcPr>
            <w:tcW w:w="12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szCs w:val="21"/>
                <w:highlight w:val="none"/>
              </w:rPr>
            </w:pPr>
            <w:r>
              <w:rPr>
                <w:rFonts w:hint="eastAsia" w:ascii="宋体" w:hAnsi="宋体" w:eastAsia="宋体" w:cs="宋体"/>
                <w:kern w:val="0"/>
                <w:szCs w:val="21"/>
                <w:highlight w:val="none"/>
              </w:rPr>
              <w:t>工作年限</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szCs w:val="21"/>
                <w:highlight w:val="none"/>
              </w:rPr>
            </w:pPr>
            <w:r>
              <w:rPr>
                <w:rFonts w:hint="eastAsia" w:ascii="宋体" w:hAnsi="宋体" w:eastAsia="宋体" w:cs="宋体"/>
                <w:kern w:val="0"/>
                <w:szCs w:val="21"/>
                <w:highlight w:val="none"/>
              </w:rPr>
              <w:t>担任本工程的职务</w:t>
            </w:r>
          </w:p>
        </w:tc>
      </w:tr>
      <w:tr>
        <w:tblPrEx>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kern w:val="0"/>
                <w:szCs w:val="21"/>
                <w:highlight w:val="none"/>
              </w:rPr>
            </w:pPr>
            <w:r>
              <w:rPr>
                <w:rFonts w:hint="eastAsia" w:ascii="宋体" w:hAnsi="宋体" w:eastAsia="宋体" w:cs="宋体"/>
                <w:kern w:val="0"/>
                <w:szCs w:val="21"/>
                <w:highlight w:val="none"/>
              </w:rPr>
              <w:t>1</w:t>
            </w:r>
          </w:p>
        </w:tc>
        <w:tc>
          <w:tcPr>
            <w:tcW w:w="155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kern w:val="0"/>
                <w:szCs w:val="21"/>
                <w:highlight w:val="none"/>
              </w:rPr>
            </w:pPr>
            <w:r>
              <w:rPr>
                <w:rFonts w:hint="eastAsia" w:ascii="宋体" w:hAnsi="宋体" w:eastAsia="宋体" w:cs="宋体"/>
                <w:kern w:val="0"/>
                <w:szCs w:val="21"/>
                <w:highlight w:val="none"/>
              </w:rPr>
              <w:t>建筑</w:t>
            </w:r>
            <w:r>
              <w:rPr>
                <w:rFonts w:ascii="宋体" w:hAnsi="宋体" w:eastAsia="宋体" w:cs="宋体"/>
                <w:kern w:val="0"/>
                <w:szCs w:val="21"/>
                <w:highlight w:val="none"/>
              </w:rPr>
              <w:t>环境与设备工程</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kern w:val="0"/>
                <w:szCs w:val="21"/>
                <w:highlight w:val="none"/>
              </w:rPr>
            </w:pPr>
            <w:r>
              <w:rPr>
                <w:rFonts w:ascii="宋体" w:hAnsi="宋体" w:eastAsia="宋体" w:cs="宋体"/>
                <w:kern w:val="0"/>
                <w:szCs w:val="21"/>
                <w:highlight w:val="none"/>
              </w:rPr>
              <w:t>温金麒</w:t>
            </w:r>
          </w:p>
        </w:tc>
        <w:tc>
          <w:tcPr>
            <w:tcW w:w="162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kern w:val="0"/>
                <w:szCs w:val="21"/>
                <w:highlight w:val="none"/>
              </w:rPr>
            </w:pPr>
            <w:r>
              <w:rPr>
                <w:rFonts w:ascii="宋体" w:hAnsi="宋体" w:eastAsia="宋体" w:cs="宋体"/>
                <w:kern w:val="0"/>
                <w:szCs w:val="21"/>
                <w:highlight w:val="none"/>
              </w:rPr>
              <w:t>工程师</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kern w:val="0"/>
                <w:szCs w:val="21"/>
                <w:highlight w:val="none"/>
              </w:rPr>
            </w:pPr>
            <w:r>
              <w:rPr>
                <w:rFonts w:ascii="宋体" w:hAnsi="宋体" w:eastAsia="宋体" w:cs="宋体"/>
                <w:kern w:val="0"/>
                <w:szCs w:val="21"/>
                <w:highlight w:val="none"/>
              </w:rPr>
              <w:t>大学</w:t>
            </w:r>
          </w:p>
        </w:tc>
        <w:tc>
          <w:tcPr>
            <w:tcW w:w="129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kern w:val="0"/>
                <w:szCs w:val="21"/>
                <w:highlight w:val="none"/>
              </w:rPr>
            </w:pPr>
            <w:r>
              <w:rPr>
                <w:rFonts w:hint="eastAsia" w:ascii="宋体" w:hAnsi="宋体" w:eastAsia="宋体" w:cs="宋体"/>
                <w:kern w:val="0"/>
                <w:szCs w:val="21"/>
                <w:highlight w:val="none"/>
              </w:rPr>
              <w:t>12</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kern w:val="0"/>
                <w:szCs w:val="21"/>
                <w:highlight w:val="none"/>
              </w:rPr>
            </w:pPr>
            <w:r>
              <w:rPr>
                <w:rFonts w:hint="eastAsia" w:ascii="宋体" w:hAnsi="宋体" w:eastAsia="宋体" w:cs="宋体"/>
                <w:kern w:val="0"/>
                <w:szCs w:val="21"/>
                <w:highlight w:val="none"/>
              </w:rPr>
              <w:t>项目负责人</w:t>
            </w:r>
          </w:p>
        </w:tc>
      </w:tr>
      <w:tr>
        <w:tblPrEx>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kern w:val="0"/>
                <w:szCs w:val="21"/>
                <w:highlight w:val="none"/>
              </w:rPr>
            </w:pPr>
            <w:r>
              <w:rPr>
                <w:rFonts w:hint="eastAsia" w:ascii="宋体" w:hAnsi="宋体" w:eastAsia="宋体" w:cs="宋体"/>
                <w:kern w:val="0"/>
                <w:szCs w:val="21"/>
                <w:highlight w:val="none"/>
              </w:rPr>
              <w:t>2</w:t>
            </w:r>
          </w:p>
        </w:tc>
        <w:tc>
          <w:tcPr>
            <w:tcW w:w="155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kern w:val="0"/>
                <w:szCs w:val="21"/>
                <w:highlight w:val="none"/>
              </w:rPr>
            </w:pPr>
            <w:r>
              <w:rPr>
                <w:rFonts w:ascii="宋体" w:hAnsi="宋体" w:eastAsia="宋体" w:cs="宋体"/>
                <w:kern w:val="0"/>
                <w:szCs w:val="21"/>
                <w:highlight w:val="none"/>
              </w:rPr>
              <w:t>工业电气自动化</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kern w:val="0"/>
                <w:szCs w:val="21"/>
                <w:highlight w:val="none"/>
              </w:rPr>
            </w:pPr>
            <w:r>
              <w:rPr>
                <w:rFonts w:ascii="宋体" w:hAnsi="宋体" w:eastAsia="宋体" w:cs="宋体"/>
                <w:kern w:val="0"/>
                <w:szCs w:val="21"/>
                <w:highlight w:val="none"/>
              </w:rPr>
              <w:t>岳国青</w:t>
            </w:r>
          </w:p>
        </w:tc>
        <w:tc>
          <w:tcPr>
            <w:tcW w:w="162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kern w:val="0"/>
                <w:szCs w:val="21"/>
                <w:highlight w:val="none"/>
              </w:rPr>
            </w:pPr>
            <w:r>
              <w:rPr>
                <w:rFonts w:ascii="宋体" w:hAnsi="宋体" w:eastAsia="宋体" w:cs="宋体"/>
                <w:kern w:val="0"/>
                <w:szCs w:val="21"/>
                <w:highlight w:val="none"/>
              </w:rPr>
              <w:t>高级工程师</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kern w:val="0"/>
                <w:szCs w:val="21"/>
                <w:highlight w:val="none"/>
              </w:rPr>
            </w:pPr>
            <w:r>
              <w:rPr>
                <w:rFonts w:ascii="宋体" w:hAnsi="宋体" w:eastAsia="宋体" w:cs="宋体"/>
                <w:kern w:val="0"/>
                <w:szCs w:val="21"/>
                <w:highlight w:val="none"/>
              </w:rPr>
              <w:t>大学</w:t>
            </w:r>
          </w:p>
        </w:tc>
        <w:tc>
          <w:tcPr>
            <w:tcW w:w="129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kern w:val="0"/>
                <w:szCs w:val="21"/>
                <w:highlight w:val="none"/>
              </w:rPr>
            </w:pPr>
            <w:r>
              <w:rPr>
                <w:rFonts w:hint="eastAsia" w:ascii="宋体" w:hAnsi="宋体" w:eastAsia="宋体" w:cs="宋体"/>
                <w:kern w:val="0"/>
                <w:szCs w:val="21"/>
                <w:highlight w:val="none"/>
              </w:rPr>
              <w:t>28</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kern w:val="0"/>
                <w:szCs w:val="21"/>
                <w:highlight w:val="none"/>
              </w:rPr>
            </w:pPr>
            <w:r>
              <w:rPr>
                <w:rFonts w:hint="eastAsia" w:ascii="宋体" w:hAnsi="宋体" w:eastAsia="宋体" w:cs="宋体"/>
                <w:kern w:val="0"/>
                <w:szCs w:val="21"/>
                <w:highlight w:val="none"/>
              </w:rPr>
              <w:t>技术负责人</w:t>
            </w:r>
          </w:p>
        </w:tc>
      </w:tr>
      <w:tr>
        <w:tblPrEx>
          <w:tblCellMar>
            <w:top w:w="0" w:type="dxa"/>
            <w:left w:w="108" w:type="dxa"/>
            <w:bottom w:w="0" w:type="dxa"/>
            <w:right w:w="108" w:type="dxa"/>
          </w:tblCellMar>
        </w:tblPrEx>
        <w:trPr>
          <w:trHeight w:val="536"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kern w:val="0"/>
                <w:szCs w:val="21"/>
                <w:highlight w:val="none"/>
              </w:rPr>
            </w:pPr>
            <w:r>
              <w:rPr>
                <w:rFonts w:hint="eastAsia" w:ascii="宋体" w:hAnsi="宋体" w:eastAsia="宋体" w:cs="宋体"/>
                <w:kern w:val="0"/>
                <w:szCs w:val="21"/>
                <w:highlight w:val="none"/>
              </w:rPr>
              <w:t>3</w:t>
            </w:r>
          </w:p>
        </w:tc>
        <w:tc>
          <w:tcPr>
            <w:tcW w:w="155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kern w:val="0"/>
                <w:szCs w:val="21"/>
                <w:highlight w:val="none"/>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kern w:val="0"/>
                <w:szCs w:val="21"/>
                <w:highlight w:val="none"/>
              </w:rPr>
            </w:pPr>
            <w:r>
              <w:rPr>
                <w:rFonts w:ascii="宋体" w:hAnsi="宋体" w:eastAsia="宋体" w:cs="宋体"/>
                <w:kern w:val="0"/>
                <w:szCs w:val="21"/>
                <w:highlight w:val="none"/>
              </w:rPr>
              <w:t>陈春苗</w:t>
            </w:r>
          </w:p>
        </w:tc>
        <w:tc>
          <w:tcPr>
            <w:tcW w:w="1626" w:type="dxa"/>
            <w:tcBorders>
              <w:top w:val="single" w:color="000000" w:sz="4" w:space="0"/>
              <w:left w:val="single" w:color="000000" w:sz="4" w:space="0"/>
              <w:bottom w:val="single" w:color="000000" w:sz="4" w:space="0"/>
              <w:right w:val="single" w:color="000000" w:sz="4" w:space="0"/>
            </w:tcBorders>
            <w:noWrap/>
            <w:vAlign w:val="center"/>
          </w:tcPr>
          <w:p>
            <w:pPr>
              <w:ind w:firstLine="210" w:firstLineChars="100"/>
              <w:rPr>
                <w:rFonts w:ascii="宋体" w:hAnsi="宋体" w:eastAsia="宋体" w:cs="宋体"/>
                <w:kern w:val="0"/>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kern w:val="0"/>
                <w:szCs w:val="21"/>
                <w:highlight w:val="none"/>
              </w:rPr>
            </w:pPr>
            <w:r>
              <w:rPr>
                <w:rFonts w:ascii="宋体" w:hAnsi="宋体" w:eastAsia="宋体" w:cs="宋体"/>
                <w:kern w:val="0"/>
                <w:szCs w:val="21"/>
                <w:highlight w:val="none"/>
              </w:rPr>
              <w:t>大专</w:t>
            </w:r>
          </w:p>
        </w:tc>
        <w:tc>
          <w:tcPr>
            <w:tcW w:w="129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kern w:val="0"/>
                <w:szCs w:val="21"/>
                <w:highlight w:val="none"/>
              </w:rPr>
            </w:pPr>
            <w:r>
              <w:rPr>
                <w:rFonts w:hint="eastAsia" w:ascii="宋体" w:hAnsi="宋体" w:eastAsia="宋体" w:cs="宋体"/>
                <w:kern w:val="0"/>
                <w:szCs w:val="21"/>
                <w:highlight w:val="none"/>
              </w:rPr>
              <w:t>10</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kern w:val="0"/>
                <w:szCs w:val="21"/>
                <w:highlight w:val="none"/>
              </w:rPr>
            </w:pPr>
            <w:r>
              <w:rPr>
                <w:rFonts w:hint="eastAsia" w:ascii="宋体" w:hAnsi="宋体" w:eastAsia="宋体" w:cs="宋体"/>
                <w:kern w:val="0"/>
                <w:szCs w:val="21"/>
                <w:highlight w:val="none"/>
              </w:rPr>
              <w:t>安全员</w:t>
            </w:r>
          </w:p>
        </w:tc>
      </w:tr>
      <w:tr>
        <w:tblPrEx>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kern w:val="0"/>
                <w:szCs w:val="21"/>
                <w:highlight w:val="none"/>
              </w:rPr>
            </w:pPr>
            <w:r>
              <w:rPr>
                <w:rFonts w:hint="eastAsia" w:ascii="宋体" w:hAnsi="宋体" w:eastAsia="宋体" w:cs="宋体"/>
                <w:kern w:val="0"/>
                <w:szCs w:val="21"/>
                <w:highlight w:val="none"/>
              </w:rPr>
              <w:t>4</w:t>
            </w:r>
          </w:p>
        </w:tc>
        <w:tc>
          <w:tcPr>
            <w:tcW w:w="155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kern w:val="0"/>
                <w:szCs w:val="21"/>
                <w:highlight w:val="none"/>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kern w:val="0"/>
                <w:szCs w:val="21"/>
                <w:highlight w:val="none"/>
              </w:rPr>
            </w:pPr>
            <w:r>
              <w:rPr>
                <w:rFonts w:ascii="宋体" w:hAnsi="宋体" w:eastAsia="宋体" w:cs="宋体"/>
                <w:kern w:val="0"/>
                <w:szCs w:val="21"/>
                <w:highlight w:val="none"/>
              </w:rPr>
              <w:t>刘道勋</w:t>
            </w:r>
          </w:p>
        </w:tc>
        <w:tc>
          <w:tcPr>
            <w:tcW w:w="162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kern w:val="0"/>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kern w:val="0"/>
                <w:szCs w:val="21"/>
                <w:highlight w:val="none"/>
              </w:rPr>
            </w:pPr>
            <w:r>
              <w:rPr>
                <w:rFonts w:ascii="宋体" w:hAnsi="宋体" w:eastAsia="宋体" w:cs="宋体"/>
                <w:kern w:val="0"/>
                <w:szCs w:val="21"/>
                <w:highlight w:val="none"/>
              </w:rPr>
              <w:t>大专</w:t>
            </w:r>
          </w:p>
        </w:tc>
        <w:tc>
          <w:tcPr>
            <w:tcW w:w="129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kern w:val="0"/>
                <w:szCs w:val="21"/>
                <w:highlight w:val="none"/>
              </w:rPr>
            </w:pPr>
            <w:r>
              <w:rPr>
                <w:rFonts w:hint="eastAsia" w:ascii="宋体" w:hAnsi="宋体" w:eastAsia="宋体" w:cs="宋体"/>
                <w:kern w:val="0"/>
                <w:szCs w:val="21"/>
                <w:highlight w:val="none"/>
              </w:rPr>
              <w:t>6</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kern w:val="0"/>
                <w:szCs w:val="21"/>
                <w:highlight w:val="none"/>
              </w:rPr>
            </w:pPr>
            <w:r>
              <w:rPr>
                <w:rFonts w:hint="eastAsia" w:ascii="宋体" w:hAnsi="宋体" w:eastAsia="宋体" w:cs="宋体"/>
                <w:kern w:val="0"/>
                <w:szCs w:val="21"/>
                <w:highlight w:val="none"/>
              </w:rPr>
              <w:t>施工员</w:t>
            </w:r>
          </w:p>
        </w:tc>
      </w:tr>
      <w:tr>
        <w:tblPrEx>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kern w:val="0"/>
                <w:szCs w:val="21"/>
                <w:highlight w:val="none"/>
              </w:rPr>
            </w:pPr>
            <w:r>
              <w:rPr>
                <w:rFonts w:hint="eastAsia" w:ascii="宋体" w:hAnsi="宋体" w:eastAsia="宋体" w:cs="宋体"/>
                <w:kern w:val="0"/>
                <w:szCs w:val="21"/>
                <w:highlight w:val="none"/>
              </w:rPr>
              <w:t>5</w:t>
            </w:r>
          </w:p>
        </w:tc>
        <w:tc>
          <w:tcPr>
            <w:tcW w:w="155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kern w:val="0"/>
                <w:szCs w:val="21"/>
                <w:highlight w:val="none"/>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kern w:val="0"/>
                <w:szCs w:val="21"/>
                <w:highlight w:val="none"/>
              </w:rPr>
            </w:pPr>
            <w:r>
              <w:rPr>
                <w:rFonts w:ascii="宋体" w:hAnsi="宋体" w:eastAsia="宋体" w:cs="宋体"/>
                <w:kern w:val="0"/>
                <w:szCs w:val="21"/>
                <w:highlight w:val="none"/>
              </w:rPr>
              <w:t>荣娟</w:t>
            </w:r>
          </w:p>
        </w:tc>
        <w:tc>
          <w:tcPr>
            <w:tcW w:w="162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kern w:val="0"/>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kern w:val="0"/>
                <w:szCs w:val="21"/>
                <w:highlight w:val="none"/>
              </w:rPr>
            </w:pPr>
            <w:r>
              <w:rPr>
                <w:rFonts w:ascii="宋体" w:hAnsi="宋体" w:eastAsia="宋体" w:cs="宋体"/>
                <w:kern w:val="0"/>
                <w:szCs w:val="21"/>
                <w:highlight w:val="none"/>
              </w:rPr>
              <w:t>大学</w:t>
            </w:r>
          </w:p>
        </w:tc>
        <w:tc>
          <w:tcPr>
            <w:tcW w:w="129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kern w:val="0"/>
                <w:szCs w:val="21"/>
                <w:highlight w:val="none"/>
              </w:rPr>
            </w:pPr>
            <w:r>
              <w:rPr>
                <w:rFonts w:hint="eastAsia" w:ascii="宋体" w:hAnsi="宋体" w:eastAsia="宋体" w:cs="宋体"/>
                <w:kern w:val="0"/>
                <w:szCs w:val="21"/>
                <w:highlight w:val="none"/>
              </w:rPr>
              <w:t>12</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kern w:val="0"/>
                <w:szCs w:val="21"/>
                <w:highlight w:val="none"/>
              </w:rPr>
            </w:pPr>
            <w:r>
              <w:rPr>
                <w:rFonts w:hint="eastAsia" w:ascii="宋体" w:hAnsi="宋体" w:eastAsia="宋体" w:cs="宋体"/>
                <w:kern w:val="0"/>
                <w:szCs w:val="21"/>
                <w:highlight w:val="none"/>
              </w:rPr>
              <w:t>资料员</w:t>
            </w:r>
          </w:p>
        </w:tc>
      </w:tr>
      <w:tr>
        <w:tblPrEx>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kern w:val="0"/>
                <w:szCs w:val="21"/>
                <w:highlight w:val="none"/>
              </w:rPr>
            </w:pPr>
            <w:r>
              <w:rPr>
                <w:rFonts w:hint="eastAsia" w:ascii="宋体" w:hAnsi="宋体" w:eastAsia="宋体" w:cs="宋体"/>
                <w:kern w:val="0"/>
                <w:szCs w:val="21"/>
                <w:highlight w:val="none"/>
              </w:rPr>
              <w:t>6</w:t>
            </w:r>
          </w:p>
        </w:tc>
        <w:tc>
          <w:tcPr>
            <w:tcW w:w="155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kern w:val="0"/>
                <w:szCs w:val="21"/>
                <w:highlight w:val="none"/>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kern w:val="0"/>
                <w:szCs w:val="21"/>
                <w:highlight w:val="none"/>
              </w:rPr>
            </w:pPr>
            <w:r>
              <w:rPr>
                <w:rFonts w:ascii="宋体" w:hAnsi="宋体" w:eastAsia="宋体" w:cs="宋体"/>
                <w:kern w:val="0"/>
                <w:szCs w:val="21"/>
                <w:highlight w:val="none"/>
              </w:rPr>
              <w:t>荣媛</w:t>
            </w:r>
          </w:p>
        </w:tc>
        <w:tc>
          <w:tcPr>
            <w:tcW w:w="162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kern w:val="0"/>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kern w:val="0"/>
                <w:szCs w:val="21"/>
                <w:highlight w:val="none"/>
              </w:rPr>
            </w:pPr>
            <w:r>
              <w:rPr>
                <w:rFonts w:ascii="宋体" w:hAnsi="宋体" w:eastAsia="宋体" w:cs="宋体"/>
                <w:kern w:val="0"/>
                <w:szCs w:val="21"/>
                <w:highlight w:val="none"/>
              </w:rPr>
              <w:t>大专</w:t>
            </w:r>
          </w:p>
        </w:tc>
        <w:tc>
          <w:tcPr>
            <w:tcW w:w="129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kern w:val="0"/>
                <w:szCs w:val="21"/>
                <w:highlight w:val="none"/>
              </w:rPr>
            </w:pPr>
            <w:r>
              <w:rPr>
                <w:rFonts w:hint="eastAsia" w:ascii="宋体" w:hAnsi="宋体" w:eastAsia="宋体" w:cs="宋体"/>
                <w:kern w:val="0"/>
                <w:szCs w:val="21"/>
                <w:highlight w:val="none"/>
              </w:rPr>
              <w:t>9</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kern w:val="0"/>
                <w:szCs w:val="21"/>
                <w:highlight w:val="none"/>
              </w:rPr>
            </w:pPr>
            <w:r>
              <w:rPr>
                <w:rFonts w:hint="eastAsia" w:ascii="宋体" w:hAnsi="宋体" w:eastAsia="宋体" w:cs="宋体"/>
                <w:kern w:val="0"/>
                <w:szCs w:val="21"/>
                <w:highlight w:val="none"/>
              </w:rPr>
              <w:t>材料员</w:t>
            </w:r>
          </w:p>
        </w:tc>
      </w:tr>
      <w:tr>
        <w:tblPrEx>
          <w:tblCellMar>
            <w:top w:w="0" w:type="dxa"/>
            <w:left w:w="108" w:type="dxa"/>
            <w:bottom w:w="0" w:type="dxa"/>
            <w:right w:w="108" w:type="dxa"/>
          </w:tblCellMar>
        </w:tblPrEx>
        <w:trPr>
          <w:trHeight w:val="575"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kern w:val="0"/>
                <w:szCs w:val="21"/>
                <w:highlight w:val="none"/>
              </w:rPr>
            </w:pPr>
          </w:p>
        </w:tc>
        <w:tc>
          <w:tcPr>
            <w:tcW w:w="155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kern w:val="0"/>
                <w:szCs w:val="21"/>
                <w:highlight w:val="none"/>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kern w:val="0"/>
                <w:szCs w:val="21"/>
                <w:highlight w:val="none"/>
              </w:rPr>
            </w:pPr>
          </w:p>
        </w:tc>
        <w:tc>
          <w:tcPr>
            <w:tcW w:w="162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kern w:val="0"/>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kern w:val="0"/>
                <w:szCs w:val="21"/>
                <w:highlight w:val="none"/>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kern w:val="0"/>
                <w:szCs w:val="21"/>
                <w:highlight w:val="none"/>
              </w:rPr>
            </w:pPr>
          </w:p>
        </w:tc>
        <w:tc>
          <w:tcPr>
            <w:tcW w:w="214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kern w:val="0"/>
                <w:szCs w:val="21"/>
                <w:highlight w:val="none"/>
              </w:rPr>
            </w:pPr>
          </w:p>
        </w:tc>
      </w:tr>
    </w:tbl>
    <w:p>
      <w:pPr>
        <w:pStyle w:val="18"/>
        <w:rPr>
          <w:rFonts w:ascii="宋体" w:hAnsi="宋体" w:eastAsia="宋体" w:cs="宋体"/>
          <w:sz w:val="24"/>
          <w:szCs w:val="24"/>
          <w:highlight w:val="none"/>
        </w:rPr>
      </w:pPr>
    </w:p>
    <w:p>
      <w:pPr>
        <w:pStyle w:val="2"/>
        <w:rPr>
          <w:rFonts w:hAnsi="宋体" w:cs="宋体"/>
          <w:bCs/>
          <w:spacing w:val="8"/>
          <w:szCs w:val="24"/>
          <w:highlight w:val="none"/>
        </w:rPr>
      </w:pPr>
      <w:r>
        <w:rPr>
          <w:rFonts w:hint="eastAsia" w:hAnsi="宋体" w:cs="宋体"/>
          <w:bCs/>
          <w:szCs w:val="28"/>
          <w:highlight w:val="none"/>
        </w:rPr>
        <w:t>附件三、</w:t>
      </w:r>
      <w:r>
        <w:rPr>
          <w:rFonts w:hint="eastAsia" w:hAnsi="宋体" w:cs="宋体"/>
          <w:bCs/>
          <w:spacing w:val="8"/>
          <w:szCs w:val="24"/>
          <w:highlight w:val="none"/>
        </w:rPr>
        <w:t>《价格清单》（单独打印后附装订）</w:t>
      </w:r>
    </w:p>
    <w:p>
      <w:pPr>
        <w:pStyle w:val="2"/>
        <w:rPr>
          <w:rFonts w:hAnsi="宋体" w:cs="宋体"/>
          <w:bCs/>
          <w:spacing w:val="8"/>
          <w:szCs w:val="24"/>
          <w:highlight w:val="none"/>
        </w:rPr>
      </w:pPr>
    </w:p>
    <w:p>
      <w:pPr>
        <w:pStyle w:val="2"/>
        <w:rPr>
          <w:highlight w:val="none"/>
        </w:rPr>
      </w:pPr>
    </w:p>
    <w:sectPr>
      <w:footerReference r:id="rId3" w:type="default"/>
      <w:pgSz w:w="11906" w:h="16838"/>
      <w:pgMar w:top="1440" w:right="1686" w:bottom="1440" w:left="9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3"/>
      <w:lvlText w:val="%1."/>
      <w:lvlJc w:val="left"/>
      <w:pPr>
        <w:tabs>
          <w:tab w:val="left" w:pos="0"/>
        </w:tabs>
        <w:ind w:left="425" w:hanging="425"/>
      </w:pPr>
      <w:rPr>
        <w:rFonts w:cs="Times New Roman"/>
      </w:rPr>
    </w:lvl>
    <w:lvl w:ilvl="1" w:tentative="0">
      <w:start w:val="1"/>
      <w:numFmt w:val="decimal"/>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abstractNum w:abstractNumId="1">
    <w:nsid w:val="D25F2D5A"/>
    <w:multiLevelType w:val="multilevel"/>
    <w:tmpl w:val="D25F2D5A"/>
    <w:lvl w:ilvl="0" w:tentative="0">
      <w:start w:val="1"/>
      <w:numFmt w:val="decimal"/>
      <w:lvlText w:val="%1."/>
      <w:lvlJc w:val="left"/>
      <w:pPr>
        <w:ind w:left="432" w:hanging="432"/>
      </w:pPr>
      <w:rPr>
        <w:rFonts w:hint="default"/>
      </w:rPr>
    </w:lvl>
    <w:lvl w:ilvl="1" w:tentative="0">
      <w:start w:val="1"/>
      <w:numFmt w:val="decimal"/>
      <w:pStyle w:val="5"/>
      <w:lvlText w:val="%1.%2."/>
      <w:lvlJc w:val="left"/>
      <w:pPr>
        <w:ind w:left="575" w:hanging="575"/>
      </w:pPr>
      <w:rPr>
        <w:rFonts w:hint="default"/>
      </w:rPr>
    </w:lvl>
    <w:lvl w:ilvl="2" w:tentative="0">
      <w:start w:val="1"/>
      <w:numFmt w:val="decimal"/>
      <w:lvlText w:val="%1.%2.%3."/>
      <w:lvlJc w:val="left"/>
      <w:pPr>
        <w:ind w:left="1146" w:hanging="720"/>
      </w:pPr>
      <w:rPr>
        <w:rFonts w:hint="default" w:asciiTheme="minorHAnsi" w:hAnsiTheme="minorHAnsi" w:cstheme="minorHAnsi"/>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EDE955CD"/>
    <w:multiLevelType w:val="singleLevel"/>
    <w:tmpl w:val="EDE955CD"/>
    <w:lvl w:ilvl="0" w:tentative="0">
      <w:start w:val="2"/>
      <w:numFmt w:val="chineseCounting"/>
      <w:suff w:val="nothing"/>
      <w:lvlText w:val="%1、"/>
      <w:lvlJc w:val="left"/>
      <w:rPr>
        <w:rFonts w:hint="eastAsia"/>
      </w:rPr>
    </w:lvl>
  </w:abstractNum>
  <w:abstractNum w:abstractNumId="3">
    <w:nsid w:val="7A69E931"/>
    <w:multiLevelType w:val="singleLevel"/>
    <w:tmpl w:val="7A69E931"/>
    <w:lvl w:ilvl="0" w:tentative="0">
      <w:start w:val="1"/>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lODRhNTY2YTliZmVkOWRlODI2MWVjNWFiZjEwN2IifQ=="/>
  </w:docVars>
  <w:rsids>
    <w:rsidRoot w:val="00D55644"/>
    <w:rsid w:val="00014FCE"/>
    <w:rsid w:val="000152C4"/>
    <w:rsid w:val="00021EBB"/>
    <w:rsid w:val="000759A8"/>
    <w:rsid w:val="0007685E"/>
    <w:rsid w:val="000850F3"/>
    <w:rsid w:val="000936D1"/>
    <w:rsid w:val="000965B6"/>
    <w:rsid w:val="000A6CE3"/>
    <w:rsid w:val="000B6281"/>
    <w:rsid w:val="000C289D"/>
    <w:rsid w:val="000D0D38"/>
    <w:rsid w:val="000E0DD2"/>
    <w:rsid w:val="000E190A"/>
    <w:rsid w:val="000E22DB"/>
    <w:rsid w:val="000E5738"/>
    <w:rsid w:val="00113931"/>
    <w:rsid w:val="0013184E"/>
    <w:rsid w:val="001372E8"/>
    <w:rsid w:val="001450FD"/>
    <w:rsid w:val="00156CEC"/>
    <w:rsid w:val="00183A90"/>
    <w:rsid w:val="0019100E"/>
    <w:rsid w:val="001A3982"/>
    <w:rsid w:val="001A5F2B"/>
    <w:rsid w:val="001C3CDA"/>
    <w:rsid w:val="001F2AA2"/>
    <w:rsid w:val="001F7F7E"/>
    <w:rsid w:val="00213929"/>
    <w:rsid w:val="00217094"/>
    <w:rsid w:val="00221F78"/>
    <w:rsid w:val="00256312"/>
    <w:rsid w:val="0028363A"/>
    <w:rsid w:val="00285085"/>
    <w:rsid w:val="002A2041"/>
    <w:rsid w:val="002A400E"/>
    <w:rsid w:val="002C4ECE"/>
    <w:rsid w:val="002E45F0"/>
    <w:rsid w:val="00382093"/>
    <w:rsid w:val="003944AB"/>
    <w:rsid w:val="003C5AD7"/>
    <w:rsid w:val="003C5BE6"/>
    <w:rsid w:val="003D0404"/>
    <w:rsid w:val="003F560B"/>
    <w:rsid w:val="003F7B1E"/>
    <w:rsid w:val="00400BB0"/>
    <w:rsid w:val="00416FB1"/>
    <w:rsid w:val="0043561D"/>
    <w:rsid w:val="004513A4"/>
    <w:rsid w:val="00463720"/>
    <w:rsid w:val="004824E4"/>
    <w:rsid w:val="00493931"/>
    <w:rsid w:val="0049413B"/>
    <w:rsid w:val="00495EB3"/>
    <w:rsid w:val="004B3ADA"/>
    <w:rsid w:val="004F7729"/>
    <w:rsid w:val="00536DC6"/>
    <w:rsid w:val="00574D38"/>
    <w:rsid w:val="005929A8"/>
    <w:rsid w:val="00596564"/>
    <w:rsid w:val="005966E9"/>
    <w:rsid w:val="005A7CE0"/>
    <w:rsid w:val="005B14D4"/>
    <w:rsid w:val="005C78AD"/>
    <w:rsid w:val="005D3325"/>
    <w:rsid w:val="005E784B"/>
    <w:rsid w:val="006341F1"/>
    <w:rsid w:val="00641D82"/>
    <w:rsid w:val="00641E35"/>
    <w:rsid w:val="00652CD8"/>
    <w:rsid w:val="00675BA4"/>
    <w:rsid w:val="00692C3E"/>
    <w:rsid w:val="006A0729"/>
    <w:rsid w:val="006C01DA"/>
    <w:rsid w:val="006D4F53"/>
    <w:rsid w:val="006F2F1A"/>
    <w:rsid w:val="00725812"/>
    <w:rsid w:val="0075030C"/>
    <w:rsid w:val="007701E5"/>
    <w:rsid w:val="007A7E85"/>
    <w:rsid w:val="007D47C9"/>
    <w:rsid w:val="007F25E6"/>
    <w:rsid w:val="0081319F"/>
    <w:rsid w:val="0081521E"/>
    <w:rsid w:val="00815C5D"/>
    <w:rsid w:val="00824E7A"/>
    <w:rsid w:val="00874BC8"/>
    <w:rsid w:val="008A23E9"/>
    <w:rsid w:val="008B151A"/>
    <w:rsid w:val="008B2B94"/>
    <w:rsid w:val="008C3327"/>
    <w:rsid w:val="008D3B2E"/>
    <w:rsid w:val="008E646D"/>
    <w:rsid w:val="008E64EF"/>
    <w:rsid w:val="008F2A2E"/>
    <w:rsid w:val="00900776"/>
    <w:rsid w:val="009269A2"/>
    <w:rsid w:val="00930024"/>
    <w:rsid w:val="00932760"/>
    <w:rsid w:val="00956D7E"/>
    <w:rsid w:val="009B2B84"/>
    <w:rsid w:val="009B3227"/>
    <w:rsid w:val="009B3873"/>
    <w:rsid w:val="009D68BF"/>
    <w:rsid w:val="009D7C9B"/>
    <w:rsid w:val="009F2058"/>
    <w:rsid w:val="00A00289"/>
    <w:rsid w:val="00A0086D"/>
    <w:rsid w:val="00A14218"/>
    <w:rsid w:val="00A220F2"/>
    <w:rsid w:val="00A31FD8"/>
    <w:rsid w:val="00A846E4"/>
    <w:rsid w:val="00AB2DB5"/>
    <w:rsid w:val="00AB35C0"/>
    <w:rsid w:val="00AB6483"/>
    <w:rsid w:val="00AC0E92"/>
    <w:rsid w:val="00AC268C"/>
    <w:rsid w:val="00AC2B1E"/>
    <w:rsid w:val="00AC3D49"/>
    <w:rsid w:val="00B1291A"/>
    <w:rsid w:val="00B17A04"/>
    <w:rsid w:val="00B41283"/>
    <w:rsid w:val="00B64332"/>
    <w:rsid w:val="00B701B7"/>
    <w:rsid w:val="00BD1F62"/>
    <w:rsid w:val="00BD3535"/>
    <w:rsid w:val="00BE0674"/>
    <w:rsid w:val="00C104E0"/>
    <w:rsid w:val="00C1520D"/>
    <w:rsid w:val="00C314AC"/>
    <w:rsid w:val="00C32075"/>
    <w:rsid w:val="00C34DAD"/>
    <w:rsid w:val="00CA7EEA"/>
    <w:rsid w:val="00CC073F"/>
    <w:rsid w:val="00CC1847"/>
    <w:rsid w:val="00CC1C67"/>
    <w:rsid w:val="00CD25D7"/>
    <w:rsid w:val="00CE088B"/>
    <w:rsid w:val="00CF207A"/>
    <w:rsid w:val="00D06555"/>
    <w:rsid w:val="00D15319"/>
    <w:rsid w:val="00D17F76"/>
    <w:rsid w:val="00D26394"/>
    <w:rsid w:val="00D32249"/>
    <w:rsid w:val="00D32AF0"/>
    <w:rsid w:val="00D51668"/>
    <w:rsid w:val="00D55644"/>
    <w:rsid w:val="00D77945"/>
    <w:rsid w:val="00D8572D"/>
    <w:rsid w:val="00DA1EC5"/>
    <w:rsid w:val="00DD5F21"/>
    <w:rsid w:val="00DD6463"/>
    <w:rsid w:val="00E019B7"/>
    <w:rsid w:val="00E336C4"/>
    <w:rsid w:val="00E42B49"/>
    <w:rsid w:val="00E63EE3"/>
    <w:rsid w:val="00EC4D34"/>
    <w:rsid w:val="00EE29E0"/>
    <w:rsid w:val="00EE6C52"/>
    <w:rsid w:val="00F15959"/>
    <w:rsid w:val="00F26376"/>
    <w:rsid w:val="00F63CA5"/>
    <w:rsid w:val="00F82FA0"/>
    <w:rsid w:val="00F911F9"/>
    <w:rsid w:val="00F952CD"/>
    <w:rsid w:val="00FA3CB5"/>
    <w:rsid w:val="00FB1CE6"/>
    <w:rsid w:val="00FF4804"/>
    <w:rsid w:val="01003A81"/>
    <w:rsid w:val="010D7DD7"/>
    <w:rsid w:val="01390BCC"/>
    <w:rsid w:val="014F219D"/>
    <w:rsid w:val="016C2D4F"/>
    <w:rsid w:val="017D31AE"/>
    <w:rsid w:val="01A7647D"/>
    <w:rsid w:val="01AE3368"/>
    <w:rsid w:val="01C74593"/>
    <w:rsid w:val="024141DC"/>
    <w:rsid w:val="02684FAF"/>
    <w:rsid w:val="02685C9F"/>
    <w:rsid w:val="028265A2"/>
    <w:rsid w:val="02AB78A7"/>
    <w:rsid w:val="02E96621"/>
    <w:rsid w:val="03004097"/>
    <w:rsid w:val="03351867"/>
    <w:rsid w:val="03604B36"/>
    <w:rsid w:val="03653EFA"/>
    <w:rsid w:val="038325D2"/>
    <w:rsid w:val="03992022"/>
    <w:rsid w:val="03D177E1"/>
    <w:rsid w:val="03FD4132"/>
    <w:rsid w:val="04245B63"/>
    <w:rsid w:val="046764B4"/>
    <w:rsid w:val="046C12B8"/>
    <w:rsid w:val="047563BF"/>
    <w:rsid w:val="048605CC"/>
    <w:rsid w:val="048B2436"/>
    <w:rsid w:val="048B3E34"/>
    <w:rsid w:val="04AD3DAA"/>
    <w:rsid w:val="04BA64C7"/>
    <w:rsid w:val="04D70A40"/>
    <w:rsid w:val="04D83E27"/>
    <w:rsid w:val="04FA2D68"/>
    <w:rsid w:val="050B287F"/>
    <w:rsid w:val="052E59C2"/>
    <w:rsid w:val="053C512E"/>
    <w:rsid w:val="055406CA"/>
    <w:rsid w:val="055661F0"/>
    <w:rsid w:val="05634469"/>
    <w:rsid w:val="05650DC8"/>
    <w:rsid w:val="05917228"/>
    <w:rsid w:val="0620235A"/>
    <w:rsid w:val="06214B16"/>
    <w:rsid w:val="062A4F87"/>
    <w:rsid w:val="062F07EF"/>
    <w:rsid w:val="06354170"/>
    <w:rsid w:val="06824DC3"/>
    <w:rsid w:val="06B31420"/>
    <w:rsid w:val="06B52507"/>
    <w:rsid w:val="06F23CF7"/>
    <w:rsid w:val="07013F3A"/>
    <w:rsid w:val="07155C37"/>
    <w:rsid w:val="071C6FC5"/>
    <w:rsid w:val="073360BD"/>
    <w:rsid w:val="075E75DE"/>
    <w:rsid w:val="07691ADF"/>
    <w:rsid w:val="07724E37"/>
    <w:rsid w:val="0777244E"/>
    <w:rsid w:val="078B7CA7"/>
    <w:rsid w:val="07A174CB"/>
    <w:rsid w:val="07AA637F"/>
    <w:rsid w:val="07B62D5A"/>
    <w:rsid w:val="07B70A9C"/>
    <w:rsid w:val="07F167FB"/>
    <w:rsid w:val="08002443"/>
    <w:rsid w:val="082D0D5E"/>
    <w:rsid w:val="08316AA1"/>
    <w:rsid w:val="085E53BC"/>
    <w:rsid w:val="086C1887"/>
    <w:rsid w:val="08892439"/>
    <w:rsid w:val="08A234FA"/>
    <w:rsid w:val="08AA23AF"/>
    <w:rsid w:val="08BA0844"/>
    <w:rsid w:val="08BD20E2"/>
    <w:rsid w:val="08DF64FD"/>
    <w:rsid w:val="08FD2E27"/>
    <w:rsid w:val="09216B15"/>
    <w:rsid w:val="09273A00"/>
    <w:rsid w:val="092C7268"/>
    <w:rsid w:val="094620D8"/>
    <w:rsid w:val="0972111F"/>
    <w:rsid w:val="09931095"/>
    <w:rsid w:val="09AD4E6C"/>
    <w:rsid w:val="09AF4121"/>
    <w:rsid w:val="09C37BCC"/>
    <w:rsid w:val="09DB3168"/>
    <w:rsid w:val="09E0252C"/>
    <w:rsid w:val="09F2400E"/>
    <w:rsid w:val="0A0855DF"/>
    <w:rsid w:val="0A2166A1"/>
    <w:rsid w:val="0A27015B"/>
    <w:rsid w:val="0A402FCB"/>
    <w:rsid w:val="0A4D7372"/>
    <w:rsid w:val="0A771BD9"/>
    <w:rsid w:val="0A9B28F7"/>
    <w:rsid w:val="0ACA6D38"/>
    <w:rsid w:val="0AD53F6E"/>
    <w:rsid w:val="0ADF0A36"/>
    <w:rsid w:val="0AEA6E8B"/>
    <w:rsid w:val="0B1F52D6"/>
    <w:rsid w:val="0B424B21"/>
    <w:rsid w:val="0B6012A9"/>
    <w:rsid w:val="0BBA0B5B"/>
    <w:rsid w:val="0C50326D"/>
    <w:rsid w:val="0CC003F3"/>
    <w:rsid w:val="0CE045F1"/>
    <w:rsid w:val="0CF06F2A"/>
    <w:rsid w:val="0D0F4ED6"/>
    <w:rsid w:val="0D38267F"/>
    <w:rsid w:val="0D3B3F1D"/>
    <w:rsid w:val="0D533015"/>
    <w:rsid w:val="0D5C223D"/>
    <w:rsid w:val="0D927FE1"/>
    <w:rsid w:val="0DA41AC3"/>
    <w:rsid w:val="0DA43871"/>
    <w:rsid w:val="0DBA3094"/>
    <w:rsid w:val="0DCA1D02"/>
    <w:rsid w:val="0DE256DD"/>
    <w:rsid w:val="0DF76096"/>
    <w:rsid w:val="0E100F06"/>
    <w:rsid w:val="0E323572"/>
    <w:rsid w:val="0E3F3599"/>
    <w:rsid w:val="0E6B48AB"/>
    <w:rsid w:val="0E792F4F"/>
    <w:rsid w:val="0E7C47EE"/>
    <w:rsid w:val="0ECA5559"/>
    <w:rsid w:val="0EFB5712"/>
    <w:rsid w:val="0F087E2F"/>
    <w:rsid w:val="0F735BF1"/>
    <w:rsid w:val="0F955B67"/>
    <w:rsid w:val="101C3B92"/>
    <w:rsid w:val="101D790A"/>
    <w:rsid w:val="1020182F"/>
    <w:rsid w:val="10463305"/>
    <w:rsid w:val="10685029"/>
    <w:rsid w:val="10833C11"/>
    <w:rsid w:val="10AA73F0"/>
    <w:rsid w:val="10B14C22"/>
    <w:rsid w:val="10CD30DE"/>
    <w:rsid w:val="10E723F2"/>
    <w:rsid w:val="10F60887"/>
    <w:rsid w:val="10FE598E"/>
    <w:rsid w:val="110F7B9B"/>
    <w:rsid w:val="112076B2"/>
    <w:rsid w:val="112C6057"/>
    <w:rsid w:val="11627CCB"/>
    <w:rsid w:val="119F4A7B"/>
    <w:rsid w:val="11B619F3"/>
    <w:rsid w:val="11D6068D"/>
    <w:rsid w:val="11E55D86"/>
    <w:rsid w:val="11FE2376"/>
    <w:rsid w:val="122D2087"/>
    <w:rsid w:val="123C676E"/>
    <w:rsid w:val="12486EC1"/>
    <w:rsid w:val="12492C39"/>
    <w:rsid w:val="127E0B34"/>
    <w:rsid w:val="128123D2"/>
    <w:rsid w:val="129B7938"/>
    <w:rsid w:val="129E2F84"/>
    <w:rsid w:val="12B26A30"/>
    <w:rsid w:val="12BE3627"/>
    <w:rsid w:val="12C80001"/>
    <w:rsid w:val="12E34E3B"/>
    <w:rsid w:val="1319085D"/>
    <w:rsid w:val="13370CE3"/>
    <w:rsid w:val="135D699C"/>
    <w:rsid w:val="1379754E"/>
    <w:rsid w:val="137F2DB6"/>
    <w:rsid w:val="13855EF2"/>
    <w:rsid w:val="13A46379"/>
    <w:rsid w:val="13AF4D1D"/>
    <w:rsid w:val="13B32A60"/>
    <w:rsid w:val="13BD38DE"/>
    <w:rsid w:val="13BF7656"/>
    <w:rsid w:val="13C06988"/>
    <w:rsid w:val="13C94031"/>
    <w:rsid w:val="13DA4490"/>
    <w:rsid w:val="13EE3A98"/>
    <w:rsid w:val="13F15336"/>
    <w:rsid w:val="13FC61B5"/>
    <w:rsid w:val="1444190A"/>
    <w:rsid w:val="14E07884"/>
    <w:rsid w:val="14F5429E"/>
    <w:rsid w:val="14F55806"/>
    <w:rsid w:val="151412DC"/>
    <w:rsid w:val="1542409B"/>
    <w:rsid w:val="156264EB"/>
    <w:rsid w:val="15657D89"/>
    <w:rsid w:val="156F6E5A"/>
    <w:rsid w:val="158E5532"/>
    <w:rsid w:val="159643E7"/>
    <w:rsid w:val="15D62A35"/>
    <w:rsid w:val="15DD5B72"/>
    <w:rsid w:val="16421E79"/>
    <w:rsid w:val="165A18B8"/>
    <w:rsid w:val="16730284"/>
    <w:rsid w:val="169326D4"/>
    <w:rsid w:val="169E79F7"/>
    <w:rsid w:val="16B234A2"/>
    <w:rsid w:val="16CF5E02"/>
    <w:rsid w:val="170830C2"/>
    <w:rsid w:val="17141A67"/>
    <w:rsid w:val="172C5003"/>
    <w:rsid w:val="17435EA8"/>
    <w:rsid w:val="17800EAB"/>
    <w:rsid w:val="17CC40F0"/>
    <w:rsid w:val="17F92A0B"/>
    <w:rsid w:val="17FD074D"/>
    <w:rsid w:val="181066D2"/>
    <w:rsid w:val="183C74C7"/>
    <w:rsid w:val="183D7568"/>
    <w:rsid w:val="18414ADE"/>
    <w:rsid w:val="18420856"/>
    <w:rsid w:val="18455C50"/>
    <w:rsid w:val="185365BF"/>
    <w:rsid w:val="186C7681"/>
    <w:rsid w:val="187A1D9E"/>
    <w:rsid w:val="188F52B4"/>
    <w:rsid w:val="189B3AC2"/>
    <w:rsid w:val="18A94431"/>
    <w:rsid w:val="18B75470"/>
    <w:rsid w:val="18C4126B"/>
    <w:rsid w:val="18D166ED"/>
    <w:rsid w:val="19001505"/>
    <w:rsid w:val="19622F5E"/>
    <w:rsid w:val="19A84F53"/>
    <w:rsid w:val="19C21C4E"/>
    <w:rsid w:val="19C2727C"/>
    <w:rsid w:val="19F85670"/>
    <w:rsid w:val="19FB2A6A"/>
    <w:rsid w:val="1A1B4EBB"/>
    <w:rsid w:val="1A352420"/>
    <w:rsid w:val="1A4563DB"/>
    <w:rsid w:val="1A66082C"/>
    <w:rsid w:val="1A710F7F"/>
    <w:rsid w:val="1A7840BB"/>
    <w:rsid w:val="1A915A23"/>
    <w:rsid w:val="1AC75042"/>
    <w:rsid w:val="1ACB4B33"/>
    <w:rsid w:val="1AE9320B"/>
    <w:rsid w:val="1AF47622"/>
    <w:rsid w:val="1AFE6CB6"/>
    <w:rsid w:val="1B0B3181"/>
    <w:rsid w:val="1B100797"/>
    <w:rsid w:val="1B102545"/>
    <w:rsid w:val="1B132036"/>
    <w:rsid w:val="1B1B3DEC"/>
    <w:rsid w:val="1B7C3F49"/>
    <w:rsid w:val="1B7E7DF7"/>
    <w:rsid w:val="1B803B6F"/>
    <w:rsid w:val="1B811695"/>
    <w:rsid w:val="1B8A22F8"/>
    <w:rsid w:val="1B9A62B3"/>
    <w:rsid w:val="1B9B2757"/>
    <w:rsid w:val="1BAA0BEC"/>
    <w:rsid w:val="1BB172EB"/>
    <w:rsid w:val="1BB6133F"/>
    <w:rsid w:val="1BC021BE"/>
    <w:rsid w:val="1BE340FE"/>
    <w:rsid w:val="1BEA723A"/>
    <w:rsid w:val="1BFB1448"/>
    <w:rsid w:val="1C006A5E"/>
    <w:rsid w:val="1C1918CE"/>
    <w:rsid w:val="1C6B037B"/>
    <w:rsid w:val="1C6E1C1A"/>
    <w:rsid w:val="1C7F5BD5"/>
    <w:rsid w:val="1CAE2016"/>
    <w:rsid w:val="1CD51C99"/>
    <w:rsid w:val="1CFD4D4B"/>
    <w:rsid w:val="1D3A5FA0"/>
    <w:rsid w:val="1D48246B"/>
    <w:rsid w:val="1D4D5CD3"/>
    <w:rsid w:val="1DCD0BC2"/>
    <w:rsid w:val="1DD650DD"/>
    <w:rsid w:val="1DE026A3"/>
    <w:rsid w:val="1DE101C9"/>
    <w:rsid w:val="1DE859FC"/>
    <w:rsid w:val="1E087E4C"/>
    <w:rsid w:val="1E162569"/>
    <w:rsid w:val="1E537319"/>
    <w:rsid w:val="1E601A36"/>
    <w:rsid w:val="1E731769"/>
    <w:rsid w:val="1E733517"/>
    <w:rsid w:val="1E8079E2"/>
    <w:rsid w:val="1E89798A"/>
    <w:rsid w:val="1E9A4F48"/>
    <w:rsid w:val="1EC10726"/>
    <w:rsid w:val="1ED41ADC"/>
    <w:rsid w:val="1ED55F80"/>
    <w:rsid w:val="1F274302"/>
    <w:rsid w:val="1F5275D0"/>
    <w:rsid w:val="1F5A0233"/>
    <w:rsid w:val="1F6A3FD3"/>
    <w:rsid w:val="1F7C464D"/>
    <w:rsid w:val="1F9F20EA"/>
    <w:rsid w:val="1FA31BDA"/>
    <w:rsid w:val="1FC41B50"/>
    <w:rsid w:val="1FD551F9"/>
    <w:rsid w:val="201A79C2"/>
    <w:rsid w:val="202F346E"/>
    <w:rsid w:val="20560F70"/>
    <w:rsid w:val="205D447F"/>
    <w:rsid w:val="205D622D"/>
    <w:rsid w:val="2079252D"/>
    <w:rsid w:val="20B9542D"/>
    <w:rsid w:val="20E56222"/>
    <w:rsid w:val="212B632B"/>
    <w:rsid w:val="212E4C50"/>
    <w:rsid w:val="214473ED"/>
    <w:rsid w:val="215238B8"/>
    <w:rsid w:val="215A09BE"/>
    <w:rsid w:val="21B300CF"/>
    <w:rsid w:val="21B87493"/>
    <w:rsid w:val="21D06ED2"/>
    <w:rsid w:val="21E14C3C"/>
    <w:rsid w:val="220426D8"/>
    <w:rsid w:val="224B0307"/>
    <w:rsid w:val="2252009D"/>
    <w:rsid w:val="22857CBD"/>
    <w:rsid w:val="22AF4D3A"/>
    <w:rsid w:val="22CD6F6E"/>
    <w:rsid w:val="22D36C7A"/>
    <w:rsid w:val="22EA46ED"/>
    <w:rsid w:val="22FF7A6F"/>
    <w:rsid w:val="235B27CC"/>
    <w:rsid w:val="23A63D8D"/>
    <w:rsid w:val="23C465C3"/>
    <w:rsid w:val="23C95987"/>
    <w:rsid w:val="23CB7951"/>
    <w:rsid w:val="23D34A58"/>
    <w:rsid w:val="24051273"/>
    <w:rsid w:val="248D2E59"/>
    <w:rsid w:val="2492221D"/>
    <w:rsid w:val="249B37C8"/>
    <w:rsid w:val="24A73F1B"/>
    <w:rsid w:val="24CA19B7"/>
    <w:rsid w:val="24FE78B3"/>
    <w:rsid w:val="25201F1F"/>
    <w:rsid w:val="25302162"/>
    <w:rsid w:val="253908EB"/>
    <w:rsid w:val="254259F1"/>
    <w:rsid w:val="25657F57"/>
    <w:rsid w:val="257007B0"/>
    <w:rsid w:val="258129BE"/>
    <w:rsid w:val="258C1362"/>
    <w:rsid w:val="25CB59E7"/>
    <w:rsid w:val="25D6438C"/>
    <w:rsid w:val="261F5D33"/>
    <w:rsid w:val="264E03C6"/>
    <w:rsid w:val="26633E71"/>
    <w:rsid w:val="2681079B"/>
    <w:rsid w:val="268663AC"/>
    <w:rsid w:val="26BD5C77"/>
    <w:rsid w:val="26D134D1"/>
    <w:rsid w:val="26EA7403"/>
    <w:rsid w:val="26F251F5"/>
    <w:rsid w:val="270A0791"/>
    <w:rsid w:val="27361586"/>
    <w:rsid w:val="2757337E"/>
    <w:rsid w:val="27695DFA"/>
    <w:rsid w:val="27865F67"/>
    <w:rsid w:val="2790529E"/>
    <w:rsid w:val="279B763B"/>
    <w:rsid w:val="27A44741"/>
    <w:rsid w:val="27A72484"/>
    <w:rsid w:val="27CE17BE"/>
    <w:rsid w:val="27D8088F"/>
    <w:rsid w:val="27DC0AE4"/>
    <w:rsid w:val="27EE1E60"/>
    <w:rsid w:val="27FA25B3"/>
    <w:rsid w:val="281318C7"/>
    <w:rsid w:val="28173165"/>
    <w:rsid w:val="28305FD5"/>
    <w:rsid w:val="284B1061"/>
    <w:rsid w:val="286B1703"/>
    <w:rsid w:val="286E6AFD"/>
    <w:rsid w:val="28CA642A"/>
    <w:rsid w:val="28D23530"/>
    <w:rsid w:val="28F416F8"/>
    <w:rsid w:val="291E49C7"/>
    <w:rsid w:val="29227034"/>
    <w:rsid w:val="292A336C"/>
    <w:rsid w:val="29787C34"/>
    <w:rsid w:val="2980317F"/>
    <w:rsid w:val="29B35110"/>
    <w:rsid w:val="29D11A3A"/>
    <w:rsid w:val="29D46E34"/>
    <w:rsid w:val="2A100DF2"/>
    <w:rsid w:val="2A27165A"/>
    <w:rsid w:val="2A2953D2"/>
    <w:rsid w:val="2A490495"/>
    <w:rsid w:val="2A4B17EC"/>
    <w:rsid w:val="2A5341FD"/>
    <w:rsid w:val="2A807E4B"/>
    <w:rsid w:val="2A906605"/>
    <w:rsid w:val="2A9E191C"/>
    <w:rsid w:val="2AA016B4"/>
    <w:rsid w:val="2B157704"/>
    <w:rsid w:val="2B1C4F36"/>
    <w:rsid w:val="2B1E0CAF"/>
    <w:rsid w:val="2B2142FB"/>
    <w:rsid w:val="2B2D4A4E"/>
    <w:rsid w:val="2B473D61"/>
    <w:rsid w:val="2B4F2C16"/>
    <w:rsid w:val="2B560448"/>
    <w:rsid w:val="2B6A3EF4"/>
    <w:rsid w:val="2BC453B2"/>
    <w:rsid w:val="2BD355F5"/>
    <w:rsid w:val="2BFD6059"/>
    <w:rsid w:val="2C0E0D23"/>
    <w:rsid w:val="2C1B6F9C"/>
    <w:rsid w:val="2C271DE5"/>
    <w:rsid w:val="2C504E98"/>
    <w:rsid w:val="2C532BDA"/>
    <w:rsid w:val="2C697D08"/>
    <w:rsid w:val="2C8601BB"/>
    <w:rsid w:val="2C8C39F6"/>
    <w:rsid w:val="2C962283"/>
    <w:rsid w:val="2C9D0B2A"/>
    <w:rsid w:val="2CB73169"/>
    <w:rsid w:val="2CBE44F7"/>
    <w:rsid w:val="2CC22880"/>
    <w:rsid w:val="2CCE2260"/>
    <w:rsid w:val="2CF73565"/>
    <w:rsid w:val="2D0619FA"/>
    <w:rsid w:val="2D0B5263"/>
    <w:rsid w:val="2D241E80"/>
    <w:rsid w:val="2D6F134E"/>
    <w:rsid w:val="2D7C3A6A"/>
    <w:rsid w:val="2D8F7C42"/>
    <w:rsid w:val="2DA60AE7"/>
    <w:rsid w:val="2DBE4083"/>
    <w:rsid w:val="2DC86CB0"/>
    <w:rsid w:val="2DE41D3C"/>
    <w:rsid w:val="2DE97352"/>
    <w:rsid w:val="2DFF2EEF"/>
    <w:rsid w:val="2E2A6942"/>
    <w:rsid w:val="2E385BE3"/>
    <w:rsid w:val="2E5073D1"/>
    <w:rsid w:val="2E67296D"/>
    <w:rsid w:val="2E8F5BED"/>
    <w:rsid w:val="2E9077CD"/>
    <w:rsid w:val="2EDC2A13"/>
    <w:rsid w:val="2EEF5517"/>
    <w:rsid w:val="2F236894"/>
    <w:rsid w:val="2F503401"/>
    <w:rsid w:val="2F5A7DDB"/>
    <w:rsid w:val="2F5B427F"/>
    <w:rsid w:val="2F5F53F2"/>
    <w:rsid w:val="2F7E3ACA"/>
    <w:rsid w:val="2F9C03F4"/>
    <w:rsid w:val="2FAB0637"/>
    <w:rsid w:val="2FBC45F2"/>
    <w:rsid w:val="2FBF4814"/>
    <w:rsid w:val="2FC31E25"/>
    <w:rsid w:val="2FC516F9"/>
    <w:rsid w:val="2FC71915"/>
    <w:rsid w:val="2FCC6F2B"/>
    <w:rsid w:val="2FE778C1"/>
    <w:rsid w:val="300E4CCE"/>
    <w:rsid w:val="301958EC"/>
    <w:rsid w:val="305A4537"/>
    <w:rsid w:val="30654C8A"/>
    <w:rsid w:val="308710A4"/>
    <w:rsid w:val="308E41E1"/>
    <w:rsid w:val="30AB6B41"/>
    <w:rsid w:val="30BF55E1"/>
    <w:rsid w:val="30E67B79"/>
    <w:rsid w:val="30F878AC"/>
    <w:rsid w:val="310644D2"/>
    <w:rsid w:val="31066FD0"/>
    <w:rsid w:val="31075680"/>
    <w:rsid w:val="31682C84"/>
    <w:rsid w:val="319B6BB5"/>
    <w:rsid w:val="31B163D9"/>
    <w:rsid w:val="31B934DF"/>
    <w:rsid w:val="31E71993"/>
    <w:rsid w:val="31F938DC"/>
    <w:rsid w:val="31FB3AF8"/>
    <w:rsid w:val="320D55D9"/>
    <w:rsid w:val="323D486F"/>
    <w:rsid w:val="323D5D45"/>
    <w:rsid w:val="325E0754"/>
    <w:rsid w:val="32894C60"/>
    <w:rsid w:val="329D4BAF"/>
    <w:rsid w:val="32A25D21"/>
    <w:rsid w:val="32AE46C6"/>
    <w:rsid w:val="32CC0FF0"/>
    <w:rsid w:val="32DF2AD1"/>
    <w:rsid w:val="330556D5"/>
    <w:rsid w:val="33576B0C"/>
    <w:rsid w:val="33957634"/>
    <w:rsid w:val="33AB50A9"/>
    <w:rsid w:val="33BA709B"/>
    <w:rsid w:val="33BC2E13"/>
    <w:rsid w:val="33CF0D98"/>
    <w:rsid w:val="33CF2B46"/>
    <w:rsid w:val="33D0696A"/>
    <w:rsid w:val="33D4015C"/>
    <w:rsid w:val="33E12879"/>
    <w:rsid w:val="34521305"/>
    <w:rsid w:val="34521DC6"/>
    <w:rsid w:val="345C0152"/>
    <w:rsid w:val="34CD70F7"/>
    <w:rsid w:val="34E952CC"/>
    <w:rsid w:val="34F07218"/>
    <w:rsid w:val="34FD36E3"/>
    <w:rsid w:val="351B1DBB"/>
    <w:rsid w:val="355A6D87"/>
    <w:rsid w:val="35727C2D"/>
    <w:rsid w:val="358D4A67"/>
    <w:rsid w:val="35A149B6"/>
    <w:rsid w:val="35A95619"/>
    <w:rsid w:val="35C6327B"/>
    <w:rsid w:val="35C63433"/>
    <w:rsid w:val="35CF32D1"/>
    <w:rsid w:val="35DA3A24"/>
    <w:rsid w:val="35DC6B7C"/>
    <w:rsid w:val="35E328D9"/>
    <w:rsid w:val="35E6061B"/>
    <w:rsid w:val="361B6516"/>
    <w:rsid w:val="36315D3A"/>
    <w:rsid w:val="364041CF"/>
    <w:rsid w:val="365B6913"/>
    <w:rsid w:val="36820344"/>
    <w:rsid w:val="36AA5AEC"/>
    <w:rsid w:val="37695060"/>
    <w:rsid w:val="37734130"/>
    <w:rsid w:val="377759CE"/>
    <w:rsid w:val="379A4475"/>
    <w:rsid w:val="37B3277F"/>
    <w:rsid w:val="37D921E5"/>
    <w:rsid w:val="38046C3D"/>
    <w:rsid w:val="3837515E"/>
    <w:rsid w:val="38397128"/>
    <w:rsid w:val="384D4981"/>
    <w:rsid w:val="386341A5"/>
    <w:rsid w:val="388D7E55"/>
    <w:rsid w:val="38AF2AB7"/>
    <w:rsid w:val="38E56968"/>
    <w:rsid w:val="39205BF2"/>
    <w:rsid w:val="393B0C7E"/>
    <w:rsid w:val="393D2C48"/>
    <w:rsid w:val="394B57D9"/>
    <w:rsid w:val="39660A78"/>
    <w:rsid w:val="398E0DAD"/>
    <w:rsid w:val="39AE31FE"/>
    <w:rsid w:val="39BA74B1"/>
    <w:rsid w:val="39CE564E"/>
    <w:rsid w:val="39E66E3B"/>
    <w:rsid w:val="39ED01CA"/>
    <w:rsid w:val="3A1C460B"/>
    <w:rsid w:val="3A2B0CF2"/>
    <w:rsid w:val="3A40479E"/>
    <w:rsid w:val="3A483652"/>
    <w:rsid w:val="3A4B4EF0"/>
    <w:rsid w:val="3A4F49E1"/>
    <w:rsid w:val="3A5F5D60"/>
    <w:rsid w:val="3A79380C"/>
    <w:rsid w:val="3AC37386"/>
    <w:rsid w:val="3AD1189A"/>
    <w:rsid w:val="3AD44EE6"/>
    <w:rsid w:val="3ADE5D64"/>
    <w:rsid w:val="3B0E664A"/>
    <w:rsid w:val="3B2929B3"/>
    <w:rsid w:val="3B3B4F65"/>
    <w:rsid w:val="3B514788"/>
    <w:rsid w:val="3B5953EB"/>
    <w:rsid w:val="3B5F6EA5"/>
    <w:rsid w:val="3B8B3D63"/>
    <w:rsid w:val="3B9A1C8B"/>
    <w:rsid w:val="3B9A7EDD"/>
    <w:rsid w:val="3B9E7B8D"/>
    <w:rsid w:val="3BAC7C11"/>
    <w:rsid w:val="3BB645EB"/>
    <w:rsid w:val="3C1C5FAB"/>
    <w:rsid w:val="3C2A5955"/>
    <w:rsid w:val="3C343702"/>
    <w:rsid w:val="3C4D4F50"/>
    <w:rsid w:val="3C720E5A"/>
    <w:rsid w:val="3CE113CD"/>
    <w:rsid w:val="3CE27D8E"/>
    <w:rsid w:val="3D001FC2"/>
    <w:rsid w:val="3D0A4BEF"/>
    <w:rsid w:val="3D4A5E08"/>
    <w:rsid w:val="3D69400B"/>
    <w:rsid w:val="3DA2751D"/>
    <w:rsid w:val="3DD317D8"/>
    <w:rsid w:val="3DD516A1"/>
    <w:rsid w:val="3E03620E"/>
    <w:rsid w:val="3E0C2BE9"/>
    <w:rsid w:val="3E691DE9"/>
    <w:rsid w:val="3E6B3DB3"/>
    <w:rsid w:val="3E9055C8"/>
    <w:rsid w:val="3EEB27FE"/>
    <w:rsid w:val="3F2006FA"/>
    <w:rsid w:val="3F204B9E"/>
    <w:rsid w:val="3F3917BB"/>
    <w:rsid w:val="3F9D7F9C"/>
    <w:rsid w:val="3FB5178A"/>
    <w:rsid w:val="3FC217B1"/>
    <w:rsid w:val="3FE536F1"/>
    <w:rsid w:val="3FE8403A"/>
    <w:rsid w:val="400C0C7E"/>
    <w:rsid w:val="40104C12"/>
    <w:rsid w:val="401069C0"/>
    <w:rsid w:val="4013200C"/>
    <w:rsid w:val="40460634"/>
    <w:rsid w:val="40645154"/>
    <w:rsid w:val="407927B7"/>
    <w:rsid w:val="408A428A"/>
    <w:rsid w:val="40907B01"/>
    <w:rsid w:val="40925627"/>
    <w:rsid w:val="40A62E81"/>
    <w:rsid w:val="40DA0D7C"/>
    <w:rsid w:val="40FB7670"/>
    <w:rsid w:val="41004C87"/>
    <w:rsid w:val="410F4ECA"/>
    <w:rsid w:val="413C5593"/>
    <w:rsid w:val="41415E2F"/>
    <w:rsid w:val="4142704D"/>
    <w:rsid w:val="41523008"/>
    <w:rsid w:val="417B255F"/>
    <w:rsid w:val="418C02C8"/>
    <w:rsid w:val="41D103D1"/>
    <w:rsid w:val="41D35EF7"/>
    <w:rsid w:val="41E53E7C"/>
    <w:rsid w:val="41EA3241"/>
    <w:rsid w:val="41F1637D"/>
    <w:rsid w:val="42240501"/>
    <w:rsid w:val="422D2573"/>
    <w:rsid w:val="423170C2"/>
    <w:rsid w:val="42925DB2"/>
    <w:rsid w:val="42BE6BA7"/>
    <w:rsid w:val="42C43A92"/>
    <w:rsid w:val="42D77C69"/>
    <w:rsid w:val="430A3B9B"/>
    <w:rsid w:val="432B1D63"/>
    <w:rsid w:val="436F39FE"/>
    <w:rsid w:val="43721740"/>
    <w:rsid w:val="43A01E09"/>
    <w:rsid w:val="441F3676"/>
    <w:rsid w:val="44254A04"/>
    <w:rsid w:val="44366C11"/>
    <w:rsid w:val="447F5EC2"/>
    <w:rsid w:val="448654A3"/>
    <w:rsid w:val="448A6E01"/>
    <w:rsid w:val="44A122DD"/>
    <w:rsid w:val="44B00772"/>
    <w:rsid w:val="44CD54F5"/>
    <w:rsid w:val="450D34CE"/>
    <w:rsid w:val="45246A6A"/>
    <w:rsid w:val="452627E2"/>
    <w:rsid w:val="456F4189"/>
    <w:rsid w:val="45A006D3"/>
    <w:rsid w:val="45ED50AE"/>
    <w:rsid w:val="45FD79E7"/>
    <w:rsid w:val="46565349"/>
    <w:rsid w:val="4662784A"/>
    <w:rsid w:val="46643725"/>
    <w:rsid w:val="467557CF"/>
    <w:rsid w:val="468C0D6B"/>
    <w:rsid w:val="468C48C7"/>
    <w:rsid w:val="46A936CA"/>
    <w:rsid w:val="46B04A59"/>
    <w:rsid w:val="46B5206F"/>
    <w:rsid w:val="46C67DD9"/>
    <w:rsid w:val="47060B1D"/>
    <w:rsid w:val="471C5C4A"/>
    <w:rsid w:val="474D04FA"/>
    <w:rsid w:val="476E4D7C"/>
    <w:rsid w:val="477C2B8D"/>
    <w:rsid w:val="47866D44"/>
    <w:rsid w:val="4791488A"/>
    <w:rsid w:val="479B74B7"/>
    <w:rsid w:val="47B85CF5"/>
    <w:rsid w:val="47EC7D13"/>
    <w:rsid w:val="47F6649C"/>
    <w:rsid w:val="481B4154"/>
    <w:rsid w:val="482257EC"/>
    <w:rsid w:val="48482A6F"/>
    <w:rsid w:val="484A26A5"/>
    <w:rsid w:val="48597706"/>
    <w:rsid w:val="488A7D9D"/>
    <w:rsid w:val="48AE6D76"/>
    <w:rsid w:val="48BD5AF7"/>
    <w:rsid w:val="48BF5427"/>
    <w:rsid w:val="48DD2F81"/>
    <w:rsid w:val="49060960"/>
    <w:rsid w:val="49115557"/>
    <w:rsid w:val="49153299"/>
    <w:rsid w:val="49262DB0"/>
    <w:rsid w:val="492D2391"/>
    <w:rsid w:val="4944592C"/>
    <w:rsid w:val="496D09DF"/>
    <w:rsid w:val="49793828"/>
    <w:rsid w:val="499E328F"/>
    <w:rsid w:val="49B40DFB"/>
    <w:rsid w:val="4A056E6A"/>
    <w:rsid w:val="4A1B043B"/>
    <w:rsid w:val="4A58168F"/>
    <w:rsid w:val="4A9106FD"/>
    <w:rsid w:val="4A9D3546"/>
    <w:rsid w:val="4AA523FB"/>
    <w:rsid w:val="4AD11442"/>
    <w:rsid w:val="4AD14F9E"/>
    <w:rsid w:val="4ADA02F6"/>
    <w:rsid w:val="4B005883"/>
    <w:rsid w:val="4B0E1D4E"/>
    <w:rsid w:val="4B1A06F3"/>
    <w:rsid w:val="4B2772B4"/>
    <w:rsid w:val="4B306168"/>
    <w:rsid w:val="4B4C0AC8"/>
    <w:rsid w:val="4B645E12"/>
    <w:rsid w:val="4B7778F3"/>
    <w:rsid w:val="4B7818BD"/>
    <w:rsid w:val="4B7F0E9E"/>
    <w:rsid w:val="4B950F08"/>
    <w:rsid w:val="4BA83F51"/>
    <w:rsid w:val="4BD72A88"/>
    <w:rsid w:val="4BE34F89"/>
    <w:rsid w:val="4BF21670"/>
    <w:rsid w:val="4BFC24EE"/>
    <w:rsid w:val="4C0A4C0B"/>
    <w:rsid w:val="4C1710D6"/>
    <w:rsid w:val="4C2832E3"/>
    <w:rsid w:val="4C3D536D"/>
    <w:rsid w:val="4C4579F1"/>
    <w:rsid w:val="4C4A14AC"/>
    <w:rsid w:val="4C59524B"/>
    <w:rsid w:val="4C6B4F7E"/>
    <w:rsid w:val="4C6E544A"/>
    <w:rsid w:val="4C902FB0"/>
    <w:rsid w:val="4CA61C30"/>
    <w:rsid w:val="4D1473C4"/>
    <w:rsid w:val="4D20220D"/>
    <w:rsid w:val="4D302450"/>
    <w:rsid w:val="4D4E05E8"/>
    <w:rsid w:val="4D844549"/>
    <w:rsid w:val="4DBF1A26"/>
    <w:rsid w:val="4DD252B5"/>
    <w:rsid w:val="4DDA77E4"/>
    <w:rsid w:val="4DE4323A"/>
    <w:rsid w:val="4DED20EF"/>
    <w:rsid w:val="4E281379"/>
    <w:rsid w:val="4E2A50F1"/>
    <w:rsid w:val="4E6879C7"/>
    <w:rsid w:val="4E6C5709"/>
    <w:rsid w:val="4E7B3B9E"/>
    <w:rsid w:val="4E7D0F59"/>
    <w:rsid w:val="4E854A1D"/>
    <w:rsid w:val="4EE82601"/>
    <w:rsid w:val="4EF86F9D"/>
    <w:rsid w:val="4F4F2935"/>
    <w:rsid w:val="4F5D14F6"/>
    <w:rsid w:val="4F642884"/>
    <w:rsid w:val="4F6463E1"/>
    <w:rsid w:val="4F93316A"/>
    <w:rsid w:val="4F9C3DCC"/>
    <w:rsid w:val="4FB355BA"/>
    <w:rsid w:val="4FC60E49"/>
    <w:rsid w:val="4FD277EE"/>
    <w:rsid w:val="4FE92D8A"/>
    <w:rsid w:val="4FF43E14"/>
    <w:rsid w:val="50302767"/>
    <w:rsid w:val="5075461D"/>
    <w:rsid w:val="508B3E41"/>
    <w:rsid w:val="509E1DC6"/>
    <w:rsid w:val="50A0169A"/>
    <w:rsid w:val="50B05655"/>
    <w:rsid w:val="50E25C3F"/>
    <w:rsid w:val="50FD4D3F"/>
    <w:rsid w:val="510C4885"/>
    <w:rsid w:val="511A3A51"/>
    <w:rsid w:val="5139564B"/>
    <w:rsid w:val="51A46F68"/>
    <w:rsid w:val="51AA02F7"/>
    <w:rsid w:val="51AE7DE7"/>
    <w:rsid w:val="520D0FB1"/>
    <w:rsid w:val="521340EE"/>
    <w:rsid w:val="52171B58"/>
    <w:rsid w:val="52171E30"/>
    <w:rsid w:val="522602C5"/>
    <w:rsid w:val="52293911"/>
    <w:rsid w:val="52354064"/>
    <w:rsid w:val="52371398"/>
    <w:rsid w:val="524A3FB4"/>
    <w:rsid w:val="52552958"/>
    <w:rsid w:val="5288688A"/>
    <w:rsid w:val="52896350"/>
    <w:rsid w:val="52CA29FF"/>
    <w:rsid w:val="530103EA"/>
    <w:rsid w:val="53031881"/>
    <w:rsid w:val="53057EDB"/>
    <w:rsid w:val="533802B0"/>
    <w:rsid w:val="533B009D"/>
    <w:rsid w:val="53522DAA"/>
    <w:rsid w:val="53536E98"/>
    <w:rsid w:val="53542C10"/>
    <w:rsid w:val="535B7AFB"/>
    <w:rsid w:val="53764934"/>
    <w:rsid w:val="53C658BC"/>
    <w:rsid w:val="541D1254"/>
    <w:rsid w:val="54387E3C"/>
    <w:rsid w:val="54436F0C"/>
    <w:rsid w:val="54492049"/>
    <w:rsid w:val="548349AE"/>
    <w:rsid w:val="54990106"/>
    <w:rsid w:val="54A35BFD"/>
    <w:rsid w:val="54F40207"/>
    <w:rsid w:val="55214D74"/>
    <w:rsid w:val="55471680"/>
    <w:rsid w:val="558A46C7"/>
    <w:rsid w:val="55A21A11"/>
    <w:rsid w:val="55AA6B17"/>
    <w:rsid w:val="55B6370E"/>
    <w:rsid w:val="55D65B5E"/>
    <w:rsid w:val="55E71B19"/>
    <w:rsid w:val="55E95892"/>
    <w:rsid w:val="561623FF"/>
    <w:rsid w:val="56372AA1"/>
    <w:rsid w:val="56B0015D"/>
    <w:rsid w:val="56C87B9D"/>
    <w:rsid w:val="56F3629C"/>
    <w:rsid w:val="570109B9"/>
    <w:rsid w:val="570A3D11"/>
    <w:rsid w:val="572C012C"/>
    <w:rsid w:val="576D24F2"/>
    <w:rsid w:val="57715B3F"/>
    <w:rsid w:val="578F2469"/>
    <w:rsid w:val="5797131D"/>
    <w:rsid w:val="57995095"/>
    <w:rsid w:val="57A001D2"/>
    <w:rsid w:val="57A37CC2"/>
    <w:rsid w:val="57AC4DC9"/>
    <w:rsid w:val="57CF2865"/>
    <w:rsid w:val="57DA7B88"/>
    <w:rsid w:val="58030761"/>
    <w:rsid w:val="5809221B"/>
    <w:rsid w:val="583A6878"/>
    <w:rsid w:val="585B234B"/>
    <w:rsid w:val="58694A68"/>
    <w:rsid w:val="58796E5D"/>
    <w:rsid w:val="588B0E82"/>
    <w:rsid w:val="589324AE"/>
    <w:rsid w:val="58A75590"/>
    <w:rsid w:val="58D345D7"/>
    <w:rsid w:val="58E862D4"/>
    <w:rsid w:val="58F702C5"/>
    <w:rsid w:val="58F92290"/>
    <w:rsid w:val="58FC58DC"/>
    <w:rsid w:val="59451D13"/>
    <w:rsid w:val="597102E2"/>
    <w:rsid w:val="59853B23"/>
    <w:rsid w:val="598A113A"/>
    <w:rsid w:val="599B3347"/>
    <w:rsid w:val="599B3DE0"/>
    <w:rsid w:val="59C315C5"/>
    <w:rsid w:val="59EC3BA2"/>
    <w:rsid w:val="5A04713E"/>
    <w:rsid w:val="5A12437A"/>
    <w:rsid w:val="5A1A070F"/>
    <w:rsid w:val="5A2275C4"/>
    <w:rsid w:val="5A3B68D8"/>
    <w:rsid w:val="5A405C9C"/>
    <w:rsid w:val="5A4A08C9"/>
    <w:rsid w:val="5A5B4884"/>
    <w:rsid w:val="5A61633E"/>
    <w:rsid w:val="5A6279C1"/>
    <w:rsid w:val="5A717D58"/>
    <w:rsid w:val="5A763F4F"/>
    <w:rsid w:val="5A821E11"/>
    <w:rsid w:val="5A9009D2"/>
    <w:rsid w:val="5AAC50E0"/>
    <w:rsid w:val="5ACB7C5C"/>
    <w:rsid w:val="5AD05272"/>
    <w:rsid w:val="5AE66844"/>
    <w:rsid w:val="5AEE74A6"/>
    <w:rsid w:val="5B547C51"/>
    <w:rsid w:val="5B647768"/>
    <w:rsid w:val="5B6B6D49"/>
    <w:rsid w:val="5BC25B35"/>
    <w:rsid w:val="5BD112A2"/>
    <w:rsid w:val="5BF05DAB"/>
    <w:rsid w:val="5C1178F0"/>
    <w:rsid w:val="5C166CB5"/>
    <w:rsid w:val="5C34538D"/>
    <w:rsid w:val="5C5E240A"/>
    <w:rsid w:val="5C645C72"/>
    <w:rsid w:val="5C69772C"/>
    <w:rsid w:val="5C6E6AF1"/>
    <w:rsid w:val="5C752B3D"/>
    <w:rsid w:val="5C8C6F77"/>
    <w:rsid w:val="5C9A3F10"/>
    <w:rsid w:val="5CA93FCD"/>
    <w:rsid w:val="5CAA564F"/>
    <w:rsid w:val="5CB0535B"/>
    <w:rsid w:val="5CBB3521"/>
    <w:rsid w:val="5CF1327E"/>
    <w:rsid w:val="5CFE60C6"/>
    <w:rsid w:val="5D096819"/>
    <w:rsid w:val="5D221689"/>
    <w:rsid w:val="5D6F2B20"/>
    <w:rsid w:val="5D856EF6"/>
    <w:rsid w:val="5DA402F0"/>
    <w:rsid w:val="5DBC388C"/>
    <w:rsid w:val="5DC32E6C"/>
    <w:rsid w:val="5DE72D05"/>
    <w:rsid w:val="5E055233"/>
    <w:rsid w:val="5E3D2C1E"/>
    <w:rsid w:val="5E466565"/>
    <w:rsid w:val="5E4E6BDA"/>
    <w:rsid w:val="5E6F4DA2"/>
    <w:rsid w:val="5EA467FA"/>
    <w:rsid w:val="5EC92704"/>
    <w:rsid w:val="5ED05841"/>
    <w:rsid w:val="5ED35331"/>
    <w:rsid w:val="5EF17565"/>
    <w:rsid w:val="5F0E6369"/>
    <w:rsid w:val="5F1F0576"/>
    <w:rsid w:val="5F3758C0"/>
    <w:rsid w:val="5F3A0F0C"/>
    <w:rsid w:val="5F946C0E"/>
    <w:rsid w:val="5FB011CE"/>
    <w:rsid w:val="5FCB425A"/>
    <w:rsid w:val="5FCD3B2E"/>
    <w:rsid w:val="5FF437B1"/>
    <w:rsid w:val="60194FC5"/>
    <w:rsid w:val="60561D75"/>
    <w:rsid w:val="60822B6A"/>
    <w:rsid w:val="60A9459B"/>
    <w:rsid w:val="60AA3E6F"/>
    <w:rsid w:val="60E90E3C"/>
    <w:rsid w:val="61173787"/>
    <w:rsid w:val="6151253D"/>
    <w:rsid w:val="61891CD7"/>
    <w:rsid w:val="61AC2FC9"/>
    <w:rsid w:val="61E15FB7"/>
    <w:rsid w:val="62195750"/>
    <w:rsid w:val="623205C0"/>
    <w:rsid w:val="625978FB"/>
    <w:rsid w:val="62697685"/>
    <w:rsid w:val="62827E8F"/>
    <w:rsid w:val="62A07F3E"/>
    <w:rsid w:val="62C76F5B"/>
    <w:rsid w:val="63193F43"/>
    <w:rsid w:val="63304B00"/>
    <w:rsid w:val="636649C5"/>
    <w:rsid w:val="63972DD1"/>
    <w:rsid w:val="63A454EE"/>
    <w:rsid w:val="63D01E3F"/>
    <w:rsid w:val="63DE27AE"/>
    <w:rsid w:val="64055F8C"/>
    <w:rsid w:val="640B2E77"/>
    <w:rsid w:val="64AF110B"/>
    <w:rsid w:val="64C23E7D"/>
    <w:rsid w:val="64C71744"/>
    <w:rsid w:val="6502427A"/>
    <w:rsid w:val="65046244"/>
    <w:rsid w:val="652B396C"/>
    <w:rsid w:val="65562818"/>
    <w:rsid w:val="657667D0"/>
    <w:rsid w:val="65BC6B1F"/>
    <w:rsid w:val="65E87914"/>
    <w:rsid w:val="65F242EE"/>
    <w:rsid w:val="66037EFE"/>
    <w:rsid w:val="66214BD4"/>
    <w:rsid w:val="66287D10"/>
    <w:rsid w:val="662E75B1"/>
    <w:rsid w:val="664408C2"/>
    <w:rsid w:val="665223CB"/>
    <w:rsid w:val="66540B05"/>
    <w:rsid w:val="66701607"/>
    <w:rsid w:val="667747F4"/>
    <w:rsid w:val="66DA6A57"/>
    <w:rsid w:val="66E0683D"/>
    <w:rsid w:val="66E32002"/>
    <w:rsid w:val="66F67E0E"/>
    <w:rsid w:val="6740552D"/>
    <w:rsid w:val="67672ABA"/>
    <w:rsid w:val="676C00D0"/>
    <w:rsid w:val="67784CC7"/>
    <w:rsid w:val="67931B01"/>
    <w:rsid w:val="67D363A2"/>
    <w:rsid w:val="67EB5499"/>
    <w:rsid w:val="68090C1E"/>
    <w:rsid w:val="68352BB8"/>
    <w:rsid w:val="68541290"/>
    <w:rsid w:val="686B65DA"/>
    <w:rsid w:val="686F60CA"/>
    <w:rsid w:val="687234C5"/>
    <w:rsid w:val="68784853"/>
    <w:rsid w:val="68815DFE"/>
    <w:rsid w:val="68AF296B"/>
    <w:rsid w:val="68B27D65"/>
    <w:rsid w:val="68D979E8"/>
    <w:rsid w:val="68F55EA4"/>
    <w:rsid w:val="691B4AD3"/>
    <w:rsid w:val="693469CC"/>
    <w:rsid w:val="696F20FA"/>
    <w:rsid w:val="69845BA5"/>
    <w:rsid w:val="69D00DEB"/>
    <w:rsid w:val="69D81A4D"/>
    <w:rsid w:val="69E00902"/>
    <w:rsid w:val="6A2922A9"/>
    <w:rsid w:val="6A486BD3"/>
    <w:rsid w:val="6A66538D"/>
    <w:rsid w:val="6A7259FE"/>
    <w:rsid w:val="6A902328"/>
    <w:rsid w:val="6A98360E"/>
    <w:rsid w:val="6AB2229E"/>
    <w:rsid w:val="6ABC136F"/>
    <w:rsid w:val="6AD2649C"/>
    <w:rsid w:val="6ADE3093"/>
    <w:rsid w:val="6B2018FE"/>
    <w:rsid w:val="6B2D401B"/>
    <w:rsid w:val="6B386D8F"/>
    <w:rsid w:val="6B453112"/>
    <w:rsid w:val="6B655563"/>
    <w:rsid w:val="6B6A0DCB"/>
    <w:rsid w:val="6B767770"/>
    <w:rsid w:val="6BB12556"/>
    <w:rsid w:val="6C0E1756"/>
    <w:rsid w:val="6C152AE5"/>
    <w:rsid w:val="6C1A634D"/>
    <w:rsid w:val="6C1F5711"/>
    <w:rsid w:val="6C44161C"/>
    <w:rsid w:val="6C605F18"/>
    <w:rsid w:val="6C6B0957"/>
    <w:rsid w:val="6CB56076"/>
    <w:rsid w:val="6CE95D1F"/>
    <w:rsid w:val="6CF21078"/>
    <w:rsid w:val="6CFE17CB"/>
    <w:rsid w:val="6D176D30"/>
    <w:rsid w:val="6D34057C"/>
    <w:rsid w:val="6DE44E65"/>
    <w:rsid w:val="6DFD5F26"/>
    <w:rsid w:val="6E146DCC"/>
    <w:rsid w:val="6E4476B1"/>
    <w:rsid w:val="6E4C47B8"/>
    <w:rsid w:val="6E5D2F46"/>
    <w:rsid w:val="6E70494A"/>
    <w:rsid w:val="6E922B12"/>
    <w:rsid w:val="6EB81E4D"/>
    <w:rsid w:val="6EE175F6"/>
    <w:rsid w:val="6F03131A"/>
    <w:rsid w:val="6F12155D"/>
    <w:rsid w:val="6F1B2B08"/>
    <w:rsid w:val="6F481423"/>
    <w:rsid w:val="6F4B6E01"/>
    <w:rsid w:val="6F7246F2"/>
    <w:rsid w:val="6F8D32DA"/>
    <w:rsid w:val="6FC14D32"/>
    <w:rsid w:val="6FCB3EA6"/>
    <w:rsid w:val="703F2826"/>
    <w:rsid w:val="706C7393"/>
    <w:rsid w:val="70757FF6"/>
    <w:rsid w:val="709B2E93"/>
    <w:rsid w:val="70B86135"/>
    <w:rsid w:val="70C920F0"/>
    <w:rsid w:val="70E360D4"/>
    <w:rsid w:val="70ED2282"/>
    <w:rsid w:val="70F27898"/>
    <w:rsid w:val="70F36371"/>
    <w:rsid w:val="710337EB"/>
    <w:rsid w:val="71145A61"/>
    <w:rsid w:val="71193077"/>
    <w:rsid w:val="71381023"/>
    <w:rsid w:val="71423059"/>
    <w:rsid w:val="714A76D4"/>
    <w:rsid w:val="715B3690"/>
    <w:rsid w:val="71836742"/>
    <w:rsid w:val="718C1A9B"/>
    <w:rsid w:val="71BC1C54"/>
    <w:rsid w:val="71E74F23"/>
    <w:rsid w:val="71EF202A"/>
    <w:rsid w:val="72084E9A"/>
    <w:rsid w:val="720D425E"/>
    <w:rsid w:val="722364A4"/>
    <w:rsid w:val="723B526F"/>
    <w:rsid w:val="726E2F4F"/>
    <w:rsid w:val="727E4290"/>
    <w:rsid w:val="72802C82"/>
    <w:rsid w:val="72916C3D"/>
    <w:rsid w:val="72D51220"/>
    <w:rsid w:val="72EB0A43"/>
    <w:rsid w:val="72FB055A"/>
    <w:rsid w:val="730918EB"/>
    <w:rsid w:val="7309711B"/>
    <w:rsid w:val="73221F8B"/>
    <w:rsid w:val="7341025C"/>
    <w:rsid w:val="73467A28"/>
    <w:rsid w:val="737C78ED"/>
    <w:rsid w:val="73836ECE"/>
    <w:rsid w:val="73882894"/>
    <w:rsid w:val="73AD7AA7"/>
    <w:rsid w:val="73CF5C6F"/>
    <w:rsid w:val="73FE6554"/>
    <w:rsid w:val="7407365B"/>
    <w:rsid w:val="740A6CA7"/>
    <w:rsid w:val="744B7990"/>
    <w:rsid w:val="747A6F80"/>
    <w:rsid w:val="74B135C7"/>
    <w:rsid w:val="74D53759"/>
    <w:rsid w:val="74DA48CB"/>
    <w:rsid w:val="74EB6AD9"/>
    <w:rsid w:val="75096F5F"/>
    <w:rsid w:val="754E350B"/>
    <w:rsid w:val="755A5A0C"/>
    <w:rsid w:val="755D54FC"/>
    <w:rsid w:val="75742F72"/>
    <w:rsid w:val="757E5B9F"/>
    <w:rsid w:val="75CB690A"/>
    <w:rsid w:val="75CD0207"/>
    <w:rsid w:val="761738FD"/>
    <w:rsid w:val="763224E5"/>
    <w:rsid w:val="765E32DA"/>
    <w:rsid w:val="768076F4"/>
    <w:rsid w:val="76832D41"/>
    <w:rsid w:val="76911902"/>
    <w:rsid w:val="7691545E"/>
    <w:rsid w:val="76A258BD"/>
    <w:rsid w:val="76AF1D88"/>
    <w:rsid w:val="76D4359C"/>
    <w:rsid w:val="76D649A4"/>
    <w:rsid w:val="76D67314"/>
    <w:rsid w:val="77130569"/>
    <w:rsid w:val="77170059"/>
    <w:rsid w:val="771B11CB"/>
    <w:rsid w:val="7731279D"/>
    <w:rsid w:val="77593278"/>
    <w:rsid w:val="775A7F45"/>
    <w:rsid w:val="77690189"/>
    <w:rsid w:val="77894387"/>
    <w:rsid w:val="77A45665"/>
    <w:rsid w:val="77BC29AE"/>
    <w:rsid w:val="77E67A2B"/>
    <w:rsid w:val="77EA751B"/>
    <w:rsid w:val="77F008AA"/>
    <w:rsid w:val="77F263D0"/>
    <w:rsid w:val="77F777CD"/>
    <w:rsid w:val="781225CE"/>
    <w:rsid w:val="781B5927"/>
    <w:rsid w:val="786D0583"/>
    <w:rsid w:val="78760DAF"/>
    <w:rsid w:val="787B0173"/>
    <w:rsid w:val="787B4617"/>
    <w:rsid w:val="78872FBC"/>
    <w:rsid w:val="78B37A40"/>
    <w:rsid w:val="78D45AD6"/>
    <w:rsid w:val="79102693"/>
    <w:rsid w:val="79143567"/>
    <w:rsid w:val="793547C6"/>
    <w:rsid w:val="79471FB8"/>
    <w:rsid w:val="79490272"/>
    <w:rsid w:val="7956473D"/>
    <w:rsid w:val="795A422D"/>
    <w:rsid w:val="795B1D53"/>
    <w:rsid w:val="797A042B"/>
    <w:rsid w:val="798E037A"/>
    <w:rsid w:val="79BD47BC"/>
    <w:rsid w:val="79CC49FF"/>
    <w:rsid w:val="7A0F3269"/>
    <w:rsid w:val="7A4A24F3"/>
    <w:rsid w:val="7A684727"/>
    <w:rsid w:val="7ADD3367"/>
    <w:rsid w:val="7AEA5A84"/>
    <w:rsid w:val="7B164183"/>
    <w:rsid w:val="7B256ABC"/>
    <w:rsid w:val="7B5F1FCE"/>
    <w:rsid w:val="7B7517F2"/>
    <w:rsid w:val="7B871525"/>
    <w:rsid w:val="7BDA78A7"/>
    <w:rsid w:val="7BED75DA"/>
    <w:rsid w:val="7BF32717"/>
    <w:rsid w:val="7BFD5343"/>
    <w:rsid w:val="7C2D3E7B"/>
    <w:rsid w:val="7C376AA7"/>
    <w:rsid w:val="7C4F2043"/>
    <w:rsid w:val="7C7750F6"/>
    <w:rsid w:val="7C9C690A"/>
    <w:rsid w:val="7CB2612E"/>
    <w:rsid w:val="7CB63E70"/>
    <w:rsid w:val="7CBB71D7"/>
    <w:rsid w:val="7CE0713F"/>
    <w:rsid w:val="7D40373A"/>
    <w:rsid w:val="7D871368"/>
    <w:rsid w:val="7D972AB8"/>
    <w:rsid w:val="7D9C12B8"/>
    <w:rsid w:val="7DF32EA2"/>
    <w:rsid w:val="7E026C41"/>
    <w:rsid w:val="7E0503B7"/>
    <w:rsid w:val="7E096221"/>
    <w:rsid w:val="7E417769"/>
    <w:rsid w:val="7E6873EC"/>
    <w:rsid w:val="7E7E276B"/>
    <w:rsid w:val="7E7F0292"/>
    <w:rsid w:val="7E955D07"/>
    <w:rsid w:val="7EB268B9"/>
    <w:rsid w:val="7EC14D4E"/>
    <w:rsid w:val="7EFE4E3A"/>
    <w:rsid w:val="7F062761"/>
    <w:rsid w:val="7F1B620C"/>
    <w:rsid w:val="7F437511"/>
    <w:rsid w:val="7F8738A2"/>
    <w:rsid w:val="7F9111A8"/>
    <w:rsid w:val="7FBB79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4"/>
    <w:qFormat/>
    <w:uiPriority w:val="9"/>
    <w:pPr>
      <w:keepNext/>
      <w:keepLines/>
      <w:numPr>
        <w:ilvl w:val="0"/>
        <w:numId w:val="1"/>
      </w:numPr>
      <w:adjustRightInd w:val="0"/>
      <w:spacing w:before="160" w:after="160" w:line="160" w:lineRule="atLeast"/>
      <w:textAlignment w:val="baseline"/>
      <w:outlineLvl w:val="0"/>
    </w:pPr>
    <w:rPr>
      <w:b/>
      <w:bCs/>
      <w:kern w:val="44"/>
      <w:sz w:val="44"/>
      <w:szCs w:val="44"/>
    </w:rPr>
  </w:style>
  <w:style w:type="paragraph" w:styleId="5">
    <w:name w:val="heading 2"/>
    <w:basedOn w:val="1"/>
    <w:next w:val="1"/>
    <w:unhideWhenUsed/>
    <w:qFormat/>
    <w:uiPriority w:val="0"/>
    <w:pPr>
      <w:keepNext/>
      <w:keepLines/>
      <w:numPr>
        <w:ilvl w:val="1"/>
        <w:numId w:val="2"/>
      </w:numPr>
      <w:spacing w:before="100" w:after="100" w:line="360" w:lineRule="exact"/>
      <w:outlineLvl w:val="1"/>
    </w:pPr>
    <w:rPr>
      <w:rFonts w:ascii="Arial" w:hAnsi="Arial" w:eastAsia="宋体"/>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4">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6">
    <w:name w:val="Normal Indent"/>
    <w:basedOn w:val="1"/>
    <w:qFormat/>
    <w:uiPriority w:val="0"/>
    <w:pPr>
      <w:ind w:firstLine="420"/>
    </w:pPr>
    <w:rPr>
      <w:rFonts w:ascii="Times New Roman" w:hAnsi="Times New Roman"/>
      <w:sz w:val="28"/>
      <w:szCs w:val="20"/>
    </w:rPr>
  </w:style>
  <w:style w:type="paragraph" w:styleId="7">
    <w:name w:val="annotation text"/>
    <w:basedOn w:val="1"/>
    <w:next w:val="6"/>
    <w:qFormat/>
    <w:uiPriority w:val="0"/>
    <w:pPr>
      <w:jc w:val="left"/>
    </w:pPr>
    <w:rPr>
      <w:kern w:val="0"/>
      <w:sz w:val="20"/>
      <w:szCs w:val="20"/>
    </w:rPr>
  </w:style>
  <w:style w:type="paragraph" w:styleId="8">
    <w:name w:val="Body Text"/>
    <w:basedOn w:val="1"/>
    <w:next w:val="9"/>
    <w:qFormat/>
    <w:uiPriority w:val="0"/>
    <w:pPr>
      <w:spacing w:line="360" w:lineRule="auto"/>
    </w:pPr>
    <w:rPr>
      <w:rFonts w:ascii="Times New Roman" w:hAnsi="Times New Roman"/>
      <w:szCs w:val="20"/>
    </w:rPr>
  </w:style>
  <w:style w:type="paragraph" w:customStyle="1" w:styleId="9">
    <w:name w:val="Default"/>
    <w:next w:val="10"/>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
    <w:name w:val="大标题"/>
    <w:basedOn w:val="1"/>
    <w:next w:val="11"/>
    <w:qFormat/>
    <w:uiPriority w:val="0"/>
    <w:pPr>
      <w:jc w:val="center"/>
    </w:pPr>
    <w:rPr>
      <w:rFonts w:ascii="Arial" w:hAnsi="Arial"/>
      <w:b/>
      <w:sz w:val="28"/>
      <w:szCs w:val="24"/>
    </w:rPr>
  </w:style>
  <w:style w:type="paragraph" w:styleId="11">
    <w:name w:val="Body Text First Indent 2"/>
    <w:basedOn w:val="12"/>
    <w:next w:val="8"/>
    <w:semiHidden/>
    <w:unhideWhenUsed/>
    <w:qFormat/>
    <w:uiPriority w:val="99"/>
    <w:pPr>
      <w:spacing w:after="120"/>
      <w:ind w:left="420" w:leftChars="200" w:firstLine="420" w:firstLineChars="200"/>
    </w:pPr>
    <w:rPr>
      <w:rFonts w:ascii="Calibri"/>
      <w:sz w:val="24"/>
      <w:szCs w:val="22"/>
    </w:rPr>
  </w:style>
  <w:style w:type="paragraph" w:styleId="12">
    <w:name w:val="Body Text Indent"/>
    <w:basedOn w:val="1"/>
    <w:next w:val="8"/>
    <w:qFormat/>
    <w:uiPriority w:val="99"/>
    <w:pPr>
      <w:ind w:firstLine="645"/>
    </w:pPr>
    <w:rPr>
      <w:rFonts w:ascii="宋体"/>
      <w:sz w:val="32"/>
      <w:szCs w:val="20"/>
    </w:rPr>
  </w:style>
  <w:style w:type="paragraph" w:styleId="13">
    <w:name w:val="Plain Text"/>
    <w:basedOn w:val="1"/>
    <w:link w:val="32"/>
    <w:unhideWhenUsed/>
    <w:qFormat/>
    <w:uiPriority w:val="99"/>
    <w:pPr>
      <w:widowControl/>
    </w:pPr>
    <w:rPr>
      <w:rFonts w:ascii="宋体" w:hAnsi="宋体" w:eastAsia="宋体" w:cs="Times New Roman"/>
      <w:kern w:val="0"/>
      <w:szCs w:val="21"/>
    </w:rPr>
  </w:style>
  <w:style w:type="paragraph" w:styleId="14">
    <w:name w:val="Date"/>
    <w:basedOn w:val="1"/>
    <w:next w:val="1"/>
    <w:link w:val="30"/>
    <w:semiHidden/>
    <w:unhideWhenUsed/>
    <w:qFormat/>
    <w:uiPriority w:val="99"/>
    <w:pPr>
      <w:ind w:left="100" w:leftChars="2500"/>
    </w:pPr>
  </w:style>
  <w:style w:type="paragraph" w:styleId="15">
    <w:name w:val="Balloon Text"/>
    <w:basedOn w:val="1"/>
    <w:link w:val="31"/>
    <w:semiHidden/>
    <w:unhideWhenUsed/>
    <w:qFormat/>
    <w:uiPriority w:val="99"/>
    <w:rPr>
      <w:sz w:val="18"/>
      <w:szCs w:val="18"/>
    </w:rPr>
  </w:style>
  <w:style w:type="paragraph" w:styleId="16">
    <w:name w:val="footer"/>
    <w:basedOn w:val="1"/>
    <w:link w:val="28"/>
    <w:unhideWhenUsed/>
    <w:qFormat/>
    <w:uiPriority w:val="99"/>
    <w:pPr>
      <w:tabs>
        <w:tab w:val="center" w:pos="4153"/>
        <w:tab w:val="right" w:pos="8306"/>
      </w:tabs>
      <w:snapToGrid w:val="0"/>
      <w:jc w:val="left"/>
    </w:pPr>
    <w:rPr>
      <w:sz w:val="18"/>
      <w:szCs w:val="18"/>
    </w:rPr>
  </w:style>
  <w:style w:type="paragraph" w:styleId="17">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Subtitle"/>
    <w:basedOn w:val="1"/>
    <w:next w:val="1"/>
    <w:qFormat/>
    <w:uiPriority w:val="11"/>
    <w:pPr>
      <w:spacing w:before="60" w:after="60" w:line="360" w:lineRule="auto"/>
      <w:jc w:val="left"/>
      <w:outlineLvl w:val="1"/>
    </w:pPr>
    <w:rPr>
      <w:rFonts w:ascii="Calibri Light" w:hAnsi="Calibri Light" w:cs="Times New Roman"/>
      <w:b/>
      <w:bCs/>
      <w:kern w:val="28"/>
      <w:sz w:val="28"/>
      <w:szCs w:val="32"/>
    </w:rPr>
  </w:style>
  <w:style w:type="paragraph" w:styleId="19">
    <w:name w:val="Normal (Web)"/>
    <w:basedOn w:val="1"/>
    <w:qFormat/>
    <w:uiPriority w:val="99"/>
    <w:pPr>
      <w:widowControl/>
      <w:spacing w:before="100" w:beforeAutospacing="1" w:after="100" w:afterAutospacing="1"/>
      <w:jc w:val="left"/>
    </w:pPr>
    <w:rPr>
      <w:rFonts w:ascii="宋体"/>
      <w:kern w:val="0"/>
      <w:szCs w:val="24"/>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Hyperlink"/>
    <w:basedOn w:val="22"/>
    <w:unhideWhenUsed/>
    <w:qFormat/>
    <w:uiPriority w:val="99"/>
    <w:rPr>
      <w:color w:val="0000FF" w:themeColor="hyperlink"/>
      <w:u w:val="single"/>
      <w14:textFill>
        <w14:solidFill>
          <w14:schemeClr w14:val="hlink"/>
        </w14:solidFill>
      </w14:textFill>
    </w:rPr>
  </w:style>
  <w:style w:type="character" w:styleId="24">
    <w:name w:val="annotation reference"/>
    <w:qFormat/>
    <w:uiPriority w:val="99"/>
    <w:rPr>
      <w:rFonts w:cs="Times New Roman"/>
      <w:sz w:val="21"/>
      <w:szCs w:val="21"/>
    </w:rPr>
  </w:style>
  <w:style w:type="paragraph" w:customStyle="1" w:styleId="25">
    <w:name w:val="No Spacing_5b4ffbee-0cfe-4b89-bb79-b81f4a6849b6"/>
    <w:basedOn w:val="1"/>
    <w:qFormat/>
    <w:uiPriority w:val="1"/>
    <w:pPr>
      <w:spacing w:line="400" w:lineRule="exact"/>
    </w:pPr>
    <w:rPr>
      <w:rFonts w:eastAsia="宋体"/>
      <w:sz w:val="24"/>
    </w:rPr>
  </w:style>
  <w:style w:type="paragraph" w:customStyle="1" w:styleId="26">
    <w:name w:val="无间隔1"/>
    <w:basedOn w:val="1"/>
    <w:qFormat/>
    <w:uiPriority w:val="1"/>
    <w:rPr>
      <w:rFonts w:eastAsia="宋体"/>
    </w:rPr>
  </w:style>
  <w:style w:type="character" w:customStyle="1" w:styleId="27">
    <w:name w:val="页眉 Char"/>
    <w:basedOn w:val="22"/>
    <w:link w:val="17"/>
    <w:qFormat/>
    <w:uiPriority w:val="99"/>
    <w:rPr>
      <w:sz w:val="18"/>
      <w:szCs w:val="18"/>
    </w:rPr>
  </w:style>
  <w:style w:type="character" w:customStyle="1" w:styleId="28">
    <w:name w:val="页脚 Char"/>
    <w:basedOn w:val="22"/>
    <w:link w:val="16"/>
    <w:qFormat/>
    <w:uiPriority w:val="99"/>
    <w:rPr>
      <w:sz w:val="18"/>
      <w:szCs w:val="18"/>
    </w:rPr>
  </w:style>
  <w:style w:type="paragraph" w:styleId="29">
    <w:name w:val="List Paragraph"/>
    <w:basedOn w:val="1"/>
    <w:qFormat/>
    <w:uiPriority w:val="34"/>
    <w:pPr>
      <w:ind w:firstLine="420" w:firstLineChars="200"/>
    </w:pPr>
  </w:style>
  <w:style w:type="character" w:customStyle="1" w:styleId="30">
    <w:name w:val="日期 Char"/>
    <w:basedOn w:val="22"/>
    <w:link w:val="14"/>
    <w:semiHidden/>
    <w:qFormat/>
    <w:uiPriority w:val="99"/>
  </w:style>
  <w:style w:type="character" w:customStyle="1" w:styleId="31">
    <w:name w:val="批注框文本 Char"/>
    <w:basedOn w:val="22"/>
    <w:link w:val="15"/>
    <w:semiHidden/>
    <w:qFormat/>
    <w:uiPriority w:val="99"/>
    <w:rPr>
      <w:rFonts w:asciiTheme="minorHAnsi" w:hAnsiTheme="minorHAnsi" w:eastAsiaTheme="minorEastAsia" w:cstheme="minorBidi"/>
      <w:kern w:val="2"/>
      <w:sz w:val="18"/>
      <w:szCs w:val="18"/>
    </w:rPr>
  </w:style>
  <w:style w:type="character" w:customStyle="1" w:styleId="32">
    <w:name w:val="纯文本 Char"/>
    <w:basedOn w:val="22"/>
    <w:link w:val="13"/>
    <w:qFormat/>
    <w:uiPriority w:val="99"/>
    <w:rPr>
      <w:rFonts w:ascii="宋体" w:hAnsi="宋体"/>
      <w:sz w:val="21"/>
      <w:szCs w:val="21"/>
    </w:rPr>
  </w:style>
  <w:style w:type="paragraph" w:customStyle="1" w:styleId="33">
    <w:name w:val="p0"/>
    <w:basedOn w:val="1"/>
    <w:qFormat/>
    <w:uiPriority w:val="99"/>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2919</Words>
  <Characters>16639</Characters>
  <Lines>138</Lines>
  <Paragraphs>39</Paragraphs>
  <TotalTime>8</TotalTime>
  <ScaleCrop>false</ScaleCrop>
  <LinksUpToDate>false</LinksUpToDate>
  <CharactersWithSpaces>19519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2023-12-12T02:40:00Z</dcterms:created>
  <dc:creator>岳鹏</dc:creator>
  <cp:lastModifiedBy>ff</cp:lastModifiedBy>
  <cp:lastPrinted>2023-11-15T00:39:00Z</cp:lastPrinted>
  <dcterms:modified xsi:type="dcterms:W3CDTF">2023-12-14T02:40:38Z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468AEFD3D94D47DAB66C87A2D0B484A8_13</vt:lpwstr>
  </property>
</Properties>
</file>