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tabs>
          <w:tab w:val="left" w:pos="1675"/>
          <w:tab w:val="center" w:pos="4215"/>
        </w:tabs>
        <w:kinsoku/>
        <w:wordWrap w:val="0"/>
        <w:overflowPunct/>
        <w:topLinePunct w:val="0"/>
        <w:bidi w:val="0"/>
        <w:spacing w:before="0" w:after="0" w:line="360" w:lineRule="auto"/>
        <w:ind w:left="0" w:firstLine="0" w:firstLineChars="0"/>
        <w:jc w:val="center"/>
        <w:textAlignment w:val="auto"/>
        <w:rPr>
          <w:rFonts w:hint="eastAsia" w:ascii="宋体" w:hAnsi="宋体" w:eastAsia="宋体" w:cs="宋体"/>
          <w:kern w:val="28"/>
          <w:sz w:val="32"/>
          <w:szCs w:val="32"/>
          <w:lang w:eastAsia="zh-CN"/>
        </w:rPr>
      </w:pPr>
      <w:r>
        <w:rPr>
          <w:rFonts w:hint="default" w:ascii="宋体" w:hAnsi="宋体" w:eastAsia="宋体" w:cs="宋体"/>
          <w:kern w:val="28"/>
          <w:sz w:val="32"/>
          <w:szCs w:val="32"/>
        </w:rPr>
        <w:t>浩德伊河湾项目懿景分销合作合同</w:t>
      </w:r>
      <w:r>
        <w:rPr>
          <w:rFonts w:hint="eastAsia" w:ascii="宋体" w:hAnsi="宋体" w:eastAsia="宋体" w:cs="宋体"/>
          <w:kern w:val="28"/>
          <w:sz w:val="32"/>
          <w:szCs w:val="32"/>
          <w:lang w:val="en-US" w:eastAsia="zh-CN"/>
        </w:rPr>
        <w:t>12月</w:t>
      </w:r>
      <w:r>
        <w:rPr>
          <w:rFonts w:hint="eastAsia" w:ascii="宋体" w:hAnsi="宋体" w:eastAsia="宋体" w:cs="宋体"/>
          <w:kern w:val="28"/>
          <w:sz w:val="32"/>
          <w:szCs w:val="32"/>
          <w:lang w:eastAsia="zh-CN"/>
        </w:rPr>
        <w:t>补充协议</w:t>
      </w:r>
    </w:p>
    <w:p>
      <w:pPr>
        <w:rPr>
          <w:rFonts w:hint="eastAsia"/>
          <w:lang w:eastAsia="zh-CN"/>
        </w:rPr>
      </w:pPr>
    </w:p>
    <w:p>
      <w:pPr>
        <w:pageBreakBefore w:val="0"/>
        <w:kinsoku/>
        <w:overflowPunct/>
        <w:topLinePunct w:val="0"/>
        <w:bidi w:val="0"/>
        <w:snapToGrid w:val="0"/>
        <w:spacing w:line="360" w:lineRule="auto"/>
        <w:ind w:left="0" w:firstLine="0" w:firstLineChars="0"/>
        <w:jc w:val="left"/>
        <w:textAlignment w:val="auto"/>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p>
    <w:p>
      <w:pPr>
        <w:pageBreakBefore w:val="0"/>
        <w:kinsoku/>
        <w:overflowPunct/>
        <w:topLinePunct w:val="0"/>
        <w:bidi w:val="0"/>
        <w:snapToGrid w:val="0"/>
        <w:spacing w:line="360" w:lineRule="auto"/>
        <w:ind w:left="0" w:firstLine="0" w:firstLineChars="0"/>
        <w:jc w:val="left"/>
        <w:textAlignment w:val="auto"/>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cs="微软雅黑"/>
          <w:sz w:val="24"/>
          <w:szCs w:val="24"/>
          <w:u w:val="single"/>
        </w:rPr>
        <w:t>洛阳懿景房地产营销策划有限公司</w:t>
      </w:r>
    </w:p>
    <w:p>
      <w:pPr>
        <w:widowControl/>
        <w:numPr>
          <w:ilvl w:val="-1"/>
          <w:numId w:val="0"/>
        </w:num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rPr>
        <w:t>3年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日签署了合同编号为</w:t>
      </w:r>
      <w:r>
        <w:rPr>
          <w:rFonts w:hint="eastAsia" w:ascii="宋体" w:hAnsi="宋体" w:eastAsia="宋体" w:cs="宋体"/>
          <w:sz w:val="28"/>
          <w:szCs w:val="28"/>
          <w:lang w:val="en-US" w:eastAsia="zh-CN"/>
        </w:rPr>
        <w:t>YHW</w:t>
      </w:r>
      <w:r>
        <w:rPr>
          <w:rFonts w:hint="eastAsia" w:ascii="宋体" w:hAnsi="宋体" w:cs="宋体"/>
          <w:sz w:val="28"/>
          <w:szCs w:val="28"/>
        </w:rPr>
        <w:t>-YX-2023-</w:t>
      </w:r>
      <w:r>
        <w:rPr>
          <w:rFonts w:hint="eastAsia" w:ascii="宋体" w:hAnsi="宋体" w:cs="宋体"/>
          <w:sz w:val="28"/>
          <w:szCs w:val="28"/>
          <w:highlight w:val="none"/>
          <w:lang w:val="en-US" w:eastAsia="zh-CN"/>
        </w:rPr>
        <w:t>044</w:t>
      </w:r>
      <w:r>
        <w:rPr>
          <w:rFonts w:hint="eastAsia" w:ascii="宋体" w:hAnsi="宋体" w:eastAsia="宋体" w:cs="宋体"/>
          <w:sz w:val="24"/>
          <w:szCs w:val="24"/>
          <w:highlight w:val="none"/>
        </w:rPr>
        <w:t>《</w:t>
      </w:r>
      <w:r>
        <w:rPr>
          <w:rFonts w:hint="default" w:ascii="宋体" w:hAnsi="宋体" w:eastAsia="宋体" w:cs="宋体"/>
          <w:b/>
          <w:bCs/>
          <w:sz w:val="24"/>
          <w:szCs w:val="24"/>
        </w:rPr>
        <w:t>浩德伊河湾项目懿景分销合作合同</w:t>
      </w:r>
      <w:r>
        <w:rPr>
          <w:rFonts w:hint="eastAsia" w:ascii="宋体" w:hAnsi="宋体" w:eastAsia="宋体" w:cs="宋体"/>
          <w:sz w:val="24"/>
          <w:szCs w:val="24"/>
        </w:rPr>
        <w:t>》（以下简称“原合同”），原合同约定甲方委托乙方为甲方开发的伊河湾项目提供居间代理服务。现甲乙双方协商一致，就原合同中</w:t>
      </w:r>
      <w:r>
        <w:rPr>
          <w:rFonts w:hint="eastAsia" w:ascii="宋体" w:hAnsi="宋体" w:eastAsia="宋体" w:cs="宋体"/>
          <w:sz w:val="24"/>
          <w:szCs w:val="24"/>
          <w:lang w:val="en-US" w:eastAsia="zh-CN"/>
        </w:rPr>
        <w:t>推介流</w:t>
      </w:r>
      <w:bookmarkStart w:id="0" w:name="_GoBack"/>
      <w:bookmarkEnd w:id="0"/>
      <w:r>
        <w:rPr>
          <w:rFonts w:hint="eastAsia" w:ascii="宋体" w:hAnsi="宋体" w:eastAsia="宋体" w:cs="宋体"/>
          <w:sz w:val="24"/>
          <w:szCs w:val="24"/>
          <w:lang w:val="en-US" w:eastAsia="zh-CN"/>
        </w:rPr>
        <w:t>程和</w:t>
      </w:r>
      <w:r>
        <w:rPr>
          <w:rFonts w:hint="eastAsia" w:ascii="宋体" w:hAnsi="宋体" w:eastAsia="宋体" w:cs="宋体"/>
          <w:sz w:val="24"/>
          <w:szCs w:val="24"/>
        </w:rPr>
        <w:t>2023年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15</w:t>
      </w:r>
      <w:r>
        <w:rPr>
          <w:rFonts w:hint="eastAsia" w:ascii="宋体" w:hAnsi="宋体" w:eastAsia="宋体" w:cs="宋体"/>
          <w:sz w:val="24"/>
          <w:szCs w:val="24"/>
        </w:rPr>
        <w:t>日至1</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31</w:t>
      </w:r>
      <w:r>
        <w:rPr>
          <w:rFonts w:hint="eastAsia" w:ascii="宋体" w:hAnsi="宋体" w:eastAsia="宋体" w:cs="宋体"/>
          <w:sz w:val="24"/>
          <w:szCs w:val="24"/>
        </w:rPr>
        <w:t>日期间</w:t>
      </w:r>
      <w:r>
        <w:rPr>
          <w:rFonts w:hint="eastAsia" w:ascii="宋体" w:hAnsi="宋体" w:eastAsia="宋体" w:cs="宋体"/>
          <w:sz w:val="24"/>
          <w:szCs w:val="24"/>
          <w:lang w:val="en-US" w:eastAsia="zh-CN"/>
        </w:rPr>
        <w:t>的</w:t>
      </w:r>
      <w:r>
        <w:rPr>
          <w:rFonts w:hint="eastAsia" w:ascii="宋体" w:hAnsi="宋体" w:eastAsia="宋体" w:cs="宋体"/>
          <w:sz w:val="24"/>
          <w:szCs w:val="24"/>
        </w:rPr>
        <w:t>佣金费率条款作出如下补充，并承诺共同遵守执行：</w:t>
      </w:r>
    </w:p>
    <w:p>
      <w:pPr>
        <w:widowControl/>
        <w:numPr>
          <w:ilvl w:val="255"/>
          <w:numId w:val="0"/>
        </w:numPr>
        <w:spacing w:line="360" w:lineRule="auto"/>
        <w:ind w:firstLine="420" w:firstLineChars="175"/>
        <w:jc w:val="left"/>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原合同第四条 推介流程及佣金方案做出如下变更：</w:t>
      </w:r>
    </w:p>
    <w:p>
      <w:pPr>
        <w:widowControl/>
        <w:numPr>
          <w:ilvl w:val="255"/>
          <w:numId w:val="0"/>
        </w:numPr>
        <w:spacing w:line="360" w:lineRule="auto"/>
        <w:ind w:firstLine="420" w:firstLineChars="175"/>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报备：</w:t>
      </w:r>
      <w:r>
        <w:rPr>
          <w:rFonts w:hint="eastAsia" w:ascii="宋体" w:hAnsi="宋体" w:eastAsia="宋体" w:cs="宋体"/>
          <w:sz w:val="24"/>
          <w:szCs w:val="24"/>
        </w:rPr>
        <w:t>乙方通过浩客通将客户信息报备，报备时间应提前 30 分钟报备，否则视为无效带看客户，关联至明源系统由置业顾问跟踪记录。</w:t>
      </w:r>
    </w:p>
    <w:p>
      <w:pPr>
        <w:widowControl/>
        <w:numPr>
          <w:ilvl w:val="255"/>
          <w:numId w:val="0"/>
        </w:numPr>
        <w:spacing w:line="360" w:lineRule="auto"/>
        <w:ind w:firstLine="420" w:firstLineChars="175"/>
        <w:jc w:val="left"/>
        <w:rPr>
          <w:rFonts w:hint="eastAsia" w:ascii="宋体" w:hAnsi="宋体" w:cs="微软雅黑"/>
          <w:kern w:val="28"/>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甲方对接人应当在乙方报备后 30 分钟内将客户是否有效结果反馈给乙方，</w:t>
      </w:r>
      <w:r>
        <w:rPr>
          <w:rFonts w:hint="eastAsia" w:ascii="宋体" w:hAnsi="宋体" w:eastAsia="宋体" w:cs="宋体"/>
          <w:sz w:val="24"/>
          <w:szCs w:val="24"/>
          <w:lang w:val="en-US" w:eastAsia="zh-CN"/>
        </w:rPr>
        <w:t>客户报备有效并到访的</w:t>
      </w:r>
      <w:r>
        <w:rPr>
          <w:rFonts w:hint="eastAsia" w:ascii="宋体" w:hAnsi="宋体" w:cs="微软雅黑"/>
          <w:kern w:val="28"/>
          <w:sz w:val="24"/>
          <w:szCs w:val="24"/>
        </w:rPr>
        <w:t>，按照到访之日起享有</w:t>
      </w:r>
      <w:r>
        <w:rPr>
          <w:rFonts w:hint="eastAsia" w:ascii="宋体" w:hAnsi="宋体" w:cs="微软雅黑"/>
          <w:kern w:val="28"/>
          <w:sz w:val="24"/>
          <w:szCs w:val="24"/>
          <w:lang w:val="en-US" w:eastAsia="zh-CN"/>
        </w:rPr>
        <w:t>15</w:t>
      </w:r>
      <w:r>
        <w:rPr>
          <w:rFonts w:hint="eastAsia" w:ascii="宋体" w:hAnsi="宋体" w:cs="微软雅黑"/>
          <w:kern w:val="28"/>
          <w:sz w:val="24"/>
          <w:szCs w:val="24"/>
        </w:rPr>
        <w:t>天保护期。</w:t>
      </w:r>
      <w:r>
        <w:rPr>
          <w:rFonts w:hint="eastAsia" w:ascii="宋体" w:hAnsi="宋体" w:cs="微软雅黑"/>
          <w:kern w:val="28"/>
          <w:sz w:val="24"/>
          <w:szCs w:val="24"/>
          <w:lang w:val="en-US" w:eastAsia="zh-CN"/>
        </w:rPr>
        <w:t>报备后未到访的</w:t>
      </w:r>
      <w:r>
        <w:rPr>
          <w:rFonts w:hint="eastAsia" w:ascii="宋体" w:hAnsi="宋体" w:cs="微软雅黑"/>
          <w:kern w:val="28"/>
          <w:sz w:val="24"/>
          <w:szCs w:val="24"/>
        </w:rPr>
        <w:t>，所有渠道可追踪直接约访，最终以带访为准，自带访之日起重新计算保护期15日。</w:t>
      </w:r>
    </w:p>
    <w:p>
      <w:pPr>
        <w:widowControl/>
        <w:numPr>
          <w:ilvl w:val="255"/>
          <w:numId w:val="0"/>
        </w:numPr>
        <w:spacing w:line="360" w:lineRule="auto"/>
        <w:ind w:firstLine="420" w:firstLineChars="175"/>
        <w:jc w:val="left"/>
        <w:rPr>
          <w:rFonts w:hint="eastAsia" w:ascii="宋体" w:hAnsi="宋体" w:eastAsia="宋体" w:cs="宋体"/>
          <w:sz w:val="24"/>
          <w:szCs w:val="24"/>
        </w:rPr>
      </w:pPr>
      <w:r>
        <w:rPr>
          <w:rFonts w:hint="eastAsia" w:ascii="宋体" w:hAnsi="宋体" w:eastAsia="宋体" w:cs="宋体"/>
          <w:sz w:val="24"/>
          <w:szCs w:val="24"/>
        </w:rPr>
        <w:t>甲方客户（包含但不限于自然到访、老带新、全民经纪人、甲方自渠等）的到访保护期自最后一次到访当日起 15 日，凡过该保护期的客户，</w:t>
      </w:r>
      <w:r>
        <w:rPr>
          <w:rFonts w:hint="eastAsia" w:ascii="宋体" w:hAnsi="宋体" w:cs="微软雅黑"/>
          <w:kern w:val="28"/>
          <w:sz w:val="24"/>
          <w:szCs w:val="24"/>
        </w:rPr>
        <w:t>所有渠道可追踪直接约访，最终以带访为准，自带访之日起重新计算保护期15日</w:t>
      </w:r>
      <w:r>
        <w:rPr>
          <w:rFonts w:hint="eastAsia" w:ascii="宋体" w:hAnsi="宋体" w:eastAsia="宋体" w:cs="宋体"/>
          <w:sz w:val="24"/>
          <w:szCs w:val="24"/>
        </w:rPr>
        <w:t>。甲方登记的其他渠道推介的客户自最后一次到访当日起 15 日，凡过该保护期的客户，乙方可</w:t>
      </w:r>
      <w:r>
        <w:rPr>
          <w:rFonts w:hint="eastAsia" w:ascii="宋体" w:hAnsi="宋体" w:eastAsia="宋体" w:cs="宋体"/>
          <w:sz w:val="24"/>
          <w:szCs w:val="24"/>
          <w:lang w:val="en-US" w:eastAsia="zh-CN"/>
        </w:rPr>
        <w:t>直接</w:t>
      </w:r>
      <w:r>
        <w:rPr>
          <w:rFonts w:hint="eastAsia" w:ascii="宋体" w:hAnsi="宋体" w:eastAsia="宋体" w:cs="宋体"/>
          <w:sz w:val="24"/>
          <w:szCs w:val="24"/>
        </w:rPr>
        <w:t>带访。客户来访15天保护期内再次到访的，保护期自复访之日起顺延 15 天。</w:t>
      </w:r>
    </w:p>
    <w:p>
      <w:pPr>
        <w:widowControl/>
        <w:numPr>
          <w:ilvl w:val="255"/>
          <w:numId w:val="0"/>
        </w:numPr>
        <w:spacing w:line="360" w:lineRule="auto"/>
        <w:ind w:firstLine="420" w:firstLineChars="175"/>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如后期发生撞客行为，以客户到访时间先后为准判定客户归属</w:t>
      </w:r>
      <w:r>
        <w:rPr>
          <w:rFonts w:hint="eastAsia" w:ascii="宋体" w:hAnsi="宋体" w:eastAsia="宋体" w:cs="宋体"/>
          <w:sz w:val="24"/>
          <w:szCs w:val="24"/>
          <w:lang w:eastAsia="zh-CN"/>
        </w:rPr>
        <w:t>，</w:t>
      </w:r>
      <w:r>
        <w:rPr>
          <w:rFonts w:hint="eastAsia" w:ascii="宋体" w:hAnsi="宋体" w:cs="微软雅黑"/>
          <w:kern w:val="28"/>
          <w:sz w:val="24"/>
          <w:szCs w:val="24"/>
        </w:rPr>
        <w:t>所有过有效保护期的客户均以带访为准，自带访之日起享有15日的保护期</w:t>
      </w:r>
      <w:r>
        <w:rPr>
          <w:rFonts w:hint="eastAsia" w:ascii="宋体" w:hAnsi="宋体" w:eastAsia="宋体" w:cs="宋体"/>
          <w:sz w:val="24"/>
          <w:szCs w:val="24"/>
        </w:rPr>
        <w:t>；若同天到访，则以经纪人带访时间先后为准。</w:t>
      </w:r>
    </w:p>
    <w:p>
      <w:pPr>
        <w:keepNext w:val="0"/>
        <w:keepLines w:val="0"/>
        <w:pageBreakBefore w:val="0"/>
        <w:widowControl/>
        <w:numPr>
          <w:ilvl w:val="255"/>
          <w:numId w:val="0"/>
        </w:numPr>
        <w:kinsoku/>
        <w:wordWrap/>
        <w:overflowPunct/>
        <w:topLinePunct w:val="0"/>
        <w:autoSpaceDE/>
        <w:autoSpaceDN/>
        <w:bidi w:val="0"/>
        <w:adjustRightInd/>
        <w:snapToGrid/>
        <w:spacing w:line="360" w:lineRule="auto"/>
        <w:ind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原合同第四条第 7 小条佣金方案做出如下变更：佣金</w:t>
      </w:r>
      <w:r>
        <w:rPr>
          <w:rFonts w:hint="eastAsia" w:ascii="宋体" w:hAnsi="宋体" w:eastAsia="宋体" w:cs="宋体"/>
          <w:sz w:val="24"/>
          <w:szCs w:val="24"/>
          <w:lang w:val="en-US" w:eastAsia="zh-CN"/>
        </w:rPr>
        <w:t>费率</w:t>
      </w:r>
      <w:r>
        <w:rPr>
          <w:rFonts w:hint="eastAsia" w:ascii="宋体" w:hAnsi="宋体" w:eastAsia="宋体" w:cs="宋体"/>
          <w:sz w:val="24"/>
          <w:szCs w:val="24"/>
        </w:rPr>
        <w:t>为</w:t>
      </w:r>
      <w:r>
        <w:rPr>
          <w:rFonts w:hint="eastAsia" w:ascii="宋体" w:hAnsi="宋体" w:eastAsia="宋体" w:cs="宋体"/>
          <w:sz w:val="24"/>
          <w:szCs w:val="24"/>
          <w:lang w:val="en-US" w:eastAsia="zh-CN"/>
        </w:rPr>
        <w:t>住宅</w:t>
      </w:r>
      <w:r>
        <w:rPr>
          <w:rFonts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加每套1万元</w:t>
      </w:r>
      <w:r>
        <w:rPr>
          <w:rFonts w:hint="eastAsia" w:ascii="宋体" w:hAnsi="宋体" w:eastAsia="宋体" w:cs="宋体"/>
          <w:sz w:val="24"/>
          <w:szCs w:val="24"/>
        </w:rPr>
        <w:t>。</w:t>
      </w:r>
    </w:p>
    <w:p>
      <w:pPr>
        <w:pStyle w:val="10"/>
        <w:pageBreakBefore w:val="0"/>
        <w:numPr>
          <w:ilvl w:val="255"/>
          <w:numId w:val="0"/>
        </w:numPr>
        <w:tabs>
          <w:tab w:val="left" w:pos="420"/>
        </w:tabs>
        <w:kinsoku/>
        <w:wordWrap w:val="0"/>
        <w:overflowPunct/>
        <w:topLinePunct w:val="0"/>
        <w:bidi w:val="0"/>
        <w:snapToGrid w:val="0"/>
        <w:spacing w:line="360" w:lineRule="auto"/>
        <w:ind w:left="0" w:firstLine="420" w:firstLineChars="200"/>
        <w:jc w:val="left"/>
        <w:textAlignment w:val="auto"/>
        <w:rPr>
          <w:rFonts w:cs="宋体" w:asciiTheme="minorEastAsia" w:hAnsiTheme="minorEastAsia"/>
          <w:sz w:val="24"/>
          <w:szCs w:val="24"/>
        </w:rPr>
      </w:pPr>
      <w:r>
        <w:rPr>
          <w:rFonts w:hint="eastAsia"/>
          <w:lang w:val="en-US" w:eastAsia="zh-CN"/>
        </w:rPr>
        <w:t>三</w:t>
      </w:r>
      <w:r>
        <w:rPr>
          <w:rFonts w:hint="eastAsia"/>
        </w:rPr>
        <w:t>、</w:t>
      </w:r>
      <w:r>
        <w:rPr>
          <w:rFonts w:hint="eastAsia" w:cs="宋体" w:asciiTheme="minorEastAsia" w:hAnsiTheme="minorEastAsia"/>
          <w:sz w:val="24"/>
          <w:szCs w:val="24"/>
        </w:rPr>
        <w:t xml:space="preserve">其他约定   </w:t>
      </w:r>
    </w:p>
    <w:p>
      <w:pPr>
        <w:pageBreakBefore w:val="0"/>
        <w:kinsoku/>
        <w:overflowPunct/>
        <w:topLinePunct w:val="0"/>
        <w:bidi w:val="0"/>
        <w:spacing w:line="360" w:lineRule="auto"/>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w:t>
      </w:r>
      <w:r>
        <w:rPr>
          <w:rFonts w:hint="eastAsia" w:ascii="宋体" w:hAnsi="宋体" w:eastAsia="宋体" w:cs="宋体"/>
          <w:sz w:val="24"/>
          <w:szCs w:val="24"/>
          <w:lang w:eastAsia="zh-CN"/>
        </w:rPr>
        <w:t>或其它补充协议</w:t>
      </w:r>
      <w:r>
        <w:rPr>
          <w:rFonts w:hint="eastAsia" w:ascii="宋体" w:hAnsi="宋体" w:eastAsia="宋体" w:cs="宋体"/>
          <w:sz w:val="24"/>
          <w:szCs w:val="24"/>
        </w:rPr>
        <w:t>不一致的，以本补充协议为准。</w:t>
      </w:r>
    </w:p>
    <w:p>
      <w:pPr>
        <w:pageBreakBefore w:val="0"/>
        <w:widowControl/>
        <w:kinsoku/>
        <w:wordWrap w:val="0"/>
        <w:overflowPunct/>
        <w:topLinePunct w:val="0"/>
        <w:bidi w:val="0"/>
        <w:spacing w:line="360" w:lineRule="auto"/>
        <w:ind w:left="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 本补充协议经双方盖章后生效，本补充协议一式</w:t>
      </w:r>
      <w:r>
        <w:rPr>
          <w:rFonts w:hint="eastAsia" w:ascii="宋体" w:hAnsi="宋体" w:eastAsia="宋体" w:cs="宋体"/>
          <w:sz w:val="24"/>
          <w:szCs w:val="24"/>
          <w:lang w:val="en-US" w:eastAsia="zh-CN"/>
        </w:rPr>
        <w:t>伍</w:t>
      </w:r>
      <w:r>
        <w:rPr>
          <w:rFonts w:hint="eastAsia" w:ascii="宋体" w:hAnsi="宋体" w:eastAsia="宋体" w:cs="宋体"/>
          <w:sz w:val="24"/>
          <w:szCs w:val="24"/>
        </w:rPr>
        <w:t>份，甲</w:t>
      </w:r>
      <w:r>
        <w:rPr>
          <w:rFonts w:hint="eastAsia" w:ascii="宋体" w:hAnsi="宋体" w:eastAsia="宋体" w:cs="宋体"/>
          <w:sz w:val="24"/>
          <w:szCs w:val="24"/>
          <w:lang w:val="en-US" w:eastAsia="zh-CN"/>
        </w:rPr>
        <w:t>方持叁份，</w:t>
      </w:r>
      <w:r>
        <w:rPr>
          <w:rFonts w:hint="eastAsia" w:ascii="宋体" w:hAnsi="宋体" w:eastAsia="宋体" w:cs="宋体"/>
          <w:sz w:val="24"/>
          <w:szCs w:val="24"/>
        </w:rPr>
        <w:t>乙方持贰份，每份具有同等法律效力。</w:t>
      </w:r>
    </w:p>
    <w:p>
      <w:pPr>
        <w:pStyle w:val="5"/>
        <w:pageBreakBefore w:val="0"/>
        <w:tabs>
          <w:tab w:val="left" w:pos="1206"/>
        </w:tabs>
        <w:kinsoku/>
        <w:overflowPunct/>
        <w:topLinePunct w:val="0"/>
        <w:bidi w:val="0"/>
        <w:spacing w:after="0" w:line="360" w:lineRule="auto"/>
        <w:ind w:left="0" w:leftChars="0"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（以下无正文）</w:t>
      </w:r>
    </w:p>
    <w:p>
      <w:pPr>
        <w:pageBreakBefore w:val="0"/>
        <w:kinsoku/>
        <w:overflowPunct/>
        <w:topLinePunct w:val="0"/>
        <w:bidi w:val="0"/>
        <w:snapToGrid w:val="0"/>
        <w:spacing w:line="360" w:lineRule="auto"/>
        <w:ind w:left="0" w:firstLine="0" w:firstLineChars="0"/>
        <w:jc w:val="left"/>
        <w:textAlignment w:val="auto"/>
        <w:rPr>
          <w:rFonts w:hint="eastAsia" w:ascii="宋体" w:hAnsi="宋体" w:eastAsia="宋体" w:cs="宋体"/>
          <w:sz w:val="24"/>
          <w:szCs w:val="24"/>
        </w:rPr>
      </w:pPr>
    </w:p>
    <w:p>
      <w:pPr>
        <w:pageBreakBefore w:val="0"/>
        <w:kinsoku/>
        <w:overflowPunct/>
        <w:topLinePunct w:val="0"/>
        <w:bidi w:val="0"/>
        <w:snapToGrid w:val="0"/>
        <w:spacing w:line="360" w:lineRule="auto"/>
        <w:ind w:left="0" w:firstLine="0" w:firstLineChars="0"/>
        <w:jc w:val="left"/>
        <w:textAlignment w:val="auto"/>
        <w:rPr>
          <w:rFonts w:hint="default" w:cs="微软雅黑" w:asciiTheme="minorEastAsia" w:hAnsiTheme="minorEastAsia"/>
          <w:sz w:val="24"/>
          <w:szCs w:val="24"/>
        </w:rPr>
      </w:pPr>
      <w:r>
        <w:rPr>
          <w:rFonts w:hint="eastAsia" w:ascii="宋体" w:hAnsi="宋体" w:eastAsia="宋体" w:cs="宋体"/>
          <w:sz w:val="24"/>
          <w:szCs w:val="24"/>
        </w:rPr>
        <w:t>甲 方：河南浩德新澜置业限公司          乙 方：</w:t>
      </w:r>
      <w:r>
        <w:rPr>
          <w:rFonts w:hint="eastAsia" w:ascii="宋体" w:hAnsi="宋体" w:cs="微软雅黑"/>
          <w:sz w:val="24"/>
          <w:szCs w:val="24"/>
          <w:u w:val="none"/>
        </w:rPr>
        <w:t>洛阳懿景房地产营销策划有限公司</w:t>
      </w:r>
    </w:p>
    <w:p>
      <w:pPr>
        <w:pageBreakBefore w:val="0"/>
        <w:kinsoku/>
        <w:overflowPunct/>
        <w:topLinePunct w:val="0"/>
        <w:bidi w:val="0"/>
        <w:snapToGrid w:val="0"/>
        <w:spacing w:line="360" w:lineRule="auto"/>
        <w:ind w:left="0" w:firstLine="0" w:firstLineChars="0"/>
        <w:jc w:val="left"/>
        <w:textAlignment w:val="auto"/>
        <w:rPr>
          <w:rFonts w:hint="default" w:cs="微软雅黑" w:asciiTheme="minorEastAsia" w:hAnsiTheme="minorEastAsia"/>
          <w:sz w:val="24"/>
          <w:szCs w:val="24"/>
        </w:rPr>
      </w:pPr>
      <w:r>
        <w:rPr>
          <w:rFonts w:hint="default" w:cs="微软雅黑" w:asciiTheme="minorEastAsia" w:hAnsiTheme="minorEastAsia"/>
          <w:sz w:val="24"/>
          <w:szCs w:val="24"/>
        </w:rPr>
        <w:t>授权代表：                             授权代表：</w:t>
      </w:r>
    </w:p>
    <w:p>
      <w:pPr>
        <w:pageBreakBefore w:val="0"/>
        <w:kinsoku/>
        <w:overflowPunct/>
        <w:topLinePunct w:val="0"/>
        <w:bidi w:val="0"/>
        <w:snapToGrid w:val="0"/>
        <w:spacing w:line="360" w:lineRule="auto"/>
        <w:ind w:left="0" w:firstLine="0" w:firstLineChars="0"/>
        <w:jc w:val="left"/>
        <w:textAlignment w:val="auto"/>
        <w:rPr>
          <w:rFonts w:hint="eastAsia" w:cs="微软雅黑" w:asciiTheme="minorEastAsia" w:hAnsiTheme="minorEastAsia"/>
          <w:sz w:val="24"/>
          <w:szCs w:val="24"/>
        </w:rPr>
      </w:pPr>
    </w:p>
    <w:p>
      <w:pPr>
        <w:pageBreakBefore w:val="0"/>
        <w:kinsoku/>
        <w:overflowPunct/>
        <w:topLinePunct w:val="0"/>
        <w:bidi w:val="0"/>
        <w:snapToGrid w:val="0"/>
        <w:spacing w:line="360" w:lineRule="auto"/>
        <w:ind w:left="0" w:firstLine="0" w:firstLineChars="0"/>
        <w:jc w:val="left"/>
        <w:textAlignment w:val="auto"/>
      </w:pP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12</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15</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12</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15</w:t>
      </w:r>
      <w:r>
        <w:rPr>
          <w:rFonts w:hint="eastAsia" w:cs="微软雅黑" w:asciiTheme="minorEastAsia" w:hAnsiTheme="minorEastAsia"/>
          <w:sz w:val="24"/>
          <w:szCs w:val="24"/>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865CC"/>
    <w:rsid w:val="000865CC"/>
    <w:rsid w:val="001B448B"/>
    <w:rsid w:val="00622C54"/>
    <w:rsid w:val="00860D46"/>
    <w:rsid w:val="00A34D09"/>
    <w:rsid w:val="00AE6AEA"/>
    <w:rsid w:val="00AF50EC"/>
    <w:rsid w:val="00C53E05"/>
    <w:rsid w:val="00D353C0"/>
    <w:rsid w:val="00E86D36"/>
    <w:rsid w:val="00F15267"/>
    <w:rsid w:val="00F3624C"/>
    <w:rsid w:val="00F74348"/>
    <w:rsid w:val="0B2527BE"/>
    <w:rsid w:val="0CCE30D1"/>
    <w:rsid w:val="0D3C74CD"/>
    <w:rsid w:val="18AC6CBC"/>
    <w:rsid w:val="226B40A5"/>
    <w:rsid w:val="34BA50DA"/>
    <w:rsid w:val="35E42408"/>
    <w:rsid w:val="36C46BAE"/>
    <w:rsid w:val="36F14B67"/>
    <w:rsid w:val="38CF692D"/>
    <w:rsid w:val="3F613B23"/>
    <w:rsid w:val="484670BE"/>
    <w:rsid w:val="49AF0827"/>
    <w:rsid w:val="4C5777B2"/>
    <w:rsid w:val="4D6F2811"/>
    <w:rsid w:val="53FC1C90"/>
    <w:rsid w:val="5B7A6F8C"/>
    <w:rsid w:val="718D136F"/>
    <w:rsid w:val="7AA77F2A"/>
    <w:rsid w:val="9EBE638D"/>
    <w:rsid w:val="DBED5465"/>
  </w:rsids>
  <m:mathPr>
    <m:mathFont m:val="Cambria Math"/>
    <m:brkBin m:val="before"/>
    <m:brkBinSub m:val="--"/>
    <m:smallFrac m:val="1"/>
    <m:dispDef/>
    <m:lMargin m:val="1440"/>
    <m:rMargin m:val="144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360" w:lineRule="auto"/>
    </w:pPr>
    <w:rPr>
      <w:rFonts w:cs="Times New Roman"/>
      <w:kern w:val="1"/>
      <w:sz w:val="24"/>
      <w:szCs w:val="20"/>
    </w:rPr>
  </w:style>
  <w:style w:type="paragraph" w:styleId="4">
    <w:name w:val="Body Text Indent"/>
    <w:basedOn w:val="1"/>
    <w:unhideWhenUsed/>
    <w:qFormat/>
    <w:uiPriority w:val="99"/>
    <w:pPr>
      <w:spacing w:after="120"/>
      <w:ind w:left="420" w:leftChars="200"/>
    </w:pPr>
  </w:style>
  <w:style w:type="paragraph" w:styleId="5">
    <w:name w:val="Body Text First Indent 2"/>
    <w:basedOn w:val="4"/>
    <w:unhideWhenUsed/>
    <w:qFormat/>
    <w:uiPriority w:val="99"/>
    <w:pPr>
      <w:ind w:firstLine="420" w:firstLineChars="200"/>
    </w:pPr>
  </w:style>
  <w:style w:type="paragraph" w:customStyle="1" w:styleId="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大标题"/>
    <w:basedOn w:val="1"/>
    <w:qFormat/>
    <w:uiPriority w:val="0"/>
    <w:pPr>
      <w:jc w:val="center"/>
    </w:pPr>
    <w:rPr>
      <w:rFonts w:ascii="Arial" w:hAnsi="Arial"/>
      <w:b/>
      <w:sz w:val="28"/>
      <w:szCs w:val="24"/>
    </w:rPr>
  </w:style>
  <w:style w:type="paragraph" w:customStyle="1" w:styleId="10">
    <w:name w:val="列出段落1"/>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918</Words>
  <Characters>971</Characters>
  <Lines>6</Lines>
  <Paragraphs>1</Paragraphs>
  <TotalTime>10</TotalTime>
  <ScaleCrop>false</ScaleCrop>
  <LinksUpToDate>false</LinksUpToDate>
  <CharactersWithSpaces>1055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2023-07-15T10:37:00Z</dcterms:created>
  <dc:creator>mac</dc:creator>
  <cp:lastModifiedBy>费晨光</cp:lastModifiedBy>
  <dcterms:modified xsi:type="dcterms:W3CDTF">2023-12-20T03:12:12Z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EEBAA5424E6B4293B5C464C9E0E1E309_13</vt:lpwstr>
  </property>
</Properties>
</file>