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tabs>
          <w:tab w:val="left" w:pos="1675"/>
          <w:tab w:val="center" w:pos="4215"/>
        </w:tabs>
        <w:wordWrap w:val="0"/>
        <w:jc w:val="left"/>
        <w:rPr>
          <w:rFonts w:hint="eastAsia" w:ascii="仿宋" w:hAnsi="仿宋" w:eastAsia="仿宋" w:cs="仿宋"/>
          <w:b/>
          <w:bCs/>
          <w:kern w:val="2"/>
          <w:sz w:val="32"/>
          <w:szCs w:val="32"/>
          <w:lang w:val="en-US" w:eastAsia="zh-CN" w:bidi="ar-SA"/>
        </w:rPr>
      </w:pPr>
      <w:r>
        <w:rPr>
          <w:rFonts w:hint="eastAsia" w:ascii="Times New Roman" w:hAnsi="Times New Roman"/>
          <w:sz w:val="32"/>
          <w:szCs w:val="32"/>
        </w:rPr>
        <w:tab/>
      </w:r>
      <w:r>
        <w:rPr>
          <w:rFonts w:hint="eastAsia" w:ascii="仿宋" w:hAnsi="仿宋" w:eastAsia="仿宋" w:cs="仿宋"/>
          <w:b/>
          <w:bCs/>
          <w:kern w:val="2"/>
          <w:sz w:val="32"/>
          <w:szCs w:val="32"/>
          <w:lang w:val="en-US" w:eastAsia="zh-CN" w:bidi="ar-SA"/>
        </w:rPr>
        <w:t>开元壹号渠道合作合同12月补充协议</w:t>
      </w:r>
    </w:p>
    <w:p>
      <w:pPr>
        <w:snapToGrid w:val="0"/>
        <w:spacing w:line="360" w:lineRule="auto"/>
        <w:ind w:firstLine="480" w:firstLineChars="200"/>
        <w:jc w:val="left"/>
        <w:rPr>
          <w:rFonts w:ascii="宋体" w:hAnsi="宋体" w:eastAsia="宋体" w:cs="宋体"/>
          <w:sz w:val="24"/>
          <w:szCs w:val="24"/>
          <w:u w:val="single"/>
        </w:rPr>
      </w:pPr>
      <w:r>
        <w:rPr>
          <w:rFonts w:hint="eastAsia" w:ascii="宋体" w:hAnsi="宋体" w:eastAsia="宋体" w:cs="宋体"/>
          <w:sz w:val="24"/>
          <w:szCs w:val="24"/>
        </w:rPr>
        <w:t>甲方：</w:t>
      </w:r>
      <w:r>
        <w:rPr>
          <w:rFonts w:hint="eastAsia" w:ascii="宋体" w:hAnsi="宋体" w:eastAsia="宋体" w:cs="宋体"/>
          <w:sz w:val="24"/>
          <w:szCs w:val="24"/>
          <w:u w:val="single"/>
        </w:rPr>
        <w:t>洛阳浩德鑫置地有限公司</w:t>
      </w:r>
    </w:p>
    <w:p>
      <w:pPr>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乙方：</w:t>
      </w:r>
      <w:bookmarkStart w:id="0" w:name="OLE_LINK152"/>
      <w:bookmarkStart w:id="1" w:name="OLE_LINK153"/>
      <w:r>
        <w:rPr>
          <w:rFonts w:hint="eastAsia" w:ascii="宋体" w:hAnsi="宋体" w:eastAsia="宋体" w:cs="宋体"/>
          <w:sz w:val="24"/>
          <w:szCs w:val="24"/>
          <w:u w:val="single"/>
        </w:rPr>
        <w:t>洛阳闹贝房地产经纪有限公司</w:t>
      </w:r>
      <w:bookmarkEnd w:id="0"/>
      <w:bookmarkEnd w:id="1"/>
    </w:p>
    <w:p>
      <w:pPr>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甲乙双方于</w:t>
      </w:r>
      <w:r>
        <w:rPr>
          <w:rFonts w:ascii="宋体" w:hAnsi="宋体" w:eastAsia="宋体" w:cs="宋体"/>
          <w:sz w:val="24"/>
          <w:szCs w:val="24"/>
        </w:rPr>
        <w:t>202</w:t>
      </w:r>
      <w:r>
        <w:rPr>
          <w:rFonts w:hint="eastAsia" w:ascii="宋体" w:hAnsi="宋体" w:eastAsia="宋体" w:cs="宋体"/>
          <w:sz w:val="24"/>
          <w:szCs w:val="24"/>
          <w:lang w:val="en-US" w:eastAsia="zh-CN"/>
        </w:rPr>
        <w:t>3</w:t>
      </w:r>
      <w:r>
        <w:rPr>
          <w:rFonts w:hint="eastAsia" w:ascii="宋体" w:hAnsi="宋体" w:eastAsia="宋体" w:cs="宋体"/>
          <w:sz w:val="24"/>
          <w:szCs w:val="24"/>
        </w:rPr>
        <w:t xml:space="preserve"> 年签署了合同编号</w:t>
      </w:r>
      <w:r>
        <w:rPr>
          <w:rFonts w:hint="eastAsia" w:cs="微软雅黑" w:asciiTheme="minorEastAsia" w:hAnsiTheme="minorEastAsia"/>
          <w:sz w:val="24"/>
          <w:szCs w:val="24"/>
        </w:rPr>
        <w:t>为</w:t>
      </w:r>
      <w:r>
        <w:rPr>
          <w:rFonts w:cs="微软雅黑" w:asciiTheme="minorEastAsia" w:hAnsiTheme="minorEastAsia"/>
          <w:sz w:val="24"/>
          <w:szCs w:val="24"/>
        </w:rPr>
        <w:t>KYYH-YX-202</w:t>
      </w:r>
      <w:r>
        <w:rPr>
          <w:rFonts w:hint="eastAsia" w:cs="微软雅黑" w:asciiTheme="minorEastAsia" w:hAnsiTheme="minorEastAsia"/>
          <w:sz w:val="24"/>
          <w:szCs w:val="24"/>
          <w:lang w:val="en-US" w:eastAsia="zh-CN"/>
        </w:rPr>
        <w:t>3</w:t>
      </w:r>
      <w:r>
        <w:rPr>
          <w:rFonts w:cs="微软雅黑" w:asciiTheme="minorEastAsia" w:hAnsiTheme="minorEastAsia"/>
          <w:sz w:val="24"/>
          <w:szCs w:val="24"/>
        </w:rPr>
        <w:t>-</w:t>
      </w:r>
      <w:r>
        <w:rPr>
          <w:rFonts w:hint="eastAsia" w:cs="微软雅黑" w:asciiTheme="minorEastAsia" w:hAnsiTheme="minorEastAsia"/>
          <w:sz w:val="24"/>
          <w:szCs w:val="24"/>
          <w:lang w:val="en-US" w:eastAsia="zh-CN"/>
        </w:rPr>
        <w:t>1018</w:t>
      </w:r>
      <w:r>
        <w:rPr>
          <w:rFonts w:hint="eastAsia" w:cs="微软雅黑" w:asciiTheme="minorEastAsia" w:hAnsiTheme="minorEastAsia"/>
          <w:sz w:val="24"/>
          <w:szCs w:val="24"/>
        </w:rPr>
        <w:t>的《</w:t>
      </w:r>
      <w:r>
        <w:rPr>
          <w:rFonts w:hint="eastAsia" w:ascii="宋体" w:hAnsi="宋体" w:eastAsia="宋体" w:cs="宋体"/>
          <w:sz w:val="24"/>
          <w:szCs w:val="24"/>
        </w:rPr>
        <w:t>开元壹号渠道合作合同》（以下简称“原合同”），原合同约定甲方委托乙方为甲方开发的开元壹号项目提供渠道推介服务</w:t>
      </w:r>
      <w:r>
        <w:rPr>
          <w:rFonts w:hint="eastAsia" w:ascii="宋体" w:hAnsi="宋体" w:eastAsia="宋体" w:cs="宋体"/>
          <w:sz w:val="24"/>
          <w:szCs w:val="24"/>
          <w:lang w:eastAsia="zh-CN"/>
        </w:rPr>
        <w:t>，</w:t>
      </w:r>
      <w:r>
        <w:rPr>
          <w:rFonts w:hint="eastAsia" w:ascii="宋体" w:hAnsi="宋体" w:eastAsia="宋体" w:cs="宋体"/>
          <w:sz w:val="24"/>
          <w:szCs w:val="24"/>
        </w:rPr>
        <w:t>委托期限为自 2023 年</w:t>
      </w:r>
      <w:r>
        <w:rPr>
          <w:rFonts w:hint="eastAsia" w:ascii="宋体" w:hAnsi="宋体" w:eastAsia="宋体" w:cs="宋体"/>
          <w:sz w:val="24"/>
          <w:szCs w:val="24"/>
          <w:lang w:val="en-US" w:eastAsia="zh-CN"/>
        </w:rPr>
        <w:t>7</w:t>
      </w:r>
      <w:r>
        <w:rPr>
          <w:rFonts w:hint="eastAsia" w:ascii="宋体" w:hAnsi="宋体" w:eastAsia="宋体" w:cs="宋体"/>
          <w:sz w:val="24"/>
          <w:szCs w:val="24"/>
        </w:rPr>
        <w:t>月</w:t>
      </w:r>
      <w:r>
        <w:rPr>
          <w:rFonts w:hint="eastAsia" w:ascii="宋体" w:hAnsi="宋体" w:eastAsia="宋体" w:cs="宋体"/>
          <w:sz w:val="24"/>
          <w:szCs w:val="24"/>
          <w:lang w:val="en-US" w:eastAsia="zh-CN"/>
        </w:rPr>
        <w:t>1</w:t>
      </w:r>
      <w:r>
        <w:rPr>
          <w:rFonts w:hint="eastAsia" w:ascii="宋体" w:hAnsi="宋体" w:eastAsia="宋体" w:cs="宋体"/>
          <w:sz w:val="24"/>
          <w:szCs w:val="24"/>
        </w:rPr>
        <w:t>日起至 202</w:t>
      </w:r>
      <w:r>
        <w:rPr>
          <w:rFonts w:hint="eastAsia" w:ascii="宋体" w:hAnsi="宋体" w:eastAsia="宋体" w:cs="宋体"/>
          <w:sz w:val="24"/>
          <w:szCs w:val="24"/>
          <w:lang w:val="en-US" w:eastAsia="zh-CN"/>
        </w:rPr>
        <w:t>4</w:t>
      </w:r>
      <w:r>
        <w:rPr>
          <w:rFonts w:hint="eastAsia" w:ascii="宋体" w:hAnsi="宋体" w:eastAsia="宋体" w:cs="宋体"/>
          <w:sz w:val="24"/>
          <w:szCs w:val="24"/>
        </w:rPr>
        <w:t>年</w:t>
      </w:r>
      <w:r>
        <w:rPr>
          <w:rFonts w:hint="eastAsia" w:ascii="宋体" w:hAnsi="宋体" w:eastAsia="宋体" w:cs="宋体"/>
          <w:sz w:val="24"/>
          <w:szCs w:val="24"/>
          <w:lang w:val="en-US" w:eastAsia="zh-CN"/>
        </w:rPr>
        <w:t>6</w:t>
      </w:r>
      <w:r>
        <w:rPr>
          <w:rFonts w:hint="eastAsia" w:ascii="宋体" w:hAnsi="宋体" w:eastAsia="宋体" w:cs="宋体"/>
          <w:sz w:val="24"/>
          <w:szCs w:val="24"/>
        </w:rPr>
        <w:t>月 3</w:t>
      </w:r>
      <w:r>
        <w:rPr>
          <w:rFonts w:hint="eastAsia" w:ascii="宋体" w:hAnsi="宋体" w:eastAsia="宋体" w:cs="宋体"/>
          <w:sz w:val="24"/>
          <w:szCs w:val="24"/>
          <w:lang w:val="en-US" w:eastAsia="zh-CN"/>
        </w:rPr>
        <w:t>0</w:t>
      </w:r>
      <w:r>
        <w:rPr>
          <w:rFonts w:hint="eastAsia" w:ascii="宋体" w:hAnsi="宋体" w:eastAsia="宋体" w:cs="宋体"/>
          <w:sz w:val="24"/>
          <w:szCs w:val="24"/>
        </w:rPr>
        <w:t>日止。现甲、乙双方就原合同签订补充协议如下：</w:t>
      </w:r>
    </w:p>
    <w:p>
      <w:pPr>
        <w:snapToGrid w:val="0"/>
        <w:spacing w:line="360" w:lineRule="auto"/>
        <w:ind w:firstLine="482" w:firstLineChars="200"/>
        <w:jc w:val="left"/>
        <w:rPr>
          <w:rFonts w:hint="eastAsia" w:ascii="宋体" w:hAnsi="宋体" w:eastAsia="宋体" w:cs="宋体"/>
          <w:sz w:val="24"/>
          <w:szCs w:val="24"/>
        </w:rPr>
      </w:pPr>
      <w:r>
        <w:rPr>
          <w:rFonts w:hint="eastAsia" w:ascii="宋体" w:hAnsi="宋体" w:eastAsia="宋体" w:cs="宋体"/>
          <w:b/>
          <w:bCs/>
          <w:sz w:val="24"/>
          <w:szCs w:val="24"/>
        </w:rPr>
        <w:t>一、</w:t>
      </w:r>
      <w:r>
        <w:rPr>
          <w:rFonts w:hint="eastAsia" w:ascii="宋体" w:hAnsi="宋体" w:eastAsia="宋体" w:cs="宋体"/>
          <w:sz w:val="24"/>
          <w:szCs w:val="24"/>
        </w:rPr>
        <w:t xml:space="preserve">本补充协议有效期： 2023 年 </w:t>
      </w:r>
      <w:r>
        <w:rPr>
          <w:rFonts w:hint="eastAsia" w:ascii="宋体" w:hAnsi="宋体" w:eastAsia="宋体" w:cs="宋体"/>
          <w:sz w:val="24"/>
          <w:szCs w:val="24"/>
          <w:lang w:val="en-US" w:eastAsia="zh-CN"/>
        </w:rPr>
        <w:t>12</w:t>
      </w:r>
      <w:r>
        <w:rPr>
          <w:rFonts w:hint="eastAsia" w:ascii="宋体" w:hAnsi="宋体" w:eastAsia="宋体" w:cs="宋体"/>
          <w:sz w:val="24"/>
          <w:szCs w:val="24"/>
        </w:rPr>
        <w:t xml:space="preserve"> 月</w:t>
      </w:r>
      <w:r>
        <w:rPr>
          <w:rFonts w:hint="eastAsia" w:ascii="宋体" w:hAnsi="宋体" w:eastAsia="宋体" w:cs="宋体"/>
          <w:sz w:val="24"/>
          <w:szCs w:val="24"/>
          <w:lang w:val="en-US" w:eastAsia="zh-CN"/>
        </w:rPr>
        <w:t>1</w:t>
      </w:r>
      <w:r>
        <w:rPr>
          <w:rFonts w:hint="eastAsia" w:ascii="宋体" w:hAnsi="宋体" w:eastAsia="宋体" w:cs="宋体"/>
          <w:sz w:val="24"/>
          <w:szCs w:val="24"/>
        </w:rPr>
        <w:t>日至 2023 年</w:t>
      </w:r>
      <w:r>
        <w:rPr>
          <w:rFonts w:hint="eastAsia" w:ascii="宋体" w:hAnsi="宋体" w:eastAsia="宋体" w:cs="宋体"/>
          <w:sz w:val="24"/>
          <w:szCs w:val="24"/>
          <w:lang w:val="en-US" w:eastAsia="zh-CN"/>
        </w:rPr>
        <w:t>12</w:t>
      </w:r>
      <w:r>
        <w:rPr>
          <w:rFonts w:hint="eastAsia" w:ascii="宋体" w:hAnsi="宋体" w:eastAsia="宋体" w:cs="宋体"/>
          <w:sz w:val="24"/>
          <w:szCs w:val="24"/>
        </w:rPr>
        <w:t>月 3</w:t>
      </w:r>
      <w:r>
        <w:rPr>
          <w:rFonts w:hint="eastAsia" w:ascii="宋体" w:hAnsi="宋体" w:eastAsia="宋体" w:cs="宋体"/>
          <w:sz w:val="24"/>
          <w:szCs w:val="24"/>
          <w:lang w:val="en-US" w:eastAsia="zh-CN"/>
        </w:rPr>
        <w:t>1</w:t>
      </w:r>
      <w:r>
        <w:rPr>
          <w:rFonts w:hint="eastAsia" w:ascii="宋体" w:hAnsi="宋体" w:eastAsia="宋体" w:cs="宋体"/>
          <w:sz w:val="24"/>
          <w:szCs w:val="24"/>
        </w:rPr>
        <w:t xml:space="preserve"> 日。</w:t>
      </w:r>
    </w:p>
    <w:p>
      <w:pPr>
        <w:keepNext w:val="0"/>
        <w:keepLines w:val="0"/>
        <w:kinsoku/>
        <w:wordWrap/>
        <w:overflowPunct/>
        <w:topLinePunct w:val="0"/>
        <w:autoSpaceDE w:val="0"/>
        <w:autoSpaceDN w:val="0"/>
        <w:bidi w:val="0"/>
        <w:adjustRightInd/>
        <w:snapToGrid/>
        <w:spacing w:line="360" w:lineRule="auto"/>
        <w:ind w:firstLine="482" w:firstLineChars="200"/>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二</w:t>
      </w:r>
      <w:r>
        <w:rPr>
          <w:rFonts w:hint="eastAsia" w:ascii="宋体" w:hAnsi="宋体" w:eastAsia="宋体" w:cs="宋体"/>
          <w:b/>
          <w:bCs/>
          <w:sz w:val="24"/>
          <w:szCs w:val="24"/>
        </w:rPr>
        <w:t>、</w:t>
      </w:r>
      <w:r>
        <w:rPr>
          <w:rFonts w:hint="eastAsia" w:ascii="宋体" w:hAnsi="宋体" w:eastAsia="宋体" w:cs="宋体"/>
          <w:b/>
          <w:bCs/>
          <w:sz w:val="24"/>
          <w:szCs w:val="24"/>
          <w:lang w:eastAsia="zh-CN"/>
        </w:rPr>
        <w:t>变更条款：</w:t>
      </w:r>
    </w:p>
    <w:p>
      <w:pPr>
        <w:keepNext w:val="0"/>
        <w:keepLines w:val="0"/>
        <w:kinsoku/>
        <w:wordWrap/>
        <w:overflowPunct/>
        <w:topLinePunct w:val="0"/>
        <w:autoSpaceDE w:val="0"/>
        <w:autoSpaceDN w:val="0"/>
        <w:bidi w:val="0"/>
        <w:adjustRightInd/>
        <w:snapToGrid/>
        <w:spacing w:line="360" w:lineRule="auto"/>
        <w:ind w:firstLine="482" w:firstLineChars="200"/>
        <w:textAlignment w:val="auto"/>
        <w:rPr>
          <w:rFonts w:hint="eastAsia" w:ascii="宋体" w:hAnsi="宋体" w:eastAsia="宋体" w:cs="宋体"/>
          <w:b/>
          <w:bCs/>
          <w:kern w:val="28"/>
          <w:sz w:val="24"/>
          <w:szCs w:val="24"/>
          <w:highlight w:val="none"/>
          <w:lang w:val="en-US" w:eastAsia="zh-CN"/>
        </w:rPr>
      </w:pPr>
      <w:r>
        <w:rPr>
          <w:rFonts w:hint="eastAsia" w:ascii="宋体" w:hAnsi="宋体" w:eastAsia="宋体" w:cs="宋体"/>
          <w:b/>
          <w:bCs/>
          <w:sz w:val="24"/>
          <w:szCs w:val="24"/>
        </w:rPr>
        <w:t>原合同</w:t>
      </w:r>
      <w:r>
        <w:rPr>
          <w:rFonts w:hint="eastAsia" w:ascii="宋体" w:hAnsi="宋体" w:eastAsia="宋体" w:cs="宋体"/>
          <w:b/>
          <w:bCs/>
          <w:kern w:val="28"/>
          <w:sz w:val="24"/>
          <w:szCs w:val="24"/>
          <w:highlight w:val="none"/>
        </w:rPr>
        <w:t>第四条推介流程及佣金方案</w:t>
      </w:r>
      <w:r>
        <w:rPr>
          <w:rFonts w:hint="eastAsia" w:ascii="宋体" w:hAnsi="宋体" w:eastAsia="宋体" w:cs="宋体"/>
          <w:b/>
          <w:bCs/>
          <w:kern w:val="28"/>
          <w:sz w:val="24"/>
          <w:szCs w:val="24"/>
          <w:highlight w:val="none"/>
          <w:lang w:val="en-US" w:eastAsia="zh-CN"/>
        </w:rPr>
        <w:t>:</w:t>
      </w:r>
    </w:p>
    <w:p>
      <w:pPr>
        <w:keepNext w:val="0"/>
        <w:keepLines w:val="0"/>
        <w:kinsoku/>
        <w:wordWrap/>
        <w:overflowPunct/>
        <w:topLinePunct w:val="0"/>
        <w:bidi w:val="0"/>
        <w:adjustRightInd/>
        <w:snapToGrid/>
        <w:spacing w:line="360" w:lineRule="auto"/>
        <w:ind w:firstLine="480" w:firstLineChars="200"/>
        <w:textAlignment w:val="auto"/>
        <w:rPr>
          <w:rFonts w:hint="eastAsia" w:ascii="宋体" w:hAnsi="宋体" w:eastAsia="宋体" w:cs="宋体"/>
          <w:kern w:val="28"/>
          <w:sz w:val="24"/>
          <w:szCs w:val="24"/>
          <w:highlight w:val="none"/>
        </w:rPr>
      </w:pPr>
      <w:r>
        <w:rPr>
          <w:rFonts w:hint="eastAsia" w:ascii="宋体" w:hAnsi="宋体" w:eastAsia="宋体" w:cs="宋体"/>
          <w:kern w:val="28"/>
          <w:sz w:val="24"/>
          <w:szCs w:val="24"/>
          <w:highlight w:val="none"/>
        </w:rPr>
        <w:t>甲乙双方确认：推介流程及计佣方式按照以下约定处理：</w:t>
      </w:r>
    </w:p>
    <w:p>
      <w:pPr>
        <w:keepNext w:val="0"/>
        <w:keepLines w:val="0"/>
        <w:kinsoku/>
        <w:wordWrap/>
        <w:overflowPunct/>
        <w:topLinePunct w:val="0"/>
        <w:bidi w:val="0"/>
        <w:adjustRightInd/>
        <w:snapToGrid/>
        <w:spacing w:line="360" w:lineRule="auto"/>
        <w:ind w:left="0" w:leftChars="0" w:firstLine="480" w:firstLineChars="200"/>
        <w:textAlignment w:val="auto"/>
        <w:rPr>
          <w:rFonts w:hint="eastAsia" w:ascii="宋体" w:hAnsi="宋体" w:eastAsia="宋体" w:cs="宋体"/>
          <w:kern w:val="28"/>
          <w:sz w:val="24"/>
          <w:szCs w:val="24"/>
          <w:highlight w:val="none"/>
        </w:rPr>
      </w:pPr>
      <w:r>
        <w:rPr>
          <w:rFonts w:hint="eastAsia" w:ascii="宋体" w:hAnsi="宋体" w:eastAsia="宋体" w:cs="宋体"/>
          <w:kern w:val="28"/>
          <w:sz w:val="24"/>
          <w:szCs w:val="24"/>
          <w:highlight w:val="none"/>
        </w:rPr>
        <w:t>1、客户入口：乙方推荐客户带访到现场提前30分钟通过云客端口进行报备查询判定客户是否有效。乙方</w:t>
      </w:r>
      <w:r>
        <w:rPr>
          <w:rFonts w:hint="eastAsia" w:ascii="宋体" w:hAnsi="宋体" w:eastAsia="宋体" w:cs="宋体"/>
          <w:kern w:val="28"/>
          <w:sz w:val="24"/>
          <w:szCs w:val="24"/>
          <w:highlight w:val="none"/>
          <w:lang w:val="en-US" w:eastAsia="zh-CN"/>
        </w:rPr>
        <w:t>采用隐号（</w:t>
      </w:r>
      <w:r>
        <w:rPr>
          <w:rFonts w:hint="eastAsia" w:ascii="宋体" w:hAnsi="宋体" w:eastAsia="宋体" w:cs="宋体"/>
          <w:kern w:val="28"/>
          <w:sz w:val="24"/>
          <w:szCs w:val="24"/>
          <w:highlight w:val="none"/>
        </w:rPr>
        <w:t>提供客户电话号码的前三后四位</w:t>
      </w:r>
      <w:r>
        <w:rPr>
          <w:rFonts w:hint="eastAsia" w:ascii="宋体" w:hAnsi="宋体" w:eastAsia="宋体" w:cs="宋体"/>
          <w:kern w:val="28"/>
          <w:sz w:val="24"/>
          <w:szCs w:val="24"/>
          <w:highlight w:val="none"/>
          <w:lang w:eastAsia="zh-CN"/>
        </w:rPr>
        <w:t>）</w:t>
      </w:r>
      <w:r>
        <w:rPr>
          <w:rFonts w:hint="eastAsia" w:ascii="宋体" w:hAnsi="宋体" w:eastAsia="宋体" w:cs="宋体"/>
          <w:kern w:val="28"/>
          <w:sz w:val="24"/>
          <w:szCs w:val="24"/>
          <w:highlight w:val="none"/>
        </w:rPr>
        <w:t>进行客户报备</w:t>
      </w:r>
      <w:r>
        <w:rPr>
          <w:rFonts w:hint="eastAsia" w:ascii="宋体" w:hAnsi="宋体" w:eastAsia="宋体" w:cs="宋体"/>
          <w:kern w:val="28"/>
          <w:sz w:val="24"/>
          <w:szCs w:val="24"/>
          <w:highlight w:val="none"/>
          <w:lang w:eastAsia="zh-CN"/>
        </w:rPr>
        <w:t>，</w:t>
      </w:r>
      <w:r>
        <w:rPr>
          <w:rFonts w:hint="eastAsia" w:ascii="宋体" w:hAnsi="宋体" w:eastAsia="宋体" w:cs="宋体"/>
          <w:kern w:val="28"/>
          <w:sz w:val="24"/>
          <w:szCs w:val="24"/>
          <w:highlight w:val="none"/>
        </w:rPr>
        <w:t>如客户隐号</w:t>
      </w:r>
      <w:r>
        <w:rPr>
          <w:rFonts w:hint="eastAsia" w:ascii="宋体" w:hAnsi="宋体" w:eastAsia="宋体" w:cs="宋体"/>
          <w:kern w:val="28"/>
          <w:sz w:val="24"/>
          <w:szCs w:val="24"/>
          <w:highlight w:val="none"/>
          <w:lang w:val="en-US" w:eastAsia="zh-CN"/>
        </w:rPr>
        <w:t>与</w:t>
      </w:r>
      <w:r>
        <w:rPr>
          <w:rFonts w:hint="eastAsia" w:ascii="宋体" w:hAnsi="宋体" w:eastAsia="宋体" w:cs="宋体"/>
          <w:kern w:val="28"/>
          <w:sz w:val="24"/>
          <w:szCs w:val="24"/>
          <w:highlight w:val="none"/>
        </w:rPr>
        <w:t>甲方查重系统中</w:t>
      </w:r>
      <w:r>
        <w:rPr>
          <w:rFonts w:hint="eastAsia" w:ascii="宋体" w:hAnsi="宋体" w:eastAsia="宋体" w:cs="宋体"/>
          <w:kern w:val="28"/>
          <w:sz w:val="24"/>
          <w:szCs w:val="24"/>
          <w:highlight w:val="none"/>
          <w:lang w:val="en-US" w:eastAsia="zh-CN"/>
        </w:rPr>
        <w:t>的号码</w:t>
      </w:r>
      <w:r>
        <w:rPr>
          <w:rFonts w:hint="eastAsia" w:ascii="宋体" w:hAnsi="宋体" w:eastAsia="宋体" w:cs="宋体"/>
          <w:kern w:val="28"/>
          <w:sz w:val="24"/>
          <w:szCs w:val="24"/>
          <w:highlight w:val="none"/>
        </w:rPr>
        <w:t>重复，则乙方提供全号至甲方。报备成功后乙方拥有15天报备</w:t>
      </w:r>
      <w:r>
        <w:rPr>
          <w:rFonts w:hint="eastAsia" w:ascii="宋体" w:hAnsi="宋体" w:eastAsia="宋体" w:cs="宋体"/>
          <w:kern w:val="28"/>
          <w:sz w:val="24"/>
          <w:szCs w:val="24"/>
          <w:highlight w:val="none"/>
          <w:lang w:val="en-US"/>
        </w:rPr>
        <w:t>保护</w:t>
      </w:r>
      <w:r>
        <w:rPr>
          <w:rFonts w:hint="eastAsia" w:ascii="宋体" w:hAnsi="宋体" w:eastAsia="宋体" w:cs="宋体"/>
          <w:kern w:val="28"/>
          <w:sz w:val="24"/>
          <w:szCs w:val="24"/>
          <w:highlight w:val="none"/>
        </w:rPr>
        <w:t>期。（后期发现客户争议，以合同十七条客户争议处理规则为准）。</w:t>
      </w:r>
    </w:p>
    <w:p>
      <w:pPr>
        <w:keepNext w:val="0"/>
        <w:keepLines w:val="0"/>
        <w:kinsoku/>
        <w:wordWrap/>
        <w:overflowPunct/>
        <w:topLinePunct w:val="0"/>
        <w:bidi w:val="0"/>
        <w:adjustRightInd/>
        <w:snapToGrid/>
        <w:spacing w:line="360" w:lineRule="auto"/>
        <w:ind w:firstLine="480" w:firstLineChars="200"/>
        <w:textAlignment w:val="auto"/>
        <w:rPr>
          <w:rFonts w:hint="eastAsia" w:ascii="宋体" w:hAnsi="宋体" w:eastAsia="宋体" w:cs="宋体"/>
          <w:kern w:val="28"/>
          <w:sz w:val="24"/>
          <w:szCs w:val="24"/>
          <w:highlight w:val="none"/>
        </w:rPr>
      </w:pPr>
      <w:r>
        <w:rPr>
          <w:rFonts w:hint="eastAsia" w:ascii="宋体" w:hAnsi="宋体" w:eastAsia="宋体" w:cs="宋体"/>
          <w:kern w:val="28"/>
          <w:sz w:val="24"/>
          <w:szCs w:val="24"/>
          <w:highlight w:val="none"/>
        </w:rPr>
        <w:t>2、到访：乙方推荐客户到访享有30天保护期（客户保护期内复访的，自复访之日起享有30天保护期），客户到访当日，甲乙双方须签署《</w:t>
      </w:r>
      <w:r>
        <w:rPr>
          <w:rFonts w:hint="eastAsia" w:ascii="宋体" w:hAnsi="宋体" w:eastAsia="宋体" w:cs="宋体"/>
          <w:kern w:val="28"/>
          <w:sz w:val="24"/>
          <w:szCs w:val="24"/>
          <w:highlight w:val="none"/>
          <w:lang w:val="en-US" w:eastAsia="zh-CN"/>
        </w:rPr>
        <w:t>客户带看</w:t>
      </w:r>
      <w:r>
        <w:rPr>
          <w:rFonts w:hint="eastAsia" w:ascii="宋体" w:hAnsi="宋体" w:eastAsia="宋体" w:cs="宋体"/>
          <w:kern w:val="28"/>
          <w:sz w:val="24"/>
          <w:szCs w:val="24"/>
          <w:highlight w:val="none"/>
        </w:rPr>
        <w:t>确认</w:t>
      </w:r>
      <w:r>
        <w:rPr>
          <w:rFonts w:hint="eastAsia" w:ascii="宋体" w:hAnsi="宋体" w:eastAsia="宋体" w:cs="宋体"/>
          <w:kern w:val="28"/>
          <w:sz w:val="24"/>
          <w:szCs w:val="24"/>
          <w:highlight w:val="none"/>
          <w:lang w:val="en-US" w:eastAsia="zh-CN"/>
        </w:rPr>
        <w:t>书</w:t>
      </w:r>
      <w:r>
        <w:rPr>
          <w:rFonts w:hint="eastAsia" w:ascii="宋体" w:hAnsi="宋体" w:eastAsia="宋体" w:cs="宋体"/>
          <w:kern w:val="28"/>
          <w:sz w:val="24"/>
          <w:szCs w:val="24"/>
          <w:highlight w:val="none"/>
        </w:rPr>
        <w:t>》（见附件4，下文统称为《</w:t>
      </w:r>
      <w:r>
        <w:rPr>
          <w:rFonts w:hint="eastAsia" w:ascii="宋体" w:hAnsi="宋体" w:eastAsia="宋体" w:cs="宋体"/>
          <w:kern w:val="28"/>
          <w:sz w:val="24"/>
          <w:szCs w:val="24"/>
          <w:highlight w:val="none"/>
          <w:lang w:val="en-US" w:eastAsia="zh-CN"/>
        </w:rPr>
        <w:t>客户带看确认书</w:t>
      </w:r>
      <w:r>
        <w:rPr>
          <w:rFonts w:hint="eastAsia" w:ascii="宋体" w:hAnsi="宋体" w:eastAsia="宋体" w:cs="宋体"/>
          <w:kern w:val="28"/>
          <w:sz w:val="24"/>
          <w:szCs w:val="24"/>
          <w:highlight w:val="none"/>
        </w:rPr>
        <w:t>》），以便双方核对确认。保护期内成交该笔业绩归属乙方，超过客户保护期的该客户失效，成为公共资源，所有渠道仍可带访，自带访之日起重新计算保护期15日</w:t>
      </w:r>
      <w:r>
        <w:rPr>
          <w:rFonts w:hint="eastAsia" w:ascii="宋体" w:hAnsi="宋体" w:eastAsia="宋体" w:cs="宋体"/>
          <w:kern w:val="28"/>
          <w:sz w:val="24"/>
          <w:szCs w:val="24"/>
          <w:highlight w:val="none"/>
          <w:lang w:eastAsia="zh-CN"/>
        </w:rPr>
        <w:t>。</w:t>
      </w:r>
      <w:r>
        <w:rPr>
          <w:rFonts w:hint="eastAsia" w:ascii="宋体" w:hAnsi="宋体" w:eastAsia="宋体" w:cs="宋体"/>
          <w:kern w:val="28"/>
          <w:sz w:val="24"/>
          <w:szCs w:val="24"/>
          <w:highlight w:val="none"/>
        </w:rPr>
        <w:t>如已到访客户于客户保护期外再次到访，需重新签署《</w:t>
      </w:r>
      <w:r>
        <w:rPr>
          <w:rFonts w:hint="eastAsia" w:ascii="宋体" w:hAnsi="宋体" w:eastAsia="宋体" w:cs="宋体"/>
          <w:kern w:val="28"/>
          <w:sz w:val="24"/>
          <w:szCs w:val="24"/>
          <w:highlight w:val="none"/>
          <w:lang w:val="en-US" w:eastAsia="zh-CN"/>
        </w:rPr>
        <w:t>客户带看确认书</w:t>
      </w:r>
      <w:r>
        <w:rPr>
          <w:rFonts w:hint="eastAsia" w:ascii="宋体" w:hAnsi="宋体" w:eastAsia="宋体" w:cs="宋体"/>
          <w:kern w:val="28"/>
          <w:sz w:val="24"/>
          <w:szCs w:val="24"/>
          <w:highlight w:val="none"/>
        </w:rPr>
        <w:t>》（如遇本协议终止或解除，不影响有关客户保护期的约定）。乙方已认购客户经乙方再次带访并进行购买成交的，业绩归属于乙方。</w:t>
      </w:r>
    </w:p>
    <w:p>
      <w:pPr>
        <w:keepNext w:val="0"/>
        <w:keepLines w:val="0"/>
        <w:kinsoku/>
        <w:wordWrap/>
        <w:overflowPunct/>
        <w:topLinePunct w:val="0"/>
        <w:bidi w:val="0"/>
        <w:adjustRightInd/>
        <w:snapToGrid/>
        <w:spacing w:line="360" w:lineRule="auto"/>
        <w:ind w:firstLine="480" w:firstLineChars="200"/>
        <w:textAlignment w:val="auto"/>
        <w:rPr>
          <w:rFonts w:hint="eastAsia" w:ascii="宋体" w:hAnsi="宋体" w:eastAsia="宋体" w:cs="宋体"/>
          <w:kern w:val="28"/>
          <w:sz w:val="24"/>
          <w:szCs w:val="24"/>
          <w:highlight w:val="none"/>
        </w:rPr>
      </w:pPr>
      <w:r>
        <w:rPr>
          <w:rFonts w:hint="eastAsia" w:ascii="宋体" w:hAnsi="宋体" w:eastAsia="宋体" w:cs="宋体"/>
          <w:kern w:val="28"/>
          <w:sz w:val="24"/>
          <w:szCs w:val="24"/>
          <w:highlight w:val="none"/>
        </w:rPr>
        <w:t>3、自然到访：本项目所有自然到访客户（含来电客户，以置业顾问录明源为准），享有</w:t>
      </w:r>
      <w:r>
        <w:rPr>
          <w:rFonts w:hint="eastAsia" w:ascii="宋体" w:hAnsi="宋体" w:eastAsia="宋体" w:cs="宋体"/>
          <w:sz w:val="24"/>
          <w:szCs w:val="24"/>
          <w:highlight w:val="none"/>
        </w:rPr>
        <w:t>60天保护期（乙方可通过甲方云客端查询到访日期）</w:t>
      </w:r>
      <w:r>
        <w:rPr>
          <w:rFonts w:hint="eastAsia" w:ascii="宋体" w:hAnsi="宋体" w:eastAsia="宋体" w:cs="宋体"/>
          <w:kern w:val="28"/>
          <w:sz w:val="24"/>
          <w:szCs w:val="24"/>
          <w:highlight w:val="none"/>
        </w:rPr>
        <w:t>。</w:t>
      </w:r>
    </w:p>
    <w:p>
      <w:pPr>
        <w:keepNext w:val="0"/>
        <w:keepLines w:val="0"/>
        <w:kinsoku/>
        <w:wordWrap/>
        <w:overflowPunct/>
        <w:topLinePunct w:val="0"/>
        <w:bidi w:val="0"/>
        <w:adjustRightInd/>
        <w:snapToGrid/>
        <w:spacing w:line="360" w:lineRule="auto"/>
        <w:ind w:firstLine="480" w:firstLineChars="200"/>
        <w:textAlignment w:val="auto"/>
        <w:rPr>
          <w:rFonts w:hint="eastAsia" w:ascii="宋体" w:hAnsi="宋体" w:eastAsia="宋体" w:cs="宋体"/>
          <w:kern w:val="28"/>
          <w:sz w:val="24"/>
          <w:szCs w:val="24"/>
          <w:highlight w:val="none"/>
        </w:rPr>
      </w:pPr>
      <w:r>
        <w:rPr>
          <w:rFonts w:hint="eastAsia" w:ascii="宋体" w:hAnsi="宋体" w:eastAsia="宋体" w:cs="宋体"/>
          <w:kern w:val="28"/>
          <w:sz w:val="24"/>
          <w:szCs w:val="24"/>
          <w:highlight w:val="none"/>
        </w:rPr>
        <w:t>4、如乙方与其他代理单位、中介单位及其他推介渠道均推介同一组客户（含其直系亲属即父母、配偶、子女）到访的，以最早有效报备时间确认客户归属。如同时报备的，则以最早到访时间为准确认客户归属。</w:t>
      </w:r>
    </w:p>
    <w:p>
      <w:pPr>
        <w:keepNext w:val="0"/>
        <w:keepLines w:val="0"/>
        <w:kinsoku/>
        <w:wordWrap/>
        <w:overflowPunct/>
        <w:topLinePunct w:val="0"/>
        <w:bidi w:val="0"/>
        <w:adjustRightInd/>
        <w:snapToGrid/>
        <w:spacing w:line="360" w:lineRule="auto"/>
        <w:ind w:firstLine="480" w:firstLineChars="200"/>
        <w:textAlignment w:val="auto"/>
        <w:rPr>
          <w:rFonts w:hint="eastAsia" w:ascii="宋体" w:hAnsi="宋体" w:eastAsia="宋体" w:cs="宋体"/>
          <w:kern w:val="28"/>
          <w:sz w:val="24"/>
          <w:szCs w:val="24"/>
          <w:highlight w:val="none"/>
        </w:rPr>
      </w:pPr>
      <w:r>
        <w:rPr>
          <w:rFonts w:hint="eastAsia" w:ascii="宋体" w:hAnsi="宋体" w:eastAsia="宋体" w:cs="宋体"/>
          <w:kern w:val="28"/>
          <w:sz w:val="24"/>
          <w:szCs w:val="24"/>
          <w:highlight w:val="none"/>
        </w:rPr>
        <w:t>5、甲方员工、未经乙方带访成交的业主及其直系亲属（父母、子女、兄弟姐妹、祖父母、夫妻）永久归甲方所有（包含未经乙方带访业主二次置业）。</w:t>
      </w:r>
    </w:p>
    <w:p>
      <w:pPr>
        <w:keepNext w:val="0"/>
        <w:keepLines w:val="0"/>
        <w:kinsoku/>
        <w:wordWrap/>
        <w:overflowPunct/>
        <w:topLinePunct w:val="0"/>
        <w:bidi w:val="0"/>
        <w:adjustRightInd/>
        <w:snapToGrid/>
        <w:spacing w:line="360" w:lineRule="auto"/>
        <w:ind w:firstLine="480" w:firstLineChars="200"/>
        <w:textAlignment w:val="auto"/>
        <w:rPr>
          <w:rFonts w:hint="eastAsia" w:ascii="宋体" w:hAnsi="宋体" w:eastAsia="宋体" w:cs="宋体"/>
          <w:kern w:val="28"/>
          <w:sz w:val="24"/>
          <w:szCs w:val="24"/>
          <w:highlight w:val="none"/>
        </w:rPr>
      </w:pPr>
      <w:r>
        <w:rPr>
          <w:rFonts w:hint="eastAsia" w:ascii="宋体" w:hAnsi="宋体" w:eastAsia="宋体" w:cs="宋体"/>
          <w:kern w:val="28"/>
          <w:sz w:val="24"/>
          <w:szCs w:val="24"/>
          <w:highlight w:val="none"/>
        </w:rPr>
        <w:t>6、渠道过期资源：所有过有效保护期的客户均以带访为准，自带访之日起享有15日的保护期。</w:t>
      </w:r>
    </w:p>
    <w:p>
      <w:pPr>
        <w:keepNext w:val="0"/>
        <w:keepLines w:val="0"/>
        <w:kinsoku/>
        <w:wordWrap/>
        <w:overflowPunct/>
        <w:topLinePunct w:val="0"/>
        <w:bidi w:val="0"/>
        <w:adjustRightInd/>
        <w:snapToGrid/>
        <w:spacing w:line="360" w:lineRule="auto"/>
        <w:ind w:firstLine="480" w:firstLineChars="200"/>
        <w:textAlignment w:val="auto"/>
        <w:rPr>
          <w:rFonts w:hint="eastAsia" w:ascii="宋体" w:hAnsi="宋体" w:eastAsia="宋体" w:cs="宋体"/>
          <w:kern w:val="28"/>
          <w:sz w:val="24"/>
          <w:szCs w:val="24"/>
          <w:highlight w:val="none"/>
        </w:rPr>
      </w:pPr>
      <w:r>
        <w:rPr>
          <w:rFonts w:hint="eastAsia" w:ascii="宋体" w:hAnsi="宋体" w:eastAsia="宋体" w:cs="宋体"/>
          <w:kern w:val="28"/>
          <w:sz w:val="24"/>
          <w:szCs w:val="24"/>
          <w:highlight w:val="none"/>
        </w:rPr>
        <w:t>除前述《</w:t>
      </w:r>
      <w:r>
        <w:rPr>
          <w:rFonts w:hint="eastAsia" w:ascii="宋体" w:hAnsi="宋体" w:eastAsia="宋体" w:cs="宋体"/>
          <w:kern w:val="28"/>
          <w:sz w:val="24"/>
          <w:szCs w:val="24"/>
          <w:highlight w:val="none"/>
          <w:lang w:val="en-US" w:eastAsia="zh-CN"/>
        </w:rPr>
        <w:t>客户带看确认书</w:t>
      </w:r>
      <w:r>
        <w:rPr>
          <w:rFonts w:hint="eastAsia" w:ascii="宋体" w:hAnsi="宋体" w:eastAsia="宋体" w:cs="宋体"/>
          <w:kern w:val="28"/>
          <w:sz w:val="24"/>
          <w:szCs w:val="24"/>
          <w:highlight w:val="none"/>
        </w:rPr>
        <w:t>》中所载客户外，</w:t>
      </w:r>
      <w:r>
        <w:rPr>
          <w:rFonts w:hint="eastAsia" w:ascii="宋体" w:hAnsi="宋体" w:eastAsia="宋体" w:cs="宋体"/>
          <w:kern w:val="28"/>
          <w:sz w:val="24"/>
          <w:szCs w:val="24"/>
          <w:highlight w:val="none"/>
          <w:lang w:val="en-US" w:eastAsia="zh-CN"/>
        </w:rPr>
        <w:t>乙方</w:t>
      </w:r>
      <w:r>
        <w:rPr>
          <w:rFonts w:hint="eastAsia" w:ascii="宋体" w:hAnsi="宋体" w:eastAsia="宋体" w:cs="宋体"/>
          <w:kern w:val="28"/>
          <w:sz w:val="24"/>
          <w:szCs w:val="24"/>
          <w:highlight w:val="none"/>
        </w:rPr>
        <w:t>不得在开发商及销售现场周边对其他客户进行销售活动，明确路线范围设为开元大道以南至钱江路，长夏门街以东至汇通街。以道路中线为界，在此范围内拓客视为截访售房部客户。经举报并查实，则该客户推荐无效，并对</w:t>
      </w:r>
      <w:r>
        <w:rPr>
          <w:rFonts w:hint="eastAsia" w:ascii="宋体" w:hAnsi="宋体" w:eastAsia="宋体" w:cs="宋体"/>
          <w:kern w:val="28"/>
          <w:sz w:val="24"/>
          <w:szCs w:val="24"/>
          <w:highlight w:val="none"/>
          <w:lang w:val="en-US" w:eastAsia="zh-CN"/>
        </w:rPr>
        <w:t>乙方</w:t>
      </w:r>
      <w:r>
        <w:rPr>
          <w:rFonts w:hint="eastAsia" w:ascii="宋体" w:hAnsi="宋体" w:eastAsia="宋体" w:cs="宋体"/>
          <w:kern w:val="28"/>
          <w:sz w:val="24"/>
          <w:szCs w:val="24"/>
          <w:highlight w:val="none"/>
        </w:rPr>
        <w:t>处以1000元</w:t>
      </w:r>
      <w:r>
        <w:rPr>
          <w:rFonts w:hint="eastAsia" w:ascii="宋体" w:hAnsi="宋体" w:eastAsia="宋体" w:cs="宋体"/>
          <w:sz w:val="24"/>
          <w:szCs w:val="24"/>
          <w:highlight w:val="none"/>
        </w:rPr>
        <w:t>/单的</w:t>
      </w:r>
      <w:r>
        <w:rPr>
          <w:rFonts w:hint="eastAsia" w:ascii="宋体" w:hAnsi="宋体" w:eastAsia="宋体" w:cs="宋体"/>
          <w:kern w:val="28"/>
          <w:sz w:val="24"/>
          <w:szCs w:val="24"/>
          <w:highlight w:val="none"/>
        </w:rPr>
        <w:t>罚款（此条只针对乙方合作的贝系门店罚款）。</w:t>
      </w:r>
    </w:p>
    <w:p>
      <w:pPr>
        <w:keepNext w:val="0"/>
        <w:keepLines w:val="0"/>
        <w:kinsoku/>
        <w:wordWrap/>
        <w:overflowPunct/>
        <w:topLinePunct w:val="0"/>
        <w:bidi w:val="0"/>
        <w:adjustRightInd/>
        <w:snapToGrid/>
        <w:spacing w:line="360" w:lineRule="auto"/>
        <w:ind w:firstLine="480" w:firstLineChars="200"/>
        <w:textAlignment w:val="auto"/>
        <w:rPr>
          <w:rFonts w:hint="eastAsia" w:ascii="宋体" w:hAnsi="宋体" w:eastAsia="宋体" w:cs="宋体"/>
          <w:kern w:val="28"/>
          <w:sz w:val="24"/>
          <w:szCs w:val="24"/>
          <w:highlight w:val="none"/>
        </w:rPr>
      </w:pPr>
      <w:r>
        <w:rPr>
          <w:rFonts w:hint="eastAsia" w:ascii="宋体" w:hAnsi="宋体" w:eastAsia="宋体" w:cs="宋体"/>
          <w:kern w:val="28"/>
          <w:sz w:val="24"/>
          <w:szCs w:val="24"/>
          <w:highlight w:val="none"/>
        </w:rPr>
        <w:t>7、佣金方案</w:t>
      </w:r>
    </w:p>
    <w:p>
      <w:pPr>
        <w:keepNext w:val="0"/>
        <w:keepLines w:val="0"/>
        <w:kinsoku/>
        <w:wordWrap/>
        <w:overflowPunct/>
        <w:topLinePunct w:val="0"/>
        <w:bidi w:val="0"/>
        <w:adjustRightInd/>
        <w:snapToGrid/>
        <w:spacing w:line="360" w:lineRule="auto"/>
        <w:ind w:firstLine="480" w:firstLineChars="200"/>
        <w:textAlignment w:val="auto"/>
        <w:rPr>
          <w:rFonts w:hint="eastAsia" w:ascii="宋体" w:hAnsi="宋体" w:eastAsia="宋体" w:cs="宋体"/>
          <w:kern w:val="28"/>
          <w:sz w:val="24"/>
          <w:szCs w:val="24"/>
          <w:highlight w:val="none"/>
        </w:rPr>
      </w:pPr>
      <w:r>
        <w:rPr>
          <w:rFonts w:hint="eastAsia" w:ascii="宋体" w:hAnsi="宋体" w:eastAsia="宋体" w:cs="宋体"/>
          <w:kern w:val="28"/>
          <w:sz w:val="24"/>
          <w:szCs w:val="24"/>
          <w:highlight w:val="none"/>
        </w:rPr>
        <w:t>（1）乙方按照</w:t>
      </w:r>
      <w:r>
        <w:rPr>
          <w:rFonts w:hint="eastAsia" w:ascii="宋体" w:hAnsi="宋体" w:eastAsia="宋体" w:cs="宋体"/>
          <w:kern w:val="28"/>
          <w:sz w:val="24"/>
          <w:szCs w:val="24"/>
          <w:highlight w:val="none"/>
          <w:lang w:val="en-US" w:eastAsia="zh-CN"/>
        </w:rPr>
        <w:t>本合同</w:t>
      </w:r>
      <w:r>
        <w:rPr>
          <w:rFonts w:hint="eastAsia" w:ascii="宋体" w:hAnsi="宋体" w:eastAsia="宋体" w:cs="宋体"/>
          <w:kern w:val="28"/>
          <w:sz w:val="24"/>
          <w:szCs w:val="24"/>
          <w:highlight w:val="none"/>
        </w:rPr>
        <w:t>约定成功促成甲方销售商品房的佣金计算方式为：</w:t>
      </w:r>
    </w:p>
    <w:p>
      <w:pPr>
        <w:keepNext w:val="0"/>
        <w:keepLines w:val="0"/>
        <w:kinsoku/>
        <w:wordWrap/>
        <w:overflowPunct/>
        <w:topLinePunct w:val="0"/>
        <w:bidi w:val="0"/>
        <w:adjustRightInd/>
        <w:snapToGrid/>
        <w:spacing w:line="360" w:lineRule="auto"/>
        <w:ind w:firstLine="480" w:firstLineChars="200"/>
        <w:textAlignment w:val="auto"/>
        <w:rPr>
          <w:rFonts w:hint="eastAsia" w:ascii="宋体" w:hAnsi="宋体" w:eastAsia="宋体" w:cs="宋体"/>
          <w:kern w:val="28"/>
          <w:sz w:val="24"/>
          <w:szCs w:val="24"/>
          <w:highlight w:val="none"/>
        </w:rPr>
      </w:pPr>
      <w:r>
        <w:rPr>
          <w:rFonts w:hint="eastAsia" w:ascii="宋体" w:hAnsi="宋体" w:eastAsia="宋体" w:cs="宋体"/>
          <w:kern w:val="28"/>
          <w:sz w:val="24"/>
          <w:szCs w:val="24"/>
          <w:highlight w:val="none"/>
        </w:rPr>
        <w:t>销售佣金=销售总金额X 销售佣金费率（注：取当月销售套数总值相应的佣金费率，通提）</w:t>
      </w:r>
    </w:p>
    <w:p>
      <w:pPr>
        <w:keepNext w:val="0"/>
        <w:keepLines w:val="0"/>
        <w:kinsoku/>
        <w:wordWrap/>
        <w:overflowPunct/>
        <w:topLinePunct w:val="0"/>
        <w:bidi w:val="0"/>
        <w:adjustRightInd/>
        <w:snapToGrid/>
        <w:spacing w:line="360" w:lineRule="auto"/>
        <w:ind w:firstLine="480" w:firstLineChars="200"/>
        <w:textAlignment w:val="auto"/>
        <w:rPr>
          <w:rFonts w:hint="eastAsia" w:ascii="宋体" w:hAnsi="宋体" w:eastAsia="宋体" w:cs="宋体"/>
          <w:kern w:val="28"/>
          <w:sz w:val="24"/>
          <w:szCs w:val="24"/>
          <w:highlight w:val="none"/>
        </w:rPr>
      </w:pPr>
      <w:r>
        <w:rPr>
          <w:rFonts w:hint="eastAsia" w:ascii="宋体" w:hAnsi="宋体" w:eastAsia="宋体" w:cs="宋体"/>
          <w:kern w:val="28"/>
          <w:sz w:val="24"/>
          <w:szCs w:val="24"/>
          <w:highlight w:val="none"/>
        </w:rPr>
        <w:t>（2）佣金费率（销售金额以人民币计算）</w:t>
      </w:r>
    </w:p>
    <w:p>
      <w:pPr>
        <w:keepNext w:val="0"/>
        <w:keepLines w:val="0"/>
        <w:kinsoku/>
        <w:wordWrap/>
        <w:overflowPunct/>
        <w:topLinePunct w:val="0"/>
        <w:bidi w:val="0"/>
        <w:adjustRightInd/>
        <w:snapToGrid/>
        <w:spacing w:line="360" w:lineRule="auto"/>
        <w:ind w:firstLine="480" w:firstLineChars="200"/>
        <w:textAlignment w:val="auto"/>
        <w:rPr>
          <w:rFonts w:hint="eastAsia" w:ascii="宋体" w:hAnsi="宋体" w:eastAsia="宋体" w:cs="宋体"/>
          <w:kern w:val="28"/>
          <w:sz w:val="24"/>
          <w:szCs w:val="24"/>
          <w:highlight w:val="none"/>
        </w:rPr>
      </w:pPr>
      <w:r>
        <w:rPr>
          <w:rFonts w:hint="eastAsia" w:ascii="宋体" w:hAnsi="宋体" w:eastAsia="宋体" w:cs="宋体"/>
          <w:kern w:val="28"/>
          <w:sz w:val="24"/>
          <w:szCs w:val="24"/>
          <w:highlight w:val="none"/>
        </w:rPr>
        <w:t>住宅产品/公寓/商铺：</w:t>
      </w:r>
    </w:p>
    <w:p>
      <w:pPr>
        <w:keepNext w:val="0"/>
        <w:keepLines w:val="0"/>
        <w:kinsoku/>
        <w:wordWrap/>
        <w:overflowPunct/>
        <w:topLinePunct w:val="0"/>
        <w:bidi w:val="0"/>
        <w:adjustRightInd/>
        <w:snapToGrid/>
        <w:spacing w:line="360" w:lineRule="auto"/>
        <w:ind w:firstLine="480" w:firstLineChars="200"/>
        <w:textAlignment w:val="auto"/>
        <w:rPr>
          <w:rFonts w:hint="eastAsia" w:ascii="宋体" w:hAnsi="宋体" w:eastAsia="宋体" w:cs="宋体"/>
          <w:kern w:val="28"/>
          <w:sz w:val="24"/>
          <w:szCs w:val="24"/>
          <w:highlight w:val="none"/>
        </w:rPr>
      </w:pPr>
      <w:r>
        <w:rPr>
          <w:rFonts w:hint="eastAsia" w:ascii="宋体" w:hAnsi="宋体" w:eastAsia="宋体" w:cs="宋体"/>
          <w:kern w:val="28"/>
          <w:sz w:val="24"/>
          <w:szCs w:val="24"/>
          <w:highlight w:val="none"/>
        </w:rPr>
        <w:t>住宅：1%/套计提</w:t>
      </w:r>
    </w:p>
    <w:p>
      <w:pPr>
        <w:keepNext w:val="0"/>
        <w:keepLines w:val="0"/>
        <w:kinsoku/>
        <w:wordWrap/>
        <w:overflowPunct/>
        <w:topLinePunct w:val="0"/>
        <w:bidi w:val="0"/>
        <w:adjustRightInd/>
        <w:snapToGrid/>
        <w:spacing w:line="360" w:lineRule="auto"/>
        <w:ind w:firstLine="480" w:firstLineChars="200"/>
        <w:textAlignment w:val="auto"/>
        <w:rPr>
          <w:rFonts w:hint="eastAsia" w:ascii="宋体" w:hAnsi="宋体" w:eastAsia="宋体" w:cs="宋体"/>
          <w:kern w:val="28"/>
          <w:sz w:val="24"/>
          <w:szCs w:val="24"/>
          <w:highlight w:val="none"/>
        </w:rPr>
      </w:pPr>
      <w:r>
        <w:rPr>
          <w:rFonts w:hint="eastAsia" w:ascii="宋体" w:hAnsi="宋体" w:eastAsia="宋体" w:cs="宋体"/>
          <w:kern w:val="28"/>
          <w:sz w:val="24"/>
          <w:szCs w:val="24"/>
          <w:highlight w:val="none"/>
        </w:rPr>
        <w:t>公寓：3%/套计提</w:t>
      </w:r>
    </w:p>
    <w:p>
      <w:pPr>
        <w:keepNext w:val="0"/>
        <w:keepLines w:val="0"/>
        <w:kinsoku/>
        <w:wordWrap/>
        <w:overflowPunct/>
        <w:topLinePunct w:val="0"/>
        <w:bidi w:val="0"/>
        <w:adjustRightInd/>
        <w:snapToGrid/>
        <w:spacing w:line="360" w:lineRule="auto"/>
        <w:ind w:firstLine="480" w:firstLineChars="200"/>
        <w:textAlignment w:val="auto"/>
        <w:rPr>
          <w:rFonts w:hint="eastAsia" w:ascii="宋体" w:hAnsi="宋体" w:eastAsia="宋体" w:cs="宋体"/>
          <w:kern w:val="28"/>
          <w:sz w:val="24"/>
          <w:szCs w:val="24"/>
          <w:highlight w:val="none"/>
        </w:rPr>
      </w:pPr>
      <w:r>
        <w:rPr>
          <w:rFonts w:hint="eastAsia" w:ascii="宋体" w:hAnsi="宋体" w:eastAsia="宋体" w:cs="宋体"/>
          <w:kern w:val="28"/>
          <w:sz w:val="24"/>
          <w:szCs w:val="24"/>
          <w:highlight w:val="none"/>
        </w:rPr>
        <w:t>商铺：5%/套计提。</w:t>
      </w:r>
    </w:p>
    <w:p>
      <w:pPr>
        <w:keepNext w:val="0"/>
        <w:keepLines w:val="0"/>
        <w:kinsoku/>
        <w:wordWrap/>
        <w:overflowPunct/>
        <w:topLinePunct w:val="0"/>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本条的销售总金额是指根据本合同约定属于乙方成功销售的房屋结算价之和，但不包括买受人基于政府规定以及该《商品房买卖合同》约定应缴纳的税费。</w:t>
      </w:r>
    </w:p>
    <w:p>
      <w:pPr>
        <w:numPr>
          <w:ilvl w:val="0"/>
          <w:numId w:val="1"/>
        </w:numPr>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乙方已推介的客户及其直系亲属在本合同约定的保护期内购房的（按照成功销售为准），甲方按照本合同约定佣金费率向乙方支付佣金。乙方已推介的客户及其直系亲属在合同有效期结束（或因故解除）后15天内购房的（</w:t>
      </w:r>
      <w:r>
        <w:rPr>
          <w:rFonts w:hint="eastAsia" w:ascii="宋体" w:hAnsi="宋体" w:eastAsia="宋体" w:cs="宋体"/>
          <w:color w:val="000000"/>
          <w:sz w:val="24"/>
          <w:szCs w:val="24"/>
          <w:highlight w:val="none"/>
        </w:rPr>
        <w:t>以签订《认购书》时间为准</w:t>
      </w:r>
      <w:r>
        <w:rPr>
          <w:rFonts w:hint="eastAsia" w:ascii="宋体" w:hAnsi="宋体" w:eastAsia="宋体" w:cs="宋体"/>
          <w:sz w:val="24"/>
          <w:szCs w:val="24"/>
          <w:highlight w:val="none"/>
        </w:rPr>
        <w:t>），甲方仍须依照本合同的约定佣金费率向乙方支付全额</w:t>
      </w:r>
      <w:r>
        <w:rPr>
          <w:rFonts w:hint="eastAsia" w:ascii="宋体" w:hAnsi="宋体" w:eastAsia="宋体" w:cs="宋体"/>
          <w:sz w:val="24"/>
          <w:szCs w:val="24"/>
          <w:highlight w:val="none"/>
          <w:lang w:val="en-US" w:eastAsia="zh-CN"/>
        </w:rPr>
        <w:t>佣金</w:t>
      </w:r>
      <w:r>
        <w:rPr>
          <w:rFonts w:hint="eastAsia" w:ascii="宋体" w:hAnsi="宋体" w:eastAsia="宋体" w:cs="宋体"/>
          <w:sz w:val="24"/>
          <w:szCs w:val="24"/>
          <w:highlight w:val="none"/>
        </w:rPr>
        <w:t>。超过15天的，则甲方不需支付</w:t>
      </w:r>
      <w:r>
        <w:rPr>
          <w:rFonts w:hint="eastAsia" w:ascii="宋体" w:hAnsi="宋体" w:eastAsia="宋体" w:cs="宋体"/>
          <w:sz w:val="24"/>
          <w:szCs w:val="24"/>
          <w:highlight w:val="none"/>
          <w:lang w:val="en-US" w:eastAsia="zh-CN"/>
        </w:rPr>
        <w:t>佣金</w:t>
      </w:r>
      <w:r>
        <w:rPr>
          <w:rFonts w:hint="eastAsia" w:ascii="宋体" w:hAnsi="宋体" w:eastAsia="宋体" w:cs="宋体"/>
          <w:sz w:val="24"/>
          <w:szCs w:val="24"/>
          <w:highlight w:val="none"/>
        </w:rPr>
        <w:t>。</w:t>
      </w:r>
    </w:p>
    <w:p>
      <w:pPr>
        <w:numPr>
          <w:ilvl w:val="0"/>
          <w:numId w:val="0"/>
        </w:numPr>
        <w:spacing w:line="360" w:lineRule="auto"/>
        <w:jc w:val="left"/>
        <w:rPr>
          <w:rFonts w:hint="eastAsia" w:ascii="宋体" w:hAnsi="宋体" w:eastAsia="宋体" w:cs="宋体"/>
          <w:b/>
          <w:bCs/>
          <w:sz w:val="28"/>
          <w:szCs w:val="28"/>
          <w:lang w:eastAsia="zh-CN"/>
        </w:rPr>
      </w:pPr>
      <w:r>
        <w:rPr>
          <w:rFonts w:hint="eastAsia" w:ascii="宋体" w:hAnsi="宋体" w:eastAsia="宋体" w:cs="宋体"/>
          <w:b/>
          <w:bCs/>
          <w:sz w:val="28"/>
          <w:szCs w:val="28"/>
          <w:lang w:val="en-US" w:eastAsia="zh-CN"/>
        </w:rPr>
        <w:t>变更</w:t>
      </w:r>
      <w:r>
        <w:rPr>
          <w:rFonts w:hint="eastAsia" w:ascii="宋体" w:hAnsi="宋体" w:eastAsia="宋体" w:cs="宋体"/>
          <w:b/>
          <w:bCs/>
          <w:sz w:val="28"/>
          <w:szCs w:val="28"/>
          <w:lang w:eastAsia="zh-CN"/>
        </w:rPr>
        <w:t>为：</w:t>
      </w:r>
    </w:p>
    <w:p>
      <w:pPr>
        <w:numPr>
          <w:ilvl w:val="0"/>
          <w:numId w:val="0"/>
        </w:numPr>
        <w:spacing w:line="360" w:lineRule="auto"/>
        <w:jc w:val="left"/>
        <w:rPr>
          <w:rFonts w:hint="eastAsia" w:ascii="宋体" w:hAnsi="宋体" w:eastAsia="宋体" w:cs="宋体"/>
          <w:sz w:val="24"/>
          <w:szCs w:val="24"/>
          <w:highlight w:val="none"/>
        </w:rPr>
      </w:pPr>
      <w:r>
        <w:rPr>
          <w:rFonts w:hint="eastAsia" w:ascii="宋体" w:hAnsi="宋体" w:eastAsia="宋体" w:cs="宋体"/>
          <w:b/>
          <w:bCs/>
          <w:sz w:val="24"/>
          <w:szCs w:val="24"/>
          <w:highlight w:val="none"/>
        </w:rPr>
        <w:t>甲乙双方确认：</w:t>
      </w:r>
      <w:r>
        <w:rPr>
          <w:rFonts w:hint="eastAsia" w:ascii="宋体" w:hAnsi="宋体" w:eastAsia="宋体" w:cs="宋体"/>
          <w:b/>
          <w:bCs/>
          <w:kern w:val="28"/>
          <w:sz w:val="24"/>
          <w:szCs w:val="24"/>
          <w:highlight w:val="none"/>
        </w:rPr>
        <w:t>推介流程及佣金方案</w:t>
      </w:r>
      <w:r>
        <w:rPr>
          <w:rFonts w:hint="eastAsia" w:ascii="宋体" w:hAnsi="宋体" w:eastAsia="宋体" w:cs="宋体"/>
          <w:b/>
          <w:bCs/>
          <w:sz w:val="24"/>
          <w:szCs w:val="24"/>
          <w:highlight w:val="none"/>
        </w:rPr>
        <w:t>按照以下约定处理：</w:t>
      </w:r>
    </w:p>
    <w:p>
      <w:pPr>
        <w:keepNext w:val="0"/>
        <w:keepLines w:val="0"/>
        <w:kinsoku/>
        <w:wordWrap/>
        <w:overflowPunct/>
        <w:topLinePunct w:val="0"/>
        <w:bidi w:val="0"/>
        <w:adjustRightInd/>
        <w:snapToGrid/>
        <w:spacing w:line="360" w:lineRule="auto"/>
        <w:ind w:firstLine="482" w:firstLineChars="20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rPr>
        <w:t>推介流程</w:t>
      </w:r>
      <w:r>
        <w:rPr>
          <w:rFonts w:hint="eastAsia" w:ascii="宋体" w:hAnsi="宋体" w:eastAsia="宋体" w:cs="宋体"/>
          <w:b/>
          <w:bCs/>
          <w:sz w:val="24"/>
          <w:szCs w:val="24"/>
          <w:highlight w:val="none"/>
          <w:lang w:eastAsia="zh-CN"/>
        </w:rPr>
        <w:t>：</w:t>
      </w:r>
    </w:p>
    <w:p>
      <w:pPr>
        <w:keepNext w:val="0"/>
        <w:keepLines w:val="0"/>
        <w:kinsoku/>
        <w:wordWrap/>
        <w:overflowPunct/>
        <w:topLinePunct w:val="0"/>
        <w:bidi w:val="0"/>
        <w:adjustRightInd/>
        <w:snapToGrid/>
        <w:spacing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1、</w:t>
      </w:r>
      <w:bookmarkStart w:id="2" w:name="OLE_LINK104"/>
      <w:bookmarkStart w:id="3" w:name="_Hlk1994587"/>
      <w:r>
        <w:rPr>
          <w:rFonts w:hint="eastAsia" w:ascii="宋体" w:hAnsi="宋体" w:eastAsia="宋体" w:cs="宋体"/>
          <w:sz w:val="24"/>
          <w:szCs w:val="24"/>
          <w:highlight w:val="none"/>
          <w:lang w:eastAsia="zh-CN"/>
        </w:rPr>
        <w:t>隐号报备带看：</w:t>
      </w:r>
    </w:p>
    <w:p>
      <w:pPr>
        <w:keepNext w:val="0"/>
        <w:keepLines w:val="0"/>
        <w:kinsoku/>
        <w:wordWrap/>
        <w:overflowPunct/>
        <w:topLinePunct w:val="0"/>
        <w:bidi w:val="0"/>
        <w:adjustRightInd/>
        <w:snapToGrid/>
        <w:spacing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1.1</w:t>
      </w:r>
      <w:r>
        <w:rPr>
          <w:rFonts w:hint="eastAsia" w:ascii="宋体" w:hAnsi="宋体" w:eastAsia="宋体" w:cs="宋体"/>
          <w:sz w:val="24"/>
          <w:szCs w:val="24"/>
          <w:highlight w:val="none"/>
          <w:lang w:eastAsia="zh-CN"/>
        </w:rPr>
        <w:t>甲方确认并同意，乙方向甲方提供客户电话号码的前三后四位进行客户报备及客户带看（以下简称“隐号报备带看”），客户认购时提供客户电话号码全号（以下简称“全号”）。如客户认购前隐号在甲方查重系统中有重复的，则乙方提供全号至甲方。</w:t>
      </w:r>
    </w:p>
    <w:p>
      <w:pPr>
        <w:keepNext w:val="0"/>
        <w:keepLines w:val="0"/>
        <w:kinsoku/>
        <w:wordWrap/>
        <w:overflowPunct/>
        <w:topLinePunct w:val="0"/>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1.2</w:t>
      </w:r>
      <w:r>
        <w:rPr>
          <w:rFonts w:hint="eastAsia" w:ascii="宋体" w:hAnsi="宋体" w:eastAsia="宋体" w:cs="宋体"/>
          <w:sz w:val="24"/>
          <w:szCs w:val="24"/>
          <w:highlight w:val="none"/>
        </w:rPr>
        <w:t>客户报备方式：乙方应</w:t>
      </w:r>
      <w:r>
        <w:rPr>
          <w:rFonts w:hint="eastAsia" w:ascii="宋体" w:hAnsi="宋体" w:eastAsia="宋体" w:cs="宋体"/>
          <w:sz w:val="24"/>
          <w:szCs w:val="24"/>
          <w:highlight w:val="none"/>
          <w:lang w:val="en-US" w:eastAsia="zh-CN"/>
        </w:rPr>
        <w:t>在客户到访前</w:t>
      </w:r>
      <w:r>
        <w:rPr>
          <w:rFonts w:hint="eastAsia" w:ascii="宋体" w:hAnsi="宋体" w:eastAsia="宋体" w:cs="宋体"/>
          <w:sz w:val="24"/>
          <w:szCs w:val="24"/>
          <w:highlight w:val="none"/>
        </w:rPr>
        <w:t>至少30分钟</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在甲方指定的</w:t>
      </w:r>
      <w:r>
        <w:rPr>
          <w:rFonts w:hint="eastAsia" w:ascii="宋体" w:hAnsi="宋体" w:eastAsia="宋体" w:cs="宋体"/>
          <w:sz w:val="24"/>
          <w:szCs w:val="24"/>
          <w:highlight w:val="none"/>
          <w:u w:val="single"/>
          <w:lang w:val="en-US" w:eastAsia="zh-CN"/>
        </w:rPr>
        <w:t xml:space="preserve"> 微信群 </w:t>
      </w:r>
      <w:r>
        <w:rPr>
          <w:rFonts w:hint="eastAsia" w:ascii="宋体" w:hAnsi="宋体" w:eastAsia="宋体" w:cs="宋体"/>
          <w:sz w:val="24"/>
          <w:szCs w:val="24"/>
          <w:highlight w:val="none"/>
        </w:rPr>
        <w:t>进行客户报备，报备时提供客户电话前三后四，隐藏中间四位。</w:t>
      </w:r>
    </w:p>
    <w:p>
      <w:pPr>
        <w:keepNext w:val="0"/>
        <w:keepLines w:val="0"/>
        <w:kinsoku/>
        <w:wordWrap/>
        <w:overflowPunct/>
        <w:topLinePunct w:val="0"/>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甲方对接人应当在乙方报备后30分钟内将客户是否有效结果反馈给乙方，</w:t>
      </w:r>
      <w:r>
        <w:rPr>
          <w:rFonts w:hint="eastAsia" w:ascii="宋体" w:hAnsi="宋体" w:eastAsia="宋体" w:cs="宋体"/>
          <w:sz w:val="24"/>
          <w:szCs w:val="24"/>
          <w:highlight w:val="none"/>
          <w:lang w:val="en-US" w:eastAsia="zh-CN"/>
        </w:rPr>
        <w:t>甲方</w:t>
      </w:r>
      <w:r>
        <w:rPr>
          <w:rFonts w:hint="eastAsia" w:ascii="宋体" w:hAnsi="宋体" w:eastAsia="宋体" w:cs="宋体"/>
          <w:sz w:val="24"/>
          <w:szCs w:val="24"/>
          <w:highlight w:val="none"/>
        </w:rPr>
        <w:t>客户（包含但不限于自然到访、老带新、全民经纪人、甲方自渠等）的</w:t>
      </w:r>
      <w:r>
        <w:rPr>
          <w:rFonts w:hint="eastAsia" w:ascii="宋体" w:hAnsi="宋体" w:eastAsia="宋体" w:cs="宋体"/>
          <w:sz w:val="24"/>
          <w:szCs w:val="24"/>
          <w:highlight w:val="none"/>
          <w:lang w:eastAsia="zh-CN"/>
        </w:rPr>
        <w:t>到访</w:t>
      </w:r>
      <w:r>
        <w:rPr>
          <w:rFonts w:hint="eastAsia" w:ascii="宋体" w:hAnsi="宋体" w:eastAsia="宋体" w:cs="宋体"/>
          <w:sz w:val="24"/>
          <w:szCs w:val="24"/>
          <w:highlight w:val="none"/>
        </w:rPr>
        <w:t>保护期为：自最后一次到访当日起</w:t>
      </w:r>
      <w:r>
        <w:rPr>
          <w:rFonts w:hint="eastAsia" w:ascii="宋体" w:hAnsi="宋体" w:eastAsia="宋体" w:cs="宋体"/>
          <w:sz w:val="24"/>
          <w:szCs w:val="24"/>
          <w:highlight w:val="none"/>
          <w:u w:val="single"/>
          <w:lang w:val="en-US" w:eastAsia="zh-CN"/>
        </w:rPr>
        <w:t>15</w:t>
      </w:r>
      <w:r>
        <w:rPr>
          <w:rFonts w:hint="eastAsia" w:ascii="宋体" w:hAnsi="宋体" w:eastAsia="宋体" w:cs="宋体"/>
          <w:sz w:val="24"/>
          <w:szCs w:val="24"/>
          <w:highlight w:val="none"/>
        </w:rPr>
        <w:t>日，凡过</w:t>
      </w:r>
      <w:r>
        <w:rPr>
          <w:rFonts w:hint="eastAsia" w:ascii="宋体" w:hAnsi="宋体" w:eastAsia="宋体" w:cs="宋体"/>
          <w:sz w:val="24"/>
          <w:szCs w:val="24"/>
          <w:highlight w:val="none"/>
          <w:lang w:eastAsia="zh-CN"/>
        </w:rPr>
        <w:t>该保护期</w:t>
      </w:r>
      <w:r>
        <w:rPr>
          <w:rFonts w:hint="eastAsia" w:ascii="宋体" w:hAnsi="宋体" w:eastAsia="宋体" w:cs="宋体"/>
          <w:sz w:val="24"/>
          <w:szCs w:val="24"/>
          <w:highlight w:val="none"/>
        </w:rPr>
        <w:t>的客户，乙方</w:t>
      </w:r>
      <w:r>
        <w:rPr>
          <w:rFonts w:hint="eastAsia" w:ascii="宋体" w:hAnsi="宋体" w:eastAsia="宋体" w:cs="宋体"/>
          <w:sz w:val="24"/>
          <w:szCs w:val="24"/>
          <w:highlight w:val="none"/>
          <w:lang w:eastAsia="zh-CN"/>
        </w:rPr>
        <w:t>再</w:t>
      </w:r>
      <w:r>
        <w:rPr>
          <w:rFonts w:hint="eastAsia" w:ascii="宋体" w:hAnsi="宋体" w:eastAsia="宋体" w:cs="宋体"/>
          <w:sz w:val="24"/>
          <w:szCs w:val="24"/>
          <w:highlight w:val="none"/>
        </w:rPr>
        <w:t>报备</w:t>
      </w:r>
      <w:r>
        <w:rPr>
          <w:rFonts w:hint="eastAsia" w:ascii="宋体" w:hAnsi="宋体" w:eastAsia="宋体" w:cs="宋体"/>
          <w:sz w:val="24"/>
          <w:szCs w:val="24"/>
          <w:highlight w:val="none"/>
          <w:lang w:eastAsia="zh-CN"/>
        </w:rPr>
        <w:t>为有效可</w:t>
      </w:r>
      <w:r>
        <w:rPr>
          <w:rFonts w:hint="eastAsia" w:ascii="宋体" w:hAnsi="宋体" w:eastAsia="宋体" w:cs="宋体"/>
          <w:sz w:val="24"/>
          <w:szCs w:val="24"/>
          <w:highlight w:val="none"/>
        </w:rPr>
        <w:t>带访。</w:t>
      </w:r>
      <w:r>
        <w:rPr>
          <w:rFonts w:hint="eastAsia" w:ascii="宋体" w:hAnsi="宋体" w:eastAsia="宋体" w:cs="宋体"/>
          <w:sz w:val="24"/>
          <w:szCs w:val="24"/>
          <w:highlight w:val="none"/>
          <w:lang w:eastAsia="zh-CN"/>
        </w:rPr>
        <w:t>甲方登记的其他渠道推介的客户</w:t>
      </w:r>
      <w:r>
        <w:rPr>
          <w:rFonts w:hint="eastAsia" w:ascii="宋体" w:hAnsi="宋体" w:eastAsia="宋体" w:cs="宋体"/>
          <w:sz w:val="24"/>
          <w:szCs w:val="24"/>
          <w:highlight w:val="none"/>
        </w:rPr>
        <w:t>自最后一次到访当日起</w:t>
      </w:r>
      <w:r>
        <w:rPr>
          <w:rFonts w:hint="eastAsia" w:ascii="宋体" w:hAnsi="宋体" w:eastAsia="宋体" w:cs="宋体"/>
          <w:sz w:val="24"/>
          <w:szCs w:val="24"/>
          <w:highlight w:val="none"/>
          <w:u w:val="single"/>
          <w:lang w:val="en-US" w:eastAsia="zh-CN"/>
        </w:rPr>
        <w:t>15</w:t>
      </w:r>
      <w:r>
        <w:rPr>
          <w:rFonts w:hint="eastAsia" w:ascii="宋体" w:hAnsi="宋体" w:eastAsia="宋体" w:cs="宋体"/>
          <w:sz w:val="24"/>
          <w:szCs w:val="24"/>
          <w:highlight w:val="none"/>
        </w:rPr>
        <w:t>日，凡过</w:t>
      </w:r>
      <w:r>
        <w:rPr>
          <w:rFonts w:hint="eastAsia" w:ascii="宋体" w:hAnsi="宋体" w:eastAsia="宋体" w:cs="宋体"/>
          <w:sz w:val="24"/>
          <w:szCs w:val="24"/>
          <w:highlight w:val="none"/>
          <w:lang w:eastAsia="zh-CN"/>
        </w:rPr>
        <w:t>该保护期</w:t>
      </w:r>
      <w:r>
        <w:rPr>
          <w:rFonts w:hint="eastAsia" w:ascii="宋体" w:hAnsi="宋体" w:eastAsia="宋体" w:cs="宋体"/>
          <w:sz w:val="24"/>
          <w:szCs w:val="24"/>
          <w:highlight w:val="none"/>
        </w:rPr>
        <w:t>的客户，乙方</w:t>
      </w:r>
      <w:r>
        <w:rPr>
          <w:rFonts w:hint="eastAsia" w:ascii="宋体" w:hAnsi="宋体" w:eastAsia="宋体" w:cs="宋体"/>
          <w:sz w:val="24"/>
          <w:szCs w:val="24"/>
          <w:highlight w:val="none"/>
          <w:lang w:eastAsia="zh-CN"/>
        </w:rPr>
        <w:t>再</w:t>
      </w:r>
      <w:r>
        <w:rPr>
          <w:rFonts w:hint="eastAsia" w:ascii="宋体" w:hAnsi="宋体" w:eastAsia="宋体" w:cs="宋体"/>
          <w:sz w:val="24"/>
          <w:szCs w:val="24"/>
          <w:highlight w:val="none"/>
        </w:rPr>
        <w:t>报备</w:t>
      </w:r>
      <w:r>
        <w:rPr>
          <w:rFonts w:hint="eastAsia" w:ascii="宋体" w:hAnsi="宋体" w:eastAsia="宋体" w:cs="宋体"/>
          <w:sz w:val="24"/>
          <w:szCs w:val="24"/>
          <w:highlight w:val="none"/>
          <w:lang w:eastAsia="zh-CN"/>
        </w:rPr>
        <w:t>为有效可</w:t>
      </w:r>
      <w:r>
        <w:rPr>
          <w:rFonts w:hint="eastAsia" w:ascii="宋体" w:hAnsi="宋体" w:eastAsia="宋体" w:cs="宋体"/>
          <w:sz w:val="24"/>
          <w:szCs w:val="24"/>
          <w:highlight w:val="none"/>
        </w:rPr>
        <w:t>带访</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对于无效客户，甲方须向乙方提供相关证明文件（包括但不限于甲方客户登记系统截图、客户上一次到访记录等），逾期反馈或未提供无效证据的视为甲方默认该客户</w:t>
      </w:r>
      <w:r>
        <w:rPr>
          <w:rFonts w:hint="eastAsia" w:ascii="宋体" w:hAnsi="宋体" w:eastAsia="宋体" w:cs="宋体"/>
          <w:sz w:val="24"/>
          <w:szCs w:val="24"/>
          <w:highlight w:val="none"/>
          <w:lang w:eastAsia="zh-CN"/>
        </w:rPr>
        <w:t>不在甲方客户到访保护期内视</w:t>
      </w:r>
      <w:r>
        <w:rPr>
          <w:rFonts w:hint="eastAsia" w:ascii="宋体" w:hAnsi="宋体" w:eastAsia="宋体" w:cs="宋体"/>
          <w:sz w:val="24"/>
          <w:szCs w:val="24"/>
          <w:highlight w:val="none"/>
        </w:rPr>
        <w:t>为乙方有效</w:t>
      </w:r>
      <w:r>
        <w:rPr>
          <w:rFonts w:hint="eastAsia" w:ascii="宋体" w:hAnsi="宋体" w:eastAsia="宋体" w:cs="宋体"/>
          <w:sz w:val="24"/>
          <w:szCs w:val="24"/>
          <w:highlight w:val="none"/>
          <w:lang w:eastAsia="zh-CN"/>
        </w:rPr>
        <w:t>推介</w:t>
      </w:r>
      <w:r>
        <w:rPr>
          <w:rFonts w:hint="eastAsia" w:ascii="宋体" w:hAnsi="宋体" w:eastAsia="宋体" w:cs="宋体"/>
          <w:sz w:val="24"/>
          <w:szCs w:val="24"/>
          <w:highlight w:val="none"/>
        </w:rPr>
        <w:t>客户。</w:t>
      </w:r>
    </w:p>
    <w:p>
      <w:pPr>
        <w:keepNext w:val="0"/>
        <w:keepLines w:val="0"/>
        <w:kinsoku/>
        <w:wordWrap/>
        <w:overflowPunct/>
        <w:topLinePunct w:val="0"/>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如后期发生撞客行为，以客户到访时间先后为准判定客户归属，若一方虽到访在先但已过保护期也不归属该方；若同天到访，则以</w:t>
      </w:r>
      <w:r>
        <w:rPr>
          <w:rFonts w:hint="eastAsia" w:ascii="宋体" w:hAnsi="宋体" w:eastAsia="宋体" w:cs="宋体"/>
          <w:sz w:val="24"/>
          <w:szCs w:val="24"/>
          <w:highlight w:val="none"/>
          <w:lang w:val="en-US" w:eastAsia="zh-CN"/>
        </w:rPr>
        <w:t>经纪人带访</w:t>
      </w:r>
      <w:r>
        <w:rPr>
          <w:rFonts w:hint="eastAsia" w:ascii="宋体" w:hAnsi="宋体" w:eastAsia="宋体" w:cs="宋体"/>
          <w:sz w:val="24"/>
          <w:szCs w:val="24"/>
          <w:highlight w:val="none"/>
        </w:rPr>
        <w:t>时间先后为准。</w:t>
      </w:r>
    </w:p>
    <w:p>
      <w:pPr>
        <w:keepNext w:val="0"/>
        <w:keepLines w:val="0"/>
        <w:kinsoku/>
        <w:wordWrap/>
        <w:overflowPunct/>
        <w:topLinePunct w:val="0"/>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4、带看保护期对等：</w:t>
      </w:r>
    </w:p>
    <w:p>
      <w:pPr>
        <w:keepNext w:val="0"/>
        <w:keepLines w:val="0"/>
        <w:kinsoku/>
        <w:wordWrap/>
        <w:overflowPunct/>
        <w:topLinePunct w:val="0"/>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为推动公平作业，更好地发挥双方合作价值，乙方客户的到访保护期与甲方客户（包含但不限于自然到访、老带新、全民经纪人、甲方自渠等）的到访保护期相同。到访保护期内如客户重新到访，保护期自到访当日起重新计算。若双方合同到期或终止合作，乙方客户的到访保护期依然有效。乙方有权将本合同相关内容向合作方及经纪人公示。</w:t>
      </w:r>
    </w:p>
    <w:p>
      <w:pPr>
        <w:keepNext w:val="0"/>
        <w:keepLines w:val="0"/>
        <w:kinsoku/>
        <w:wordWrap/>
        <w:overflowPunct/>
        <w:topLinePunct w:val="0"/>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5、乙方</w:t>
      </w:r>
      <w:r>
        <w:rPr>
          <w:rFonts w:hint="eastAsia" w:ascii="宋体" w:hAnsi="宋体" w:eastAsia="宋体" w:cs="宋体"/>
          <w:sz w:val="24"/>
          <w:szCs w:val="24"/>
          <w:highlight w:val="none"/>
        </w:rPr>
        <w:t>客户到访保护期：推荐客户到访保护期为自客户最后一次到访之日起</w:t>
      </w:r>
      <w:r>
        <w:rPr>
          <w:rFonts w:hint="eastAsia" w:ascii="宋体" w:hAnsi="宋体" w:eastAsia="宋体" w:cs="宋体"/>
          <w:sz w:val="24"/>
          <w:szCs w:val="24"/>
          <w:highlight w:val="none"/>
          <w:u w:val="single"/>
          <w:lang w:val="en-US" w:eastAsia="zh-CN"/>
        </w:rPr>
        <w:t xml:space="preserve"> 15 </w:t>
      </w:r>
      <w:r>
        <w:rPr>
          <w:rFonts w:hint="eastAsia" w:ascii="宋体" w:hAnsi="宋体" w:eastAsia="宋体" w:cs="宋体"/>
          <w:sz w:val="24"/>
          <w:szCs w:val="24"/>
          <w:highlight w:val="none"/>
        </w:rPr>
        <w:t>日，在此期间甲方不得确认该客户为甲方客户或其他第三方客户。如已到访客户在客户到访保护期内重复到访，则甲乙双方需重新签署《客户带看确认书》，将客户到访保护期的起始日更改为客户最后一次到访项目之日。如已到访客户于客户到访保护期外再次到访，</w:t>
      </w:r>
      <w:r>
        <w:rPr>
          <w:rFonts w:hint="eastAsia" w:ascii="宋体" w:hAnsi="宋体" w:eastAsia="宋体" w:cs="宋体"/>
          <w:sz w:val="24"/>
          <w:szCs w:val="24"/>
          <w:highlight w:val="none"/>
          <w:lang w:eastAsia="zh-CN"/>
        </w:rPr>
        <w:t>乙方可</w:t>
      </w:r>
      <w:r>
        <w:rPr>
          <w:rFonts w:hint="eastAsia" w:ascii="宋体" w:hAnsi="宋体" w:eastAsia="宋体" w:cs="宋体"/>
          <w:sz w:val="24"/>
          <w:szCs w:val="24"/>
          <w:highlight w:val="none"/>
        </w:rPr>
        <w:t>重新报备并重新签署《客户带看确认书》（如遇本合同提前终止或解除，不影响有关客户保护期的约定）。</w:t>
      </w:r>
    </w:p>
    <w:p>
      <w:pPr>
        <w:keepNext w:val="0"/>
        <w:keepLines w:val="0"/>
        <w:kinsoku/>
        <w:wordWrap/>
        <w:overflowPunct/>
        <w:topLinePunct w:val="0"/>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客户到访后由甲方统一对推荐客户进行客户登记和接待分配。客户到访当日，甲乙双方须签署《客户带看确认书》（见附件1），以便双方核对确认。</w:t>
      </w:r>
    </w:p>
    <w:p>
      <w:pPr>
        <w:keepNext w:val="0"/>
        <w:keepLines w:val="0"/>
        <w:kinsoku/>
        <w:wordWrap/>
        <w:overflowPunct/>
        <w:topLinePunct w:val="0"/>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如乙方与其他单位、中介单位及其他推介渠道均推介同一组客户（直系亲属即父母、配偶、子女</w:t>
      </w:r>
      <w:r>
        <w:rPr>
          <w:rFonts w:hint="eastAsia" w:ascii="宋体" w:hAnsi="宋体" w:eastAsia="宋体" w:cs="宋体"/>
          <w:sz w:val="24"/>
          <w:szCs w:val="24"/>
          <w:highlight w:val="none"/>
          <w:lang w:eastAsia="zh-CN"/>
        </w:rPr>
        <w:t>，含养</w:t>
      </w:r>
      <w:r>
        <w:rPr>
          <w:rFonts w:hint="eastAsia" w:ascii="宋体" w:hAnsi="宋体" w:eastAsia="宋体" w:cs="宋体"/>
          <w:sz w:val="24"/>
          <w:szCs w:val="24"/>
          <w:highlight w:val="none"/>
          <w:lang w:val="en-US" w:eastAsia="zh-CN"/>
        </w:rPr>
        <w:t>/继父母/子女</w:t>
      </w:r>
      <w:r>
        <w:rPr>
          <w:rFonts w:hint="eastAsia" w:ascii="宋体" w:hAnsi="宋体" w:eastAsia="宋体" w:cs="宋体"/>
          <w:sz w:val="24"/>
          <w:szCs w:val="24"/>
          <w:highlight w:val="none"/>
        </w:rPr>
        <w:t>）到访的，以</w:t>
      </w:r>
      <w:r>
        <w:rPr>
          <w:rFonts w:hint="eastAsia" w:ascii="宋体" w:hAnsi="宋体" w:eastAsia="宋体" w:cs="宋体"/>
          <w:sz w:val="24"/>
          <w:szCs w:val="24"/>
          <w:highlight w:val="none"/>
          <w:lang w:val="en-US" w:eastAsia="zh-CN"/>
        </w:rPr>
        <w:t>报备</w:t>
      </w:r>
      <w:r>
        <w:rPr>
          <w:rFonts w:hint="eastAsia" w:ascii="宋体" w:hAnsi="宋体" w:eastAsia="宋体" w:cs="宋体"/>
          <w:sz w:val="24"/>
          <w:szCs w:val="24"/>
          <w:highlight w:val="none"/>
          <w:lang w:eastAsia="zh-CN"/>
        </w:rPr>
        <w:t>有效期内</w:t>
      </w:r>
      <w:r>
        <w:rPr>
          <w:rFonts w:hint="eastAsia" w:ascii="宋体" w:hAnsi="宋体" w:eastAsia="宋体" w:cs="宋体"/>
          <w:sz w:val="24"/>
          <w:szCs w:val="24"/>
          <w:highlight w:val="none"/>
        </w:rPr>
        <w:t>最早到访时间为准确认客户归属。如同时到达案场，则以</w:t>
      </w:r>
      <w:r>
        <w:rPr>
          <w:rFonts w:hint="eastAsia" w:ascii="宋体" w:hAnsi="宋体" w:eastAsia="宋体" w:cs="宋体"/>
          <w:sz w:val="24"/>
          <w:szCs w:val="24"/>
          <w:highlight w:val="none"/>
          <w:lang w:val="en-US" w:eastAsia="zh-CN"/>
        </w:rPr>
        <w:t>报备</w:t>
      </w:r>
      <w:r>
        <w:rPr>
          <w:rFonts w:hint="eastAsia" w:ascii="宋体" w:hAnsi="宋体" w:eastAsia="宋体" w:cs="宋体"/>
          <w:sz w:val="24"/>
          <w:szCs w:val="24"/>
          <w:highlight w:val="none"/>
          <w:lang w:eastAsia="zh-CN"/>
        </w:rPr>
        <w:t>有效期内</w:t>
      </w:r>
      <w:r>
        <w:rPr>
          <w:rFonts w:hint="eastAsia" w:ascii="宋体" w:hAnsi="宋体" w:eastAsia="宋体" w:cs="宋体"/>
          <w:sz w:val="24"/>
          <w:szCs w:val="24"/>
          <w:highlight w:val="none"/>
        </w:rPr>
        <w:t>最早有效报备时间确认客户归属。</w:t>
      </w:r>
    </w:p>
    <w:p>
      <w:pPr>
        <w:keepNext w:val="0"/>
        <w:keepLines w:val="0"/>
        <w:kinsoku/>
        <w:wordWrap/>
        <w:overflowPunct/>
        <w:topLinePunct w:val="0"/>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以下客户</w:t>
      </w:r>
      <w:r>
        <w:rPr>
          <w:rFonts w:hint="eastAsia" w:ascii="宋体" w:hAnsi="宋体" w:eastAsia="宋体" w:cs="宋体"/>
          <w:sz w:val="24"/>
          <w:szCs w:val="24"/>
          <w:highlight w:val="none"/>
          <w:lang w:eastAsia="zh-CN"/>
        </w:rPr>
        <w:t>亦</w:t>
      </w:r>
      <w:r>
        <w:rPr>
          <w:rFonts w:hint="eastAsia" w:ascii="宋体" w:hAnsi="宋体" w:eastAsia="宋体" w:cs="宋体"/>
          <w:sz w:val="24"/>
          <w:szCs w:val="24"/>
          <w:highlight w:val="none"/>
        </w:rPr>
        <w:t>视为乙方有效客户：</w:t>
      </w:r>
    </w:p>
    <w:p>
      <w:pPr>
        <w:keepNext w:val="0"/>
        <w:keepLines w:val="0"/>
        <w:kinsoku/>
        <w:wordWrap/>
        <w:overflowPunct/>
        <w:topLinePunct w:val="0"/>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.1乙方推荐客户</w:t>
      </w:r>
      <w:r>
        <w:rPr>
          <w:rFonts w:hint="eastAsia" w:ascii="宋体" w:hAnsi="宋体" w:eastAsia="宋体" w:cs="宋体"/>
          <w:sz w:val="24"/>
          <w:szCs w:val="24"/>
          <w:highlight w:val="none"/>
          <w:lang w:eastAsia="zh-CN"/>
        </w:rPr>
        <w:t>或其直系亲属保护期内</w:t>
      </w:r>
      <w:r>
        <w:rPr>
          <w:rFonts w:hint="eastAsia" w:ascii="宋体" w:hAnsi="宋体" w:eastAsia="宋体" w:cs="宋体"/>
          <w:sz w:val="24"/>
          <w:szCs w:val="24"/>
          <w:highlight w:val="none"/>
        </w:rPr>
        <w:t>再次购买该项目房屋；</w:t>
      </w:r>
    </w:p>
    <w:p>
      <w:pPr>
        <w:keepNext w:val="0"/>
        <w:keepLines w:val="0"/>
        <w:kinsoku/>
        <w:wordWrap/>
        <w:overflowPunct/>
        <w:topLinePunct w:val="0"/>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.2乙方推荐的客户推荐第三人</w:t>
      </w:r>
      <w:r>
        <w:rPr>
          <w:rFonts w:hint="eastAsia" w:ascii="宋体" w:hAnsi="宋体" w:eastAsia="宋体" w:cs="宋体"/>
          <w:sz w:val="24"/>
          <w:szCs w:val="24"/>
          <w:highlight w:val="none"/>
          <w:lang w:eastAsia="zh-CN"/>
        </w:rPr>
        <w:t>保护期内</w:t>
      </w:r>
      <w:r>
        <w:rPr>
          <w:rFonts w:hint="eastAsia" w:ascii="宋体" w:hAnsi="宋体" w:eastAsia="宋体" w:cs="宋体"/>
          <w:sz w:val="24"/>
          <w:szCs w:val="24"/>
          <w:highlight w:val="none"/>
        </w:rPr>
        <w:t>购买项目房屋；</w:t>
      </w:r>
    </w:p>
    <w:p>
      <w:pPr>
        <w:keepNext w:val="0"/>
        <w:keepLines w:val="0"/>
        <w:kinsoku/>
        <w:wordWrap/>
        <w:overflowPunct/>
        <w:topLinePunct w:val="0"/>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.3乙方推荐客户的直系亲属</w:t>
      </w:r>
      <w:r>
        <w:rPr>
          <w:rFonts w:hint="eastAsia" w:ascii="宋体" w:hAnsi="宋体" w:eastAsia="宋体" w:cs="宋体"/>
          <w:sz w:val="24"/>
          <w:szCs w:val="24"/>
          <w:highlight w:val="none"/>
          <w:lang w:eastAsia="zh-CN"/>
        </w:rPr>
        <w:t>保护期内</w:t>
      </w:r>
      <w:r>
        <w:rPr>
          <w:rFonts w:hint="eastAsia" w:ascii="宋体" w:hAnsi="宋体" w:eastAsia="宋体" w:cs="宋体"/>
          <w:sz w:val="24"/>
          <w:szCs w:val="24"/>
          <w:highlight w:val="none"/>
        </w:rPr>
        <w:t>购买项目房屋。</w:t>
      </w:r>
    </w:p>
    <w:p>
      <w:pPr>
        <w:keepNext w:val="0"/>
        <w:keepLines w:val="0"/>
        <w:kinsoku/>
        <w:wordWrap/>
        <w:overflowPunct/>
        <w:topLinePunct w:val="0"/>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9、</w:t>
      </w:r>
      <w:r>
        <w:rPr>
          <w:rFonts w:hint="eastAsia" w:ascii="宋体" w:hAnsi="宋体" w:eastAsia="宋体" w:cs="宋体"/>
          <w:sz w:val="24"/>
          <w:szCs w:val="24"/>
          <w:highlight w:val="none"/>
        </w:rPr>
        <w:t>甲方须于客户到访前或到访后通知并协助乙方进行客户确认，不得引导、默认、强制要求客户以更换联系方式等形式未经乙方而与甲方成交。</w:t>
      </w:r>
    </w:p>
    <w:p>
      <w:pPr>
        <w:keepNext w:val="0"/>
        <w:keepLines w:val="0"/>
        <w:kinsoku/>
        <w:wordWrap/>
        <w:overflowPunct/>
        <w:topLinePunct w:val="0"/>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rPr>
        <w:t>甲乙双方人员不得通过不正当方式（如盗取对方信息、不正当竞争方式取得等）获取对方客户资源，并用隐瞒事实等方式与对方客户签约或泄露给第三方成交的，否则，违约方按该笔佣金双倍金额作为违约金支付给守约方。</w:t>
      </w:r>
    </w:p>
    <w:p>
      <w:pPr>
        <w:keepNext w:val="0"/>
        <w:keepLines w:val="0"/>
        <w:kinsoku/>
        <w:wordWrap/>
        <w:overflowPunct/>
        <w:topLinePunct w:val="0"/>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双方根据本合同判客标准判定为乙方客户后，甲方不得以回访、财务审计、集团公司审查等任何理由将乙方客户改判，或不予认可，否则视为违约，按照本合同约定承担逾期付款违约责任。</w:t>
      </w:r>
    </w:p>
    <w:p>
      <w:pPr>
        <w:keepNext w:val="0"/>
        <w:keepLines w:val="0"/>
        <w:kinsoku/>
        <w:wordWrap/>
        <w:overflowPunct/>
        <w:topLinePunct w:val="0"/>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乙方已推介的客户与其直系亲属属于同一组客户。同一组客户任一人在保护期内认购</w:t>
      </w:r>
      <w:r>
        <w:rPr>
          <w:rFonts w:hint="eastAsia" w:ascii="宋体" w:hAnsi="宋体" w:eastAsia="宋体" w:cs="宋体"/>
          <w:sz w:val="24"/>
          <w:szCs w:val="24"/>
          <w:highlight w:val="none"/>
          <w:lang w:eastAsia="zh-CN"/>
        </w:rPr>
        <w:t>房源</w:t>
      </w:r>
      <w:r>
        <w:rPr>
          <w:rFonts w:hint="eastAsia" w:ascii="宋体" w:hAnsi="宋体" w:eastAsia="宋体" w:cs="宋体"/>
          <w:sz w:val="24"/>
          <w:szCs w:val="24"/>
          <w:highlight w:val="none"/>
        </w:rPr>
        <w:t>的,待</w:t>
      </w:r>
      <w:r>
        <w:rPr>
          <w:rFonts w:hint="eastAsia" w:ascii="宋体" w:hAnsi="宋体" w:eastAsia="宋体" w:cs="宋体"/>
          <w:sz w:val="24"/>
          <w:szCs w:val="24"/>
          <w:highlight w:val="none"/>
          <w:lang w:eastAsia="zh-CN"/>
        </w:rPr>
        <w:t>达到结算</w:t>
      </w:r>
      <w:r>
        <w:rPr>
          <w:rFonts w:hint="eastAsia" w:ascii="宋体" w:hAnsi="宋体" w:eastAsia="宋体" w:cs="宋体"/>
          <w:sz w:val="24"/>
          <w:szCs w:val="24"/>
          <w:highlight w:val="none"/>
        </w:rPr>
        <w:t>条件后甲方向乙方支付佣金；在合同有效期结束（或因故解除）后</w:t>
      </w:r>
      <w:r>
        <w:rPr>
          <w:rFonts w:hint="eastAsia" w:ascii="宋体" w:hAnsi="宋体" w:eastAsia="宋体" w:cs="宋体"/>
          <w:sz w:val="24"/>
          <w:szCs w:val="24"/>
          <w:highlight w:val="none"/>
          <w:lang w:eastAsia="zh-CN"/>
        </w:rPr>
        <w:t>带看保护期</w:t>
      </w:r>
      <w:r>
        <w:rPr>
          <w:rFonts w:hint="eastAsia" w:ascii="宋体" w:hAnsi="宋体" w:eastAsia="宋体" w:cs="宋体"/>
          <w:sz w:val="24"/>
          <w:szCs w:val="24"/>
          <w:highlight w:val="none"/>
        </w:rPr>
        <w:t>内认购的，甲方仍依本合同的约定向乙方支付全额佣金。</w:t>
      </w:r>
    </w:p>
    <w:p>
      <w:pPr>
        <w:keepNext w:val="0"/>
        <w:keepLines w:val="0"/>
        <w:kinsoku/>
        <w:wordWrap/>
        <w:overflowPunct/>
        <w:topLinePunct w:val="0"/>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甲方指定对接人如在乙方推荐客户成功后不向乙方出具签字确认《客户带看确认书》《成功销售确认单》《对账单明细表》的，乙方有权凭其推荐客户期间与甲方</w:t>
      </w:r>
      <w:r>
        <w:rPr>
          <w:rFonts w:hint="eastAsia" w:ascii="宋体" w:hAnsi="宋体" w:eastAsia="宋体" w:cs="宋体"/>
          <w:sz w:val="24"/>
          <w:szCs w:val="24"/>
          <w:highlight w:val="none"/>
          <w:lang w:eastAsia="zh-CN"/>
        </w:rPr>
        <w:t>人员</w:t>
      </w:r>
      <w:r>
        <w:rPr>
          <w:rFonts w:hint="eastAsia" w:ascii="宋体" w:hAnsi="宋体" w:eastAsia="宋体" w:cs="宋体"/>
          <w:sz w:val="24"/>
          <w:szCs w:val="24"/>
          <w:highlight w:val="none"/>
        </w:rPr>
        <w:t>之间的信息，及该客户与甲方签署的商品房买卖合同等作为客户确认的依据要求甲方支付佣金。</w:t>
      </w:r>
    </w:p>
    <w:p>
      <w:pPr>
        <w:keepNext w:val="0"/>
        <w:keepLines w:val="0"/>
        <w:kinsoku/>
        <w:wordWrap/>
        <w:overflowPunct/>
        <w:topLinePunct w:val="0"/>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14、乙方客户或直系亲属认购或网签后换房、更名的不影响乙方业绩归属认定，按照实际成交房源向乙方结算佣金。</w:t>
      </w:r>
    </w:p>
    <w:p>
      <w:pPr>
        <w:keepNext w:val="0"/>
        <w:keepLines w:val="0"/>
        <w:kinsoku/>
        <w:wordWrap/>
        <w:overflowPunct/>
        <w:topLinePunct w:val="0"/>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15、</w:t>
      </w:r>
      <w:r>
        <w:rPr>
          <w:rFonts w:hint="eastAsia" w:ascii="宋体" w:hAnsi="宋体" w:eastAsia="宋体" w:cs="宋体"/>
          <w:sz w:val="24"/>
          <w:szCs w:val="24"/>
          <w:highlight w:val="none"/>
        </w:rPr>
        <w:t>成功销售：乙方推介的客户与甲方</w:t>
      </w:r>
      <w:r>
        <w:rPr>
          <w:rFonts w:hint="eastAsia" w:ascii="宋体" w:hAnsi="宋体" w:eastAsia="宋体" w:cs="宋体"/>
          <w:sz w:val="24"/>
          <w:szCs w:val="24"/>
          <w:highlight w:val="none"/>
          <w:lang w:eastAsia="zh-CN"/>
        </w:rPr>
        <w:t>草签或</w:t>
      </w:r>
      <w:r>
        <w:rPr>
          <w:rFonts w:hint="eastAsia" w:ascii="宋体" w:hAnsi="宋体" w:eastAsia="宋体" w:cs="宋体"/>
          <w:sz w:val="24"/>
          <w:szCs w:val="24"/>
          <w:highlight w:val="none"/>
        </w:rPr>
        <w:t>网签《商品房买卖合同》的，即视为乙方推荐客户成功，计入乙方销售业绩。甲方须在乙方成功销售物业后3日内在乙方提供的《成功销售确认单》上签字，逾期未签署视为对乙方销售业绩的确认。如因政府限签或甲方原因（项目商品房有权利负担、被抵押等）导致客户无法网签的，自客户缴纳第一笔购房款视为乙方成功销售达到结算条件，计为乙方业绩正常结算。</w:t>
      </w:r>
    </w:p>
    <w:bookmarkEnd w:id="2"/>
    <w:bookmarkEnd w:id="3"/>
    <w:p>
      <w:pPr>
        <w:keepNext w:val="0"/>
        <w:keepLines w:val="0"/>
        <w:kinsoku/>
        <w:wordWrap/>
        <w:overflowPunct/>
        <w:topLinePunct w:val="0"/>
        <w:bidi w:val="0"/>
        <w:adjustRightInd/>
        <w:snapToGrid/>
        <w:spacing w:line="360" w:lineRule="auto"/>
        <w:textAlignment w:val="auto"/>
        <w:rPr>
          <w:rFonts w:hint="eastAsia" w:ascii="宋体" w:hAnsi="宋体" w:eastAsia="宋体" w:cs="宋体"/>
          <w:b/>
          <w:bCs/>
          <w:sz w:val="24"/>
          <w:szCs w:val="24"/>
          <w:lang w:eastAsia="zh-CN"/>
        </w:rPr>
      </w:pPr>
      <w:r>
        <w:rPr>
          <w:rFonts w:hint="eastAsia" w:ascii="宋体" w:hAnsi="宋体" w:eastAsia="宋体" w:cs="宋体"/>
          <w:b/>
          <w:bCs/>
          <w:kern w:val="28"/>
          <w:sz w:val="24"/>
          <w:szCs w:val="24"/>
          <w:highlight w:val="none"/>
        </w:rPr>
        <w:t>佣金方案</w:t>
      </w:r>
      <w:r>
        <w:rPr>
          <w:rFonts w:hint="eastAsia" w:ascii="宋体" w:hAnsi="宋体" w:eastAsia="宋体" w:cs="宋体"/>
          <w:b/>
          <w:bCs/>
          <w:sz w:val="24"/>
          <w:szCs w:val="24"/>
          <w:lang w:eastAsia="zh-CN"/>
        </w:rPr>
        <w:t>：</w:t>
      </w:r>
    </w:p>
    <w:p>
      <w:pPr>
        <w:keepNext w:val="0"/>
        <w:keepLines w:val="0"/>
        <w:kinsoku/>
        <w:wordWrap/>
        <w:overflowPunct/>
        <w:topLinePunct w:val="0"/>
        <w:bidi w:val="0"/>
        <w:adjustRightInd/>
        <w:snapToGrid/>
        <w:spacing w:line="360" w:lineRule="auto"/>
        <w:textAlignment w:val="auto"/>
        <w:rPr>
          <w:rFonts w:hint="eastAsia" w:ascii="宋体" w:hAnsi="宋体" w:eastAsia="宋体" w:cs="宋体"/>
          <w:kern w:val="28"/>
          <w:sz w:val="24"/>
          <w:szCs w:val="24"/>
          <w:highlight w:val="none"/>
        </w:rPr>
      </w:pPr>
      <w:r>
        <w:rPr>
          <w:rFonts w:hint="eastAsia" w:ascii="宋体" w:hAnsi="宋体" w:eastAsia="宋体" w:cs="宋体"/>
          <w:kern w:val="28"/>
          <w:sz w:val="24"/>
          <w:szCs w:val="24"/>
          <w:highlight w:val="none"/>
        </w:rPr>
        <w:t>（1）乙方按照</w:t>
      </w:r>
      <w:r>
        <w:rPr>
          <w:rFonts w:hint="eastAsia" w:ascii="宋体" w:hAnsi="宋体" w:eastAsia="宋体" w:cs="宋体"/>
          <w:kern w:val="28"/>
          <w:sz w:val="24"/>
          <w:szCs w:val="24"/>
          <w:highlight w:val="none"/>
          <w:lang w:val="en-US" w:eastAsia="zh-CN"/>
        </w:rPr>
        <w:t>本合同</w:t>
      </w:r>
      <w:r>
        <w:rPr>
          <w:rFonts w:hint="eastAsia" w:ascii="宋体" w:hAnsi="宋体" w:eastAsia="宋体" w:cs="宋体"/>
          <w:kern w:val="28"/>
          <w:sz w:val="24"/>
          <w:szCs w:val="24"/>
          <w:highlight w:val="none"/>
        </w:rPr>
        <w:t>约定成功促成甲方销售商品房的佣金计算方式为：</w:t>
      </w:r>
    </w:p>
    <w:p>
      <w:pPr>
        <w:keepNext w:val="0"/>
        <w:keepLines w:val="0"/>
        <w:kinsoku/>
        <w:wordWrap/>
        <w:overflowPunct/>
        <w:topLinePunct w:val="0"/>
        <w:bidi w:val="0"/>
        <w:adjustRightInd/>
        <w:snapToGrid/>
        <w:spacing w:line="360" w:lineRule="auto"/>
        <w:textAlignment w:val="auto"/>
        <w:rPr>
          <w:rFonts w:hint="eastAsia" w:ascii="宋体" w:hAnsi="宋体" w:eastAsia="宋体" w:cs="宋体"/>
          <w:kern w:val="28"/>
          <w:sz w:val="24"/>
          <w:szCs w:val="24"/>
          <w:highlight w:val="none"/>
        </w:rPr>
      </w:pPr>
      <w:r>
        <w:rPr>
          <w:rFonts w:hint="eastAsia" w:ascii="宋体" w:hAnsi="宋体" w:eastAsia="宋体" w:cs="宋体"/>
          <w:kern w:val="28"/>
          <w:sz w:val="24"/>
          <w:szCs w:val="24"/>
          <w:highlight w:val="none"/>
        </w:rPr>
        <w:t>销售佣金=销售总金额X 销售佣金费率（注：取当月销售套数总值相应的佣金费率，通提）</w:t>
      </w:r>
    </w:p>
    <w:p>
      <w:pPr>
        <w:keepNext w:val="0"/>
        <w:keepLines w:val="0"/>
        <w:kinsoku/>
        <w:wordWrap/>
        <w:overflowPunct/>
        <w:topLinePunct w:val="0"/>
        <w:bidi w:val="0"/>
        <w:adjustRightInd/>
        <w:snapToGrid/>
        <w:spacing w:line="360" w:lineRule="auto"/>
        <w:textAlignment w:val="auto"/>
        <w:rPr>
          <w:rFonts w:hint="eastAsia" w:ascii="宋体" w:hAnsi="宋体" w:eastAsia="宋体" w:cs="宋体"/>
          <w:kern w:val="28"/>
          <w:sz w:val="24"/>
          <w:szCs w:val="24"/>
          <w:highlight w:val="none"/>
        </w:rPr>
      </w:pPr>
      <w:r>
        <w:rPr>
          <w:rFonts w:hint="eastAsia" w:ascii="宋体" w:hAnsi="宋体" w:eastAsia="宋体" w:cs="宋体"/>
          <w:kern w:val="28"/>
          <w:sz w:val="24"/>
          <w:szCs w:val="24"/>
          <w:highlight w:val="none"/>
        </w:rPr>
        <w:t>（2）佣金费率（销售金额以人民币计算）</w:t>
      </w:r>
    </w:p>
    <w:p>
      <w:pPr>
        <w:keepNext w:val="0"/>
        <w:keepLines w:val="0"/>
        <w:kinsoku/>
        <w:wordWrap/>
        <w:overflowPunct/>
        <w:topLinePunct w:val="0"/>
        <w:bidi w:val="0"/>
        <w:adjustRightInd/>
        <w:snapToGrid/>
        <w:spacing w:line="360" w:lineRule="auto"/>
        <w:ind w:firstLine="480" w:firstLineChars="200"/>
        <w:textAlignment w:val="auto"/>
        <w:rPr>
          <w:rFonts w:hint="eastAsia" w:ascii="宋体" w:hAnsi="宋体" w:eastAsia="宋体" w:cs="宋体"/>
          <w:kern w:val="28"/>
          <w:sz w:val="24"/>
          <w:szCs w:val="24"/>
          <w:highlight w:val="none"/>
        </w:rPr>
      </w:pPr>
      <w:r>
        <w:rPr>
          <w:rFonts w:hint="eastAsia" w:ascii="宋体" w:hAnsi="宋体" w:eastAsia="宋体" w:cs="宋体"/>
          <w:kern w:val="28"/>
          <w:sz w:val="24"/>
          <w:szCs w:val="24"/>
          <w:highlight w:val="none"/>
        </w:rPr>
        <w:t>住宅产品/公寓/商铺：</w:t>
      </w:r>
    </w:p>
    <w:p>
      <w:pPr>
        <w:keepNext w:val="0"/>
        <w:keepLines w:val="0"/>
        <w:kinsoku/>
        <w:wordWrap/>
        <w:overflowPunct/>
        <w:topLinePunct w:val="0"/>
        <w:bidi w:val="0"/>
        <w:adjustRightInd/>
        <w:snapToGrid/>
        <w:spacing w:line="360" w:lineRule="auto"/>
        <w:ind w:firstLine="480" w:firstLineChars="200"/>
        <w:textAlignment w:val="auto"/>
        <w:rPr>
          <w:rFonts w:hint="eastAsia" w:ascii="宋体" w:hAnsi="宋体" w:eastAsia="宋体" w:cs="宋体"/>
          <w:kern w:val="28"/>
          <w:sz w:val="24"/>
          <w:szCs w:val="24"/>
          <w:highlight w:val="none"/>
        </w:rPr>
      </w:pPr>
      <w:r>
        <w:rPr>
          <w:rFonts w:hint="eastAsia" w:ascii="宋体" w:hAnsi="宋体" w:eastAsia="宋体" w:cs="宋体"/>
          <w:kern w:val="28"/>
          <w:sz w:val="24"/>
          <w:szCs w:val="24"/>
          <w:highlight w:val="none"/>
        </w:rPr>
        <w:t>住宅：</w:t>
      </w:r>
      <w:r>
        <w:rPr>
          <w:rFonts w:hint="eastAsia" w:ascii="宋体" w:hAnsi="宋体" w:eastAsia="宋体" w:cs="宋体"/>
          <w:kern w:val="28"/>
          <w:sz w:val="24"/>
          <w:szCs w:val="24"/>
          <w:highlight w:val="none"/>
          <w:lang w:eastAsia="zh-CN"/>
        </w:rPr>
        <w:t>（销售总金额的</w:t>
      </w:r>
      <w:r>
        <w:rPr>
          <w:rFonts w:hint="eastAsia" w:ascii="宋体" w:hAnsi="宋体" w:eastAsia="宋体" w:cs="宋体"/>
          <w:kern w:val="28"/>
          <w:sz w:val="24"/>
          <w:szCs w:val="24"/>
          <w:highlight w:val="none"/>
          <w:lang w:val="en-US" w:eastAsia="zh-CN"/>
        </w:rPr>
        <w:t>2.5</w:t>
      </w:r>
      <w:r>
        <w:rPr>
          <w:rFonts w:hint="eastAsia" w:ascii="宋体" w:hAnsi="宋体" w:eastAsia="宋体" w:cs="宋体"/>
          <w:kern w:val="28"/>
          <w:sz w:val="24"/>
          <w:szCs w:val="24"/>
          <w:highlight w:val="none"/>
        </w:rPr>
        <w:t>%</w:t>
      </w:r>
      <w:r>
        <w:rPr>
          <w:rFonts w:hint="eastAsia" w:ascii="宋体" w:hAnsi="宋体" w:eastAsia="宋体" w:cs="宋体"/>
          <w:kern w:val="28"/>
          <w:sz w:val="24"/>
          <w:szCs w:val="24"/>
          <w:highlight w:val="none"/>
          <w:lang w:val="en-US" w:eastAsia="zh-CN"/>
        </w:rPr>
        <w:t>+10000元）</w:t>
      </w:r>
      <w:r>
        <w:rPr>
          <w:rFonts w:hint="eastAsia" w:ascii="宋体" w:hAnsi="宋体" w:eastAsia="宋体" w:cs="宋体"/>
          <w:kern w:val="28"/>
          <w:sz w:val="24"/>
          <w:szCs w:val="24"/>
          <w:highlight w:val="none"/>
        </w:rPr>
        <w:t>/套计提</w:t>
      </w:r>
    </w:p>
    <w:p>
      <w:pPr>
        <w:keepNext w:val="0"/>
        <w:keepLines w:val="0"/>
        <w:kinsoku/>
        <w:wordWrap/>
        <w:overflowPunct/>
        <w:topLinePunct w:val="0"/>
        <w:bidi w:val="0"/>
        <w:adjustRightInd/>
        <w:snapToGrid/>
        <w:spacing w:line="360" w:lineRule="auto"/>
        <w:ind w:firstLine="480" w:firstLineChars="200"/>
        <w:textAlignment w:val="auto"/>
        <w:rPr>
          <w:rFonts w:hint="eastAsia" w:ascii="宋体" w:hAnsi="宋体" w:eastAsia="宋体" w:cs="宋体"/>
          <w:kern w:val="28"/>
          <w:sz w:val="24"/>
          <w:szCs w:val="24"/>
          <w:highlight w:val="none"/>
        </w:rPr>
      </w:pPr>
      <w:r>
        <w:rPr>
          <w:rFonts w:hint="eastAsia" w:ascii="宋体" w:hAnsi="宋体" w:eastAsia="宋体" w:cs="宋体"/>
          <w:kern w:val="28"/>
          <w:sz w:val="24"/>
          <w:szCs w:val="24"/>
          <w:highlight w:val="none"/>
        </w:rPr>
        <w:t>公寓：</w:t>
      </w:r>
      <w:r>
        <w:rPr>
          <w:rFonts w:hint="eastAsia" w:ascii="宋体" w:hAnsi="宋体" w:eastAsia="宋体" w:cs="宋体"/>
          <w:kern w:val="28"/>
          <w:sz w:val="24"/>
          <w:szCs w:val="24"/>
          <w:highlight w:val="none"/>
          <w:lang w:val="en-US" w:eastAsia="zh-CN"/>
        </w:rPr>
        <w:t>7</w:t>
      </w:r>
      <w:r>
        <w:rPr>
          <w:rFonts w:hint="eastAsia" w:ascii="宋体" w:hAnsi="宋体" w:eastAsia="宋体" w:cs="宋体"/>
          <w:kern w:val="28"/>
          <w:sz w:val="24"/>
          <w:szCs w:val="24"/>
          <w:highlight w:val="none"/>
        </w:rPr>
        <w:t>%/套计提</w:t>
      </w:r>
      <w:r>
        <w:rPr>
          <w:rFonts w:hint="eastAsia" w:ascii="宋体" w:hAnsi="宋体" w:eastAsia="宋体" w:cs="宋体"/>
          <w:sz w:val="24"/>
          <w:szCs w:val="24"/>
          <w:lang w:val="en-US" w:eastAsia="zh-CN"/>
        </w:rPr>
        <w:t>（平层和LOFT均可，楼层不限）</w:t>
      </w:r>
    </w:p>
    <w:p>
      <w:pPr>
        <w:keepNext w:val="0"/>
        <w:keepLines w:val="0"/>
        <w:kinsoku/>
        <w:wordWrap/>
        <w:overflowPunct/>
        <w:topLinePunct w:val="0"/>
        <w:bidi w:val="0"/>
        <w:adjustRightInd/>
        <w:snapToGrid/>
        <w:spacing w:line="360" w:lineRule="auto"/>
        <w:ind w:firstLine="480" w:firstLineChars="200"/>
        <w:textAlignment w:val="auto"/>
        <w:rPr>
          <w:rFonts w:hint="eastAsia" w:ascii="宋体" w:hAnsi="宋体" w:eastAsia="宋体" w:cs="宋体"/>
          <w:kern w:val="28"/>
          <w:sz w:val="24"/>
          <w:szCs w:val="24"/>
          <w:highlight w:val="none"/>
        </w:rPr>
      </w:pPr>
      <w:r>
        <w:rPr>
          <w:rFonts w:hint="eastAsia" w:ascii="宋体" w:hAnsi="宋体" w:eastAsia="宋体" w:cs="宋体"/>
          <w:kern w:val="28"/>
          <w:sz w:val="24"/>
          <w:szCs w:val="24"/>
          <w:highlight w:val="none"/>
        </w:rPr>
        <w:t>商铺：</w:t>
      </w:r>
      <w:r>
        <w:rPr>
          <w:rFonts w:hint="eastAsia" w:ascii="宋体" w:hAnsi="宋体" w:eastAsia="宋体" w:cs="宋体"/>
          <w:kern w:val="28"/>
          <w:sz w:val="24"/>
          <w:szCs w:val="24"/>
          <w:highlight w:val="none"/>
          <w:lang w:val="en-US" w:eastAsia="zh-CN"/>
        </w:rPr>
        <w:t>(</w:t>
      </w:r>
      <w:r>
        <w:rPr>
          <w:rFonts w:hint="eastAsia" w:ascii="宋体" w:hAnsi="宋体" w:eastAsia="宋体" w:cs="宋体"/>
          <w:kern w:val="28"/>
          <w:sz w:val="24"/>
          <w:szCs w:val="24"/>
          <w:highlight w:val="none"/>
          <w:lang w:eastAsia="zh-CN"/>
        </w:rPr>
        <w:t>销售总金额的</w:t>
      </w:r>
      <w:r>
        <w:rPr>
          <w:rFonts w:hint="eastAsia" w:ascii="宋体" w:hAnsi="宋体" w:eastAsia="宋体" w:cs="宋体"/>
          <w:kern w:val="28"/>
          <w:sz w:val="24"/>
          <w:szCs w:val="24"/>
          <w:highlight w:val="none"/>
          <w:lang w:val="en-US" w:eastAsia="zh-CN"/>
        </w:rPr>
        <w:t>3.5</w:t>
      </w:r>
      <w:r>
        <w:rPr>
          <w:rFonts w:hint="eastAsia" w:ascii="宋体" w:hAnsi="宋体" w:eastAsia="宋体" w:cs="宋体"/>
          <w:kern w:val="28"/>
          <w:sz w:val="24"/>
          <w:szCs w:val="24"/>
          <w:highlight w:val="none"/>
        </w:rPr>
        <w:t>%</w:t>
      </w:r>
      <w:r>
        <w:rPr>
          <w:rFonts w:hint="eastAsia" w:ascii="宋体" w:hAnsi="宋体" w:eastAsia="宋体" w:cs="宋体"/>
          <w:kern w:val="28"/>
          <w:sz w:val="24"/>
          <w:szCs w:val="24"/>
          <w:highlight w:val="none"/>
          <w:lang w:val="en-US" w:eastAsia="zh-CN"/>
        </w:rPr>
        <w:t>+10000元)</w:t>
      </w:r>
      <w:r>
        <w:rPr>
          <w:rFonts w:hint="eastAsia" w:ascii="宋体" w:hAnsi="宋体" w:eastAsia="宋体" w:cs="宋体"/>
          <w:kern w:val="28"/>
          <w:sz w:val="24"/>
          <w:szCs w:val="24"/>
          <w:highlight w:val="none"/>
        </w:rPr>
        <w:t>/套计提。</w:t>
      </w:r>
    </w:p>
    <w:p>
      <w:pPr>
        <w:keepNext w:val="0"/>
        <w:keepLines w:val="0"/>
        <w:kinsoku/>
        <w:wordWrap/>
        <w:overflowPunct/>
        <w:topLinePunct w:val="0"/>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本条的销售总金额是指根据本合同约定属于乙方成功销售的房屋结算价之和，但不包括买受人基于政府规定以及该《商品房买卖合同》约定应缴纳的税费。</w:t>
      </w:r>
    </w:p>
    <w:p>
      <w:pPr>
        <w:numPr>
          <w:ilvl w:val="0"/>
          <w:numId w:val="0"/>
        </w:numPr>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乙方已推介的客户及其直系亲属在本合同约定的保护期内购房的（按照成功销售为准），甲方按照本合同约定佣金费率向乙方支付佣金。乙方已推介的客户及其直系亲属在合同有效期结束（或因故解除）后15天内购房的（</w:t>
      </w:r>
      <w:r>
        <w:rPr>
          <w:rFonts w:hint="eastAsia" w:ascii="宋体" w:hAnsi="宋体" w:eastAsia="宋体" w:cs="宋体"/>
          <w:color w:val="000000"/>
          <w:sz w:val="24"/>
          <w:szCs w:val="24"/>
          <w:highlight w:val="none"/>
        </w:rPr>
        <w:t>以签订《认购书》时间为准</w:t>
      </w:r>
      <w:r>
        <w:rPr>
          <w:rFonts w:hint="eastAsia" w:ascii="宋体" w:hAnsi="宋体" w:eastAsia="宋体" w:cs="宋体"/>
          <w:sz w:val="24"/>
          <w:szCs w:val="24"/>
          <w:highlight w:val="none"/>
        </w:rPr>
        <w:t>），甲方仍须依照本合同的约定佣金费率向乙方支付全额</w:t>
      </w:r>
      <w:r>
        <w:rPr>
          <w:rFonts w:hint="eastAsia" w:ascii="宋体" w:hAnsi="宋体" w:eastAsia="宋体" w:cs="宋体"/>
          <w:sz w:val="24"/>
          <w:szCs w:val="24"/>
          <w:highlight w:val="none"/>
          <w:lang w:val="en-US" w:eastAsia="zh-CN"/>
        </w:rPr>
        <w:t>佣金</w:t>
      </w:r>
      <w:r>
        <w:rPr>
          <w:rFonts w:hint="eastAsia" w:ascii="宋体" w:hAnsi="宋体" w:eastAsia="宋体" w:cs="宋体"/>
          <w:sz w:val="24"/>
          <w:szCs w:val="24"/>
          <w:highlight w:val="none"/>
        </w:rPr>
        <w:t>。超过15天的，则甲方不需支付</w:t>
      </w:r>
      <w:r>
        <w:rPr>
          <w:rFonts w:hint="eastAsia" w:ascii="宋体" w:hAnsi="宋体" w:eastAsia="宋体" w:cs="宋体"/>
          <w:sz w:val="24"/>
          <w:szCs w:val="24"/>
          <w:highlight w:val="none"/>
          <w:lang w:val="en-US" w:eastAsia="zh-CN"/>
        </w:rPr>
        <w:t>佣金</w:t>
      </w:r>
      <w:r>
        <w:rPr>
          <w:rFonts w:hint="eastAsia" w:ascii="宋体" w:hAnsi="宋体" w:eastAsia="宋体" w:cs="宋体"/>
          <w:sz w:val="24"/>
          <w:szCs w:val="24"/>
          <w:highlight w:val="none"/>
        </w:rPr>
        <w:t>。</w:t>
      </w:r>
    </w:p>
    <w:p>
      <w:pPr>
        <w:numPr>
          <w:ilvl w:val="0"/>
          <w:numId w:val="0"/>
        </w:numPr>
        <w:spacing w:line="360" w:lineRule="auto"/>
        <w:ind w:firstLine="482" w:firstLineChars="200"/>
        <w:jc w:val="left"/>
        <w:rPr>
          <w:rFonts w:hint="eastAsia" w:ascii="宋体" w:hAnsi="宋体" w:eastAsia="宋体" w:cs="宋体"/>
          <w:sz w:val="24"/>
          <w:szCs w:val="24"/>
          <w:highlight w:val="none"/>
          <w:lang w:val="en-US" w:eastAsia="zh-CN"/>
        </w:rPr>
      </w:pPr>
      <w:r>
        <w:rPr>
          <w:rFonts w:hint="eastAsia" w:ascii="宋体" w:hAnsi="宋体" w:eastAsia="宋体" w:cs="宋体"/>
          <w:b/>
          <w:bCs/>
          <w:sz w:val="24"/>
          <w:szCs w:val="24"/>
          <w:highlight w:val="none"/>
          <w:lang w:eastAsia="zh-CN"/>
        </w:rPr>
        <w:t>三：预付款约定：</w:t>
      </w:r>
      <w:r>
        <w:rPr>
          <w:rFonts w:hint="eastAsia" w:ascii="宋体" w:hAnsi="宋体" w:eastAsia="宋体" w:cs="宋体"/>
          <w:sz w:val="24"/>
          <w:szCs w:val="24"/>
          <w:highlight w:val="none"/>
        </w:rPr>
        <w:t>甲方于本补充协议签署后</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日内向乙方指定账户预付佣金1</w:t>
      </w: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rPr>
        <w:t>万元（大写： 拾万元整</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乙方随时向甲方提供达到原合同符合结算条件的《对账单 明细表》，甲方在收到《对账单明细表》后 2 日内审核完毕并签字确认返还至乙方 （逾期签字视为已确认），乙方按照确认的明细及金额，直接从预付佣金 10 万中扣除相应金额，同时乙方为甲方开具对应金额的增值税发票。若本补充协议周期内，在乙方成交客户产生认购佣金达到预付佣金</w:t>
      </w:r>
      <w:r>
        <w:rPr>
          <w:rFonts w:hint="eastAsia" w:ascii="宋体" w:hAnsi="宋体" w:eastAsia="宋体" w:cs="宋体"/>
          <w:sz w:val="24"/>
          <w:szCs w:val="24"/>
          <w:highlight w:val="none"/>
          <w:lang w:val="en-US" w:eastAsia="zh-CN"/>
        </w:rPr>
        <w:t>的</w:t>
      </w:r>
      <w:r>
        <w:rPr>
          <w:rFonts w:hint="eastAsia" w:ascii="宋体" w:hAnsi="宋体" w:eastAsia="宋体" w:cs="宋体"/>
          <w:sz w:val="24"/>
          <w:szCs w:val="24"/>
          <w:highlight w:val="none"/>
        </w:rPr>
        <w:t>80%后的</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日内，甲方需再次补齐至</w:t>
      </w:r>
      <w:r>
        <w:rPr>
          <w:rFonts w:hint="eastAsia" w:ascii="宋体" w:hAnsi="宋体" w:eastAsia="宋体" w:cs="宋体"/>
          <w:sz w:val="24"/>
          <w:szCs w:val="24"/>
          <w:highlight w:val="none"/>
          <w:lang w:val="en-US" w:eastAsia="zh-CN"/>
        </w:rPr>
        <w:t>10</w:t>
      </w:r>
      <w:r>
        <w:rPr>
          <w:rFonts w:hint="eastAsia" w:ascii="宋体" w:hAnsi="宋体" w:eastAsia="宋体" w:cs="宋体"/>
          <w:sz w:val="24"/>
          <w:szCs w:val="24"/>
          <w:highlight w:val="none"/>
        </w:rPr>
        <w:t>万元的预付款，以此类推。</w:t>
      </w:r>
      <w:r>
        <w:rPr>
          <w:rFonts w:hint="eastAsia" w:ascii="宋体" w:hAnsi="宋体" w:eastAsia="宋体" w:cs="宋体"/>
          <w:sz w:val="24"/>
          <w:szCs w:val="24"/>
          <w:highlight w:val="none"/>
          <w:lang w:val="en-US" w:eastAsia="zh-CN"/>
        </w:rPr>
        <w:t>若本补充协议周期终止，待所有乙方客户对应佣金结算完毕后，预付佣金若有结余，甲方同意乙方有权将甲方支付的预付佣金优先清偿历史欠付佣金，如清偿后导致预付佣金不足的，甲方也应按照本合同约定向乙方追加支付预付佣金。截止本补充协议周期终止时仍未达到结算条件的，按已认购但未达结算条件房源，保留对应预付佣金暂不退还，待后续达到结算条件后按照本协议佣金标准进行结算；若预付佣金不足的，甲方应在5</w:t>
      </w:r>
      <w:bookmarkStart w:id="4" w:name="_GoBack"/>
      <w:bookmarkEnd w:id="4"/>
      <w:r>
        <w:rPr>
          <w:rFonts w:hint="eastAsia" w:ascii="宋体" w:hAnsi="宋体" w:eastAsia="宋体" w:cs="宋体"/>
          <w:sz w:val="24"/>
          <w:szCs w:val="24"/>
          <w:highlight w:val="none"/>
          <w:lang w:val="en-US" w:eastAsia="zh-CN"/>
        </w:rPr>
        <w:t>日内支付至乙方账户。</w:t>
      </w:r>
    </w:p>
    <w:p>
      <w:pPr>
        <w:numPr>
          <w:ilvl w:val="0"/>
          <w:numId w:val="0"/>
        </w:numPr>
        <w:spacing w:line="360" w:lineRule="auto"/>
        <w:ind w:firstLine="482" w:firstLineChars="200"/>
        <w:jc w:val="left"/>
        <w:rPr>
          <w:rFonts w:hint="default" w:ascii="宋体" w:hAnsi="宋体" w:eastAsia="宋体" w:cs="宋体"/>
          <w:sz w:val="24"/>
          <w:szCs w:val="24"/>
          <w:highlight w:val="none"/>
          <w:lang w:val="en-US" w:eastAsia="zh-CN"/>
        </w:rPr>
      </w:pPr>
      <w:r>
        <w:rPr>
          <w:rFonts w:hint="eastAsia" w:ascii="宋体" w:hAnsi="宋体" w:eastAsia="宋体" w:cs="宋体"/>
          <w:b/>
          <w:bCs/>
          <w:sz w:val="24"/>
          <w:szCs w:val="24"/>
          <w:highlight w:val="none"/>
          <w:lang w:val="en-US" w:eastAsia="zh-CN"/>
        </w:rPr>
        <w:t>四：关于历史佣金清偿的约定</w:t>
      </w:r>
      <w:r>
        <w:rPr>
          <w:rFonts w:hint="eastAsia" w:ascii="宋体" w:hAnsi="宋体" w:eastAsia="宋体" w:cs="宋体"/>
          <w:sz w:val="24"/>
          <w:szCs w:val="24"/>
          <w:highlight w:val="none"/>
          <w:lang w:val="en-US" w:eastAsia="zh-CN"/>
        </w:rPr>
        <w:t>：截止2023年12月15日甲方应付123700元佣金给乙方但未支付，甲方承诺2023年12月31日前给乙方支付结算完毕。</w:t>
      </w:r>
    </w:p>
    <w:p>
      <w:pPr>
        <w:numPr>
          <w:ilvl w:val="0"/>
          <w:numId w:val="0"/>
        </w:numPr>
        <w:spacing w:line="360" w:lineRule="auto"/>
        <w:ind w:firstLine="482" w:firstLineChars="200"/>
        <w:jc w:val="left"/>
        <w:rPr>
          <w:rFonts w:cs="宋体" w:asciiTheme="minorEastAsia" w:hAnsiTheme="minorEastAsia"/>
          <w:sz w:val="24"/>
          <w:szCs w:val="24"/>
        </w:rPr>
      </w:pPr>
      <w:r>
        <w:rPr>
          <w:rFonts w:hint="eastAsia" w:cs="宋体" w:asciiTheme="minorEastAsia" w:hAnsiTheme="minorEastAsia"/>
          <w:b/>
          <w:bCs/>
          <w:sz w:val="24"/>
          <w:szCs w:val="24"/>
          <w:lang w:eastAsia="zh-CN"/>
        </w:rPr>
        <w:t>五</w:t>
      </w:r>
      <w:r>
        <w:rPr>
          <w:rFonts w:hint="eastAsia" w:cs="宋体" w:asciiTheme="minorEastAsia" w:hAnsiTheme="minorEastAsia"/>
          <w:b/>
          <w:bCs/>
          <w:sz w:val="24"/>
          <w:szCs w:val="24"/>
        </w:rPr>
        <w:t xml:space="preserve">、其他约定   </w:t>
      </w:r>
    </w:p>
    <w:p>
      <w:pPr>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1. 本补充协议为原合同不可分割的组成部分，与原合同具有同等的法律效力，上述条款仅作为补充或变更。本补充协议未尽事宜，以原合同为准，本补充协议与原合同不一致的，以本补充协议为准。</w:t>
      </w:r>
    </w:p>
    <w:p>
      <w:pPr>
        <w:widowControl/>
        <w:wordWrap w:val="0"/>
        <w:spacing w:line="300" w:lineRule="auto"/>
        <w:ind w:firstLine="480" w:firstLineChars="200"/>
        <w:jc w:val="left"/>
        <w:rPr>
          <w:rFonts w:ascii="宋体" w:hAnsi="宋体" w:eastAsia="宋体" w:cs="宋体"/>
          <w:sz w:val="24"/>
          <w:szCs w:val="24"/>
        </w:rPr>
      </w:pPr>
      <w:r>
        <w:rPr>
          <w:rFonts w:hint="eastAsia" w:ascii="宋体" w:hAnsi="宋体" w:eastAsia="宋体" w:cs="宋体"/>
          <w:sz w:val="24"/>
          <w:szCs w:val="24"/>
        </w:rPr>
        <w:t>2. 本补充协议经双方盖章后生效，本补充协议一式肆份，甲乙双方各持贰份，每份具有同等法律效力。</w:t>
      </w:r>
    </w:p>
    <w:p>
      <w:pPr>
        <w:pStyle w:val="6"/>
        <w:tabs>
          <w:tab w:val="left" w:pos="1206"/>
        </w:tabs>
        <w:ind w:left="0" w:leftChars="0" w:firstLine="0" w:firstLineChars="0"/>
        <w:jc w:val="left"/>
        <w:rPr>
          <w:rFonts w:ascii="宋体" w:hAnsi="宋体" w:eastAsia="宋体" w:cs="宋体"/>
          <w:sz w:val="24"/>
          <w:szCs w:val="24"/>
        </w:rPr>
      </w:pPr>
      <w:r>
        <w:rPr>
          <w:rFonts w:hint="eastAsia" w:ascii="宋体" w:hAnsi="宋体" w:eastAsia="宋体" w:cs="宋体"/>
          <w:sz w:val="24"/>
          <w:szCs w:val="24"/>
        </w:rPr>
        <w:t>（以下无正文）</w:t>
      </w:r>
    </w:p>
    <w:p>
      <w:pPr>
        <w:snapToGrid w:val="0"/>
        <w:spacing w:line="360" w:lineRule="auto"/>
        <w:ind w:left="840" w:hanging="840" w:hangingChars="350"/>
        <w:jc w:val="left"/>
        <w:rPr>
          <w:rFonts w:hint="eastAsia" w:ascii="宋体" w:hAnsi="宋体" w:eastAsia="宋体" w:cs="宋体"/>
          <w:sz w:val="24"/>
          <w:szCs w:val="24"/>
        </w:rPr>
      </w:pPr>
    </w:p>
    <w:p>
      <w:pPr>
        <w:snapToGrid w:val="0"/>
        <w:spacing w:line="360" w:lineRule="auto"/>
        <w:ind w:left="840" w:hanging="840" w:hangingChars="350"/>
        <w:jc w:val="left"/>
        <w:rPr>
          <w:rFonts w:ascii="宋体" w:hAnsi="宋体" w:eastAsia="宋体" w:cs="宋体"/>
          <w:sz w:val="24"/>
          <w:szCs w:val="24"/>
        </w:rPr>
      </w:pPr>
      <w:r>
        <w:rPr>
          <w:rFonts w:hint="eastAsia" w:ascii="宋体" w:hAnsi="宋体" w:eastAsia="宋体" w:cs="宋体"/>
          <w:sz w:val="24"/>
          <w:szCs w:val="24"/>
        </w:rPr>
        <w:t>甲 方：洛阳浩德鑫置地有限公司   乙 方：洛阳闹贝房地产经纪有限公司</w:t>
      </w:r>
    </w:p>
    <w:p>
      <w:pPr>
        <w:snapToGrid w:val="0"/>
        <w:spacing w:line="360" w:lineRule="auto"/>
        <w:ind w:left="840" w:hanging="840" w:hangingChars="350"/>
        <w:jc w:val="left"/>
        <w:rPr>
          <w:rFonts w:hint="eastAsia" w:cs="微软雅黑" w:asciiTheme="minorEastAsia" w:hAnsiTheme="minorEastAsia"/>
          <w:sz w:val="24"/>
          <w:szCs w:val="24"/>
        </w:rPr>
      </w:pPr>
    </w:p>
    <w:p>
      <w:pPr>
        <w:snapToGrid w:val="0"/>
        <w:spacing w:line="360" w:lineRule="auto"/>
        <w:jc w:val="left"/>
        <w:rPr>
          <w:rFonts w:cs="宋体" w:asciiTheme="minorEastAsia" w:hAnsiTheme="minorEastAsia"/>
          <w:sz w:val="24"/>
          <w:szCs w:val="24"/>
        </w:rPr>
      </w:pPr>
      <w:r>
        <w:rPr>
          <w:rFonts w:hint="eastAsia" w:cs="微软雅黑" w:asciiTheme="minorEastAsia" w:hAnsiTheme="minorEastAsia"/>
          <w:sz w:val="24"/>
          <w:szCs w:val="24"/>
          <w:lang w:eastAsia="zh-CN"/>
        </w:rPr>
        <w:t>日期：</w:t>
      </w:r>
      <w:r>
        <w:rPr>
          <w:rFonts w:hint="eastAsia" w:cs="微软雅黑" w:asciiTheme="minorEastAsia" w:hAnsiTheme="minorEastAsia"/>
          <w:sz w:val="24"/>
          <w:szCs w:val="24"/>
        </w:rPr>
        <w:t>202</w:t>
      </w:r>
      <w:r>
        <w:rPr>
          <w:rFonts w:hint="eastAsia" w:cs="微软雅黑" w:asciiTheme="minorEastAsia" w:hAnsiTheme="minorEastAsia"/>
          <w:sz w:val="24"/>
          <w:szCs w:val="24"/>
          <w:lang w:val="en-US" w:eastAsia="zh-CN"/>
        </w:rPr>
        <w:t>3</w:t>
      </w:r>
      <w:r>
        <w:rPr>
          <w:rFonts w:hint="eastAsia" w:cs="微软雅黑" w:asciiTheme="minorEastAsia" w:hAnsiTheme="minorEastAsia"/>
          <w:sz w:val="24"/>
          <w:szCs w:val="24"/>
        </w:rPr>
        <w:t>年</w:t>
      </w:r>
      <w:r>
        <w:rPr>
          <w:rFonts w:hint="eastAsia" w:cs="微软雅黑" w:asciiTheme="minorEastAsia" w:hAnsiTheme="minorEastAsia"/>
          <w:sz w:val="24"/>
          <w:szCs w:val="24"/>
          <w:lang w:val="en-US" w:eastAsia="zh-CN"/>
        </w:rPr>
        <w:t>12</w:t>
      </w:r>
      <w:r>
        <w:rPr>
          <w:rFonts w:hint="eastAsia" w:cs="微软雅黑" w:asciiTheme="minorEastAsia" w:hAnsiTheme="minorEastAsia"/>
          <w:sz w:val="24"/>
          <w:szCs w:val="24"/>
        </w:rPr>
        <w:t>月</w:t>
      </w:r>
      <w:r>
        <w:rPr>
          <w:rFonts w:hint="eastAsia" w:cs="微软雅黑" w:asciiTheme="minorEastAsia" w:hAnsiTheme="minorEastAsia"/>
          <w:sz w:val="24"/>
          <w:szCs w:val="24"/>
          <w:lang w:val="en-US" w:eastAsia="zh-CN"/>
        </w:rPr>
        <w:t>1</w:t>
      </w:r>
      <w:r>
        <w:rPr>
          <w:rFonts w:hint="eastAsia" w:cs="微软雅黑" w:asciiTheme="minorEastAsia" w:hAnsiTheme="minorEastAsia"/>
          <w:sz w:val="24"/>
          <w:szCs w:val="24"/>
        </w:rPr>
        <w:t>日</w:t>
      </w:r>
      <w:r>
        <w:rPr>
          <w:rFonts w:hint="eastAsia" w:cs="宋体" w:asciiTheme="minorEastAsia" w:hAnsiTheme="minorEastAsia"/>
          <w:sz w:val="24"/>
          <w:szCs w:val="24"/>
        </w:rPr>
        <w:t xml:space="preserve">        </w:t>
      </w:r>
      <w:r>
        <w:rPr>
          <w:rFonts w:cs="宋体" w:asciiTheme="minorEastAsia" w:hAnsiTheme="minorEastAsia"/>
          <w:sz w:val="24"/>
          <w:szCs w:val="24"/>
        </w:rPr>
        <w:t xml:space="preserve">  </w:t>
      </w:r>
      <w:r>
        <w:rPr>
          <w:rFonts w:hint="eastAsia" w:cs="宋体" w:asciiTheme="minorEastAsia" w:hAnsiTheme="minorEastAsia"/>
          <w:sz w:val="24"/>
          <w:szCs w:val="24"/>
          <w:lang w:eastAsia="zh-CN"/>
        </w:rPr>
        <w:t>日期：</w:t>
      </w:r>
      <w:r>
        <w:rPr>
          <w:rFonts w:hint="eastAsia" w:cs="宋体" w:asciiTheme="minorEastAsia" w:hAnsiTheme="minorEastAsia"/>
          <w:sz w:val="24"/>
          <w:szCs w:val="24"/>
        </w:rPr>
        <w:t xml:space="preserve"> </w:t>
      </w:r>
      <w:r>
        <w:rPr>
          <w:rFonts w:hint="eastAsia" w:cs="微软雅黑" w:asciiTheme="minorEastAsia" w:hAnsiTheme="minorEastAsia"/>
          <w:sz w:val="24"/>
          <w:szCs w:val="24"/>
        </w:rPr>
        <w:t>202</w:t>
      </w:r>
      <w:r>
        <w:rPr>
          <w:rFonts w:hint="eastAsia" w:cs="微软雅黑" w:asciiTheme="minorEastAsia" w:hAnsiTheme="minorEastAsia"/>
          <w:sz w:val="24"/>
          <w:szCs w:val="24"/>
          <w:lang w:val="en-US" w:eastAsia="zh-CN"/>
        </w:rPr>
        <w:t>3</w:t>
      </w:r>
      <w:r>
        <w:rPr>
          <w:rFonts w:hint="eastAsia" w:cs="微软雅黑" w:asciiTheme="minorEastAsia" w:hAnsiTheme="minorEastAsia"/>
          <w:sz w:val="24"/>
          <w:szCs w:val="24"/>
        </w:rPr>
        <w:t>年</w:t>
      </w:r>
      <w:r>
        <w:rPr>
          <w:rFonts w:hint="eastAsia" w:cs="微软雅黑" w:asciiTheme="minorEastAsia" w:hAnsiTheme="minorEastAsia"/>
          <w:sz w:val="24"/>
          <w:szCs w:val="24"/>
          <w:lang w:val="en-US" w:eastAsia="zh-CN"/>
        </w:rPr>
        <w:t>12</w:t>
      </w:r>
      <w:r>
        <w:rPr>
          <w:rFonts w:hint="eastAsia" w:cs="微软雅黑" w:asciiTheme="minorEastAsia" w:hAnsiTheme="minorEastAsia"/>
          <w:sz w:val="24"/>
          <w:szCs w:val="24"/>
        </w:rPr>
        <w:t>月</w:t>
      </w:r>
      <w:r>
        <w:rPr>
          <w:rFonts w:hint="eastAsia" w:cs="微软雅黑" w:asciiTheme="minorEastAsia" w:hAnsiTheme="minorEastAsia"/>
          <w:sz w:val="24"/>
          <w:szCs w:val="24"/>
          <w:lang w:val="en-US" w:eastAsia="zh-CN"/>
        </w:rPr>
        <w:t>1</w:t>
      </w:r>
      <w:r>
        <w:rPr>
          <w:rFonts w:hint="eastAsia" w:cs="微软雅黑" w:asciiTheme="minorEastAsia" w:hAnsiTheme="minorEastAsia"/>
          <w:sz w:val="24"/>
          <w:szCs w:val="24"/>
        </w:rPr>
        <w:t>日</w:t>
      </w:r>
    </w:p>
    <w:p>
      <w:pPr>
        <w:snapToGrid w:val="0"/>
        <w:spacing w:line="360" w:lineRule="auto"/>
        <w:ind w:left="840" w:hanging="840" w:hangingChars="350"/>
        <w:jc w:val="left"/>
        <w:rPr>
          <w:rFonts w:ascii="宋体" w:hAnsi="宋体" w:eastAsia="宋体" w:cs="宋体"/>
          <w:sz w:val="24"/>
          <w:szCs w:val="24"/>
        </w:rPr>
      </w:pPr>
    </w:p>
    <w:sectPr>
      <w:pgSz w:w="11906" w:h="16838"/>
      <w:pgMar w:top="993"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B380EA"/>
    <w:multiLevelType w:val="singleLevel"/>
    <w:tmpl w:val="C2B380EA"/>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ljYTM5NTJmYzc0MGJjYThmMjE0ZWU5OGEzNTEwMDcifQ=="/>
  </w:docVars>
  <w:rsids>
    <w:rsidRoot w:val="00820CAA"/>
    <w:rsid w:val="00055C77"/>
    <w:rsid w:val="0011076C"/>
    <w:rsid w:val="00125193"/>
    <w:rsid w:val="00145014"/>
    <w:rsid w:val="0026294A"/>
    <w:rsid w:val="00270502"/>
    <w:rsid w:val="00277538"/>
    <w:rsid w:val="002B2A91"/>
    <w:rsid w:val="00351637"/>
    <w:rsid w:val="0035681F"/>
    <w:rsid w:val="003B0138"/>
    <w:rsid w:val="00426873"/>
    <w:rsid w:val="0043097B"/>
    <w:rsid w:val="004456A1"/>
    <w:rsid w:val="0055100A"/>
    <w:rsid w:val="00557FCB"/>
    <w:rsid w:val="005F55CC"/>
    <w:rsid w:val="006311C2"/>
    <w:rsid w:val="006B5C0E"/>
    <w:rsid w:val="006C7748"/>
    <w:rsid w:val="006D0FBD"/>
    <w:rsid w:val="007476F1"/>
    <w:rsid w:val="007C581E"/>
    <w:rsid w:val="007D6C43"/>
    <w:rsid w:val="007F0024"/>
    <w:rsid w:val="00820CAA"/>
    <w:rsid w:val="00874362"/>
    <w:rsid w:val="00882CDC"/>
    <w:rsid w:val="008F53ED"/>
    <w:rsid w:val="00930E31"/>
    <w:rsid w:val="0093536D"/>
    <w:rsid w:val="00937428"/>
    <w:rsid w:val="00962169"/>
    <w:rsid w:val="00973E8B"/>
    <w:rsid w:val="009776C2"/>
    <w:rsid w:val="00980AB5"/>
    <w:rsid w:val="009916E1"/>
    <w:rsid w:val="00A26D0F"/>
    <w:rsid w:val="00AC6915"/>
    <w:rsid w:val="00AE301C"/>
    <w:rsid w:val="00AF711F"/>
    <w:rsid w:val="00B36E7F"/>
    <w:rsid w:val="00B53568"/>
    <w:rsid w:val="00BF5AB4"/>
    <w:rsid w:val="00C205F2"/>
    <w:rsid w:val="00C6002C"/>
    <w:rsid w:val="00CA4EDC"/>
    <w:rsid w:val="00D005DF"/>
    <w:rsid w:val="00DA546D"/>
    <w:rsid w:val="00DE0BEB"/>
    <w:rsid w:val="00E82BA4"/>
    <w:rsid w:val="00EA754B"/>
    <w:rsid w:val="00EC7613"/>
    <w:rsid w:val="00F0709F"/>
    <w:rsid w:val="00F3261B"/>
    <w:rsid w:val="00F61933"/>
    <w:rsid w:val="01207B0A"/>
    <w:rsid w:val="03045209"/>
    <w:rsid w:val="034055A5"/>
    <w:rsid w:val="03FB660C"/>
    <w:rsid w:val="04CB4C49"/>
    <w:rsid w:val="0556276C"/>
    <w:rsid w:val="072A32F3"/>
    <w:rsid w:val="077055FC"/>
    <w:rsid w:val="0ACC13A0"/>
    <w:rsid w:val="0F6E3A79"/>
    <w:rsid w:val="0F7439FB"/>
    <w:rsid w:val="141D5683"/>
    <w:rsid w:val="157976A1"/>
    <w:rsid w:val="157F0000"/>
    <w:rsid w:val="15BE564C"/>
    <w:rsid w:val="16184DFC"/>
    <w:rsid w:val="178F10EE"/>
    <w:rsid w:val="19C5529B"/>
    <w:rsid w:val="1D602215"/>
    <w:rsid w:val="1F700176"/>
    <w:rsid w:val="24C30629"/>
    <w:rsid w:val="29D82DC8"/>
    <w:rsid w:val="34CD0497"/>
    <w:rsid w:val="350253E8"/>
    <w:rsid w:val="355754A0"/>
    <w:rsid w:val="375D490D"/>
    <w:rsid w:val="394F35C4"/>
    <w:rsid w:val="39D07618"/>
    <w:rsid w:val="3BAE5737"/>
    <w:rsid w:val="3FB91CB8"/>
    <w:rsid w:val="431C1617"/>
    <w:rsid w:val="43D8031B"/>
    <w:rsid w:val="489A16D4"/>
    <w:rsid w:val="4CE22239"/>
    <w:rsid w:val="4D553C64"/>
    <w:rsid w:val="52D6717B"/>
    <w:rsid w:val="533F3F0F"/>
    <w:rsid w:val="539F40EF"/>
    <w:rsid w:val="56737851"/>
    <w:rsid w:val="58FF53CC"/>
    <w:rsid w:val="5A9D6F39"/>
    <w:rsid w:val="5EAC33CB"/>
    <w:rsid w:val="5EBD36AF"/>
    <w:rsid w:val="61E92B4D"/>
    <w:rsid w:val="66B61137"/>
    <w:rsid w:val="67DD0FCE"/>
    <w:rsid w:val="68156E44"/>
    <w:rsid w:val="69564C17"/>
    <w:rsid w:val="69796AD5"/>
    <w:rsid w:val="6B192E54"/>
    <w:rsid w:val="6B906905"/>
    <w:rsid w:val="6F926156"/>
    <w:rsid w:val="6F9603E0"/>
    <w:rsid w:val="7040659E"/>
    <w:rsid w:val="712A5284"/>
    <w:rsid w:val="722F31E7"/>
    <w:rsid w:val="767174B1"/>
    <w:rsid w:val="76BA5FCD"/>
    <w:rsid w:val="7910529D"/>
    <w:rsid w:val="79305C7F"/>
    <w:rsid w:val="7A2B3E1B"/>
    <w:rsid w:val="7B354D6B"/>
    <w:rsid w:val="7DB12889"/>
    <w:rsid w:val="7DF32E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4"/>
    <w:qFormat/>
    <w:uiPriority w:val="0"/>
    <w:pPr>
      <w:spacing w:line="360" w:lineRule="auto"/>
    </w:pPr>
    <w:rPr>
      <w:rFonts w:cs="Times New Roman"/>
      <w:kern w:val="1"/>
      <w:sz w:val="24"/>
      <w:szCs w:val="20"/>
    </w:rPr>
  </w:style>
  <w:style w:type="paragraph" w:customStyle="1" w:styleId="4">
    <w:name w:val="Default"/>
    <w:next w:val="5"/>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5">
    <w:name w:val="大标题"/>
    <w:basedOn w:val="1"/>
    <w:next w:val="6"/>
    <w:qFormat/>
    <w:uiPriority w:val="0"/>
    <w:pPr>
      <w:jc w:val="center"/>
    </w:pPr>
    <w:rPr>
      <w:rFonts w:ascii="Arial" w:hAnsi="Arial"/>
      <w:b/>
      <w:sz w:val="28"/>
      <w:szCs w:val="24"/>
    </w:rPr>
  </w:style>
  <w:style w:type="paragraph" w:styleId="6">
    <w:name w:val="Body Text First Indent 2"/>
    <w:basedOn w:val="7"/>
    <w:unhideWhenUsed/>
    <w:qFormat/>
    <w:uiPriority w:val="99"/>
    <w:pPr>
      <w:ind w:firstLine="420" w:firstLineChars="200"/>
    </w:pPr>
  </w:style>
  <w:style w:type="paragraph" w:styleId="7">
    <w:name w:val="Body Text Indent"/>
    <w:basedOn w:val="1"/>
    <w:unhideWhenUsed/>
    <w:qFormat/>
    <w:uiPriority w:val="99"/>
    <w:pPr>
      <w:spacing w:after="120"/>
      <w:ind w:left="420" w:leftChars="200"/>
    </w:pPr>
  </w:style>
  <w:style w:type="paragraph" w:styleId="8">
    <w:name w:val="Balloon Text"/>
    <w:basedOn w:val="1"/>
    <w:link w:val="15"/>
    <w:qFormat/>
    <w:uiPriority w:val="0"/>
    <w:rPr>
      <w:sz w:val="18"/>
      <w:szCs w:val="18"/>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customStyle="1" w:styleId="13">
    <w:name w:val="列出段落1"/>
    <w:basedOn w:val="1"/>
    <w:unhideWhenUsed/>
    <w:qFormat/>
    <w:uiPriority w:val="0"/>
    <w:pPr>
      <w:ind w:firstLine="420" w:firstLineChars="200"/>
    </w:pPr>
  </w:style>
  <w:style w:type="paragraph" w:customStyle="1" w:styleId="14">
    <w:name w:val="列出段落3"/>
    <w:basedOn w:val="1"/>
    <w:qFormat/>
    <w:uiPriority w:val="99"/>
    <w:pPr>
      <w:ind w:firstLine="420" w:firstLineChars="200"/>
    </w:pPr>
  </w:style>
  <w:style w:type="character" w:customStyle="1" w:styleId="15">
    <w:name w:val="批注框文本 Char"/>
    <w:basedOn w:val="12"/>
    <w:link w:val="8"/>
    <w:qFormat/>
    <w:uiPriority w:val="0"/>
    <w:rPr>
      <w:rFonts w:asciiTheme="minorHAnsi" w:hAnsiTheme="minorHAnsi" w:eastAsiaTheme="minorEastAsia" w:cstheme="minorBidi"/>
      <w:kern w:val="2"/>
      <w:sz w:val="18"/>
      <w:szCs w:val="18"/>
    </w:rPr>
  </w:style>
  <w:style w:type="character" w:customStyle="1" w:styleId="16">
    <w:name w:val="页眉 Char"/>
    <w:basedOn w:val="12"/>
    <w:link w:val="10"/>
    <w:qFormat/>
    <w:uiPriority w:val="0"/>
    <w:rPr>
      <w:rFonts w:asciiTheme="minorHAnsi" w:hAnsiTheme="minorHAnsi" w:eastAsiaTheme="minorEastAsia" w:cstheme="minorBidi"/>
      <w:kern w:val="2"/>
      <w:sz w:val="18"/>
      <w:szCs w:val="18"/>
    </w:rPr>
  </w:style>
  <w:style w:type="paragraph" w:styleId="17">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LyYc</Company>
  <Pages>1</Pages>
  <Words>69</Words>
  <Characters>394</Characters>
  <Lines>3</Lines>
  <Paragraphs>1</Paragraphs>
  <TotalTime>6</TotalTime>
  <ScaleCrop>false</ScaleCrop>
  <LinksUpToDate>false</LinksUpToDate>
  <CharactersWithSpaces>462</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2021-11-03T03:58:00Z</dcterms:created>
  <dc:creator>T2</dc:creator>
  <cp:lastModifiedBy>王庆阳15001198878</cp:lastModifiedBy>
  <cp:lastPrinted>2023-04-01T01:37:00Z</cp:lastPrinted>
  <dcterms:modified xsi:type="dcterms:W3CDTF">2023-12-15T08:31:38Z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77956FE06290429087D2A15E85D9DEDC_13</vt:lpwstr>
  </property>
</Properties>
</file>