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w:t>
      </w:r>
      <w:r>
        <w:rPr>
          <w:rFonts w:hint="eastAsia" w:ascii="宋体" w:hAnsi="宋体" w:eastAsia="宋体" w:cs="宋体"/>
          <w:kern w:val="28"/>
          <w:sz w:val="32"/>
          <w:szCs w:val="32"/>
          <w:lang w:eastAsia="zh-CN"/>
        </w:rPr>
        <w:t>懿世</w:t>
      </w:r>
      <w:r>
        <w:rPr>
          <w:rFonts w:hint="default" w:ascii="宋体" w:hAnsi="宋体" w:eastAsia="宋体" w:cs="宋体"/>
          <w:kern w:val="28"/>
          <w:sz w:val="32"/>
          <w:szCs w:val="32"/>
        </w:rPr>
        <w:t>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w:t>
      </w:r>
      <w:r>
        <w:rPr>
          <w:rFonts w:hint="eastAsia" w:ascii="宋体" w:hAnsi="宋体" w:cs="微软雅黑"/>
          <w:sz w:val="24"/>
          <w:szCs w:val="24"/>
          <w:u w:val="single"/>
          <w:lang w:eastAsia="zh-CN"/>
        </w:rPr>
        <w:t>懿世</w:t>
      </w:r>
      <w:r>
        <w:rPr>
          <w:rFonts w:hint="eastAsia" w:ascii="宋体" w:hAnsi="宋体" w:cs="微软雅黑"/>
          <w:sz w:val="24"/>
          <w:szCs w:val="24"/>
          <w:u w:val="single"/>
        </w:rPr>
        <w:t>房地产营销策划有限公司</w:t>
      </w:r>
    </w:p>
    <w:p>
      <w:pPr>
        <w:widowControl/>
        <w:numPr>
          <w:ilvl w:val="-1"/>
          <w:numId w:val="0"/>
        </w:numPr>
        <w:spacing w:line="44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w:t>
      </w:r>
      <w:r>
        <w:rPr>
          <w:rFonts w:hint="eastAsia" w:ascii="宋体" w:hAnsi="宋体" w:cs="宋体"/>
          <w:sz w:val="28"/>
          <w:szCs w:val="28"/>
          <w:highlight w:val="none"/>
          <w:lang w:val="en-US" w:eastAsia="zh-CN"/>
        </w:rPr>
        <w:t>063</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w:t>
      </w:r>
      <w:r>
        <w:rPr>
          <w:rFonts w:hint="eastAsia" w:ascii="宋体" w:hAnsi="宋体" w:eastAsia="宋体" w:cs="宋体"/>
          <w:b/>
          <w:bCs/>
          <w:sz w:val="24"/>
          <w:szCs w:val="24"/>
          <w:lang w:eastAsia="zh-CN"/>
        </w:rPr>
        <w:t>懿世</w:t>
      </w:r>
      <w:r>
        <w:rPr>
          <w:rFonts w:hint="default"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widowControl/>
        <w:numPr>
          <w:ilvl w:val="-1"/>
          <w:numId w:val="0"/>
        </w:numPr>
        <w:spacing w:line="440" w:lineRule="exact"/>
        <w:ind w:left="0" w:leftChars="0"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（一）</w:t>
      </w:r>
      <w:r>
        <w:rPr>
          <w:rFonts w:hint="eastAsia" w:ascii="宋体" w:hAnsi="宋体" w:eastAsia="宋体" w:cs="宋体"/>
          <w:sz w:val="24"/>
          <w:szCs w:val="24"/>
          <w:lang w:val="en-US" w:eastAsia="zh-CN"/>
        </w:rPr>
        <w:t>2024年1月1日至2024年2月29日（均含当日）期间，</w:t>
      </w:r>
      <w:r>
        <w:rPr>
          <w:rFonts w:hint="eastAsia" w:cs="宋体" w:asciiTheme="minorEastAsia" w:hAnsiTheme="minorEastAsia"/>
          <w:sz w:val="24"/>
          <w:szCs w:val="24"/>
          <w:lang w:val="en-US" w:eastAsia="zh-CN"/>
        </w:rPr>
        <w:t>原合同第四条1中推介流程变更为：</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乙方通过浩客通将客户信息报备，报备时间应提前30分钟报备，否则视为无效带看客户，关联至明源系统由置业顾问跟踪记录。</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分钟内将客户是否有效结果反馈给乙方，甲方客户（包含但不限于自然到访、老带新、全民经纪人、甲方自渠等）的到访保护期为：自最后一次到访当日起 15 日，凡过该保护期的客户，乙方再报备为有效可带访。甲方登记的其他渠道推介的客户自最后一次到访当日起 15 日，凡过该保护期的客户，乙方再报备为有效可带访。客户来访 15 天保护期内再次到访的，保护期自复访之日起顺延 15 天。</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如后期发生撞客行为，以客户到访时间先后为准判定客户归属，若一方虽到访在先但已过保护期也不归属该方；若同天到访，则以经纪人带访时间先后为准。</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二）2024年1月10日至2024年2月29日（均含当日）期间，原合同第四条第2项第（2）条销售佣金方案做出如下变更:</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（2）销售佣金：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1、推荐成交原合同约定房源的，按照网签合同总房款的2.5%加10000元/套计提佣金；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2、若乙方推荐成交伊河湾项目房源同时推荐成交甲方关联公司开发开元壹号项目房源的，单月乙方推荐成交的伊河湾项目房源的佣金按下列方式计提：</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1）单月推荐成交房源第1-5套，且推荐成交开元壹号项目1套公寓或商铺的，该第1-5套中伊河湾项目房源的佣金按网签合同总房款的3.5%计提佣金；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2）单月推荐成交房源第6-10套，且推荐成交开元壹号2套公</w:t>
      </w:r>
      <w:bookmarkStart w:id="0" w:name="_GoBack"/>
      <w:bookmarkEnd w:id="0"/>
      <w:r>
        <w:rPr>
          <w:rFonts w:hint="eastAsia" w:ascii="宋体" w:hAnsi="宋体" w:eastAsia="宋体" w:cs="宋体"/>
          <w:sz w:val="24"/>
          <w:szCs w:val="24"/>
          <w:lang w:val="en-US" w:eastAsia="zh-CN"/>
        </w:rPr>
        <w:t>寓或商铺，该第1-10套中伊河湾项目房源的佣金按照网签合同总房款的4%计提佣金；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3）单月销售房源11套以上含11套，且推荐成交开元壹号4套公寓或商铺，该第1-11套及以上房源中伊河湾项目房源的佣金按照网签合同总房款的4.5%计提佣金；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4）推荐成交开元壹号项目住宅、公寓或商铺的套数，可计入跳点套数，但其佣金仍由乙方与其开发商按其双方约定进行支付，甲方不支付；</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执行前述第2条跳点约定，则需要同时满足推荐成交开元壹号公寓或商铺的套数；若无推荐成交开元壹号公寓或商铺，则仍按照上述第1条执行；若推荐成交6-10套，但仅推荐成交开元壹号1套公寓或商铺，则按照上述第2条中1）条按网签合同总房款的3.5%计提佣金；若推荐成交单月销售11套以上含11套，仅推荐成交开元壹号1套公寓或商铺,则仍按第2条中1）条按网签合同总房款的3.5%计提佣金，若仅推荐成交2套公寓或商铺，则按照第2条中2）条按网签合同总房款的4%计提佣金。</w:t>
      </w:r>
    </w:p>
    <w:p>
      <w:pPr>
        <w:widowControl/>
        <w:numPr>
          <w:ilvl w:val="0"/>
          <w:numId w:val="0"/>
        </w:numPr>
        <w:spacing w:line="440" w:lineRule="exact"/>
        <w:ind w:left="0" w:firstLine="480"/>
        <w:jc w:val="left"/>
        <w:rPr>
          <w:rFonts w:hint="eastAsia"/>
          <w:lang w:val="en-US" w:eastAsia="zh-CN"/>
        </w:rPr>
      </w:pPr>
      <w:r>
        <w:rPr>
          <w:rFonts w:hint="eastAsia" w:ascii="宋体" w:hAnsi="宋体" w:eastAsia="宋体" w:cs="宋体"/>
          <w:sz w:val="24"/>
          <w:szCs w:val="24"/>
          <w:lang w:val="en-US" w:eastAsia="zh-CN"/>
        </w:rPr>
        <w:t>4、前述第2条按月分别执行，第一个月执行期间为：2024年1月10日-2024年1月31日；第二个月执行期间为：2024年2月1日-2024年2月29日；当月执行日期结束后，次月从新开始计算销售套数。</w:t>
      </w:r>
    </w:p>
    <w:p>
      <w:pPr>
        <w:pStyle w:val="2"/>
        <w:pageBreakBefore w:val="0"/>
        <w:kinsoku/>
        <w:overflowPunct/>
        <w:topLinePunct w:val="0"/>
        <w:autoSpaceDE/>
        <w:autoSpaceDN/>
        <w:bidi w:val="0"/>
        <w:adjustRightInd/>
        <w:spacing w:line="440" w:lineRule="exact"/>
        <w:ind w:left="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二、新增预付款</w:t>
      </w:r>
    </w:p>
    <w:p>
      <w:pPr>
        <w:pStyle w:val="2"/>
        <w:pageBreakBefore w:val="0"/>
        <w:kinsoku/>
        <w:overflowPunct/>
        <w:topLinePunct w:val="0"/>
        <w:autoSpaceDE/>
        <w:autoSpaceDN/>
        <w:bidi w:val="0"/>
        <w:adjustRightInd/>
        <w:spacing w:line="440" w:lineRule="exact"/>
        <w:ind w:left="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于本补充协议签署后5日内向乙方原合同中约定的账户预付佣金20万元（大写：贰拾万元整）用于预付合作周期内客户产生的佣金。乙方每周向甲方提供达到原合同符合结算条件的《对账单明细表》，甲方在收到《对账单明细表》后2日内审核完毕并签字确认返还至乙方，双方按照确认的明细及金额直接从预付佣金20万中扣减相应金额，同时乙方为甲方开具对应金额的增值税发票。</w:t>
      </w:r>
    </w:p>
    <w:p>
      <w:pPr>
        <w:pStyle w:val="2"/>
        <w:pageBreakBefore w:val="0"/>
        <w:kinsoku/>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2、若约定周期内，在乙方推荐客户产生10万元佣金后的5个工作日内，甲方需再次补齐至20万元的预付款，以此类推。</w:t>
      </w:r>
    </w:p>
    <w:p>
      <w:pPr>
        <w:pStyle w:val="2"/>
        <w:pageBreakBefore w:val="0"/>
        <w:kinsoku/>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3、若约定周期结束，双方进行最终结算，如最终实际产生的佣金不足20万元，则乙方应在本协议周期结束后的5日内将剩余预付佣金款项无息返还至甲方指定账户。</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w:t>
      </w:r>
      <w:r>
        <w:rPr>
          <w:rFonts w:hint="eastAsia" w:ascii="宋体" w:hAnsi="宋体" w:cs="微软雅黑"/>
          <w:sz w:val="24"/>
          <w:szCs w:val="24"/>
          <w:u w:val="none"/>
          <w:lang w:eastAsia="zh-CN"/>
        </w:rPr>
        <w:t>懿世</w:t>
      </w:r>
      <w:r>
        <w:rPr>
          <w:rFonts w:hint="eastAsia" w:ascii="宋体" w:hAnsi="宋体" w:cs="微软雅黑"/>
          <w:sz w:val="24"/>
          <w:szCs w:val="24"/>
          <w:u w:val="none"/>
        </w:rPr>
        <w:t>房地产营销策划有限公司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FB2797C"/>
    <w:rsid w:val="718D136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1767</Words>
  <Characters>1871</Characters>
  <Lines>6</Lines>
  <Paragraphs>1</Paragraphs>
  <TotalTime>14</TotalTime>
  <ScaleCrop>false</ScaleCrop>
  <LinksUpToDate>false</LinksUpToDate>
  <CharactersWithSpaces>1954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2024-01-11T02:37:00Z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