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autoSpaceDE/>
        <w:autoSpaceDN/>
        <w:bidi w:val="0"/>
        <w:adjustRightInd/>
        <w:spacing w:before="0" w:after="0" w:line="440" w:lineRule="exact"/>
        <w:ind w:left="0" w:firstLine="0" w:firstLineChars="0"/>
        <w:jc w:val="center"/>
        <w:textAlignment w:val="auto"/>
        <w:rPr>
          <w:rFonts w:hint="eastAsia" w:ascii="宋体" w:hAnsi="宋体" w:eastAsia="宋体" w:cs="宋体"/>
          <w:kern w:val="28"/>
          <w:sz w:val="32"/>
          <w:szCs w:val="32"/>
          <w:lang w:eastAsia="zh-CN"/>
        </w:rPr>
      </w:pPr>
      <w:r>
        <w:rPr>
          <w:rFonts w:hint="eastAsia" w:ascii="宋体" w:hAnsi="宋体" w:eastAsia="宋体" w:cs="宋体"/>
          <w:kern w:val="28"/>
          <w:sz w:val="32"/>
          <w:szCs w:val="32"/>
          <w:lang w:val="en-US" w:eastAsia="zh-CN"/>
        </w:rPr>
        <w:t>2024年洛阳市洛龙区伊河湾项目优居优住分销合作合同</w:t>
      </w:r>
      <w:r>
        <w:rPr>
          <w:rFonts w:hint="eastAsia" w:ascii="宋体" w:hAnsi="宋体" w:eastAsia="宋体" w:cs="宋体"/>
          <w:kern w:val="28"/>
          <w:sz w:val="32"/>
          <w:szCs w:val="32"/>
          <w:lang w:eastAsia="zh-CN"/>
        </w:rPr>
        <w:t>补充协议</w:t>
      </w:r>
    </w:p>
    <w:p>
      <w:pPr>
        <w:pageBreakBefore w:val="0"/>
        <w:kinsoku/>
        <w:overflowPunct/>
        <w:topLinePunct w:val="0"/>
        <w:autoSpaceDE/>
        <w:autoSpaceDN/>
        <w:bidi w:val="0"/>
        <w:adjustRightInd/>
        <w:spacing w:line="440" w:lineRule="exact"/>
        <w:textAlignment w:val="auto"/>
        <w:rPr>
          <w:rFonts w:hint="eastAsia"/>
          <w:lang w:eastAsia="zh-CN"/>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b w:val="0"/>
          <w:bCs w:val="0"/>
          <w:sz w:val="24"/>
          <w:szCs w:val="24"/>
          <w:u w:val="single"/>
        </w:rPr>
        <w:t>洛阳优居优住网络科技有限公司洛龙分公司</w:t>
      </w:r>
    </w:p>
    <w:p>
      <w:pPr>
        <w:widowControl/>
        <w:numPr>
          <w:ilvl w:val="-1"/>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4"/>
          <w:szCs w:val="24"/>
          <w:lang w:val="en-US" w:eastAsia="zh-CN"/>
        </w:rPr>
        <w:t>YHW</w:t>
      </w:r>
      <w:r>
        <w:rPr>
          <w:rFonts w:hint="eastAsia" w:ascii="宋体" w:hAnsi="宋体" w:eastAsia="宋体" w:cs="宋体"/>
          <w:sz w:val="24"/>
          <w:szCs w:val="24"/>
        </w:rPr>
        <w:t>-YX-</w:t>
      </w:r>
      <w:r>
        <w:rPr>
          <w:rFonts w:hint="eastAsia" w:ascii="宋体" w:hAnsi="宋体" w:eastAsia="宋体" w:cs="宋体"/>
          <w:sz w:val="24"/>
          <w:szCs w:val="24"/>
          <w:lang w:val="en-US" w:eastAsia="zh-CN"/>
        </w:rPr>
        <w:t>060</w:t>
      </w:r>
      <w:r>
        <w:rPr>
          <w:rFonts w:hint="eastAsia" w:ascii="宋体" w:hAnsi="宋体" w:eastAsia="宋体" w:cs="宋体"/>
          <w:sz w:val="24"/>
          <w:szCs w:val="24"/>
        </w:rPr>
        <w:t>《</w:t>
      </w:r>
      <w:r>
        <w:rPr>
          <w:rFonts w:hint="eastAsia" w:ascii="宋体" w:hAnsi="宋体" w:eastAsia="宋体" w:cs="宋体"/>
          <w:b w:val="0"/>
          <w:sz w:val="24"/>
          <w:szCs w:val="24"/>
          <w:lang w:val="en-US" w:eastAsia="zh-CN"/>
        </w:rPr>
        <w:t>2024年</w:t>
      </w:r>
      <w:r>
        <w:rPr>
          <w:rFonts w:hint="eastAsia" w:ascii="宋体" w:hAnsi="宋体" w:eastAsia="宋体" w:cs="宋体"/>
          <w:b w:val="0"/>
          <w:sz w:val="24"/>
          <w:szCs w:val="24"/>
        </w:rPr>
        <w:t>洛阳市洛龙区伊河湾项目</w:t>
      </w:r>
      <w:r>
        <w:rPr>
          <w:rFonts w:hint="eastAsia" w:ascii="宋体" w:hAnsi="宋体" w:eastAsia="宋体" w:cs="宋体"/>
          <w:b w:val="0"/>
          <w:sz w:val="24"/>
          <w:szCs w:val="24"/>
          <w:lang w:eastAsia="zh-CN"/>
        </w:rPr>
        <w:t>优居优住</w:t>
      </w:r>
      <w:r>
        <w:rPr>
          <w:rFonts w:hint="eastAsia" w:ascii="宋体" w:hAnsi="宋体" w:eastAsia="宋体" w:cs="宋体"/>
          <w:b w:val="0"/>
          <w:sz w:val="24"/>
          <w:szCs w:val="24"/>
        </w:rPr>
        <w:t>分销合作合同</w:t>
      </w:r>
      <w:r>
        <w:rPr>
          <w:rFonts w:hint="eastAsia" w:ascii="宋体" w:hAnsi="宋体" w:eastAsia="宋体" w:cs="宋体"/>
          <w:sz w:val="24"/>
          <w:szCs w:val="24"/>
        </w:rPr>
        <w:t>》（以下简称“原合同”），原合同约定甲方委托乙方为甲方开发的伊河湾</w:t>
      </w:r>
      <w:r>
        <w:rPr>
          <w:rFonts w:hint="eastAsia" w:ascii="宋体" w:hAnsi="宋体" w:eastAsia="宋体" w:cs="宋体"/>
          <w:sz w:val="24"/>
          <w:szCs w:val="24"/>
          <w:lang w:val="en-US" w:eastAsia="zh-CN"/>
        </w:rPr>
        <w:t>项</w:t>
      </w:r>
      <w:r>
        <w:rPr>
          <w:rFonts w:hint="eastAsia" w:ascii="宋体" w:hAnsi="宋体" w:eastAsia="宋体" w:cs="宋体"/>
          <w:sz w:val="24"/>
          <w:szCs w:val="24"/>
        </w:rPr>
        <w:t>目提供居间代理服务。现甲乙双方协商一致，</w:t>
      </w:r>
      <w:r>
        <w:rPr>
          <w:rFonts w:hint="eastAsia" w:ascii="宋体" w:hAnsi="宋体" w:eastAsia="宋体" w:cs="宋体"/>
          <w:sz w:val="24"/>
          <w:szCs w:val="24"/>
          <w:lang w:val="en-US" w:eastAsia="zh-CN"/>
        </w:rPr>
        <w:t>对原合同做如下变更：</w:t>
      </w:r>
    </w:p>
    <w:p>
      <w:pPr>
        <w:widowControl/>
        <w:numPr>
          <w:ilvl w:val="-1"/>
          <w:numId w:val="0"/>
        </w:numPr>
        <w:spacing w:line="440" w:lineRule="exact"/>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就原合同第四条 推介流程及佣金方案做出如下变更</w:t>
      </w:r>
      <w:r>
        <w:rPr>
          <w:rFonts w:hint="eastAsia" w:cs="宋体" w:asciiTheme="minorEastAsia" w:hAnsiTheme="minorEastAsia"/>
          <w:sz w:val="24"/>
          <w:szCs w:val="24"/>
        </w:rPr>
        <w:t>：</w:t>
      </w:r>
    </w:p>
    <w:p>
      <w:pPr>
        <w:widowControl/>
        <w:numPr>
          <w:ilvl w:val="-1"/>
          <w:numId w:val="0"/>
        </w:numPr>
        <w:spacing w:line="440" w:lineRule="exact"/>
        <w:ind w:left="0" w:leftChars="0"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（一）</w:t>
      </w:r>
      <w:r>
        <w:rPr>
          <w:rFonts w:hint="eastAsia" w:ascii="宋体" w:hAnsi="宋体" w:eastAsia="宋体" w:cs="宋体"/>
          <w:sz w:val="24"/>
          <w:szCs w:val="24"/>
          <w:lang w:val="en-US" w:eastAsia="zh-CN"/>
        </w:rPr>
        <w:t>2024年1月1日至2024年2月29日（均含当日）期间，</w:t>
      </w:r>
      <w:r>
        <w:rPr>
          <w:rFonts w:hint="eastAsia" w:cs="宋体" w:asciiTheme="minorEastAsia" w:hAnsiTheme="minorEastAsia"/>
          <w:sz w:val="24"/>
          <w:szCs w:val="24"/>
          <w:lang w:val="en-US" w:eastAsia="zh-CN"/>
        </w:rPr>
        <w:t>原合同第四条1中推介流程变更为：</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报备：</w:t>
      </w:r>
      <w:r>
        <w:rPr>
          <w:rFonts w:hint="eastAsia" w:ascii="宋体" w:hAnsi="宋体" w:eastAsia="宋体" w:cs="宋体"/>
          <w:sz w:val="24"/>
          <w:szCs w:val="24"/>
        </w:rPr>
        <w:t>乙方通过浩客通将客户信息报备，报备时间应提前30分钟报备，否则视为无效带看客户，关联至明源系统由置业顾问跟踪记录。</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甲方对接人应当在乙方报备后 30 分钟内将客户是否有效结果反馈给乙方，甲方客户（包含但不限于自然到访、老带新、全民经纪人、甲方自渠等）的到访保护期为：自最后一次到访当日起 15 日，凡过该保护期的客户，乙方再报备为有效可带访。甲方登记的其他渠道推介的客户自最后一次到访当日起 15 日，凡过该保护期的客户，乙方再报备为有效可带访。客户来访 15 天保护期内再次到访的，保护期自复访之日起顺延 15 天。</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如后期发生撞客行为，以客户到访时间先后为准判定客户归属，若一方虽到访在先但已过保护期也不归属该方；若同天到访，则以经纪人带访时间先后为准。</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二）2024年1月10日至2024年2月29日（均含当日）期间，原合同第四条第2项第（2）条销售佣金方案做出如下变更:</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（2）销售佣金：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1、推荐成交原合同约定房源的，按照网签合同总房款的2.5%加10000元/套计提佣金；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2、若乙方推荐成交伊河湾项目房源同时推荐成交甲方关联公司开发开元壹号项目房源的，单月乙方推荐成交的伊河湾项目房源的佣金按下列方式计提：</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1）单月推荐成交房源第1-5套，且推荐成交开元壹号项目1套公寓或商铺的，该第1-5套中伊河湾项目房源的佣金按网签合同总房款的3.5%计提佣金；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2）单月推荐成交房源第6-10套，且推荐成交开元壹号2套公寓或商铺，该第1-10套中伊河湾项目房源的佣金按照网签合同总房款的4%计提佣金；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3）单月销售房源11套以上含11套，且推荐成交开元壹号4套公寓或商铺，该第1-11套及以上房源中伊河湾项目房源的佣金按照网签合同总房款的4.5%计提佣金；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4）推荐成交开元壹号项目住宅、公寓或商铺的套数，可计入跳点套数，但其佣金仍由乙方与其开发商按其双方约定进行支付，甲方不支付；</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执行前述第2条跳点约定，则需要同时满足推荐成交开元壹号公寓或商铺的套数；若无推荐成交开元壹号公寓或商铺，则仍按照上述第1条执行；若推荐成交6-10套，但仅推荐成交开元壹号1套公寓或商铺，则按照上述第2条中1）条按网签合同总房款的3.5%计提佣金；若推荐成交单月销售11套以上含11套，仅推荐成交开元壹号1套公寓或商铺,则仍按第2条中1）条按网签合同总房款的3.5%计提佣金，若仅推荐成交2套公寓或商铺，则按照第2条中2）条按网签合同总房款的4%计提佣金。</w:t>
      </w:r>
    </w:p>
    <w:p>
      <w:pPr>
        <w:widowControl/>
        <w:numPr>
          <w:ilvl w:val="0"/>
          <w:numId w:val="0"/>
        </w:numPr>
        <w:spacing w:line="440" w:lineRule="exact"/>
        <w:ind w:left="0" w:firstLine="480"/>
        <w:jc w:val="left"/>
        <w:rPr>
          <w:rFonts w:hint="eastAsia"/>
          <w:lang w:val="en-US" w:eastAsia="zh-CN"/>
        </w:rPr>
      </w:pPr>
      <w:r>
        <w:rPr>
          <w:rFonts w:hint="eastAsia" w:ascii="宋体" w:hAnsi="宋体" w:eastAsia="宋体" w:cs="宋体"/>
          <w:sz w:val="24"/>
          <w:szCs w:val="24"/>
          <w:lang w:val="en-US" w:eastAsia="zh-CN"/>
        </w:rPr>
        <w:t>4、前述第2条按月分别执行，第一个月执行期间为：2024年1月10日-2024年1月31日；第二个月执行期间为：2024年2月1日-2024年2月29日；当月执行日期结束后，次月从新开始计算销售套数。</w:t>
      </w:r>
    </w:p>
    <w:p>
      <w:pPr>
        <w:pStyle w:val="10"/>
        <w:pageBreakBefore w:val="0"/>
        <w:numPr>
          <w:ilvl w:val="255"/>
          <w:numId w:val="0"/>
        </w:numPr>
        <w:tabs>
          <w:tab w:val="left" w:pos="420"/>
        </w:tabs>
        <w:kinsoku/>
        <w:wordWrap w:val="0"/>
        <w:overflowPunct/>
        <w:topLinePunct w:val="0"/>
        <w:autoSpaceDE/>
        <w:autoSpaceDN/>
        <w:bidi w:val="0"/>
        <w:adjustRightInd/>
        <w:snapToGrid w:val="0"/>
        <w:spacing w:line="440" w:lineRule="exact"/>
        <w:ind w:left="0" w:firstLine="420" w:firstLineChars="200"/>
        <w:jc w:val="left"/>
        <w:textAlignment w:val="auto"/>
        <w:rPr>
          <w:rFonts w:cs="宋体" w:asciiTheme="minorEastAsia" w:hAnsiTheme="minorEastAsia"/>
          <w:sz w:val="24"/>
          <w:szCs w:val="24"/>
        </w:rPr>
      </w:pPr>
      <w:r>
        <w:rPr>
          <w:rFonts w:hint="eastAsia"/>
          <w:lang w:val="en-US" w:eastAsia="zh-CN"/>
        </w:rPr>
        <w:t>二</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w:t>
      </w:r>
      <w:bookmarkStart w:id="0" w:name="_GoBack"/>
      <w:bookmarkEnd w:id="0"/>
      <w:r>
        <w:rPr>
          <w:rFonts w:hint="eastAsia" w:ascii="宋体" w:hAnsi="宋体" w:eastAsia="宋体" w:cs="宋体"/>
          <w:sz w:val="24"/>
          <w:szCs w:val="24"/>
        </w:rPr>
        <w:t>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autoSpaceDE/>
        <w:autoSpaceDN/>
        <w:bidi w:val="0"/>
        <w:adjustRightInd/>
        <w:spacing w:after="0" w:line="44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ascii="宋体" w:hAnsi="宋体" w:eastAsia="宋体" w:cs="宋体"/>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eastAsia="宋体" w:cs="宋体"/>
          <w:b w:val="0"/>
          <w:bCs w:val="0"/>
          <w:sz w:val="24"/>
          <w:szCs w:val="24"/>
          <w:u w:val="none"/>
        </w:rPr>
        <w:t>洛阳优居优住网络科技有限公司洛龙分公司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8583E54"/>
    <w:rsid w:val="1A136006"/>
    <w:rsid w:val="1B2D60BF"/>
    <w:rsid w:val="1F4F388C"/>
    <w:rsid w:val="21685FC5"/>
    <w:rsid w:val="259A1C3E"/>
    <w:rsid w:val="2A375D41"/>
    <w:rsid w:val="2F5F6F33"/>
    <w:rsid w:val="310A20DE"/>
    <w:rsid w:val="325B16EC"/>
    <w:rsid w:val="33303EE6"/>
    <w:rsid w:val="34BA50DA"/>
    <w:rsid w:val="34F66706"/>
    <w:rsid w:val="35663438"/>
    <w:rsid w:val="35823EE1"/>
    <w:rsid w:val="35E42408"/>
    <w:rsid w:val="36C46BAE"/>
    <w:rsid w:val="3710594F"/>
    <w:rsid w:val="38CF692D"/>
    <w:rsid w:val="3A182F3E"/>
    <w:rsid w:val="3F613B23"/>
    <w:rsid w:val="44615A3C"/>
    <w:rsid w:val="455F3E15"/>
    <w:rsid w:val="480E6F01"/>
    <w:rsid w:val="49AF0827"/>
    <w:rsid w:val="4B2B340C"/>
    <w:rsid w:val="4C5777B2"/>
    <w:rsid w:val="4DF64250"/>
    <w:rsid w:val="51705732"/>
    <w:rsid w:val="54D14CC9"/>
    <w:rsid w:val="54EB28BA"/>
    <w:rsid w:val="55020954"/>
    <w:rsid w:val="56B45E9F"/>
    <w:rsid w:val="5A36661D"/>
    <w:rsid w:val="5B7A6F8C"/>
    <w:rsid w:val="5CB25C27"/>
    <w:rsid w:val="60714CFB"/>
    <w:rsid w:val="6142679E"/>
    <w:rsid w:val="61834DEC"/>
    <w:rsid w:val="69543A30"/>
    <w:rsid w:val="6FB2797C"/>
    <w:rsid w:val="718D136F"/>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style>
  <w:style w:type="paragraph" w:styleId="5">
    <w:name w:val="Body Text"/>
    <w:basedOn w:val="1"/>
    <w:autoRedefine/>
    <w:qFormat/>
    <w:uiPriority w:val="0"/>
    <w:pPr>
      <w:spacing w:line="360" w:lineRule="auto"/>
    </w:pPr>
    <w:rPr>
      <w:rFonts w:cs="Times New Roman"/>
      <w:kern w:val="1"/>
      <w:sz w:val="24"/>
      <w:szCs w:val="20"/>
    </w:rPr>
  </w:style>
  <w:style w:type="paragraph" w:customStyle="1" w:styleId="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autoRedefine/>
    <w:qFormat/>
    <w:uiPriority w:val="0"/>
    <w:pPr>
      <w:jc w:val="center"/>
    </w:pPr>
    <w:rPr>
      <w:rFonts w:ascii="Arial" w:hAnsi="Arial"/>
      <w:b/>
      <w:sz w:val="28"/>
      <w:szCs w:val="24"/>
    </w:rPr>
  </w:style>
  <w:style w:type="paragraph" w:customStyle="1" w:styleId="10">
    <w:name w:val="列出段落1"/>
    <w:basedOn w:val="1"/>
    <w:autoRedefine/>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1767</Words>
  <Characters>1871</Characters>
  <Lines>6</Lines>
  <Paragraphs>1</Paragraphs>
  <TotalTime>0</TotalTime>
  <ScaleCrop>false</ScaleCrop>
  <LinksUpToDate>false</LinksUpToDate>
  <CharactersWithSpaces>1954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2024-01-11T02:45:37Z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