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tabs>
          <w:tab w:val="left" w:pos="1675"/>
          <w:tab w:val="center" w:pos="4215"/>
        </w:tabs>
        <w:kinsoku/>
        <w:wordWrap w:val="0"/>
        <w:overflowPunct/>
        <w:topLinePunct w:val="0"/>
        <w:autoSpaceDE/>
        <w:autoSpaceDN/>
        <w:bidi w:val="0"/>
        <w:adjustRightInd/>
        <w:spacing w:before="0" w:after="0" w:line="440" w:lineRule="exact"/>
        <w:ind w:left="0" w:firstLine="0" w:firstLineChars="0"/>
        <w:jc w:val="center"/>
        <w:textAlignment w:val="auto"/>
        <w:rPr>
          <w:rFonts w:hint="eastAsia" w:ascii="宋体" w:hAnsi="宋体" w:eastAsia="宋体" w:cs="宋体"/>
          <w:kern w:val="28"/>
          <w:sz w:val="32"/>
          <w:szCs w:val="32"/>
          <w:lang w:eastAsia="zh-CN"/>
        </w:rPr>
      </w:pPr>
      <w:r>
        <w:rPr>
          <w:rFonts w:hint="eastAsia" w:ascii="宋体" w:hAnsi="宋体" w:eastAsia="宋体" w:cs="宋体"/>
          <w:kern w:val="28"/>
          <w:sz w:val="32"/>
          <w:szCs w:val="32"/>
          <w:lang w:val="en-US" w:eastAsia="zh-CN"/>
        </w:rPr>
        <w:t>2024年洛阳市洛龙区伊河湾项目千源</w:t>
      </w:r>
      <w:bookmarkStart w:id="0" w:name="_GoBack"/>
      <w:bookmarkEnd w:id="0"/>
      <w:r>
        <w:rPr>
          <w:rFonts w:hint="eastAsia" w:ascii="宋体" w:hAnsi="宋体" w:eastAsia="宋体" w:cs="宋体"/>
          <w:kern w:val="28"/>
          <w:sz w:val="32"/>
          <w:szCs w:val="32"/>
          <w:lang w:val="en-US" w:eastAsia="zh-CN"/>
        </w:rPr>
        <w:t>分销合作合同</w:t>
      </w:r>
      <w:r>
        <w:rPr>
          <w:rFonts w:hint="eastAsia" w:ascii="宋体" w:hAnsi="宋体" w:eastAsia="宋体" w:cs="宋体"/>
          <w:kern w:val="28"/>
          <w:sz w:val="32"/>
          <w:szCs w:val="32"/>
          <w:lang w:eastAsia="zh-CN"/>
        </w:rPr>
        <w:t>补充协议</w:t>
      </w:r>
    </w:p>
    <w:p>
      <w:pPr>
        <w:pageBreakBefore w:val="0"/>
        <w:kinsoku/>
        <w:overflowPunct/>
        <w:topLinePunct w:val="0"/>
        <w:autoSpaceDE/>
        <w:autoSpaceDN/>
        <w:bidi w:val="0"/>
        <w:adjustRightInd/>
        <w:spacing w:line="440" w:lineRule="exact"/>
        <w:textAlignment w:val="auto"/>
        <w:rPr>
          <w:rFonts w:hint="eastAsia"/>
          <w:lang w:eastAsia="zh-CN"/>
        </w:rPr>
      </w:pPr>
    </w:p>
    <w:p>
      <w:pPr>
        <w:pageBreakBefore w:val="0"/>
        <w:kinsoku/>
        <w:overflowPunct/>
        <w:topLinePunct w:val="0"/>
        <w:autoSpaceDE/>
        <w:autoSpaceDN/>
        <w:bidi w:val="0"/>
        <w:adjustRightInd/>
        <w:snapToGrid w:val="0"/>
        <w:spacing w:line="440" w:lineRule="exact"/>
        <w:ind w:left="0" w:firstLine="0" w:firstLineChars="0"/>
        <w:jc w:val="left"/>
        <w:textAlignment w:val="auto"/>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cs="宋体"/>
          <w:color w:val="000000"/>
          <w:sz w:val="24"/>
          <w:szCs w:val="24"/>
          <w:u w:val="single"/>
        </w:rPr>
        <w:t>河南浩德新澜置业有限公司</w:t>
      </w:r>
    </w:p>
    <w:p>
      <w:pPr>
        <w:pageBreakBefore w:val="0"/>
        <w:kinsoku/>
        <w:overflowPunct/>
        <w:topLinePunct w:val="0"/>
        <w:autoSpaceDE/>
        <w:autoSpaceDN/>
        <w:bidi w:val="0"/>
        <w:adjustRightInd/>
        <w:snapToGrid w:val="0"/>
        <w:spacing w:line="440" w:lineRule="exact"/>
        <w:ind w:left="0" w:firstLine="0" w:firstLineChars="0"/>
        <w:jc w:val="left"/>
        <w:textAlignment w:val="auto"/>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cs="宋体"/>
          <w:b w:val="0"/>
          <w:bCs w:val="0"/>
          <w:color w:val="000000"/>
          <w:sz w:val="24"/>
          <w:szCs w:val="24"/>
          <w:u w:val="single"/>
        </w:rPr>
        <w:t>洛阳千源房地产经纪服务有限公司</w:t>
      </w:r>
    </w:p>
    <w:p>
      <w:pPr>
        <w:widowControl/>
        <w:numPr>
          <w:ilvl w:val="-1"/>
          <w:numId w:val="0"/>
        </w:numPr>
        <w:spacing w:line="360" w:lineRule="auto"/>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鉴于：甲乙双方于</w:t>
      </w:r>
      <w:r>
        <w:rPr>
          <w:rFonts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日签署了合同编号为</w:t>
      </w:r>
      <w:r>
        <w:rPr>
          <w:rFonts w:hint="eastAsia" w:ascii="宋体" w:hAnsi="宋体" w:eastAsia="宋体" w:cs="宋体"/>
          <w:sz w:val="24"/>
          <w:szCs w:val="24"/>
          <w:lang w:val="en-US" w:eastAsia="zh-CN"/>
        </w:rPr>
        <w:t>YHW</w:t>
      </w:r>
      <w:r>
        <w:rPr>
          <w:rFonts w:hint="eastAsia" w:ascii="宋体" w:hAnsi="宋体" w:eastAsia="宋体" w:cs="宋体"/>
          <w:sz w:val="24"/>
          <w:szCs w:val="24"/>
        </w:rPr>
        <w:t>-YX-</w:t>
      </w:r>
      <w:r>
        <w:rPr>
          <w:rFonts w:hint="eastAsia" w:ascii="宋体" w:hAnsi="宋体" w:eastAsia="宋体" w:cs="宋体"/>
          <w:sz w:val="24"/>
          <w:szCs w:val="24"/>
          <w:lang w:val="en-US" w:eastAsia="zh-CN"/>
        </w:rPr>
        <w:t>062</w:t>
      </w:r>
      <w:r>
        <w:rPr>
          <w:rFonts w:hint="eastAsia" w:ascii="宋体" w:hAnsi="宋体" w:eastAsia="宋体" w:cs="宋体"/>
          <w:sz w:val="24"/>
          <w:szCs w:val="24"/>
        </w:rPr>
        <w:t>《</w:t>
      </w:r>
      <w:r>
        <w:rPr>
          <w:rFonts w:hint="eastAsia" w:ascii="宋体" w:hAnsi="宋体" w:eastAsia="宋体" w:cs="宋体"/>
          <w:b w:val="0"/>
          <w:sz w:val="24"/>
          <w:szCs w:val="24"/>
          <w:lang w:val="en-US" w:eastAsia="zh-CN"/>
        </w:rPr>
        <w:t>2024年</w:t>
      </w:r>
      <w:r>
        <w:rPr>
          <w:rFonts w:hint="eastAsia" w:ascii="宋体" w:hAnsi="宋体" w:eastAsia="宋体" w:cs="宋体"/>
          <w:b w:val="0"/>
          <w:sz w:val="24"/>
          <w:szCs w:val="24"/>
        </w:rPr>
        <w:t>洛阳市洛龙区伊河湾项目</w:t>
      </w:r>
      <w:r>
        <w:rPr>
          <w:rFonts w:hint="eastAsia" w:ascii="宋体" w:hAnsi="宋体" w:eastAsia="宋体" w:cs="宋体"/>
          <w:b w:val="0"/>
          <w:sz w:val="24"/>
          <w:szCs w:val="24"/>
          <w:lang w:val="en-US" w:eastAsia="zh-CN"/>
        </w:rPr>
        <w:t>千源</w:t>
      </w:r>
      <w:r>
        <w:rPr>
          <w:rFonts w:hint="eastAsia" w:ascii="宋体" w:hAnsi="宋体" w:eastAsia="宋体" w:cs="宋体"/>
          <w:b w:val="0"/>
          <w:sz w:val="24"/>
          <w:szCs w:val="24"/>
        </w:rPr>
        <w:t>分销合作合同</w:t>
      </w:r>
      <w:r>
        <w:rPr>
          <w:rFonts w:hint="eastAsia" w:ascii="宋体" w:hAnsi="宋体" w:eastAsia="宋体" w:cs="宋体"/>
          <w:sz w:val="24"/>
          <w:szCs w:val="24"/>
        </w:rPr>
        <w:t>》（以下简称“原合同”），原合同约定甲方委托乙方为甲方开发的伊河湾</w:t>
      </w:r>
      <w:r>
        <w:rPr>
          <w:rFonts w:hint="eastAsia" w:ascii="宋体" w:hAnsi="宋体" w:eastAsia="宋体" w:cs="宋体"/>
          <w:sz w:val="24"/>
          <w:szCs w:val="24"/>
          <w:lang w:val="en-US" w:eastAsia="zh-CN"/>
        </w:rPr>
        <w:t>项</w:t>
      </w:r>
      <w:r>
        <w:rPr>
          <w:rFonts w:hint="eastAsia" w:ascii="宋体" w:hAnsi="宋体" w:eastAsia="宋体" w:cs="宋体"/>
          <w:sz w:val="24"/>
          <w:szCs w:val="24"/>
        </w:rPr>
        <w:t>目提供居间代理服务。现甲乙双方协商一致，</w:t>
      </w:r>
      <w:r>
        <w:rPr>
          <w:rFonts w:hint="eastAsia" w:ascii="宋体" w:hAnsi="宋体" w:eastAsia="宋体" w:cs="宋体"/>
          <w:sz w:val="24"/>
          <w:szCs w:val="24"/>
          <w:lang w:val="en-US" w:eastAsia="zh-CN"/>
        </w:rPr>
        <w:t>对原合同做如下变更：</w:t>
      </w:r>
    </w:p>
    <w:p>
      <w:pPr>
        <w:widowControl/>
        <w:numPr>
          <w:ilvl w:val="-1"/>
          <w:numId w:val="0"/>
        </w:numPr>
        <w:spacing w:line="440" w:lineRule="exact"/>
        <w:ind w:left="0" w:leftChars="0" w:firstLine="480" w:firstLineChars="200"/>
        <w:jc w:val="left"/>
        <w:rPr>
          <w:rFonts w:hint="eastAsia" w:cs="宋体" w:asciiTheme="minorEastAsia" w:hAnsiTheme="minorEastAsia"/>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就原合同第四条 推介流程及佣金方案做出如下变更</w:t>
      </w:r>
      <w:r>
        <w:rPr>
          <w:rFonts w:hint="eastAsia" w:cs="宋体" w:asciiTheme="minorEastAsia" w:hAnsiTheme="minorEastAsia"/>
          <w:sz w:val="24"/>
          <w:szCs w:val="24"/>
        </w:rPr>
        <w:t>：</w:t>
      </w:r>
    </w:p>
    <w:p>
      <w:pPr>
        <w:widowControl/>
        <w:numPr>
          <w:ilvl w:val="-1"/>
          <w:numId w:val="0"/>
        </w:numPr>
        <w:spacing w:line="440" w:lineRule="exact"/>
        <w:ind w:left="0" w:leftChars="0" w:firstLine="480" w:firstLineChars="200"/>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lang w:val="en-US" w:eastAsia="zh-CN"/>
        </w:rPr>
        <w:t>（一）</w:t>
      </w:r>
      <w:r>
        <w:rPr>
          <w:rFonts w:hint="eastAsia" w:ascii="宋体" w:hAnsi="宋体" w:eastAsia="宋体" w:cs="宋体"/>
          <w:sz w:val="24"/>
          <w:szCs w:val="24"/>
          <w:lang w:val="en-US" w:eastAsia="zh-CN"/>
        </w:rPr>
        <w:t>2024年1月1日至2024年2月29日（均含当日）期间，</w:t>
      </w:r>
      <w:r>
        <w:rPr>
          <w:rFonts w:hint="eastAsia" w:cs="宋体" w:asciiTheme="minorEastAsia" w:hAnsiTheme="minorEastAsia"/>
          <w:sz w:val="24"/>
          <w:szCs w:val="24"/>
          <w:lang w:val="en-US" w:eastAsia="zh-CN"/>
        </w:rPr>
        <w:t>原合同第四条1中推介流程变更为：</w:t>
      </w:r>
    </w:p>
    <w:p>
      <w:pPr>
        <w:pageBreakBefore w:val="0"/>
        <w:widowControl/>
        <w:numPr>
          <w:ilvl w:val="255"/>
          <w:numId w:val="0"/>
        </w:numPr>
        <w:kinsoku/>
        <w:overflowPunct/>
        <w:topLinePunct w:val="0"/>
        <w:autoSpaceDE/>
        <w:autoSpaceDN/>
        <w:bidi w:val="0"/>
        <w:adjustRightInd/>
        <w:spacing w:line="440" w:lineRule="exact"/>
        <w:ind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报备：</w:t>
      </w:r>
      <w:r>
        <w:rPr>
          <w:rFonts w:hint="eastAsia" w:ascii="宋体" w:hAnsi="宋体" w:eastAsia="宋体" w:cs="宋体"/>
          <w:sz w:val="24"/>
          <w:szCs w:val="24"/>
        </w:rPr>
        <w:t>乙方通过浩客通将客户信息报备，报备时间应提前30分钟报备，否则视为无效带看客户，关联至明源系统由置业顾问跟踪记录。</w:t>
      </w:r>
    </w:p>
    <w:p>
      <w:pPr>
        <w:pageBreakBefore w:val="0"/>
        <w:widowControl/>
        <w:numPr>
          <w:ilvl w:val="255"/>
          <w:numId w:val="0"/>
        </w:numPr>
        <w:kinsoku/>
        <w:overflowPunct/>
        <w:topLinePunct w:val="0"/>
        <w:autoSpaceDE/>
        <w:autoSpaceDN/>
        <w:bidi w:val="0"/>
        <w:adjustRightInd/>
        <w:spacing w:line="440" w:lineRule="exact"/>
        <w:ind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甲方对接人应当在乙方报备后 30 分钟内将客户是否有效结果反馈给乙方，甲方客户（包含但不限于自然到访、老带新、全民经纪人、甲方自渠等）的到访保护期为：自最后一次到访当日起 15 日，凡过该保护期的客户，乙方再报备为有效可带访。甲方登记的其他渠道推介的客户自最后一次到访当日起 15 日，凡过该保护期的客户，乙方再报备为有效可带访。客户来访 15 天保护期内再次到访的，保护期自复访之日起顺延 15 天。</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如后期发生撞客行为，以客户到访时间先后为准判定客户归属，若一方虽到访在先但已过保护期也不归属该方；若同天到访，则以经纪人带访时间先后为准。</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二）2024年1月10日至2024年2月29日（均含当日）期间，原合同第四条第2项第（2）条销售佣金方案做出如下变更:</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（2）销售佣金：</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1、推荐成交原合同约定房源的，按照网签合同总房款的2.5%加10000元/套计提佣金；</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2、若乙方推荐成交伊河湾项目房源同时推荐成交甲方关联公司开发开元壹号项目房源的，单月乙方推荐成交的伊河湾项目房源的佣金按下列方式计提：</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1）单月推荐成交房源1-5套，且</w:t>
      </w:r>
      <w:r>
        <w:rPr>
          <w:rFonts w:hint="eastAsia" w:ascii="宋体" w:hAnsi="宋体" w:eastAsia="宋体" w:cs="宋体"/>
          <w:sz w:val="24"/>
          <w:szCs w:val="24"/>
        </w:rPr>
        <w:t>其中必须至少</w:t>
      </w:r>
      <w:r>
        <w:rPr>
          <w:rFonts w:hint="eastAsia" w:ascii="宋体" w:hAnsi="宋体" w:eastAsia="宋体" w:cs="宋体"/>
          <w:sz w:val="24"/>
          <w:szCs w:val="24"/>
          <w:lang w:val="en-US" w:eastAsia="zh-CN"/>
        </w:rPr>
        <w:t>推荐成交开元壹号项目1套公寓或商铺的，该1-5套中伊河湾项目房源的佣金按网签合同总房款的3.5%计提佣金；</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2）单月推荐成交房源6-10套，且</w:t>
      </w:r>
      <w:r>
        <w:rPr>
          <w:rFonts w:hint="eastAsia" w:ascii="宋体" w:hAnsi="宋体" w:eastAsia="宋体" w:cs="宋体"/>
          <w:sz w:val="24"/>
          <w:szCs w:val="24"/>
        </w:rPr>
        <w:t>其中必须至少</w:t>
      </w:r>
      <w:r>
        <w:rPr>
          <w:rFonts w:hint="eastAsia" w:ascii="宋体" w:hAnsi="宋体" w:eastAsia="宋体" w:cs="宋体"/>
          <w:sz w:val="24"/>
          <w:szCs w:val="24"/>
          <w:lang w:val="en-US" w:eastAsia="zh-CN"/>
        </w:rPr>
        <w:t>推荐成交开元壹号2套公寓或商铺，该单月成交所有房源中伊河湾项目房源的佣金按照网签合同总房款的4%计提佣金；</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3）单月销售房源11套以上含11套，且</w:t>
      </w:r>
      <w:r>
        <w:rPr>
          <w:rFonts w:hint="eastAsia" w:ascii="宋体" w:hAnsi="宋体" w:eastAsia="宋体" w:cs="宋体"/>
          <w:sz w:val="24"/>
          <w:szCs w:val="24"/>
        </w:rPr>
        <w:t>其中必须至少</w:t>
      </w:r>
      <w:r>
        <w:rPr>
          <w:rFonts w:hint="eastAsia" w:ascii="宋体" w:hAnsi="宋体" w:eastAsia="宋体" w:cs="宋体"/>
          <w:sz w:val="24"/>
          <w:szCs w:val="24"/>
          <w:lang w:val="en-US" w:eastAsia="zh-CN"/>
        </w:rPr>
        <w:t>推荐成交开元壹号4套公寓或商铺，该单月成交所有房源中伊河湾项目房源的佣金按照网签合同总房款的4.5%计提佣金；</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4）推荐成交开元壹号项目住宅、公寓或商铺的套数，可计入跳点套数，但其佣金仍由乙方与其开发商按其双方约定进行支付，甲方不支付；</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若执行前述第2条跳点约定，则需要同时满足推荐成交开元壹号公寓或商铺的套数；若无推荐成交开元壹号公寓或商铺，则仍按照上述第1条执行；若推荐成交6-10套，但仅推荐成交开元壹号1套公寓或商铺，则按照上述第2条中1）条按网签合同总房款的3.5%计提佣金；若推荐成交单月销售11套以上含11套，仅推荐成交开元壹号1套公寓或商铺,则仍按第2条中1）条按网签合同总房款的3.5%计提佣金，若仅推荐成交2套公寓或商铺/3套公寓或商铺，则按照第2条中2）条按网签合同总房款的4%计提佣金。</w:t>
      </w:r>
    </w:p>
    <w:p>
      <w:pPr>
        <w:widowControl/>
        <w:numPr>
          <w:ilvl w:val="0"/>
          <w:numId w:val="0"/>
        </w:numPr>
        <w:spacing w:line="440" w:lineRule="exact"/>
        <w:ind w:left="0" w:firstLine="480"/>
        <w:jc w:val="left"/>
        <w:rPr>
          <w:rFonts w:hint="eastAsia"/>
          <w:lang w:val="en-US" w:eastAsia="zh-CN"/>
        </w:rPr>
      </w:pPr>
      <w:r>
        <w:rPr>
          <w:rFonts w:hint="eastAsia" w:ascii="宋体" w:hAnsi="宋体" w:eastAsia="宋体" w:cs="宋体"/>
          <w:sz w:val="24"/>
          <w:szCs w:val="24"/>
          <w:lang w:val="en-US" w:eastAsia="zh-CN"/>
        </w:rPr>
        <w:t>4、前述第2条按月分别执行，第一个月执行期间为：2024年1月10日-2024年1月31日；第二个月执行期间为：2024年2月1日-2024年2月29日；当月执行日期结束后，次月从新开始计算销售套数。</w:t>
      </w:r>
    </w:p>
    <w:p>
      <w:pPr>
        <w:pStyle w:val="10"/>
        <w:pageBreakBefore w:val="0"/>
        <w:numPr>
          <w:ilvl w:val="255"/>
          <w:numId w:val="0"/>
        </w:numPr>
        <w:tabs>
          <w:tab w:val="left" w:pos="420"/>
        </w:tabs>
        <w:kinsoku/>
        <w:wordWrap w:val="0"/>
        <w:overflowPunct/>
        <w:topLinePunct w:val="0"/>
        <w:autoSpaceDE/>
        <w:autoSpaceDN/>
        <w:bidi w:val="0"/>
        <w:adjustRightInd/>
        <w:snapToGrid w:val="0"/>
        <w:spacing w:line="440" w:lineRule="exact"/>
        <w:ind w:left="0" w:firstLine="420" w:firstLineChars="200"/>
        <w:jc w:val="left"/>
        <w:textAlignment w:val="auto"/>
        <w:rPr>
          <w:rFonts w:cs="宋体" w:asciiTheme="minorEastAsia" w:hAnsiTheme="minorEastAsia"/>
          <w:sz w:val="24"/>
          <w:szCs w:val="24"/>
        </w:rPr>
      </w:pPr>
      <w:r>
        <w:rPr>
          <w:rFonts w:hint="eastAsia"/>
          <w:lang w:val="en-US" w:eastAsia="zh-CN"/>
        </w:rPr>
        <w:t>二</w:t>
      </w:r>
      <w:r>
        <w:rPr>
          <w:rFonts w:hint="eastAsia"/>
        </w:rPr>
        <w:t>、</w:t>
      </w:r>
      <w:r>
        <w:rPr>
          <w:rFonts w:hint="eastAsia" w:cs="宋体" w:asciiTheme="minorEastAsia" w:hAnsiTheme="minorEastAsia"/>
          <w:sz w:val="24"/>
          <w:szCs w:val="24"/>
        </w:rPr>
        <w:t xml:space="preserve">其他约定   </w:t>
      </w:r>
    </w:p>
    <w:p>
      <w:pPr>
        <w:pageBreakBefore w:val="0"/>
        <w:kinsoku/>
        <w:overflowPunct/>
        <w:topLinePunct w:val="0"/>
        <w:autoSpaceDE/>
        <w:autoSpaceDN/>
        <w:bidi w:val="0"/>
        <w:adjustRightInd/>
        <w:spacing w:line="440" w:lineRule="exact"/>
        <w:ind w:left="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w:t>
      </w:r>
      <w:r>
        <w:rPr>
          <w:rFonts w:hint="eastAsia" w:ascii="宋体" w:hAnsi="宋体" w:eastAsia="宋体" w:cs="宋体"/>
          <w:sz w:val="24"/>
          <w:szCs w:val="24"/>
          <w:lang w:eastAsia="zh-CN"/>
        </w:rPr>
        <w:t>或其它补充协议</w:t>
      </w:r>
      <w:r>
        <w:rPr>
          <w:rFonts w:hint="eastAsia" w:ascii="宋体" w:hAnsi="宋体" w:eastAsia="宋体" w:cs="宋体"/>
          <w:sz w:val="24"/>
          <w:szCs w:val="24"/>
        </w:rPr>
        <w:t>不一致的，以本补充协议为准。</w:t>
      </w:r>
    </w:p>
    <w:p>
      <w:pPr>
        <w:pageBreakBefore w:val="0"/>
        <w:widowControl/>
        <w:kinsoku/>
        <w:wordWrap w:val="0"/>
        <w:overflowPunct/>
        <w:topLinePunct w:val="0"/>
        <w:autoSpaceDE/>
        <w:autoSpaceDN/>
        <w:bidi w:val="0"/>
        <w:adjustRightInd/>
        <w:spacing w:line="440" w:lineRule="exact"/>
        <w:ind w:left="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 本补充协议经双方盖章后生效，本补充协议一式</w:t>
      </w:r>
      <w:r>
        <w:rPr>
          <w:rFonts w:hint="eastAsia" w:ascii="宋体" w:hAnsi="宋体" w:eastAsia="宋体" w:cs="宋体"/>
          <w:sz w:val="24"/>
          <w:szCs w:val="24"/>
          <w:lang w:val="en-US" w:eastAsia="zh-CN"/>
        </w:rPr>
        <w:t>伍</w:t>
      </w:r>
      <w:r>
        <w:rPr>
          <w:rFonts w:hint="eastAsia" w:ascii="宋体" w:hAnsi="宋体" w:eastAsia="宋体" w:cs="宋体"/>
          <w:sz w:val="24"/>
          <w:szCs w:val="24"/>
        </w:rPr>
        <w:t>份，甲</w:t>
      </w:r>
      <w:r>
        <w:rPr>
          <w:rFonts w:hint="eastAsia" w:ascii="宋体" w:hAnsi="宋体" w:eastAsia="宋体" w:cs="宋体"/>
          <w:sz w:val="24"/>
          <w:szCs w:val="24"/>
          <w:lang w:val="en-US" w:eastAsia="zh-CN"/>
        </w:rPr>
        <w:t>方执叁份，</w:t>
      </w:r>
      <w:r>
        <w:rPr>
          <w:rFonts w:hint="eastAsia" w:ascii="宋体" w:hAnsi="宋体" w:eastAsia="宋体" w:cs="宋体"/>
          <w:sz w:val="24"/>
          <w:szCs w:val="24"/>
        </w:rPr>
        <w:t>乙方</w:t>
      </w:r>
      <w:r>
        <w:rPr>
          <w:rFonts w:hint="eastAsia" w:ascii="宋体" w:hAnsi="宋体" w:eastAsia="宋体" w:cs="宋体"/>
          <w:sz w:val="24"/>
          <w:szCs w:val="24"/>
          <w:lang w:val="en-US" w:eastAsia="zh-CN"/>
        </w:rPr>
        <w:t>执</w:t>
      </w:r>
      <w:r>
        <w:rPr>
          <w:rFonts w:hint="eastAsia" w:ascii="宋体" w:hAnsi="宋体" w:eastAsia="宋体" w:cs="宋体"/>
          <w:sz w:val="24"/>
          <w:szCs w:val="24"/>
        </w:rPr>
        <w:t>贰份，每份具有同等法律效力。</w:t>
      </w:r>
    </w:p>
    <w:p>
      <w:pPr>
        <w:pStyle w:val="2"/>
        <w:pageBreakBefore w:val="0"/>
        <w:tabs>
          <w:tab w:val="left" w:pos="1206"/>
        </w:tabs>
        <w:kinsoku/>
        <w:overflowPunct/>
        <w:topLinePunct w:val="0"/>
        <w:autoSpaceDE/>
        <w:autoSpaceDN/>
        <w:bidi w:val="0"/>
        <w:adjustRightInd/>
        <w:spacing w:after="0" w:line="440" w:lineRule="exact"/>
        <w:ind w:left="0" w:leftChars="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（以下无正文）</w:t>
      </w:r>
    </w:p>
    <w:p>
      <w:pPr>
        <w:pageBreakBefore w:val="0"/>
        <w:kinsoku/>
        <w:overflowPunct/>
        <w:topLinePunct w:val="0"/>
        <w:autoSpaceDE/>
        <w:autoSpaceDN/>
        <w:bidi w:val="0"/>
        <w:adjustRightInd/>
        <w:snapToGrid w:val="0"/>
        <w:spacing w:line="440" w:lineRule="exact"/>
        <w:ind w:left="0" w:firstLine="0" w:firstLineChars="0"/>
        <w:jc w:val="left"/>
        <w:textAlignment w:val="auto"/>
        <w:rPr>
          <w:rFonts w:hint="eastAsia" w:ascii="宋体" w:hAnsi="宋体" w:eastAsia="宋体" w:cs="宋体"/>
          <w:sz w:val="24"/>
          <w:szCs w:val="24"/>
        </w:rPr>
      </w:pPr>
    </w:p>
    <w:p>
      <w:pPr>
        <w:pageBreakBefore w:val="0"/>
        <w:kinsoku/>
        <w:overflowPunct/>
        <w:topLinePunct w:val="0"/>
        <w:autoSpaceDE/>
        <w:autoSpaceDN/>
        <w:bidi w:val="0"/>
        <w:adjustRightInd/>
        <w:snapToGrid w:val="0"/>
        <w:spacing w:line="440" w:lineRule="exact"/>
        <w:ind w:left="0" w:firstLine="0" w:firstLineChars="0"/>
        <w:jc w:val="left"/>
        <w:textAlignment w:val="auto"/>
        <w:rPr>
          <w:rFonts w:ascii="宋体" w:hAnsi="宋体" w:eastAsia="宋体" w:cs="宋体"/>
          <w:sz w:val="24"/>
          <w:szCs w:val="24"/>
          <w:u w:val="none"/>
        </w:rPr>
      </w:pPr>
      <w:r>
        <w:rPr>
          <w:rFonts w:hint="eastAsia" w:ascii="宋体" w:hAnsi="宋体" w:eastAsia="宋体" w:cs="宋体"/>
          <w:sz w:val="24"/>
          <w:szCs w:val="24"/>
        </w:rPr>
        <w:t>甲 方：河南浩德新澜置业</w:t>
      </w:r>
      <w:r>
        <w:rPr>
          <w:rFonts w:hint="eastAsia" w:ascii="宋体" w:hAnsi="宋体" w:eastAsia="宋体" w:cs="宋体"/>
          <w:sz w:val="24"/>
          <w:szCs w:val="24"/>
          <w:lang w:val="en-US" w:eastAsia="zh-CN"/>
        </w:rPr>
        <w:t>有</w:t>
      </w:r>
      <w:r>
        <w:rPr>
          <w:rFonts w:hint="eastAsia" w:ascii="宋体" w:hAnsi="宋体" w:eastAsia="宋体" w:cs="宋体"/>
          <w:sz w:val="24"/>
          <w:szCs w:val="24"/>
        </w:rPr>
        <w:t>限公司          乙 方：</w:t>
      </w:r>
      <w:r>
        <w:rPr>
          <w:rFonts w:hint="eastAsia" w:ascii="宋体" w:hAnsi="宋体" w:eastAsia="宋体" w:cs="宋体"/>
          <w:b w:val="0"/>
          <w:bCs w:val="0"/>
          <w:sz w:val="24"/>
          <w:szCs w:val="24"/>
          <w:u w:val="none"/>
        </w:rPr>
        <w:t>洛阳千源房地产经纪服务有限公司</w:t>
      </w:r>
    </w:p>
    <w:p>
      <w:pPr>
        <w:pageBreakBefore w:val="0"/>
        <w:kinsoku/>
        <w:overflowPunct/>
        <w:topLinePunct w:val="0"/>
        <w:autoSpaceDE/>
        <w:autoSpaceDN/>
        <w:bidi w:val="0"/>
        <w:adjustRightInd/>
        <w:snapToGrid w:val="0"/>
        <w:spacing w:line="440" w:lineRule="exact"/>
        <w:ind w:left="0" w:firstLine="0" w:firstLineChars="0"/>
        <w:jc w:val="left"/>
        <w:textAlignment w:val="auto"/>
        <w:rPr>
          <w:rFonts w:hint="default" w:cs="微软雅黑" w:asciiTheme="minorEastAsia" w:hAnsiTheme="minorEastAsia"/>
          <w:sz w:val="24"/>
          <w:szCs w:val="24"/>
        </w:rPr>
      </w:pPr>
    </w:p>
    <w:p>
      <w:pPr>
        <w:pageBreakBefore w:val="0"/>
        <w:kinsoku/>
        <w:overflowPunct/>
        <w:topLinePunct w:val="0"/>
        <w:autoSpaceDE/>
        <w:autoSpaceDN/>
        <w:bidi w:val="0"/>
        <w:adjustRightInd/>
        <w:snapToGrid w:val="0"/>
        <w:spacing w:line="440" w:lineRule="exact"/>
        <w:ind w:left="0" w:firstLine="0" w:firstLineChars="0"/>
        <w:jc w:val="left"/>
        <w:textAlignment w:val="auto"/>
        <w:rPr>
          <w:rFonts w:hint="default" w:cs="微软雅黑" w:asciiTheme="minorEastAsia" w:hAnsiTheme="minorEastAsia"/>
          <w:sz w:val="24"/>
          <w:szCs w:val="24"/>
        </w:rPr>
      </w:pPr>
      <w:r>
        <w:rPr>
          <w:rFonts w:hint="default" w:cs="微软雅黑" w:asciiTheme="minorEastAsia" w:hAnsiTheme="minorEastAsia"/>
          <w:sz w:val="24"/>
          <w:szCs w:val="24"/>
        </w:rPr>
        <w:t>授权代表：                             授权代表：</w:t>
      </w:r>
    </w:p>
    <w:p>
      <w:pPr>
        <w:pageBreakBefore w:val="0"/>
        <w:kinsoku/>
        <w:overflowPunct/>
        <w:topLinePunct w:val="0"/>
        <w:autoSpaceDE/>
        <w:autoSpaceDN/>
        <w:bidi w:val="0"/>
        <w:adjustRightInd/>
        <w:snapToGrid w:val="0"/>
        <w:spacing w:line="440" w:lineRule="exact"/>
        <w:ind w:left="0" w:firstLine="0" w:firstLineChars="0"/>
        <w:jc w:val="left"/>
        <w:textAlignment w:val="auto"/>
        <w:rPr>
          <w:rFonts w:hint="eastAsia" w:cs="微软雅黑" w:asciiTheme="minorEastAsia" w:hAnsiTheme="minorEastAsia"/>
          <w:sz w:val="24"/>
          <w:szCs w:val="24"/>
        </w:rPr>
      </w:pPr>
    </w:p>
    <w:p>
      <w:pPr>
        <w:pageBreakBefore w:val="0"/>
        <w:kinsoku/>
        <w:overflowPunct/>
        <w:topLinePunct w:val="0"/>
        <w:autoSpaceDE/>
        <w:autoSpaceDN/>
        <w:bidi w:val="0"/>
        <w:adjustRightInd/>
        <w:snapToGrid w:val="0"/>
        <w:spacing w:line="440" w:lineRule="exact"/>
        <w:ind w:left="0" w:firstLine="0" w:firstLineChars="0"/>
        <w:jc w:val="left"/>
        <w:textAlignment w:val="auto"/>
      </w:pP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4</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4</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 w:name="KSO_WPS_MARK_KEY" w:val="05f42874-5151-4dd1-b86d-e0dc695840d0"/>
  </w:docVars>
  <w:rsids>
    <w:rsidRoot w:val="000865CC"/>
    <w:rsid w:val="000865CC"/>
    <w:rsid w:val="001B448B"/>
    <w:rsid w:val="00622C54"/>
    <w:rsid w:val="00860D46"/>
    <w:rsid w:val="00A34D09"/>
    <w:rsid w:val="00AE6AEA"/>
    <w:rsid w:val="00AF50EC"/>
    <w:rsid w:val="00C53E05"/>
    <w:rsid w:val="00CA57DB"/>
    <w:rsid w:val="00D353C0"/>
    <w:rsid w:val="00E86D36"/>
    <w:rsid w:val="00F15267"/>
    <w:rsid w:val="00F3624C"/>
    <w:rsid w:val="00F74348"/>
    <w:rsid w:val="030331A0"/>
    <w:rsid w:val="040E2AAA"/>
    <w:rsid w:val="04941A29"/>
    <w:rsid w:val="0B2527BE"/>
    <w:rsid w:val="0C921E2F"/>
    <w:rsid w:val="0CCE30D1"/>
    <w:rsid w:val="0D3C74CD"/>
    <w:rsid w:val="148D46ED"/>
    <w:rsid w:val="17140673"/>
    <w:rsid w:val="17991F6C"/>
    <w:rsid w:val="18583E54"/>
    <w:rsid w:val="1A136006"/>
    <w:rsid w:val="1F4F388C"/>
    <w:rsid w:val="20185573"/>
    <w:rsid w:val="21685FC5"/>
    <w:rsid w:val="259A1C3E"/>
    <w:rsid w:val="2A375D41"/>
    <w:rsid w:val="310A20DE"/>
    <w:rsid w:val="325B16EC"/>
    <w:rsid w:val="33303EE6"/>
    <w:rsid w:val="34BA50DA"/>
    <w:rsid w:val="34F66706"/>
    <w:rsid w:val="35663438"/>
    <w:rsid w:val="35823EE1"/>
    <w:rsid w:val="35E42408"/>
    <w:rsid w:val="36C46BAE"/>
    <w:rsid w:val="3710594F"/>
    <w:rsid w:val="38CF692D"/>
    <w:rsid w:val="3A182F3E"/>
    <w:rsid w:val="3F613B23"/>
    <w:rsid w:val="44615A3C"/>
    <w:rsid w:val="455F3E15"/>
    <w:rsid w:val="480E6F01"/>
    <w:rsid w:val="49AF0827"/>
    <w:rsid w:val="4B2B340C"/>
    <w:rsid w:val="4C5777B2"/>
    <w:rsid w:val="4DF64250"/>
    <w:rsid w:val="51705732"/>
    <w:rsid w:val="54D14CC9"/>
    <w:rsid w:val="54EB28BA"/>
    <w:rsid w:val="55020954"/>
    <w:rsid w:val="56B45E9F"/>
    <w:rsid w:val="5A36661D"/>
    <w:rsid w:val="5B7A6F8C"/>
    <w:rsid w:val="5CB25C27"/>
    <w:rsid w:val="60714CFB"/>
    <w:rsid w:val="6142679E"/>
    <w:rsid w:val="61834DEC"/>
    <w:rsid w:val="69543A30"/>
    <w:rsid w:val="6FB2797C"/>
    <w:rsid w:val="718D136F"/>
    <w:rsid w:val="74C2523F"/>
    <w:rsid w:val="78054355"/>
    <w:rsid w:val="7D5406F2"/>
    <w:rsid w:val="9EBE638D"/>
    <w:rsid w:val="DBED5465"/>
  </w:rsids>
  <m:mathPr>
    <m:mathFont m:val="Cambria Math"/>
    <m:brkBin m:val="before"/>
    <m:brkBinSub m:val="--"/>
    <m:smallFrac m:val="1"/>
    <m:dispDef/>
    <m:lMargin m:val="1440"/>
    <m:rMargin m:val="144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ody Text"/>
    <w:basedOn w:val="1"/>
    <w:autoRedefine/>
    <w:qFormat/>
    <w:uiPriority w:val="0"/>
    <w:pPr>
      <w:spacing w:line="360" w:lineRule="auto"/>
    </w:pPr>
    <w:rPr>
      <w:rFonts w:cs="Times New Roman"/>
      <w:kern w:val="1"/>
      <w:sz w:val="24"/>
      <w:szCs w:val="20"/>
    </w:rPr>
  </w:style>
  <w:style w:type="paragraph" w:customStyle="1" w:styleId="8">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
    <w:name w:val="大标题"/>
    <w:basedOn w:val="1"/>
    <w:qFormat/>
    <w:uiPriority w:val="0"/>
    <w:pPr>
      <w:jc w:val="center"/>
    </w:pPr>
    <w:rPr>
      <w:rFonts w:ascii="Arial" w:hAnsi="Arial"/>
      <w:b/>
      <w:sz w:val="28"/>
      <w:szCs w:val="24"/>
    </w:rPr>
  </w:style>
  <w:style w:type="paragraph" w:customStyle="1" w:styleId="10">
    <w:name w:val="列出段落1"/>
    <w:basedOn w:val="1"/>
    <w:autoRedefine/>
    <w:unhideWhenUsed/>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1483</Words>
  <Characters>1588</Characters>
  <Lines>6</Lines>
  <Paragraphs>1</Paragraphs>
  <TotalTime>0</TotalTime>
  <ScaleCrop>false</ScaleCrop>
  <LinksUpToDate>false</LinksUpToDate>
  <CharactersWithSpaces>1671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2023-07-15T10:37:00Z</dcterms:created>
  <dc:creator>mac</dc:creator>
  <cp:lastModifiedBy>费晨光</cp:lastModifiedBy>
  <dcterms:modified xsi:type="dcterms:W3CDTF">2024-01-17T08:03:15Z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4DDC058059EB4D6BB5A8D1CFCCAC1C68_13</vt:lpwstr>
  </property>
</Properties>
</file>