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360" w:lineRule="auto"/>
        <w:ind w:firstLine="480"/>
        <w:rPr>
          <w:color w:val="auto"/>
        </w:rPr>
      </w:pPr>
    </w:p>
    <w:p>
      <w:pPr>
        <w:pStyle w:val="2"/>
        <w:overflowPunct w:val="0"/>
        <w:ind w:firstLine="1044" w:firstLineChars="200"/>
        <w:jc w:val="center"/>
        <w:rPr>
          <w:rFonts w:hAnsi="宋体" w:cs="宋体"/>
          <w:bCs/>
          <w:color w:val="auto"/>
          <w:sz w:val="52"/>
          <w:szCs w:val="52"/>
        </w:rPr>
      </w:pPr>
    </w:p>
    <w:p>
      <w:pPr>
        <w:pStyle w:val="97"/>
        <w:ind w:firstLine="480"/>
        <w:rPr>
          <w:color w:val="auto"/>
        </w:rPr>
      </w:pPr>
      <w:bookmarkStart w:id="0" w:name="_Hlk85395864"/>
      <w:bookmarkStart w:id="1" w:name="_Toc117419001"/>
    </w:p>
    <w:bookmarkEnd w:id="0"/>
    <w:bookmarkEnd w:id="1"/>
    <w:p>
      <w:pPr>
        <w:pStyle w:val="90"/>
        <w:rPr>
          <w:color w:val="auto"/>
        </w:rPr>
      </w:pPr>
    </w:p>
    <w:p>
      <w:pPr>
        <w:overflowPunct w:val="0"/>
        <w:spacing w:before="0" w:beforeLines="-2147483648" w:after="0" w:afterLines="-2147483648" w:line="360" w:lineRule="auto"/>
        <w:ind w:right="0" w:rightChars="0" w:firstLine="1600" w:firstLineChars="500"/>
        <w:jc w:val="both"/>
        <w:rPr>
          <w:b/>
          <w:color w:val="auto"/>
          <w:sz w:val="32"/>
          <w:szCs w:val="32"/>
        </w:rPr>
      </w:pPr>
      <w:r>
        <w:rPr>
          <w:rFonts w:hint="eastAsia"/>
          <w:color w:val="auto"/>
          <w:sz w:val="32"/>
          <w:szCs w:val="32"/>
          <w:shd w:val="clear" w:color="auto" w:fill="FFFFFF"/>
        </w:rPr>
        <w:t>开元壹号62地块</w:t>
      </w:r>
      <w:r>
        <w:rPr>
          <w:rFonts w:hint="eastAsia"/>
          <w:color w:val="auto"/>
          <w:sz w:val="32"/>
          <w:szCs w:val="32"/>
          <w:shd w:val="clear" w:color="auto" w:fill="FFFFFF"/>
          <w:lang w:val="en-US" w:eastAsia="zh-CN"/>
        </w:rPr>
        <w:t>55#</w:t>
      </w:r>
      <w:r>
        <w:rPr>
          <w:rFonts w:hint="eastAsia"/>
          <w:color w:val="auto"/>
          <w:sz w:val="32"/>
          <w:szCs w:val="32"/>
          <w:shd w:val="clear" w:color="auto" w:fill="FFFFFF"/>
        </w:rPr>
        <w:t>楼</w:t>
      </w:r>
      <w:r>
        <w:rPr>
          <w:rFonts w:hint="eastAsia"/>
          <w:color w:val="auto"/>
          <w:sz w:val="32"/>
          <w:szCs w:val="32"/>
          <w:shd w:val="clear" w:color="auto" w:fill="FFFFFF"/>
          <w:lang w:eastAsia="zh-CN"/>
        </w:rPr>
        <w:t>临时</w:t>
      </w:r>
      <w:r>
        <w:rPr>
          <w:rFonts w:hint="eastAsia"/>
          <w:color w:val="auto"/>
          <w:sz w:val="32"/>
          <w:szCs w:val="32"/>
          <w:shd w:val="clear" w:color="auto" w:fill="FFFFFF"/>
        </w:rPr>
        <w:t>样板间精装修工程合同</w:t>
      </w:r>
    </w:p>
    <w:p>
      <w:pPr>
        <w:overflowPunct w:val="0"/>
        <w:autoSpaceDN/>
        <w:spacing w:line="360" w:lineRule="auto"/>
        <w:ind w:firstLine="640" w:firstLineChars="200"/>
        <w:rPr>
          <w:color w:val="auto"/>
          <w:sz w:val="32"/>
          <w:szCs w:val="32"/>
        </w:rPr>
      </w:pPr>
      <w:r>
        <w:rPr>
          <w:rFonts w:hint="eastAsia"/>
          <w:color w:val="auto"/>
          <w:sz w:val="32"/>
          <w:szCs w:val="32"/>
        </w:rPr>
        <w:t xml:space="preserve">     </w:t>
      </w:r>
    </w:p>
    <w:p>
      <w:pPr>
        <w:overflowPunct w:val="0"/>
        <w:autoSpaceDN/>
        <w:spacing w:line="360" w:lineRule="auto"/>
        <w:ind w:firstLine="480" w:firstLineChars="200"/>
        <w:rPr>
          <w:color w:val="auto"/>
        </w:rPr>
      </w:pPr>
    </w:p>
    <w:p>
      <w:pPr>
        <w:overflowPunct w:val="0"/>
        <w:autoSpaceDN/>
        <w:spacing w:line="360" w:lineRule="auto"/>
        <w:ind w:firstLine="480" w:firstLineChars="200"/>
        <w:rPr>
          <w:color w:val="auto"/>
        </w:rPr>
      </w:pPr>
    </w:p>
    <w:p>
      <w:pPr>
        <w:overflowPunct w:val="0"/>
        <w:autoSpaceDN/>
        <w:spacing w:line="360" w:lineRule="auto"/>
        <w:ind w:firstLine="480" w:firstLineChars="200"/>
        <w:rPr>
          <w:color w:val="auto"/>
        </w:rPr>
      </w:pPr>
    </w:p>
    <w:p>
      <w:pPr>
        <w:overflowPunct w:val="0"/>
        <w:autoSpaceDN/>
        <w:spacing w:line="360" w:lineRule="auto"/>
        <w:ind w:firstLine="480" w:firstLineChars="200"/>
        <w:rPr>
          <w:color w:val="auto"/>
        </w:rPr>
      </w:pPr>
    </w:p>
    <w:p>
      <w:pPr>
        <w:overflowPunct w:val="0"/>
        <w:autoSpaceDN/>
        <w:spacing w:line="360" w:lineRule="auto"/>
        <w:ind w:firstLine="480" w:firstLineChars="200"/>
        <w:rPr>
          <w:color w:val="auto"/>
        </w:rPr>
      </w:pPr>
    </w:p>
    <w:p>
      <w:pPr>
        <w:pStyle w:val="18"/>
        <w:rPr>
          <w:color w:val="auto"/>
        </w:rPr>
      </w:pPr>
    </w:p>
    <w:p>
      <w:pPr>
        <w:pStyle w:val="2"/>
        <w:overflowPunct w:val="0"/>
        <w:autoSpaceDN w:val="0"/>
        <w:spacing w:line="360" w:lineRule="auto"/>
        <w:ind w:firstLine="723" w:firstLineChars="300"/>
        <w:rPr>
          <w:rFonts w:hAnsi="宋体" w:cs="宋体"/>
          <w:color w:val="auto"/>
          <w:szCs w:val="24"/>
        </w:rPr>
      </w:pPr>
    </w:p>
    <w:p>
      <w:pPr>
        <w:overflowPunct w:val="0"/>
        <w:autoSpaceDN/>
        <w:spacing w:line="360" w:lineRule="auto"/>
        <w:ind w:firstLine="480" w:firstLineChars="200"/>
        <w:rPr>
          <w:color w:val="auto"/>
        </w:rPr>
      </w:pPr>
    </w:p>
    <w:p>
      <w:pPr>
        <w:overflowPunct w:val="0"/>
        <w:autoSpaceDN/>
        <w:spacing w:line="360" w:lineRule="auto"/>
        <w:ind w:firstLine="480"/>
        <w:rPr>
          <w:color w:val="auto"/>
        </w:rPr>
      </w:pPr>
    </w:p>
    <w:p>
      <w:pPr>
        <w:overflowPunct w:val="0"/>
        <w:autoSpaceDN/>
        <w:spacing w:line="360" w:lineRule="auto"/>
        <w:ind w:firstLine="480" w:firstLineChars="200"/>
        <w:rPr>
          <w:rFonts w:hint="eastAsia" w:eastAsia="宋体"/>
          <w:color w:val="auto"/>
          <w:u w:val="single"/>
          <w:lang w:eastAsia="zh-CN"/>
        </w:rPr>
      </w:pPr>
      <w:r>
        <w:rPr>
          <w:rFonts w:hint="eastAsia"/>
          <w:color w:val="auto"/>
        </w:rPr>
        <w:t xml:space="preserve">           成本代码：</w:t>
      </w:r>
      <w:r>
        <w:rPr>
          <w:rFonts w:hint="eastAsia"/>
          <w:color w:val="auto"/>
          <w:u w:val="single"/>
        </w:rPr>
        <w:t>3.3.</w:t>
      </w:r>
      <w:r>
        <w:rPr>
          <w:rFonts w:hint="eastAsia"/>
          <w:color w:val="auto"/>
          <w:u w:val="single"/>
          <w:lang w:val="en-US" w:eastAsia="zh-CN"/>
        </w:rPr>
        <w:t>4</w:t>
      </w:r>
    </w:p>
    <w:p>
      <w:pPr>
        <w:overflowPunct w:val="0"/>
        <w:autoSpaceDN/>
        <w:spacing w:line="360" w:lineRule="auto"/>
        <w:ind w:firstLine="480" w:firstLineChars="200"/>
        <w:rPr>
          <w:color w:val="auto"/>
        </w:rPr>
      </w:pPr>
      <w:r>
        <w:rPr>
          <w:rFonts w:hint="eastAsia"/>
          <w:color w:val="auto"/>
        </w:rPr>
        <w:t xml:space="preserve">           合同编号：</w:t>
      </w:r>
      <w:r>
        <w:rPr>
          <w:rFonts w:hint="eastAsia"/>
          <w:color w:val="auto"/>
          <w:u w:val="single"/>
        </w:rPr>
        <w:t>KYYH.62-JA-17</w:t>
      </w:r>
      <w:r>
        <w:rPr>
          <w:rFonts w:hint="eastAsia"/>
          <w:color w:val="auto"/>
          <w:u w:val="none"/>
        </w:rPr>
        <w:t>0</w:t>
      </w:r>
    </w:p>
    <w:p>
      <w:pPr>
        <w:pStyle w:val="2"/>
        <w:overflowPunct w:val="0"/>
        <w:autoSpaceDN w:val="0"/>
        <w:spacing w:line="360" w:lineRule="auto"/>
        <w:ind w:firstLine="843" w:firstLineChars="280"/>
        <w:rPr>
          <w:rFonts w:hAnsi="宋体" w:cs="宋体"/>
          <w:color w:val="auto"/>
          <w:sz w:val="30"/>
          <w:szCs w:val="30"/>
        </w:rPr>
      </w:pPr>
    </w:p>
    <w:p>
      <w:pPr>
        <w:pStyle w:val="2"/>
        <w:overflowPunct w:val="0"/>
        <w:autoSpaceDN w:val="0"/>
        <w:spacing w:line="360" w:lineRule="auto"/>
        <w:ind w:firstLine="843" w:firstLineChars="280"/>
        <w:rPr>
          <w:rFonts w:hAnsi="宋体" w:cs="宋体"/>
          <w:color w:val="auto"/>
          <w:sz w:val="30"/>
          <w:szCs w:val="30"/>
        </w:rPr>
      </w:pPr>
    </w:p>
    <w:p>
      <w:pPr>
        <w:pStyle w:val="19"/>
        <w:overflowPunct w:val="0"/>
        <w:spacing w:line="360" w:lineRule="auto"/>
        <w:rPr>
          <w:rFonts w:hAnsi="宋体"/>
          <w:color w:val="auto"/>
        </w:rPr>
      </w:pPr>
    </w:p>
    <w:p>
      <w:pPr>
        <w:pStyle w:val="20"/>
        <w:ind w:firstLine="562"/>
        <w:rPr>
          <w:color w:val="auto"/>
        </w:rPr>
      </w:pPr>
    </w:p>
    <w:p>
      <w:pPr>
        <w:pStyle w:val="21"/>
        <w:rPr>
          <w:color w:val="auto"/>
        </w:rPr>
      </w:pPr>
    </w:p>
    <w:p>
      <w:pPr>
        <w:pStyle w:val="18"/>
        <w:rPr>
          <w:color w:val="auto"/>
        </w:rPr>
      </w:pPr>
    </w:p>
    <w:p>
      <w:pPr>
        <w:pStyle w:val="19"/>
        <w:rPr>
          <w:color w:val="auto"/>
        </w:rPr>
      </w:pPr>
    </w:p>
    <w:p>
      <w:pPr>
        <w:overflowPunct w:val="0"/>
        <w:ind w:firstLine="1440" w:firstLineChars="600"/>
        <w:jc w:val="both"/>
        <w:rPr>
          <w:color w:val="auto"/>
        </w:rPr>
      </w:pPr>
      <w:r>
        <w:rPr>
          <w:rFonts w:hint="eastAsia"/>
          <w:color w:val="auto"/>
        </w:rPr>
        <w:t>发 包 人：洛阳浩德鑫置地有限公司</w:t>
      </w:r>
    </w:p>
    <w:p>
      <w:pPr>
        <w:overflowPunct w:val="0"/>
        <w:ind w:firstLine="1440" w:firstLineChars="600"/>
        <w:jc w:val="both"/>
        <w:rPr>
          <w:color w:val="auto"/>
        </w:rPr>
      </w:pPr>
      <w:r>
        <w:rPr>
          <w:rFonts w:hint="eastAsia"/>
          <w:color w:val="auto"/>
        </w:rPr>
        <w:t>承 包 人：洛阳卓资建筑工程有限公司</w:t>
      </w:r>
    </w:p>
    <w:p>
      <w:pPr>
        <w:overflowPunct w:val="0"/>
        <w:ind w:firstLine="1440" w:firstLineChars="600"/>
        <w:jc w:val="both"/>
        <w:rPr>
          <w:color w:val="auto"/>
          <w:szCs w:val="24"/>
        </w:rPr>
      </w:pPr>
      <w:r>
        <w:rPr>
          <w:rFonts w:hint="eastAsia"/>
          <w:color w:val="auto"/>
        </w:rPr>
        <w:t>签订时间：</w:t>
      </w:r>
      <w:r>
        <w:rPr>
          <w:rFonts w:hint="eastAsia"/>
          <w:color w:val="auto"/>
          <w:u w:val="single"/>
        </w:rPr>
        <w:t>2024</w:t>
      </w:r>
      <w:r>
        <w:rPr>
          <w:rFonts w:hint="eastAsia"/>
          <w:color w:val="auto"/>
        </w:rPr>
        <w:t>年</w:t>
      </w:r>
      <w:r>
        <w:rPr>
          <w:rFonts w:hint="eastAsia"/>
          <w:color w:val="auto"/>
          <w:u w:val="single"/>
        </w:rPr>
        <w:t>3</w:t>
      </w:r>
      <w:r>
        <w:rPr>
          <w:rFonts w:hint="eastAsia"/>
          <w:color w:val="auto"/>
        </w:rPr>
        <w:t>月</w:t>
      </w:r>
      <w:r>
        <w:rPr>
          <w:rFonts w:hint="eastAsia"/>
          <w:color w:val="auto"/>
          <w:u w:val="single"/>
          <w:lang w:val="en-US" w:eastAsia="zh-CN"/>
        </w:rPr>
        <w:t>22</w:t>
      </w:r>
      <w:r>
        <w:rPr>
          <w:rFonts w:hint="eastAsia"/>
          <w:color w:val="auto"/>
        </w:rPr>
        <w:t>日</w:t>
      </w:r>
    </w:p>
    <w:p>
      <w:pPr>
        <w:overflowPunct w:val="0"/>
        <w:spacing w:before="0" w:beforeLines="-2147483648" w:after="0" w:afterLines="-2147483648" w:line="360" w:lineRule="auto"/>
        <w:ind w:right="0" w:rightChars="0" w:firstLine="1280" w:firstLineChars="400"/>
        <w:jc w:val="both"/>
        <w:rPr>
          <w:color w:val="auto"/>
          <w:sz w:val="32"/>
          <w:szCs w:val="32"/>
        </w:rPr>
      </w:pPr>
      <w:r>
        <w:rPr>
          <w:rFonts w:hint="eastAsia"/>
          <w:color w:val="auto"/>
          <w:sz w:val="32"/>
          <w:szCs w:val="32"/>
          <w:shd w:val="clear" w:color="auto" w:fill="FFFFFF"/>
        </w:rPr>
        <w:t>开元壹号62地块</w:t>
      </w:r>
      <w:r>
        <w:rPr>
          <w:rFonts w:hint="eastAsia"/>
          <w:color w:val="auto"/>
          <w:sz w:val="32"/>
          <w:szCs w:val="32"/>
          <w:shd w:val="clear" w:color="auto" w:fill="FFFFFF"/>
          <w:lang w:val="en-US" w:eastAsia="zh-CN"/>
        </w:rPr>
        <w:t>55#</w:t>
      </w:r>
      <w:r>
        <w:rPr>
          <w:rFonts w:hint="eastAsia"/>
          <w:color w:val="auto"/>
          <w:sz w:val="32"/>
          <w:szCs w:val="32"/>
          <w:shd w:val="clear" w:color="auto" w:fill="FFFFFF"/>
        </w:rPr>
        <w:t>楼</w:t>
      </w:r>
      <w:r>
        <w:rPr>
          <w:rFonts w:hint="eastAsia"/>
          <w:color w:val="auto"/>
          <w:sz w:val="32"/>
          <w:szCs w:val="32"/>
          <w:shd w:val="clear" w:color="auto" w:fill="FFFFFF"/>
          <w:lang w:eastAsia="zh-CN"/>
        </w:rPr>
        <w:t>临时</w:t>
      </w:r>
      <w:r>
        <w:rPr>
          <w:rFonts w:hint="eastAsia"/>
          <w:color w:val="auto"/>
          <w:sz w:val="32"/>
          <w:szCs w:val="32"/>
          <w:shd w:val="clear" w:color="auto" w:fill="FFFFFF"/>
        </w:rPr>
        <w:t>样板间精装修工程合同</w:t>
      </w:r>
    </w:p>
    <w:p>
      <w:pPr>
        <w:overflowPunct w:val="0"/>
        <w:ind w:firstLine="0" w:firstLineChars="0"/>
        <w:jc w:val="both"/>
        <w:rPr>
          <w:color w:val="auto"/>
          <w:u w:val="single"/>
        </w:rPr>
      </w:pPr>
      <w:r>
        <w:rPr>
          <w:rFonts w:hint="eastAsia"/>
          <w:b/>
          <w:bCs/>
          <w:color w:val="auto"/>
        </w:rPr>
        <w:t>发包人（以下简称甲方）：</w:t>
      </w:r>
      <w:r>
        <w:rPr>
          <w:rFonts w:hint="eastAsia"/>
          <w:color w:val="auto"/>
          <w:u w:val="single"/>
        </w:rPr>
        <w:t>洛阳浩德鑫置地有限公司</w:t>
      </w:r>
    </w:p>
    <w:p>
      <w:pPr>
        <w:pStyle w:val="2"/>
        <w:overflowPunct w:val="0"/>
        <w:spacing w:line="360" w:lineRule="auto"/>
        <w:rPr>
          <w:rFonts w:hAnsi="宋体" w:cs="宋体"/>
          <w:b w:val="0"/>
          <w:bCs/>
          <w:color w:val="auto"/>
          <w:u w:val="single"/>
        </w:rPr>
      </w:pPr>
      <w:r>
        <w:rPr>
          <w:rFonts w:hint="eastAsia" w:hAnsi="宋体" w:cs="宋体"/>
          <w:color w:val="auto"/>
        </w:rPr>
        <w:t>统一社会信用代码：</w:t>
      </w:r>
      <w:r>
        <w:rPr>
          <w:rFonts w:hint="eastAsia" w:hAnsi="宋体" w:cs="宋体"/>
          <w:b w:val="0"/>
          <w:bCs/>
          <w:color w:val="auto"/>
          <w:u w:val="single"/>
        </w:rPr>
        <w:t xml:space="preserve"> 914103005542480325 </w:t>
      </w:r>
    </w:p>
    <w:p>
      <w:pPr>
        <w:pStyle w:val="2"/>
        <w:overflowPunct w:val="0"/>
        <w:spacing w:line="360" w:lineRule="auto"/>
        <w:rPr>
          <w:rFonts w:hAnsi="宋体" w:cs="宋体"/>
          <w:b w:val="0"/>
          <w:bCs/>
          <w:color w:val="auto"/>
          <w:u w:val="single"/>
        </w:rPr>
      </w:pPr>
      <w:r>
        <w:rPr>
          <w:rFonts w:hint="eastAsia" w:hAnsi="宋体" w:cs="宋体"/>
          <w:bCs/>
          <w:color w:val="auto"/>
          <w:szCs w:val="24"/>
        </w:rPr>
        <w:t>承包人</w:t>
      </w:r>
      <w:r>
        <w:rPr>
          <w:rFonts w:hint="eastAsia" w:hAnsi="宋体" w:cs="宋体"/>
          <w:color w:val="auto"/>
          <w:szCs w:val="24"/>
        </w:rPr>
        <w:t>（以下简称乙方）：</w:t>
      </w:r>
      <w:r>
        <w:rPr>
          <w:rFonts w:hint="eastAsia" w:hAnsi="宋体" w:cs="宋体"/>
          <w:b w:val="0"/>
          <w:bCs/>
          <w:color w:val="auto"/>
          <w:u w:val="single"/>
        </w:rPr>
        <w:t>洛阳卓资建筑工程有限公司</w:t>
      </w:r>
    </w:p>
    <w:p>
      <w:pPr>
        <w:pStyle w:val="2"/>
        <w:overflowPunct w:val="0"/>
        <w:spacing w:line="360" w:lineRule="auto"/>
        <w:rPr>
          <w:rFonts w:hAnsi="宋体" w:cs="宋体"/>
          <w:color w:val="auto"/>
        </w:rPr>
      </w:pPr>
      <w:r>
        <w:rPr>
          <w:rFonts w:hint="eastAsia" w:hAnsi="宋体" w:cs="宋体"/>
          <w:color w:val="auto"/>
        </w:rPr>
        <w:t>统一社会信用代码：</w:t>
      </w:r>
      <w:r>
        <w:rPr>
          <w:rFonts w:hint="eastAsia" w:hAnsi="宋体" w:cs="宋体"/>
          <w:b w:val="0"/>
          <w:bCs/>
          <w:color w:val="auto"/>
          <w:u w:val="single"/>
        </w:rPr>
        <w:t>91410300MA40MJ671Y</w:t>
      </w:r>
    </w:p>
    <w:p>
      <w:pPr>
        <w:wordWrap/>
        <w:overflowPunct w:val="0"/>
        <w:topLinePunct w:val="0"/>
        <w:autoSpaceDE/>
        <w:spacing w:line="360" w:lineRule="auto"/>
        <w:ind w:firstLine="480" w:firstLineChars="200"/>
        <w:rPr>
          <w:color w:val="auto"/>
        </w:rPr>
      </w:pPr>
      <w:r>
        <w:rPr>
          <w:rFonts w:hint="eastAsia"/>
          <w:color w:val="auto"/>
        </w:rPr>
        <w:t>依照《中华人民共和国民法典》、《中华人民共和国建筑法》及其他有关法律、行政法规，遵循平等、自愿、公平和诚实信用的原则，双方就</w:t>
      </w:r>
      <w:r>
        <w:rPr>
          <w:rFonts w:hint="eastAsia"/>
          <w:color w:val="auto"/>
          <w:u w:val="single"/>
        </w:rPr>
        <w:t xml:space="preserve"> 开元壹号62地块</w:t>
      </w:r>
      <w:r>
        <w:rPr>
          <w:rFonts w:hint="eastAsia"/>
          <w:color w:val="auto"/>
          <w:u w:val="single"/>
          <w:lang w:val="en-US" w:eastAsia="zh-CN"/>
        </w:rPr>
        <w:t>55#</w:t>
      </w:r>
      <w:r>
        <w:rPr>
          <w:rFonts w:hint="eastAsia"/>
          <w:color w:val="auto"/>
          <w:u w:val="single"/>
        </w:rPr>
        <w:t>楼</w:t>
      </w:r>
      <w:r>
        <w:rPr>
          <w:rFonts w:hint="eastAsia"/>
          <w:color w:val="auto"/>
          <w:u w:val="single"/>
          <w:lang w:eastAsia="zh-CN"/>
        </w:rPr>
        <w:t>临时</w:t>
      </w:r>
      <w:r>
        <w:rPr>
          <w:rFonts w:hint="eastAsia"/>
          <w:color w:val="auto"/>
          <w:u w:val="single"/>
        </w:rPr>
        <w:t xml:space="preserve">样板间精装修工程 </w:t>
      </w:r>
      <w:r>
        <w:rPr>
          <w:rFonts w:hint="eastAsia"/>
          <w:color w:val="auto"/>
        </w:rPr>
        <w:t>事项协商一致，订立本合同。</w:t>
      </w:r>
    </w:p>
    <w:p>
      <w:pPr>
        <w:wordWrap/>
        <w:overflowPunct w:val="0"/>
        <w:topLinePunct w:val="0"/>
        <w:autoSpaceDE/>
        <w:spacing w:line="360" w:lineRule="auto"/>
        <w:ind w:firstLine="0" w:firstLineChars="0"/>
        <w:rPr>
          <w:b/>
          <w:bCs/>
          <w:color w:val="auto"/>
        </w:rPr>
      </w:pPr>
      <w:r>
        <w:rPr>
          <w:rFonts w:hint="eastAsia"/>
          <w:b/>
          <w:bCs/>
          <w:color w:val="auto"/>
        </w:rPr>
        <w:t>一、工程概况</w:t>
      </w:r>
    </w:p>
    <w:p>
      <w:pPr>
        <w:wordWrap/>
        <w:overflowPunct w:val="0"/>
        <w:topLinePunct w:val="0"/>
        <w:autoSpaceDE/>
        <w:spacing w:line="360" w:lineRule="auto"/>
        <w:ind w:firstLine="480" w:firstLineChars="200"/>
        <w:rPr>
          <w:color w:val="auto"/>
        </w:rPr>
      </w:pPr>
      <w:r>
        <w:rPr>
          <w:rFonts w:hint="eastAsia"/>
          <w:color w:val="auto"/>
        </w:rPr>
        <w:t>1、工程名称：开元壹号62地块</w:t>
      </w:r>
      <w:r>
        <w:rPr>
          <w:rFonts w:hint="eastAsia"/>
          <w:color w:val="auto"/>
          <w:u w:val="single"/>
          <w:lang w:val="en-US" w:eastAsia="zh-CN"/>
        </w:rPr>
        <w:t>55#</w:t>
      </w:r>
      <w:r>
        <w:rPr>
          <w:rFonts w:hint="eastAsia"/>
          <w:color w:val="auto"/>
          <w:u w:val="single"/>
        </w:rPr>
        <w:t>楼</w:t>
      </w:r>
      <w:r>
        <w:rPr>
          <w:rFonts w:hint="eastAsia"/>
          <w:color w:val="auto"/>
          <w:u w:val="single"/>
          <w:lang w:eastAsia="zh-CN"/>
        </w:rPr>
        <w:t>临时</w:t>
      </w:r>
      <w:r>
        <w:rPr>
          <w:rFonts w:hint="eastAsia"/>
          <w:color w:val="auto"/>
        </w:rPr>
        <w:t>样板间精装修工程。</w:t>
      </w:r>
    </w:p>
    <w:p>
      <w:pPr>
        <w:wordWrap/>
        <w:overflowPunct w:val="0"/>
        <w:topLinePunct w:val="0"/>
        <w:autoSpaceDE/>
        <w:spacing w:line="360" w:lineRule="auto"/>
        <w:ind w:firstLine="480" w:firstLineChars="200"/>
        <w:rPr>
          <w:color w:val="auto"/>
        </w:rPr>
      </w:pPr>
      <w:r>
        <w:rPr>
          <w:rFonts w:hint="eastAsia"/>
          <w:color w:val="auto"/>
        </w:rPr>
        <w:t>2、工程地点：洛阳市洛龙区开元大道与蔡伦路交汇处东南角。</w:t>
      </w:r>
    </w:p>
    <w:p>
      <w:pPr>
        <w:wordWrap/>
        <w:overflowPunct w:val="0"/>
        <w:topLinePunct w:val="0"/>
        <w:autoSpaceDE/>
        <w:spacing w:line="360" w:lineRule="auto"/>
        <w:ind w:firstLine="0" w:firstLineChars="0"/>
        <w:rPr>
          <w:b/>
          <w:bCs/>
          <w:color w:val="auto"/>
        </w:rPr>
      </w:pPr>
      <w:r>
        <w:rPr>
          <w:rFonts w:hint="eastAsia"/>
          <w:b/>
          <w:bCs/>
          <w:color w:val="auto"/>
        </w:rPr>
        <w:t>二、工程承包范围</w:t>
      </w:r>
    </w:p>
    <w:p>
      <w:pPr>
        <w:pStyle w:val="2"/>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1、承包范围：</w:t>
      </w:r>
      <w:r>
        <w:rPr>
          <w:rFonts w:hint="eastAsia" w:hAnsi="宋体" w:cs="宋体"/>
          <w:b w:val="0"/>
          <w:color w:val="auto"/>
          <w:kern w:val="2"/>
          <w:position w:val="0"/>
          <w:szCs w:val="24"/>
          <w:u w:val="single"/>
        </w:rPr>
        <w:t>开元壹号62地块</w:t>
      </w:r>
      <w:r>
        <w:rPr>
          <w:rFonts w:hint="eastAsia" w:hAnsi="宋体" w:cs="宋体"/>
          <w:b w:val="0"/>
          <w:color w:val="auto"/>
          <w:kern w:val="2"/>
          <w:position w:val="0"/>
          <w:szCs w:val="24"/>
          <w:u w:val="single"/>
          <w:lang w:val="en-US" w:eastAsia="zh-CN"/>
        </w:rPr>
        <w:t>55#楼</w:t>
      </w:r>
      <w:r>
        <w:rPr>
          <w:rFonts w:hint="eastAsia" w:hAnsi="宋体" w:cs="宋体"/>
          <w:b w:val="0"/>
          <w:color w:val="auto"/>
          <w:kern w:val="2"/>
          <w:position w:val="0"/>
          <w:szCs w:val="24"/>
          <w:u w:val="single"/>
        </w:rPr>
        <w:t>3套</w:t>
      </w:r>
      <w:r>
        <w:rPr>
          <w:rFonts w:hint="eastAsia" w:hAnsi="宋体" w:cs="宋体"/>
          <w:b w:val="0"/>
          <w:color w:val="auto"/>
          <w:kern w:val="2"/>
          <w:position w:val="0"/>
          <w:szCs w:val="24"/>
          <w:u w:val="single"/>
          <w:lang w:eastAsia="zh-CN"/>
        </w:rPr>
        <w:t>临时样</w:t>
      </w:r>
      <w:r>
        <w:rPr>
          <w:rFonts w:hint="eastAsia" w:hAnsi="宋体" w:cs="宋体"/>
          <w:b w:val="0"/>
          <w:color w:val="auto"/>
          <w:kern w:val="2"/>
          <w:position w:val="0"/>
          <w:szCs w:val="24"/>
          <w:u w:val="single"/>
        </w:rPr>
        <w:t>板间精装修工程，户型分别是102m</w:t>
      </w:r>
      <w:r>
        <w:rPr>
          <w:rFonts w:hint="eastAsia" w:hAnsi="宋体" w:cs="宋体"/>
          <w:b w:val="0"/>
          <w:color w:val="auto"/>
          <w:kern w:val="2"/>
          <w:position w:val="0"/>
          <w:szCs w:val="24"/>
          <w:u w:val="single"/>
          <w:vertAlign w:val="superscript"/>
        </w:rPr>
        <w:t>2</w:t>
      </w:r>
      <w:r>
        <w:rPr>
          <w:rFonts w:hint="eastAsia" w:hAnsi="宋体" w:cs="宋体"/>
          <w:b w:val="0"/>
          <w:color w:val="auto"/>
          <w:kern w:val="2"/>
          <w:position w:val="0"/>
          <w:szCs w:val="24"/>
          <w:u w:val="single"/>
        </w:rPr>
        <w:t>、177m</w:t>
      </w:r>
      <w:r>
        <w:rPr>
          <w:rFonts w:hint="eastAsia" w:hAnsi="宋体" w:cs="宋体"/>
          <w:b w:val="0"/>
          <w:color w:val="auto"/>
          <w:kern w:val="2"/>
          <w:position w:val="0"/>
          <w:szCs w:val="24"/>
          <w:u w:val="single"/>
          <w:vertAlign w:val="superscript"/>
        </w:rPr>
        <w:t>2</w:t>
      </w:r>
      <w:r>
        <w:rPr>
          <w:rFonts w:hint="eastAsia" w:hAnsi="宋体" w:cs="宋体"/>
          <w:b w:val="0"/>
          <w:color w:val="auto"/>
          <w:kern w:val="2"/>
          <w:position w:val="0"/>
          <w:szCs w:val="24"/>
          <w:u w:val="single"/>
        </w:rPr>
        <w:t>和210m</w:t>
      </w:r>
      <w:r>
        <w:rPr>
          <w:rFonts w:hint="eastAsia" w:hAnsi="宋体" w:cs="宋体"/>
          <w:b w:val="0"/>
          <w:color w:val="auto"/>
          <w:kern w:val="2"/>
          <w:position w:val="0"/>
          <w:szCs w:val="24"/>
          <w:u w:val="single"/>
          <w:vertAlign w:val="superscript"/>
        </w:rPr>
        <w:t>2</w:t>
      </w:r>
      <w:r>
        <w:rPr>
          <w:rFonts w:hint="eastAsia" w:hAnsi="宋体" w:cs="宋体"/>
          <w:b w:val="0"/>
          <w:color w:val="auto"/>
          <w:kern w:val="2"/>
          <w:position w:val="0"/>
          <w:szCs w:val="24"/>
          <w:u w:val="single"/>
        </w:rPr>
        <w:t>，共计480㎡。</w:t>
      </w:r>
    </w:p>
    <w:p>
      <w:pPr>
        <w:pStyle w:val="2"/>
        <w:tabs>
          <w:tab w:val="left" w:pos="5829"/>
        </w:tabs>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2、具体详见附件《价格清单》。</w:t>
      </w:r>
    </w:p>
    <w:p>
      <w:pPr>
        <w:pStyle w:val="2"/>
        <w:tabs>
          <w:tab w:val="left" w:pos="5829"/>
        </w:tabs>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3、甲方要求其它内容（包括且不限于样板间墙体拆除、加固、智能化的施工和空调新风系统、软装等的配合）。</w:t>
      </w:r>
    </w:p>
    <w:p>
      <w:pPr>
        <w:numPr>
          <w:ilvl w:val="0"/>
          <w:numId w:val="0"/>
        </w:numPr>
        <w:overflowPunct w:val="0"/>
        <w:spacing w:line="360" w:lineRule="auto"/>
        <w:ind w:firstLine="480" w:firstLineChars="200"/>
        <w:rPr>
          <w:b w:val="0"/>
          <w:bCs w:val="0"/>
          <w:color w:val="auto"/>
        </w:rPr>
      </w:pPr>
      <w:r>
        <w:rPr>
          <w:rFonts w:hint="eastAsia"/>
          <w:b w:val="0"/>
          <w:bCs w:val="0"/>
          <w:color w:val="auto"/>
        </w:rPr>
        <w:t>4、界线划分：</w:t>
      </w:r>
    </w:p>
    <w:p>
      <w:pPr>
        <w:numPr>
          <w:ilvl w:val="0"/>
          <w:numId w:val="0"/>
        </w:numPr>
        <w:overflowPunct w:val="0"/>
        <w:spacing w:line="360" w:lineRule="auto"/>
        <w:ind w:firstLine="480" w:firstLineChars="200"/>
        <w:rPr>
          <w:b w:val="0"/>
          <w:bCs w:val="0"/>
          <w:color w:val="auto"/>
        </w:rPr>
      </w:pPr>
      <w:r>
        <w:rPr>
          <w:rFonts w:hint="eastAsia"/>
          <w:b w:val="0"/>
          <w:bCs w:val="0"/>
          <w:color w:val="auto"/>
        </w:rPr>
        <w:t>4.1、乙方与总包：所需的部分预埋由总包方已提前预埋（按建筑施工图纸），乙方负责精装修图纸范围内强弱电及局部点位的墙体开槽、埋管、预留孔洞、穿线、开关插座灯具安装等；给排水：包括地暖、给水管道、中央净水，中央软水、污水管道等由精装修单位施工，排水由总包施工；外墙保温及真石漆由总包施工。</w:t>
      </w:r>
    </w:p>
    <w:p>
      <w:pPr>
        <w:wordWrap/>
        <w:overflowPunct w:val="0"/>
        <w:topLinePunct w:val="0"/>
        <w:autoSpaceDE/>
        <w:spacing w:line="360" w:lineRule="auto"/>
        <w:ind w:firstLine="480" w:firstLineChars="200"/>
        <w:rPr>
          <w:rFonts w:hint="eastAsia" w:eastAsia="宋体"/>
          <w:b w:val="0"/>
          <w:bCs w:val="0"/>
          <w:color w:val="auto"/>
          <w:lang w:eastAsia="zh-CN"/>
        </w:rPr>
      </w:pPr>
      <w:r>
        <w:rPr>
          <w:rFonts w:hint="eastAsia"/>
          <w:b w:val="0"/>
          <w:bCs w:val="0"/>
          <w:color w:val="auto"/>
        </w:rPr>
        <w:t>4.2、不含入户门、恒温除湿、影音设备、中央空调、玻璃栏板、护窗栏杆及空调百叶</w:t>
      </w:r>
      <w:r>
        <w:rPr>
          <w:rFonts w:hint="eastAsia"/>
          <w:b w:val="0"/>
          <w:bCs w:val="0"/>
          <w:color w:val="auto"/>
          <w:lang w:eastAsia="zh-CN"/>
        </w:rPr>
        <w:t>。</w:t>
      </w:r>
    </w:p>
    <w:p>
      <w:pPr>
        <w:pStyle w:val="2"/>
        <w:wordWrap w:val="0"/>
        <w:overflowPunct w:val="0"/>
        <w:topLinePunct/>
        <w:autoSpaceDE w:val="0"/>
        <w:spacing w:line="360" w:lineRule="auto"/>
        <w:rPr>
          <w:rFonts w:hAnsi="宋体" w:cs="宋体"/>
          <w:b w:val="0"/>
          <w:color w:val="auto"/>
          <w:szCs w:val="24"/>
        </w:rPr>
      </w:pPr>
      <w:r>
        <w:rPr>
          <w:rFonts w:hint="eastAsia" w:hAnsi="宋体" w:cs="宋体"/>
          <w:color w:val="auto"/>
          <w:szCs w:val="24"/>
        </w:rPr>
        <w:t>三、承包方式</w:t>
      </w:r>
    </w:p>
    <w:p>
      <w:pPr>
        <w:overflowPunct w:val="0"/>
        <w:spacing w:line="360" w:lineRule="auto"/>
        <w:ind w:firstLine="480" w:firstLineChars="200"/>
        <w:rPr>
          <w:color w:val="auto"/>
        </w:rPr>
      </w:pPr>
      <w:r>
        <w:rPr>
          <w:rFonts w:hint="eastAsia"/>
          <w:color w:val="auto"/>
        </w:rPr>
        <w:t>1、合同承包方式：全费用固定总价包干。</w:t>
      </w:r>
    </w:p>
    <w:p>
      <w:pPr>
        <w:pStyle w:val="2"/>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2、全费用固定总价是甲方根据本合同要求就单位产品应向乙方支付的所有费用，包括但不限于人工费、材料费（包括材料损耗、材料加工费、材料检验试验费）、甲供材保管费、设备费、机械使用费、合同工期内的赶工费、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2"/>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3、无论原材料市场有何变动，任何一方均不能以任何理由调整本合同的各分项工程固定综合单价。</w:t>
      </w:r>
    </w:p>
    <w:p>
      <w:pPr>
        <w:overflowPunct w:val="0"/>
        <w:spacing w:line="360" w:lineRule="auto"/>
        <w:ind w:firstLine="480" w:firstLineChars="200"/>
        <w:rPr>
          <w:color w:val="auto"/>
        </w:rPr>
      </w:pPr>
      <w:r>
        <w:rPr>
          <w:rFonts w:hint="eastAsia"/>
          <w:color w:val="auto"/>
        </w:rPr>
        <w:t>4、各分项工程施工图或报价清单中没有说明但在施工过程中为完成各分项工程必须完成的所有工作，视为已经包含在各分项工程固定总价中。各分项工程固定综合单价结算时不做任何调整。</w:t>
      </w:r>
    </w:p>
    <w:p>
      <w:pPr>
        <w:overflowPunct w:val="0"/>
        <w:spacing w:line="360" w:lineRule="auto"/>
        <w:ind w:firstLine="480" w:firstLineChars="200"/>
        <w:rPr>
          <w:color w:val="auto"/>
        </w:rPr>
      </w:pPr>
      <w:r>
        <w:rPr>
          <w:rFonts w:hint="eastAsia"/>
          <w:color w:val="auto"/>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val="0"/>
        <w:spacing w:line="360" w:lineRule="auto"/>
        <w:ind w:firstLine="480" w:firstLineChars="200"/>
        <w:rPr>
          <w:color w:val="auto"/>
        </w:rPr>
      </w:pPr>
      <w:r>
        <w:rPr>
          <w:rFonts w:hint="eastAsia"/>
          <w:color w:val="auto"/>
        </w:rPr>
        <w:t>6、施工过程中经甲方认可的实际施工方案仅作为甲方对乙方技术方案的肯定，不作为计价依据，甲方不接受乙方重新组价或者调价的要求。</w:t>
      </w:r>
    </w:p>
    <w:p>
      <w:pPr>
        <w:overflowPunct w:val="0"/>
        <w:spacing w:line="360" w:lineRule="auto"/>
        <w:ind w:firstLine="480" w:firstLineChars="200"/>
        <w:rPr>
          <w:color w:val="auto"/>
        </w:rPr>
      </w:pPr>
      <w:r>
        <w:rPr>
          <w:rFonts w:hint="eastAsia"/>
          <w:color w:val="auto"/>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包括因深化点位对原有墙体的拆改及修补），不再另计，乙方的报价必须考虑深化后的施工图纸基层做法，不因施工过程中对图纸的深化、做法的不同而增加基层施工的费用。</w:t>
      </w:r>
    </w:p>
    <w:p>
      <w:pPr>
        <w:pStyle w:val="2"/>
        <w:wordWrap w:val="0"/>
        <w:overflowPunct w:val="0"/>
        <w:topLinePunct/>
        <w:autoSpaceDE w:val="0"/>
        <w:spacing w:line="360" w:lineRule="auto"/>
        <w:ind w:firstLine="480" w:firstLineChars="200"/>
        <w:rPr>
          <w:rFonts w:hAnsi="宋体" w:cs="宋体"/>
          <w:b w:val="0"/>
          <w:color w:val="auto"/>
          <w:kern w:val="2"/>
          <w:position w:val="0"/>
          <w:szCs w:val="24"/>
        </w:rPr>
      </w:pPr>
      <w:r>
        <w:rPr>
          <w:rFonts w:hint="eastAsia" w:hAnsi="宋体" w:cs="宋体"/>
          <w:b w:val="0"/>
          <w:color w:val="auto"/>
          <w:kern w:val="2"/>
          <w:position w:val="0"/>
          <w:szCs w:val="24"/>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wordWrap/>
        <w:overflowPunct w:val="0"/>
        <w:topLinePunct w:val="0"/>
        <w:autoSpaceDE/>
        <w:spacing w:line="360" w:lineRule="auto"/>
        <w:ind w:firstLine="0" w:firstLineChars="0"/>
        <w:rPr>
          <w:b/>
          <w:bCs/>
          <w:color w:val="auto"/>
        </w:rPr>
      </w:pPr>
      <w:r>
        <w:rPr>
          <w:rFonts w:hint="eastAsia"/>
          <w:b/>
          <w:bCs/>
          <w:color w:val="auto"/>
        </w:rPr>
        <w:t>四、工期要求</w:t>
      </w:r>
    </w:p>
    <w:p>
      <w:pPr>
        <w:wordWrap/>
        <w:overflowPunct w:val="0"/>
        <w:topLinePunct w:val="0"/>
        <w:autoSpaceDE/>
        <w:spacing w:line="360" w:lineRule="auto"/>
        <w:ind w:firstLine="480" w:firstLineChars="200"/>
        <w:rPr>
          <w:color w:val="auto"/>
        </w:rPr>
      </w:pPr>
      <w:r>
        <w:rPr>
          <w:rFonts w:hint="eastAsia"/>
          <w:color w:val="auto"/>
        </w:rPr>
        <w:t>1、本工程总工期为180日历天，开工时间暂定于2024年3月30日，具体开工时间以甲方发出的书面通知为准。</w:t>
      </w:r>
    </w:p>
    <w:p>
      <w:pPr>
        <w:wordWrap/>
        <w:overflowPunct w:val="0"/>
        <w:topLinePunct w:val="0"/>
        <w:autoSpaceDE/>
        <w:spacing w:line="360" w:lineRule="auto"/>
        <w:ind w:firstLine="480" w:firstLineChars="200"/>
        <w:rPr>
          <w:color w:val="auto"/>
        </w:rPr>
      </w:pPr>
      <w:r>
        <w:rPr>
          <w:rFonts w:hint="eastAsia"/>
          <w:color w:val="auto"/>
        </w:rPr>
        <w:t xml:space="preserve">2、施工过程中如遇甲方责任或需明确允许工期顺延的各种情况所延误的工期，经甲、乙双方签证认可后予以调整，并在此基础上确定完工日期。 </w:t>
      </w:r>
    </w:p>
    <w:p>
      <w:pPr>
        <w:wordWrap/>
        <w:overflowPunct w:val="0"/>
        <w:topLinePunct w:val="0"/>
        <w:autoSpaceDE/>
        <w:spacing w:line="360" w:lineRule="auto"/>
        <w:ind w:firstLine="0" w:firstLineChars="0"/>
        <w:rPr>
          <w:b/>
          <w:bCs/>
          <w:color w:val="auto"/>
        </w:rPr>
      </w:pPr>
      <w:bookmarkStart w:id="2" w:name="_Hlt503692535"/>
      <w:bookmarkEnd w:id="2"/>
      <w:r>
        <w:rPr>
          <w:rFonts w:hint="eastAsia"/>
          <w:b/>
          <w:bCs/>
          <w:color w:val="auto"/>
        </w:rPr>
        <w:t>五、合同价格</w:t>
      </w:r>
    </w:p>
    <w:p>
      <w:pPr>
        <w:pStyle w:val="54"/>
        <w:rPr>
          <w:color w:val="auto"/>
        </w:rPr>
      </w:pPr>
      <w:r>
        <w:rPr>
          <w:rFonts w:hint="eastAsia"/>
          <w:color w:val="auto"/>
        </w:rPr>
        <w:t>1、合同含税固定总价为¥</w:t>
      </w:r>
      <w:r>
        <w:rPr>
          <w:rFonts w:hint="eastAsia"/>
          <w:color w:val="auto"/>
          <w:u w:val="single"/>
        </w:rPr>
        <w:t>2201845</w:t>
      </w:r>
      <w:r>
        <w:rPr>
          <w:rFonts w:hint="eastAsia"/>
          <w:color w:val="auto"/>
        </w:rPr>
        <w:t>元（大写人民币</w:t>
      </w:r>
      <w:r>
        <w:rPr>
          <w:rFonts w:hint="eastAsia"/>
          <w:color w:val="auto"/>
          <w:u w:val="single"/>
        </w:rPr>
        <w:t>贰佰贰拾万零壹仟捌佰肆拾伍元整</w:t>
      </w:r>
      <w:r>
        <w:rPr>
          <w:rFonts w:hint="eastAsia"/>
          <w:color w:val="auto"/>
        </w:rPr>
        <w:t>（以下简称“合同总价”）。其中不含税金额为¥</w:t>
      </w:r>
      <w:r>
        <w:rPr>
          <w:rFonts w:hint="eastAsia"/>
          <w:color w:val="auto"/>
          <w:u w:val="single"/>
        </w:rPr>
        <w:t>2020041.</w:t>
      </w:r>
      <w:r>
        <w:rPr>
          <w:rFonts w:hint="eastAsia"/>
          <w:color w:val="auto"/>
          <w:u w:val="single"/>
          <w:lang w:val="en-US" w:eastAsia="zh-CN"/>
        </w:rPr>
        <w:t>2</w:t>
      </w:r>
      <w:r>
        <w:rPr>
          <w:rFonts w:hint="eastAsia"/>
          <w:color w:val="auto"/>
          <w:u w:val="single"/>
        </w:rPr>
        <w:t>8</w:t>
      </w:r>
      <w:r>
        <w:rPr>
          <w:rFonts w:hint="eastAsia"/>
          <w:color w:val="auto"/>
        </w:rPr>
        <w:t>元（大写人民币</w:t>
      </w:r>
      <w:r>
        <w:rPr>
          <w:rFonts w:hint="eastAsia"/>
          <w:color w:val="auto"/>
          <w:u w:val="single"/>
        </w:rPr>
        <w:t>贰佰零贰万零肆拾壹元贰角捌分</w:t>
      </w:r>
      <w:r>
        <w:rPr>
          <w:rFonts w:hint="eastAsia"/>
          <w:color w:val="auto"/>
        </w:rPr>
        <w:t>），增值税税金为¥</w:t>
      </w:r>
      <w:r>
        <w:rPr>
          <w:rFonts w:hint="eastAsia"/>
          <w:color w:val="auto"/>
          <w:u w:val="single"/>
        </w:rPr>
        <w:t>181803.72</w:t>
      </w:r>
      <w:r>
        <w:rPr>
          <w:rFonts w:hint="eastAsia"/>
          <w:color w:val="auto"/>
        </w:rPr>
        <w:t>元（大写人民币</w:t>
      </w:r>
      <w:r>
        <w:rPr>
          <w:rFonts w:hint="eastAsia"/>
          <w:color w:val="auto"/>
          <w:u w:val="single"/>
        </w:rPr>
        <w:t>壹拾捌万壹仟捌佰零叁元柒角贰</w:t>
      </w:r>
      <w:bookmarkStart w:id="9" w:name="_GoBack"/>
      <w:bookmarkEnd w:id="9"/>
      <w:r>
        <w:rPr>
          <w:rFonts w:hint="eastAsia"/>
          <w:color w:val="auto"/>
          <w:u w:val="single"/>
        </w:rPr>
        <w:t>分</w:t>
      </w:r>
      <w:r>
        <w:rPr>
          <w:rFonts w:hint="eastAsia"/>
          <w:color w:val="auto"/>
        </w:rPr>
        <w:t>），税率</w:t>
      </w:r>
      <w:r>
        <w:rPr>
          <w:rFonts w:hint="eastAsia"/>
          <w:color w:val="auto"/>
          <w:u w:val="single"/>
        </w:rPr>
        <w:t xml:space="preserve"> 9 </w:t>
      </w:r>
      <w:r>
        <w:rPr>
          <w:rFonts w:hint="eastAsia"/>
          <w:color w:val="auto"/>
        </w:rPr>
        <w:t>%。详见附件七《价格清单》。</w:t>
      </w:r>
    </w:p>
    <w:p>
      <w:pPr>
        <w:pStyle w:val="54"/>
        <w:rPr>
          <w:color w:val="auto"/>
        </w:rPr>
      </w:pPr>
      <w:r>
        <w:rPr>
          <w:rFonts w:hint="eastAsia"/>
          <w:color w:val="auto"/>
        </w:rPr>
        <w:t>2、合同范围内的洁具、电器等，双方协商一致同意若后期改为甲分包时，按附件清单单价进行合同价格扣减，不增加（补偿）其他任何费用。</w:t>
      </w:r>
    </w:p>
    <w:p>
      <w:pPr>
        <w:pStyle w:val="54"/>
        <w:rPr>
          <w:color w:val="auto"/>
        </w:rPr>
      </w:pPr>
      <w:r>
        <w:rPr>
          <w:rFonts w:hint="eastAsia"/>
          <w:color w:val="auto"/>
        </w:rPr>
        <w:t xml:space="preserve">3、增值税税率说明： </w:t>
      </w:r>
    </w:p>
    <w:p>
      <w:pPr>
        <w:overflowPunct w:val="0"/>
        <w:spacing w:line="360" w:lineRule="auto"/>
        <w:ind w:firstLine="480" w:firstLineChars="200"/>
        <w:rPr>
          <w:color w:val="auto"/>
        </w:rPr>
      </w:pPr>
      <w:r>
        <w:rPr>
          <w:rFonts w:hint="eastAsia"/>
          <w:color w:val="auto"/>
        </w:rPr>
        <w:t>3.1、合同价增值税税率按</w:t>
      </w:r>
      <w:r>
        <w:rPr>
          <w:rFonts w:hint="eastAsia"/>
          <w:color w:val="auto"/>
          <w:u w:val="single"/>
        </w:rPr>
        <w:t>9</w:t>
      </w:r>
      <w:r>
        <w:rPr>
          <w:rFonts w:hint="eastAsia"/>
          <w:color w:val="auto"/>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overflowPunct w:val="0"/>
        <w:spacing w:line="360" w:lineRule="auto"/>
        <w:ind w:firstLine="480" w:firstLineChars="200"/>
        <w:rPr>
          <w:color w:val="auto"/>
        </w:rPr>
      </w:pPr>
      <w:r>
        <w:rPr>
          <w:rFonts w:hint="eastAsia"/>
          <w:color w:val="auto"/>
        </w:rPr>
        <w:t>3.2、如因乙方纳税资格变更引起增值税税率变化，风险由乙方自行承担（税率增加的，甲方仍按原税率支付税金；税率减小的，甲方按减小后的税率支付税金）。</w:t>
      </w:r>
    </w:p>
    <w:p>
      <w:pPr>
        <w:pStyle w:val="2"/>
        <w:tabs>
          <w:tab w:val="left" w:pos="0"/>
        </w:tabs>
        <w:wordWrap w:val="0"/>
        <w:overflowPunct w:val="0"/>
        <w:topLinePunct/>
        <w:autoSpaceDE w:val="0"/>
        <w:spacing w:line="360" w:lineRule="auto"/>
        <w:rPr>
          <w:rFonts w:hAnsi="宋体" w:cs="宋体"/>
          <w:color w:val="auto"/>
          <w:szCs w:val="24"/>
        </w:rPr>
      </w:pPr>
      <w:r>
        <w:rPr>
          <w:rFonts w:hint="eastAsia" w:hAnsi="宋体" w:cs="宋体"/>
          <w:color w:val="auto"/>
          <w:szCs w:val="24"/>
        </w:rPr>
        <w:t xml:space="preserve">六、工程价款支付 </w:t>
      </w:r>
    </w:p>
    <w:p>
      <w:pPr>
        <w:overflowPunct w:val="0"/>
        <w:spacing w:line="360" w:lineRule="auto"/>
        <w:ind w:firstLine="480" w:firstLineChars="200"/>
        <w:rPr>
          <w:color w:val="auto"/>
        </w:rPr>
      </w:pPr>
      <w:r>
        <w:rPr>
          <w:rFonts w:hint="eastAsia"/>
          <w:color w:val="auto"/>
        </w:rPr>
        <w:t>1、合同签订，乙方进场拆除及加固完成并经甲方初验合格后支付5万元进度款；水电改造、防水闭水试验、地暖铺设试压完成并经甲方初验合格后，甲方向乙方支付15万元订货款；</w:t>
      </w:r>
    </w:p>
    <w:p>
      <w:pPr>
        <w:overflowPunct w:val="0"/>
        <w:spacing w:line="360" w:lineRule="auto"/>
        <w:ind w:firstLine="480" w:firstLineChars="200"/>
        <w:rPr>
          <w:color w:val="auto"/>
        </w:rPr>
      </w:pPr>
      <w:r>
        <w:rPr>
          <w:rFonts w:hint="eastAsia"/>
          <w:color w:val="auto"/>
        </w:rPr>
        <w:t>2、工程吊顶及墙面基层板完成并经甲方初验合格后、甲方向乙方支付至已完工程价款的80%；</w:t>
      </w:r>
    </w:p>
    <w:p>
      <w:pPr>
        <w:overflowPunct w:val="0"/>
        <w:spacing w:line="360" w:lineRule="auto"/>
        <w:ind w:firstLine="480" w:firstLineChars="200"/>
        <w:rPr>
          <w:color w:val="auto"/>
        </w:rPr>
      </w:pPr>
      <w:r>
        <w:rPr>
          <w:rFonts w:hint="eastAsia"/>
          <w:color w:val="auto"/>
        </w:rPr>
        <w:t>3、墙地砖铺贴完成并经甲方初验合格后，甲方向乙方支付至已完工程价款的80%；</w:t>
      </w:r>
    </w:p>
    <w:p>
      <w:pPr>
        <w:overflowPunct w:val="0"/>
        <w:spacing w:line="360" w:lineRule="auto"/>
        <w:ind w:firstLine="480" w:firstLineChars="200"/>
        <w:rPr>
          <w:color w:val="auto"/>
        </w:rPr>
      </w:pPr>
      <w:r>
        <w:rPr>
          <w:rFonts w:hint="eastAsia"/>
          <w:color w:val="auto"/>
        </w:rPr>
        <w:t>4、全部施工完成精保洁后，移交甲方确认无误后，甲方向乙方支付至已完工程价款的85%；</w:t>
      </w:r>
    </w:p>
    <w:p>
      <w:pPr>
        <w:overflowPunct w:val="0"/>
        <w:spacing w:line="360" w:lineRule="auto"/>
        <w:ind w:firstLine="480" w:firstLineChars="200"/>
        <w:rPr>
          <w:color w:val="auto"/>
        </w:rPr>
      </w:pPr>
      <w:r>
        <w:rPr>
          <w:rFonts w:hint="eastAsia"/>
          <w:color w:val="auto"/>
        </w:rPr>
        <w:t>5、全部工程完工并经甲方及监理验收合格，竣工资料提交完成，配合甲方完成结算（双方签订结算协议）后，支付至整个工程结算金额的97%；</w:t>
      </w:r>
    </w:p>
    <w:p>
      <w:pPr>
        <w:overflowPunct w:val="0"/>
        <w:spacing w:line="360" w:lineRule="auto"/>
        <w:ind w:firstLine="480" w:firstLineChars="200"/>
        <w:rPr>
          <w:color w:val="auto"/>
        </w:rPr>
      </w:pPr>
      <w:r>
        <w:rPr>
          <w:rFonts w:hint="eastAsia"/>
          <w:color w:val="auto"/>
        </w:rPr>
        <w:t>6、工程剩余金额（即结算金额的3%）留为质保金。工程质保期为2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overflowPunct w:val="0"/>
        <w:spacing w:line="360" w:lineRule="auto"/>
        <w:ind w:firstLine="480" w:firstLineChars="200"/>
        <w:rPr>
          <w:color w:val="auto"/>
        </w:rPr>
      </w:pPr>
      <w:r>
        <w:rPr>
          <w:rFonts w:hint="eastAsia"/>
          <w:color w:val="auto"/>
        </w:rPr>
        <w:t>7、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color w:val="auto"/>
          <w:lang w:eastAsia="zh-CN"/>
        </w:rPr>
        <w:t>。</w:t>
      </w:r>
      <w:r>
        <w:rPr>
          <w:rFonts w:hint="eastAsia"/>
          <w:color w:val="auto"/>
        </w:rPr>
        <w:tab/>
      </w:r>
      <w:r>
        <w:rPr>
          <w:rFonts w:hint="eastAsia"/>
          <w:color w:val="auto"/>
        </w:rPr>
        <w:t>8、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overflowPunct w:val="0"/>
        <w:spacing w:line="360" w:lineRule="auto"/>
        <w:ind w:firstLine="480" w:firstLineChars="200"/>
        <w:rPr>
          <w:color w:val="auto"/>
        </w:rPr>
      </w:pPr>
      <w:r>
        <w:rPr>
          <w:rFonts w:hint="eastAsia"/>
          <w:color w:val="auto"/>
        </w:rPr>
        <w:t>9、对发票不合规的约定：</w:t>
      </w:r>
    </w:p>
    <w:p>
      <w:pPr>
        <w:overflowPunct w:val="0"/>
        <w:spacing w:line="360" w:lineRule="auto"/>
        <w:ind w:firstLine="480" w:firstLineChars="200"/>
        <w:rPr>
          <w:color w:val="auto"/>
        </w:rPr>
      </w:pPr>
      <w:r>
        <w:rPr>
          <w:rFonts w:hint="eastAsia"/>
          <w:color w:val="auto"/>
        </w:rPr>
        <w:t>9.1、乙方提供的发票为增值税专用发票的，因乙方迟延送达、开具错误等原因导致其提供的增值税专用发票没有通过税务部门认证，造成甲方不能抵扣的，甲方有权拒绝接收。</w:t>
      </w:r>
    </w:p>
    <w:p>
      <w:pPr>
        <w:overflowPunct w:val="0"/>
        <w:spacing w:line="360" w:lineRule="auto"/>
        <w:ind w:firstLine="480" w:firstLineChars="200"/>
        <w:rPr>
          <w:color w:val="auto"/>
        </w:rPr>
      </w:pPr>
      <w:r>
        <w:rPr>
          <w:rFonts w:hint="eastAsia"/>
          <w:color w:val="auto"/>
        </w:rPr>
        <w:t>9.2、乙方开具虚假、作废等无效发票或者违反国家法律法规开具、提供发票的，乙方应自行承担相应法律责任，赔偿由此给甲方造成的全部损失并应向甲方支付合同总价20%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overflowPunct w:val="0"/>
        <w:spacing w:line="360" w:lineRule="auto"/>
        <w:ind w:firstLine="480" w:firstLineChars="200"/>
        <w:rPr>
          <w:color w:val="auto"/>
        </w:rPr>
      </w:pPr>
      <w:r>
        <w:rPr>
          <w:rFonts w:hint="eastAsia"/>
          <w:color w:val="auto"/>
        </w:rPr>
        <w:t>10、其他税务风险的合同约定：</w:t>
      </w:r>
    </w:p>
    <w:p>
      <w:pPr>
        <w:overflowPunct w:val="0"/>
        <w:spacing w:line="360" w:lineRule="auto"/>
        <w:ind w:firstLine="480" w:firstLineChars="200"/>
        <w:rPr>
          <w:color w:val="auto"/>
        </w:rPr>
      </w:pPr>
      <w:r>
        <w:rPr>
          <w:rFonts w:hint="eastAsia"/>
          <w:color w:val="auto"/>
        </w:rPr>
        <w:t>10.1、如果甲方丢失增值税专用发票联和抵扣联，乙方应向甲方提供专用发票记账联复印件，并加盖乙方发票专用章。</w:t>
      </w:r>
    </w:p>
    <w:p>
      <w:pPr>
        <w:overflowPunct w:val="0"/>
        <w:spacing w:line="360" w:lineRule="auto"/>
        <w:ind w:firstLine="480" w:firstLineChars="200"/>
        <w:rPr>
          <w:color w:val="auto"/>
        </w:rPr>
      </w:pPr>
      <w:r>
        <w:rPr>
          <w:rFonts w:hint="eastAsia"/>
          <w:color w:val="auto"/>
        </w:rPr>
        <w:t>10.2、如果获得开具的汇总专用发票，则乙方应提供其防伪税控系统开具的《销售货物或者提供应税劳务清单》，并加盖发票专用章。</w:t>
      </w:r>
    </w:p>
    <w:p>
      <w:pPr>
        <w:overflowPunct w:val="0"/>
        <w:spacing w:line="360" w:lineRule="auto"/>
        <w:ind w:firstLine="480" w:firstLineChars="200"/>
        <w:rPr>
          <w:color w:val="auto"/>
        </w:rPr>
      </w:pPr>
      <w:r>
        <w:rPr>
          <w:rFonts w:hint="eastAsia"/>
          <w:color w:val="auto"/>
        </w:rPr>
        <w:t>11、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2"/>
        <w:tabs>
          <w:tab w:val="left" w:pos="0"/>
        </w:tabs>
        <w:wordWrap w:val="0"/>
        <w:topLinePunct/>
        <w:spacing w:line="360" w:lineRule="auto"/>
        <w:rPr>
          <w:rFonts w:hint="eastAsia" w:hAnsi="宋体" w:cs="宋体"/>
          <w:color w:val="auto"/>
          <w:szCs w:val="24"/>
        </w:rPr>
      </w:pPr>
      <w:r>
        <w:rPr>
          <w:rFonts w:hint="eastAsia" w:hAnsi="宋体" w:cs="宋体"/>
          <w:color w:val="auto"/>
          <w:szCs w:val="24"/>
        </w:rPr>
        <w:t>七、甲方现场移交标准</w:t>
      </w:r>
    </w:p>
    <w:p>
      <w:pPr>
        <w:overflowPunct w:val="0"/>
        <w:spacing w:line="360" w:lineRule="auto"/>
        <w:ind w:firstLine="480" w:firstLineChars="200"/>
        <w:rPr>
          <w:color w:val="auto"/>
        </w:rPr>
      </w:pPr>
      <w:r>
        <w:rPr>
          <w:rFonts w:hint="eastAsia"/>
          <w:color w:val="auto"/>
        </w:rPr>
        <w:t>1、本工程移交界面为工地现状条件，且乙方已充分踏勘现场，对工地现状条件下施工所需的措施费等相关费用已综合考虑在固定合同总价内。</w:t>
      </w:r>
    </w:p>
    <w:p>
      <w:pPr>
        <w:overflowPunct w:val="0"/>
        <w:spacing w:line="360" w:lineRule="auto"/>
        <w:ind w:firstLine="480" w:firstLineChars="200"/>
        <w:rPr>
          <w:color w:val="auto"/>
        </w:rPr>
      </w:pPr>
      <w:r>
        <w:rPr>
          <w:rFonts w:hint="eastAsia"/>
          <w:color w:val="auto"/>
        </w:rPr>
        <w:t>2、甲方只负责告知施工现场堆放材料的场地，乙方自行解决施工及管理人员住宿办公场所，由此产生的费用由乙方自行承担。</w:t>
      </w:r>
    </w:p>
    <w:p>
      <w:pPr>
        <w:overflowPunct w:val="0"/>
        <w:spacing w:line="360" w:lineRule="auto"/>
        <w:ind w:firstLine="480" w:firstLineChars="200"/>
        <w:rPr>
          <w:color w:val="auto"/>
        </w:rPr>
      </w:pPr>
      <w:r>
        <w:rPr>
          <w:rFonts w:hint="eastAsia"/>
          <w:color w:val="auto"/>
        </w:rPr>
        <w:t>3、甲方告知水源电源接驳点，接驳工作及接驳费用、施工过程中产生的水电费用由甲方承担。</w:t>
      </w:r>
    </w:p>
    <w:p>
      <w:pPr>
        <w:pStyle w:val="2"/>
        <w:tabs>
          <w:tab w:val="left" w:pos="0"/>
        </w:tabs>
        <w:wordWrap w:val="0"/>
        <w:overflowPunct w:val="0"/>
        <w:topLinePunct/>
        <w:spacing w:line="360" w:lineRule="auto"/>
        <w:rPr>
          <w:rFonts w:hAnsi="宋体" w:cs="宋体"/>
          <w:color w:val="auto"/>
          <w:szCs w:val="24"/>
        </w:rPr>
      </w:pPr>
      <w:r>
        <w:rPr>
          <w:rFonts w:hint="eastAsia" w:hAnsi="宋体" w:cs="宋体"/>
          <w:color w:val="auto"/>
          <w:szCs w:val="24"/>
        </w:rPr>
        <w:t>八、材料供应要求</w:t>
      </w:r>
    </w:p>
    <w:p>
      <w:pPr>
        <w:overflowPunct w:val="0"/>
        <w:spacing w:line="360" w:lineRule="auto"/>
        <w:ind w:firstLine="480" w:firstLineChars="200"/>
        <w:rPr>
          <w:color w:val="auto"/>
        </w:rPr>
      </w:pPr>
      <w:r>
        <w:rPr>
          <w:rFonts w:hint="eastAsia"/>
          <w:color w:val="auto"/>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pPr>
        <w:overflowPunct w:val="0"/>
        <w:spacing w:line="360" w:lineRule="auto"/>
        <w:ind w:firstLine="480" w:firstLineChars="200"/>
        <w:rPr>
          <w:color w:val="auto"/>
        </w:rPr>
      </w:pPr>
      <w:r>
        <w:rPr>
          <w:rFonts w:hint="eastAsia"/>
          <w:color w:val="auto"/>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val="0"/>
        <w:spacing w:line="360" w:lineRule="auto"/>
        <w:ind w:firstLine="480" w:firstLineChars="200"/>
        <w:rPr>
          <w:color w:val="auto"/>
        </w:rPr>
      </w:pPr>
      <w:r>
        <w:rPr>
          <w:rFonts w:hint="eastAsia"/>
          <w:color w:val="auto"/>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val="0"/>
        <w:spacing w:line="360" w:lineRule="auto"/>
        <w:ind w:firstLine="480" w:firstLineChars="200"/>
        <w:rPr>
          <w:color w:val="auto"/>
        </w:rPr>
      </w:pPr>
      <w:r>
        <w:rPr>
          <w:rFonts w:hint="eastAsia"/>
          <w:color w:val="auto"/>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pPr>
        <w:overflowPunct w:val="0"/>
        <w:spacing w:line="360" w:lineRule="auto"/>
        <w:ind w:firstLine="480" w:firstLineChars="200"/>
        <w:rPr>
          <w:color w:val="auto"/>
        </w:rPr>
      </w:pPr>
      <w:r>
        <w:rPr>
          <w:rFonts w:hint="eastAsia"/>
          <w:color w:val="auto"/>
        </w:rPr>
        <w:t>5、本工程承包范围内使用的全部设备、材料及产品必须满足合格品规定，满足国家标准和行业标准，并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overflowPunct w:val="0"/>
        <w:spacing w:line="360" w:lineRule="auto"/>
        <w:ind w:firstLine="480" w:firstLineChars="200"/>
        <w:rPr>
          <w:color w:val="auto"/>
        </w:rPr>
      </w:pPr>
      <w:r>
        <w:rPr>
          <w:rFonts w:hint="eastAsia"/>
          <w:color w:val="auto"/>
        </w:rPr>
        <w:t>6、乙方采购的材料设备品牌（合同内有具体材料设备品牌约定的材料），未经甲方许可，乙方不得擅自更换品牌；若乙方擅自更换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三倍金额另行向甲方支付惩罚性赔偿（该惩罚性赔偿不足伍万元的，按伍万元计）。若乙方要求更换合同约定材料品牌，须乙方书面申请并经甲方书面审批通过，更换材料应确保与原品牌同等档次，更换材料后甲方保留价格调整的权利（即：引起价格调增的部分甲方不予调整，价格调减的部分甲方可据实调减）。</w:t>
      </w:r>
    </w:p>
    <w:p>
      <w:pPr>
        <w:overflowPunct w:val="0"/>
        <w:spacing w:line="360" w:lineRule="auto"/>
        <w:ind w:firstLine="480" w:firstLineChars="200"/>
        <w:rPr>
          <w:color w:val="auto"/>
        </w:rPr>
      </w:pPr>
      <w:r>
        <w:rPr>
          <w:rFonts w:hint="eastAsia"/>
          <w:color w:val="auto"/>
        </w:rPr>
        <w:t>7、材料品牌约定详见附件三《材料品牌表》。</w:t>
      </w:r>
    </w:p>
    <w:p>
      <w:pPr>
        <w:pStyle w:val="2"/>
        <w:tabs>
          <w:tab w:val="left" w:pos="0"/>
        </w:tabs>
        <w:wordWrap w:val="0"/>
        <w:overflowPunct w:val="0"/>
        <w:topLinePunct/>
        <w:autoSpaceDE w:val="0"/>
        <w:spacing w:line="360" w:lineRule="auto"/>
        <w:rPr>
          <w:rFonts w:hAnsi="宋体" w:cs="宋体"/>
          <w:color w:val="auto"/>
          <w:szCs w:val="24"/>
        </w:rPr>
      </w:pPr>
      <w:r>
        <w:rPr>
          <w:rFonts w:hint="eastAsia" w:hAnsi="宋体" w:cs="宋体"/>
          <w:color w:val="auto"/>
          <w:szCs w:val="24"/>
        </w:rPr>
        <w:t>九、工程质量要求</w:t>
      </w:r>
    </w:p>
    <w:p>
      <w:pPr>
        <w:overflowPunct w:val="0"/>
        <w:spacing w:line="360" w:lineRule="auto"/>
        <w:ind w:firstLine="480" w:firstLineChars="200"/>
        <w:rPr>
          <w:color w:val="auto"/>
        </w:rPr>
      </w:pPr>
      <w:r>
        <w:rPr>
          <w:rFonts w:hint="eastAsia"/>
          <w:color w:val="auto"/>
        </w:rPr>
        <w:t>1、施工质量标准：合格。全部工程（包括材料、工艺等）应符合按合同约定、设计图纸及现行的国家相关行业及工程所在地的技术规范及质量验收评定标准，具体评定标准及奖罚条例如下：</w:t>
      </w:r>
    </w:p>
    <w:p>
      <w:pPr>
        <w:overflowPunct w:val="0"/>
        <w:spacing w:line="360" w:lineRule="auto"/>
        <w:ind w:firstLine="480" w:firstLineChars="200"/>
        <w:rPr>
          <w:color w:val="auto"/>
        </w:rPr>
      </w:pPr>
      <w:r>
        <w:rPr>
          <w:rFonts w:hint="eastAsia"/>
          <w:color w:val="auto"/>
        </w:rPr>
        <w:t>1.1、按照有关验收规范和国家标准执行，工程质量为合格。</w:t>
      </w:r>
    </w:p>
    <w:p>
      <w:pPr>
        <w:overflowPunct w:val="0"/>
        <w:spacing w:line="360" w:lineRule="auto"/>
        <w:ind w:firstLine="480" w:firstLineChars="200"/>
        <w:rPr>
          <w:color w:val="auto"/>
        </w:rPr>
      </w:pPr>
      <w:r>
        <w:rPr>
          <w:rFonts w:hint="eastAsia"/>
          <w:color w:val="auto"/>
        </w:rPr>
        <w:t>1.2、不合格工程不予验收和结算，且乙方应赔偿甲方因此遭受的一切损失。</w:t>
      </w:r>
    </w:p>
    <w:p>
      <w:pPr>
        <w:overflowPunct w:val="0"/>
        <w:spacing w:line="360" w:lineRule="auto"/>
        <w:ind w:firstLine="480" w:firstLineChars="200"/>
        <w:rPr>
          <w:color w:val="auto"/>
        </w:rPr>
      </w:pPr>
      <w:r>
        <w:rPr>
          <w:rFonts w:hint="eastAsia"/>
          <w:color w:val="auto"/>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val="0"/>
        <w:spacing w:line="360" w:lineRule="auto"/>
        <w:ind w:firstLine="480" w:firstLineChars="200"/>
        <w:rPr>
          <w:color w:val="auto"/>
        </w:rPr>
      </w:pPr>
      <w:r>
        <w:rPr>
          <w:rFonts w:hint="eastAsia"/>
          <w:color w:val="auto"/>
        </w:rPr>
        <w:t>3、工程质量必须符合设计图纸及相应设计文件的要求，验收标准执行现行国家质量验收及施工规范和地方行政管理部门制定的规范文件。</w:t>
      </w:r>
    </w:p>
    <w:p>
      <w:pPr>
        <w:overflowPunct w:val="0"/>
        <w:spacing w:line="360" w:lineRule="auto"/>
        <w:ind w:firstLine="480" w:firstLineChars="200"/>
        <w:rPr>
          <w:color w:val="auto"/>
        </w:rPr>
      </w:pPr>
      <w:r>
        <w:rPr>
          <w:rFonts w:hint="eastAsia"/>
          <w:color w:val="auto"/>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val="0"/>
        <w:spacing w:line="360" w:lineRule="auto"/>
        <w:ind w:firstLine="480" w:firstLineChars="200"/>
        <w:rPr>
          <w:color w:val="auto"/>
        </w:rPr>
      </w:pPr>
      <w:r>
        <w:rPr>
          <w:rFonts w:hint="eastAsia"/>
          <w:color w:val="auto"/>
        </w:rPr>
        <w:t>5、乙方在施工现场组织施工时应做好现场成品保护工作，禁止私自拆除或破坏现有成品。如必须拆除或改变需书面报请甲方同意。成品保护需满足附件六</w:t>
      </w:r>
      <w:r>
        <w:rPr>
          <w:rFonts w:hint="eastAsia"/>
          <w:color w:val="auto"/>
          <w:szCs w:val="28"/>
        </w:rPr>
        <w:t>《成品保护标准》中对应的要求。</w:t>
      </w:r>
    </w:p>
    <w:p>
      <w:pPr>
        <w:overflowPunct w:val="0"/>
        <w:spacing w:line="360" w:lineRule="auto"/>
        <w:ind w:firstLine="480" w:firstLineChars="200"/>
        <w:rPr>
          <w:color w:val="auto"/>
        </w:rPr>
      </w:pPr>
      <w:r>
        <w:rPr>
          <w:rFonts w:hint="eastAsia"/>
          <w:color w:val="auto"/>
        </w:rPr>
        <w:t>6、如果发生以下情形，甲方有权要求整改，情节严重的甲方有权解除合同，由此造成的损失乙方承担：</w:t>
      </w:r>
    </w:p>
    <w:p>
      <w:pPr>
        <w:overflowPunct w:val="0"/>
        <w:spacing w:line="360" w:lineRule="auto"/>
        <w:ind w:firstLine="480" w:firstLineChars="200"/>
        <w:rPr>
          <w:color w:val="auto"/>
        </w:rPr>
      </w:pPr>
      <w:r>
        <w:rPr>
          <w:rFonts w:hint="eastAsia"/>
          <w:color w:val="auto"/>
        </w:rPr>
        <w:t>6.1、不按合同约定的要求施工；</w:t>
      </w:r>
    </w:p>
    <w:p>
      <w:pPr>
        <w:overflowPunct w:val="0"/>
        <w:spacing w:line="360" w:lineRule="auto"/>
        <w:ind w:firstLine="480" w:firstLineChars="200"/>
        <w:rPr>
          <w:color w:val="auto"/>
        </w:rPr>
      </w:pPr>
      <w:r>
        <w:rPr>
          <w:rFonts w:hint="eastAsia"/>
          <w:color w:val="auto"/>
        </w:rPr>
        <w:t>6.2、违反正常施工程序、施工工艺进行野蛮施工；</w:t>
      </w:r>
    </w:p>
    <w:p>
      <w:pPr>
        <w:overflowPunct w:val="0"/>
        <w:spacing w:line="360" w:lineRule="auto"/>
        <w:ind w:firstLine="480" w:firstLineChars="200"/>
        <w:rPr>
          <w:color w:val="auto"/>
        </w:rPr>
      </w:pPr>
      <w:r>
        <w:rPr>
          <w:rFonts w:hint="eastAsia"/>
          <w:color w:val="auto"/>
        </w:rPr>
        <w:t>6.3、施工质量、安全、环保等达不到有关要求；</w:t>
      </w:r>
    </w:p>
    <w:p>
      <w:pPr>
        <w:overflowPunct w:val="0"/>
        <w:spacing w:line="360" w:lineRule="auto"/>
        <w:ind w:firstLine="480" w:firstLineChars="200"/>
        <w:rPr>
          <w:color w:val="auto"/>
        </w:rPr>
      </w:pPr>
      <w:r>
        <w:rPr>
          <w:rFonts w:hint="eastAsia"/>
          <w:color w:val="auto"/>
        </w:rPr>
        <w:t>6.4、施工材料不符合本合同规定的品牌或材质的。</w:t>
      </w:r>
    </w:p>
    <w:p>
      <w:pPr>
        <w:overflowPunct w:val="0"/>
        <w:spacing w:line="360" w:lineRule="auto"/>
        <w:ind w:firstLine="480" w:firstLineChars="200"/>
        <w:rPr>
          <w:color w:val="auto"/>
        </w:rPr>
      </w:pPr>
      <w:r>
        <w:rPr>
          <w:rFonts w:hint="eastAsia"/>
          <w:color w:val="auto"/>
        </w:rPr>
        <w:t>7、施工厂区每项工序需做到工完料清。</w:t>
      </w:r>
    </w:p>
    <w:p>
      <w:pPr>
        <w:overflowPunct w:val="0"/>
        <w:spacing w:line="360" w:lineRule="auto"/>
        <w:ind w:firstLine="480" w:firstLineChars="200"/>
        <w:rPr>
          <w:color w:val="auto"/>
        </w:rPr>
      </w:pPr>
      <w:r>
        <w:rPr>
          <w:rFonts w:hint="eastAsia"/>
          <w:color w:val="auto"/>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val="0"/>
        <w:spacing w:line="360" w:lineRule="auto"/>
        <w:ind w:firstLine="480" w:firstLineChars="200"/>
        <w:rPr>
          <w:color w:val="auto"/>
        </w:rPr>
      </w:pPr>
      <w:r>
        <w:rPr>
          <w:rFonts w:hint="eastAsia"/>
          <w:color w:val="auto"/>
        </w:rPr>
        <w:t>9、国家现行的有关规范、法规及行业标准；</w:t>
      </w:r>
    </w:p>
    <w:p>
      <w:pPr>
        <w:overflowPunct w:val="0"/>
        <w:spacing w:line="360" w:lineRule="auto"/>
        <w:ind w:firstLine="480" w:firstLineChars="200"/>
        <w:rPr>
          <w:color w:val="auto"/>
        </w:rPr>
      </w:pPr>
      <w:r>
        <w:rPr>
          <w:rFonts w:hint="eastAsia"/>
          <w:color w:val="auto"/>
        </w:rPr>
        <w:t>10、应采用的主要设计、施工、检验、评定标准。</w:t>
      </w:r>
    </w:p>
    <w:p>
      <w:pPr>
        <w:overflowPunct w:val="0"/>
        <w:spacing w:line="360" w:lineRule="auto"/>
        <w:ind w:firstLine="480" w:firstLineChars="200"/>
        <w:rPr>
          <w:color w:val="auto"/>
        </w:rPr>
      </w:pPr>
      <w:r>
        <w:rPr>
          <w:rFonts w:hint="eastAsia"/>
          <w:color w:val="auto"/>
        </w:rPr>
        <w:t>(1)《建筑工程施工质量验收统一标准》GB50300-2013</w:t>
      </w:r>
    </w:p>
    <w:p>
      <w:pPr>
        <w:overflowPunct w:val="0"/>
        <w:spacing w:line="360" w:lineRule="auto"/>
        <w:ind w:firstLine="480" w:firstLineChars="200"/>
        <w:rPr>
          <w:color w:val="auto"/>
        </w:rPr>
      </w:pPr>
      <w:r>
        <w:rPr>
          <w:rFonts w:hint="eastAsia"/>
          <w:color w:val="auto"/>
        </w:rPr>
        <w:t>(2)《建筑工程质量验收规范》GB50210-2018</w:t>
      </w:r>
    </w:p>
    <w:p>
      <w:pPr>
        <w:overflowPunct w:val="0"/>
        <w:spacing w:line="360" w:lineRule="auto"/>
        <w:ind w:firstLine="480" w:firstLineChars="200"/>
        <w:rPr>
          <w:color w:val="auto"/>
        </w:rPr>
      </w:pPr>
      <w:r>
        <w:rPr>
          <w:rFonts w:hint="eastAsia"/>
          <w:color w:val="auto"/>
        </w:rPr>
        <w:t>(3)与本工程有关的技术规范和验收标准</w:t>
      </w:r>
    </w:p>
    <w:p>
      <w:pPr>
        <w:overflowPunct w:val="0"/>
        <w:spacing w:line="360" w:lineRule="auto"/>
        <w:ind w:firstLine="480" w:firstLineChars="200"/>
        <w:rPr>
          <w:color w:val="auto"/>
        </w:rPr>
      </w:pPr>
      <w:r>
        <w:rPr>
          <w:rFonts w:hint="eastAsia"/>
          <w:color w:val="auto"/>
        </w:rPr>
        <w:t>(3.1)《建筑工程施工质量验收统一标准》GB50300-2013</w:t>
      </w:r>
    </w:p>
    <w:p>
      <w:pPr>
        <w:overflowPunct w:val="0"/>
        <w:spacing w:line="360" w:lineRule="auto"/>
        <w:ind w:firstLine="480" w:firstLineChars="200"/>
        <w:rPr>
          <w:color w:val="auto"/>
        </w:rPr>
      </w:pPr>
      <w:r>
        <w:rPr>
          <w:rFonts w:hint="eastAsia"/>
          <w:color w:val="auto"/>
        </w:rPr>
        <w:t>(3.2)《建筑工程质量验收规范》GB50210-2018</w:t>
      </w:r>
    </w:p>
    <w:p>
      <w:pPr>
        <w:overflowPunct w:val="0"/>
        <w:spacing w:line="360" w:lineRule="auto"/>
        <w:ind w:firstLine="480" w:firstLineChars="200"/>
        <w:rPr>
          <w:color w:val="auto"/>
        </w:rPr>
      </w:pPr>
      <w:r>
        <w:rPr>
          <w:rFonts w:hint="eastAsia"/>
          <w:color w:val="auto"/>
        </w:rPr>
        <w:t xml:space="preserve">(3.3) 《住宅装饰装修工程施工规范》GB50327-2001 </w:t>
      </w:r>
    </w:p>
    <w:p>
      <w:pPr>
        <w:overflowPunct w:val="0"/>
        <w:spacing w:line="360" w:lineRule="auto"/>
        <w:ind w:firstLine="480" w:firstLineChars="200"/>
        <w:rPr>
          <w:color w:val="auto"/>
        </w:rPr>
      </w:pPr>
      <w:r>
        <w:rPr>
          <w:rFonts w:hint="eastAsia"/>
          <w:color w:val="auto"/>
        </w:rPr>
        <w:t>11、其他施工及验收规范、质量检验评定标准：</w:t>
      </w:r>
    </w:p>
    <w:p>
      <w:pPr>
        <w:overflowPunct w:val="0"/>
        <w:spacing w:line="360" w:lineRule="auto"/>
        <w:ind w:firstLine="480" w:firstLineChars="200"/>
        <w:rPr>
          <w:color w:val="auto"/>
        </w:rPr>
      </w:pPr>
      <w:r>
        <w:rPr>
          <w:rFonts w:hint="eastAsia"/>
          <w:color w:val="auto"/>
        </w:rPr>
        <w:t>(1)《砌体工程施工质量验收规范》GB50203--2019</w:t>
      </w:r>
    </w:p>
    <w:p>
      <w:pPr>
        <w:overflowPunct w:val="0"/>
        <w:spacing w:line="360" w:lineRule="auto"/>
        <w:ind w:firstLine="480" w:firstLineChars="200"/>
        <w:rPr>
          <w:color w:val="auto"/>
        </w:rPr>
      </w:pPr>
      <w:r>
        <w:rPr>
          <w:rFonts w:hint="eastAsia"/>
          <w:color w:val="auto"/>
        </w:rPr>
        <w:t>(2)《混凝土工程施工质量验收规范》GB50204—2015</w:t>
      </w:r>
    </w:p>
    <w:p>
      <w:pPr>
        <w:overflowPunct w:val="0"/>
        <w:spacing w:line="360" w:lineRule="auto"/>
        <w:ind w:firstLine="240" w:firstLineChars="100"/>
        <w:rPr>
          <w:color w:val="auto"/>
        </w:rPr>
      </w:pPr>
      <w:r>
        <w:rPr>
          <w:rFonts w:hint="eastAsia"/>
          <w:color w:val="auto"/>
        </w:rPr>
        <w:t>（3）《建筑电气工程施工质量验收规范》GB50303—2015</w:t>
      </w:r>
    </w:p>
    <w:p>
      <w:pPr>
        <w:overflowPunct w:val="0"/>
        <w:spacing w:line="360" w:lineRule="auto"/>
        <w:ind w:firstLine="240" w:firstLineChars="100"/>
        <w:rPr>
          <w:color w:val="auto"/>
        </w:rPr>
      </w:pPr>
      <w:r>
        <w:rPr>
          <w:rFonts w:hint="eastAsia"/>
          <w:color w:val="auto"/>
        </w:rPr>
        <w:t>（4）《河南省工程建设标准设计》12YJ</w:t>
      </w:r>
    </w:p>
    <w:p>
      <w:pPr>
        <w:overflowPunct w:val="0"/>
        <w:spacing w:line="360" w:lineRule="auto"/>
        <w:ind w:firstLine="240" w:firstLineChars="100"/>
        <w:rPr>
          <w:color w:val="auto"/>
        </w:rPr>
      </w:pPr>
      <w:r>
        <w:rPr>
          <w:rFonts w:hint="eastAsia"/>
          <w:color w:val="auto"/>
        </w:rPr>
        <w:t>（5）《建筑施工安全检查标准》JGJ59-2011</w:t>
      </w:r>
    </w:p>
    <w:p>
      <w:pPr>
        <w:overflowPunct w:val="0"/>
        <w:spacing w:line="360" w:lineRule="auto"/>
        <w:ind w:firstLine="240" w:firstLineChars="100"/>
        <w:rPr>
          <w:color w:val="auto"/>
        </w:rPr>
      </w:pPr>
      <w:r>
        <w:rPr>
          <w:rFonts w:hint="eastAsia"/>
          <w:color w:val="auto"/>
        </w:rPr>
        <w:t>（6）《施工现场临时用电安全技术规范》JGJ46-2005</w:t>
      </w:r>
    </w:p>
    <w:p>
      <w:pPr>
        <w:overflowPunct w:val="0"/>
        <w:spacing w:line="360" w:lineRule="auto"/>
        <w:ind w:firstLine="240" w:firstLineChars="100"/>
        <w:rPr>
          <w:color w:val="auto"/>
        </w:rPr>
      </w:pPr>
      <w:r>
        <w:rPr>
          <w:rFonts w:hint="eastAsia"/>
          <w:color w:val="auto"/>
        </w:rPr>
        <w:t>（7）《建筑涂饰工程施工及验收规程》JGJ/T29-2003</w:t>
      </w:r>
    </w:p>
    <w:p>
      <w:pPr>
        <w:overflowPunct w:val="0"/>
        <w:spacing w:line="360" w:lineRule="auto"/>
        <w:ind w:firstLine="240" w:firstLineChars="100"/>
        <w:rPr>
          <w:color w:val="auto"/>
        </w:rPr>
      </w:pPr>
      <w:r>
        <w:rPr>
          <w:rFonts w:hint="eastAsia"/>
          <w:color w:val="auto"/>
        </w:rPr>
        <w:t>（8）《建筑装饰装修工程质量验收规范》GB50210-2018</w:t>
      </w:r>
    </w:p>
    <w:p>
      <w:pPr>
        <w:overflowPunct w:val="0"/>
        <w:spacing w:line="360" w:lineRule="auto"/>
        <w:ind w:firstLine="240" w:firstLineChars="100"/>
        <w:rPr>
          <w:color w:val="auto"/>
        </w:rPr>
      </w:pPr>
      <w:r>
        <w:rPr>
          <w:rFonts w:hint="eastAsia"/>
          <w:color w:val="auto"/>
        </w:rPr>
        <w:t>（9）《安全防范工程技术规范》GB50348-2018</w:t>
      </w:r>
    </w:p>
    <w:p>
      <w:pPr>
        <w:overflowPunct w:val="0"/>
        <w:spacing w:line="360" w:lineRule="auto"/>
        <w:ind w:firstLine="240" w:firstLineChars="100"/>
        <w:rPr>
          <w:color w:val="auto"/>
        </w:rPr>
      </w:pPr>
      <w:r>
        <w:rPr>
          <w:rFonts w:hint="eastAsia"/>
          <w:color w:val="auto"/>
        </w:rPr>
        <w:t>（10）《综合布线系统工程验收规范》 GBT 50312-2016</w:t>
      </w:r>
    </w:p>
    <w:p>
      <w:pPr>
        <w:overflowPunct w:val="0"/>
        <w:spacing w:line="360" w:lineRule="auto"/>
        <w:ind w:firstLine="240" w:firstLineChars="100"/>
        <w:rPr>
          <w:color w:val="auto"/>
        </w:rPr>
      </w:pPr>
      <w:r>
        <w:rPr>
          <w:rFonts w:hint="eastAsia"/>
          <w:color w:val="auto"/>
        </w:rPr>
        <w:t>（11）《建筑给水排水及采暖工程施工质量验收规范》GB50242-2002</w:t>
      </w:r>
    </w:p>
    <w:p>
      <w:pPr>
        <w:overflowPunct w:val="0"/>
        <w:spacing w:line="360" w:lineRule="auto"/>
        <w:ind w:firstLine="240" w:firstLineChars="100"/>
        <w:rPr>
          <w:color w:val="auto"/>
        </w:rPr>
      </w:pPr>
      <w:r>
        <w:rPr>
          <w:rFonts w:hint="eastAsia"/>
          <w:color w:val="auto"/>
        </w:rPr>
        <w:t>（12）《综合布线系统工程验收规范》 GBT 50312-2016</w:t>
      </w:r>
    </w:p>
    <w:p>
      <w:pPr>
        <w:overflowPunct w:val="0"/>
        <w:spacing w:line="360" w:lineRule="auto"/>
        <w:ind w:firstLine="240" w:firstLineChars="100"/>
        <w:rPr>
          <w:color w:val="auto"/>
        </w:rPr>
      </w:pPr>
      <w:r>
        <w:rPr>
          <w:rFonts w:hint="eastAsia"/>
          <w:color w:val="auto"/>
        </w:rPr>
        <w:t>（13）工程质量同时需满足《中浩德地产集团工程精细化手册1.0工艺标准》中对应的要求。</w:t>
      </w:r>
    </w:p>
    <w:p>
      <w:pPr>
        <w:overflowPunct w:val="0"/>
        <w:spacing w:line="360" w:lineRule="auto"/>
        <w:ind w:firstLine="480" w:firstLineChars="200"/>
        <w:rPr>
          <w:color w:val="auto"/>
        </w:rPr>
      </w:pPr>
      <w:r>
        <w:rPr>
          <w:rFonts w:hint="eastAsia"/>
          <w:color w:val="auto"/>
        </w:rPr>
        <w:t>12、施工及选用设备和材料时按最近的国际或国内标准执行，并提供采用的国际或国内标准、规范和所应用的最新版本的有关技术依据资料。</w:t>
      </w:r>
    </w:p>
    <w:p>
      <w:pPr>
        <w:wordWrap/>
        <w:overflowPunct w:val="0"/>
        <w:topLinePunct w:val="0"/>
        <w:autoSpaceDE/>
        <w:spacing w:line="360" w:lineRule="auto"/>
        <w:ind w:firstLine="0" w:firstLineChars="0"/>
        <w:rPr>
          <w:b/>
          <w:bCs/>
          <w:color w:val="auto"/>
        </w:rPr>
      </w:pPr>
      <w:r>
        <w:rPr>
          <w:rFonts w:hint="eastAsia"/>
          <w:b/>
          <w:bCs/>
          <w:color w:val="auto"/>
        </w:rPr>
        <w:t>十、现场安全文明施工及管理要求</w:t>
      </w:r>
    </w:p>
    <w:p>
      <w:pPr>
        <w:overflowPunct w:val="0"/>
        <w:spacing w:line="360" w:lineRule="auto"/>
        <w:ind w:firstLine="480" w:firstLineChars="200"/>
        <w:rPr>
          <w:color w:val="auto"/>
        </w:rPr>
      </w:pPr>
      <w:r>
        <w:rPr>
          <w:rFonts w:hint="eastAsia"/>
          <w:color w:val="auto"/>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val="0"/>
        <w:spacing w:line="360" w:lineRule="auto"/>
        <w:ind w:firstLine="480" w:firstLineChars="200"/>
        <w:rPr>
          <w:color w:val="auto"/>
        </w:rPr>
      </w:pPr>
      <w:r>
        <w:rPr>
          <w:rFonts w:hint="eastAsia"/>
          <w:color w:val="auto"/>
        </w:rPr>
        <w:t>2、乙方及乙方施工人员在现场包括但不限于因用水、用电、高空作业、使用机器发生伤亡事故的，其经济责任、法律责任和其他民事责任均由乙方负责。</w:t>
      </w:r>
    </w:p>
    <w:p>
      <w:pPr>
        <w:overflowPunct w:val="0"/>
        <w:spacing w:line="360" w:lineRule="auto"/>
        <w:ind w:firstLine="480" w:firstLineChars="200"/>
        <w:rPr>
          <w:color w:val="auto"/>
        </w:rPr>
      </w:pPr>
      <w:r>
        <w:rPr>
          <w:rFonts w:hint="eastAsia"/>
          <w:color w:val="auto"/>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val="0"/>
        <w:spacing w:line="360" w:lineRule="auto"/>
        <w:ind w:firstLine="480" w:firstLineChars="200"/>
        <w:rPr>
          <w:color w:val="auto"/>
        </w:rPr>
      </w:pPr>
      <w:r>
        <w:rPr>
          <w:rFonts w:hint="eastAsia"/>
          <w:color w:val="auto"/>
        </w:rPr>
        <w:t>4、施工现场用电器具应有接地、接零装置和线路布置规范化，安全防护措施到位。乙方自身职工、与甲方有关的第三方人员在现场发生伤亡事故，其经济责任、法律责任和其他民事责任均由乙方负责。</w:t>
      </w:r>
    </w:p>
    <w:p>
      <w:pPr>
        <w:overflowPunct w:val="0"/>
        <w:spacing w:line="360" w:lineRule="auto"/>
        <w:ind w:firstLine="480" w:firstLineChars="200"/>
        <w:rPr>
          <w:color w:val="auto"/>
        </w:rPr>
      </w:pPr>
      <w:r>
        <w:rPr>
          <w:rFonts w:hint="eastAsia"/>
          <w:color w:val="auto"/>
        </w:rPr>
        <w:t>5、乙方应加强对现场施工人员的教育。施工现场严禁酗酒、打架斗殴、赌博和其他违法违章现象，每发现一次，乙方按2000元/次向甲方支付违约金。</w:t>
      </w:r>
    </w:p>
    <w:p>
      <w:pPr>
        <w:overflowPunct w:val="0"/>
        <w:spacing w:line="360" w:lineRule="auto"/>
        <w:ind w:firstLine="480" w:firstLineChars="200"/>
        <w:rPr>
          <w:color w:val="auto"/>
        </w:rPr>
      </w:pPr>
      <w:r>
        <w:rPr>
          <w:rFonts w:hint="eastAsia"/>
          <w:color w:val="auto"/>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val="0"/>
        <w:spacing w:line="360" w:lineRule="auto"/>
        <w:ind w:firstLine="480" w:firstLineChars="200"/>
        <w:rPr>
          <w:color w:val="auto"/>
        </w:rPr>
      </w:pPr>
      <w:r>
        <w:rPr>
          <w:rFonts w:hint="eastAsia"/>
          <w:color w:val="auto"/>
        </w:rPr>
        <w:t>7、乙方需遵守甲方、监理及总承包单位的相关安全规程制度，否则按相关制度进行处罚。</w:t>
      </w:r>
    </w:p>
    <w:p>
      <w:pPr>
        <w:overflowPunct w:val="0"/>
        <w:spacing w:line="360" w:lineRule="auto"/>
        <w:ind w:firstLine="480" w:firstLineChars="200"/>
        <w:rPr>
          <w:color w:val="auto"/>
        </w:rPr>
      </w:pPr>
      <w:r>
        <w:rPr>
          <w:rFonts w:hint="eastAsia"/>
          <w:color w:val="auto"/>
        </w:rPr>
        <w:t>8、乙方在施工中要服从甲方及监理人员的统一指挥，做好防尘防噪措施，各项措施和管理达到洛阳市文明建设的有关规定。现场施工实行工完场清制度，垃圾及时清运出场。</w:t>
      </w:r>
    </w:p>
    <w:p>
      <w:pPr>
        <w:overflowPunct w:val="0"/>
        <w:spacing w:line="360" w:lineRule="auto"/>
        <w:ind w:firstLine="480" w:firstLineChars="200"/>
        <w:rPr>
          <w:color w:val="auto"/>
        </w:rPr>
      </w:pPr>
      <w:r>
        <w:rPr>
          <w:rFonts w:hint="eastAsia"/>
          <w:color w:val="auto"/>
        </w:rPr>
        <w:t>9、乙方应保证施工现场的卫生标准、噪声标准等指标满足国家、地方的有关规定。施工中因乙方违反规定造成的损失和发生的费用（若主管部门罚款）均由乙方承担。</w:t>
      </w:r>
    </w:p>
    <w:p>
      <w:pPr>
        <w:overflowPunct w:val="0"/>
        <w:spacing w:line="360" w:lineRule="auto"/>
        <w:ind w:firstLine="480" w:firstLineChars="200"/>
        <w:rPr>
          <w:color w:val="auto"/>
        </w:rPr>
      </w:pPr>
      <w:r>
        <w:rPr>
          <w:rFonts w:hint="eastAsia"/>
          <w:color w:val="auto"/>
        </w:rPr>
        <w:t>10、施工过程中如发生扰民或民扰，由乙方与甲方协调解决，费用乙方承担。</w:t>
      </w:r>
    </w:p>
    <w:p>
      <w:pPr>
        <w:overflowPunct w:val="0"/>
        <w:spacing w:line="360" w:lineRule="auto"/>
        <w:ind w:firstLine="480" w:firstLineChars="200"/>
        <w:rPr>
          <w:color w:val="auto"/>
        </w:rPr>
      </w:pPr>
      <w:r>
        <w:rPr>
          <w:rFonts w:hint="eastAsia"/>
          <w:color w:val="auto"/>
        </w:rPr>
        <w:t>11、安全文明施工标准应符合《浩德地产安全文明措施标准化手册2022版》的相关要求。</w:t>
      </w:r>
    </w:p>
    <w:p>
      <w:pPr>
        <w:overflowPunct w:val="0"/>
        <w:spacing w:line="360" w:lineRule="auto"/>
        <w:ind w:firstLine="480" w:firstLineChars="200"/>
        <w:rPr>
          <w:color w:val="auto"/>
        </w:rPr>
      </w:pPr>
      <w:r>
        <w:rPr>
          <w:rFonts w:hint="eastAsia"/>
          <w:color w:val="auto"/>
        </w:rPr>
        <w:t>12、现场安全文明施工、进度及质量等未尽事宜参照《开元壹号项目现场管理制度》执行。</w:t>
      </w:r>
    </w:p>
    <w:p>
      <w:pPr>
        <w:spacing w:line="360" w:lineRule="auto"/>
        <w:ind w:firstLine="0" w:firstLineChars="0"/>
        <w:rPr>
          <w:rFonts w:hint="eastAsia" w:ascii="Calibri" w:hAnsi="Calibri" w:eastAsia="宋体"/>
          <w:b/>
          <w:bCs/>
          <w:color w:val="auto"/>
          <w:kern w:val="2"/>
          <w:sz w:val="24"/>
          <w:szCs w:val="22"/>
          <w:lang w:val="en-US" w:eastAsia="zh-CN" w:bidi="ar-SA"/>
        </w:rPr>
      </w:pPr>
      <w:r>
        <w:rPr>
          <w:rFonts w:ascii="Calibri" w:hAnsi="Calibri" w:eastAsia="宋体"/>
          <w:b/>
          <w:bCs/>
          <w:color w:val="auto"/>
          <w:kern w:val="2"/>
          <w:sz w:val="24"/>
          <w:szCs w:val="22"/>
          <w:lang w:val="en-US" w:eastAsia="zh-CN" w:bidi="ar-SA"/>
        </w:rPr>
        <w:t>十一、验收及移交</w:t>
      </w:r>
    </w:p>
    <w:p>
      <w:pPr>
        <w:overflowPunct w:val="0"/>
        <w:spacing w:line="360" w:lineRule="auto"/>
        <w:ind w:firstLine="480" w:firstLineChars="200"/>
        <w:rPr>
          <w:color w:val="auto"/>
        </w:rPr>
      </w:pPr>
      <w:r>
        <w:rPr>
          <w:rFonts w:hint="eastAsia"/>
          <w:color w:val="auto"/>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val="0"/>
        <w:spacing w:line="360" w:lineRule="auto"/>
        <w:ind w:firstLine="480" w:firstLineChars="200"/>
        <w:rPr>
          <w:color w:val="auto"/>
        </w:rPr>
      </w:pPr>
      <w:r>
        <w:rPr>
          <w:rFonts w:hint="eastAsia"/>
          <w:color w:val="auto"/>
        </w:rPr>
        <w:t>1.1、甲方可委托任何设计单位、政府有关质量监督部门或其他单位对施工质量进行检查及对工程质量进行监督，乙方应予积极配合。</w:t>
      </w:r>
    </w:p>
    <w:p>
      <w:pPr>
        <w:overflowPunct w:val="0"/>
        <w:spacing w:line="360" w:lineRule="auto"/>
        <w:ind w:firstLine="480" w:firstLineChars="200"/>
        <w:rPr>
          <w:color w:val="auto"/>
        </w:rPr>
      </w:pPr>
      <w:r>
        <w:rPr>
          <w:rFonts w:hint="eastAsia"/>
          <w:color w:val="auto"/>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val="0"/>
        <w:spacing w:line="360" w:lineRule="auto"/>
        <w:ind w:firstLine="480" w:firstLineChars="200"/>
        <w:rPr>
          <w:color w:val="auto"/>
        </w:rPr>
      </w:pPr>
      <w:r>
        <w:rPr>
          <w:rFonts w:hint="eastAsia"/>
          <w:color w:val="auto"/>
        </w:rPr>
        <w:t>1.3、本工程的质量监督验收单位为：甲方。</w:t>
      </w:r>
    </w:p>
    <w:p>
      <w:pPr>
        <w:overflowPunct w:val="0"/>
        <w:spacing w:line="360" w:lineRule="auto"/>
        <w:ind w:firstLine="480" w:firstLineChars="200"/>
        <w:rPr>
          <w:color w:val="auto"/>
        </w:rPr>
      </w:pPr>
      <w:r>
        <w:rPr>
          <w:rFonts w:hint="eastAsia"/>
          <w:color w:val="auto"/>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pPr>
        <w:overflowPunct w:val="0"/>
        <w:spacing w:line="360" w:lineRule="auto"/>
        <w:ind w:firstLine="480" w:firstLineChars="200"/>
        <w:rPr>
          <w:color w:val="auto"/>
        </w:rPr>
      </w:pPr>
      <w:r>
        <w:rPr>
          <w:rFonts w:hint="eastAsia"/>
          <w:color w:val="auto"/>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pPr>
        <w:overflowPunct w:val="0"/>
        <w:spacing w:line="360" w:lineRule="auto"/>
        <w:ind w:firstLine="480" w:firstLineChars="200"/>
        <w:rPr>
          <w:color w:val="auto"/>
        </w:rPr>
      </w:pPr>
      <w:r>
        <w:rPr>
          <w:rFonts w:hint="eastAsia"/>
          <w:color w:val="auto"/>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val="0"/>
        <w:spacing w:line="360" w:lineRule="auto"/>
        <w:ind w:firstLine="480" w:firstLineChars="200"/>
        <w:rPr>
          <w:color w:val="auto"/>
        </w:rPr>
      </w:pPr>
      <w:r>
        <w:rPr>
          <w:rFonts w:hint="eastAsia"/>
          <w:color w:val="auto"/>
        </w:rPr>
        <w:t>1.7、验收中如发现不合格需返工或修补的部分，乙方应及时进行整改并在规定期限内完成。由此发生的费用及产生的逾期完工责任由乙方承担；</w:t>
      </w:r>
    </w:p>
    <w:p>
      <w:pPr>
        <w:overflowPunct w:val="0"/>
        <w:spacing w:line="360" w:lineRule="auto"/>
        <w:ind w:firstLine="480" w:firstLineChars="200"/>
        <w:rPr>
          <w:color w:val="auto"/>
        </w:rPr>
      </w:pPr>
      <w:r>
        <w:rPr>
          <w:rFonts w:hint="eastAsia"/>
          <w:color w:val="auto"/>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pPr>
        <w:overflowPunct w:val="0"/>
        <w:spacing w:line="360" w:lineRule="auto"/>
        <w:ind w:firstLine="480" w:firstLineChars="200"/>
        <w:rPr>
          <w:color w:val="auto"/>
        </w:rPr>
      </w:pPr>
      <w:r>
        <w:rPr>
          <w:rFonts w:hint="eastAsia"/>
          <w:color w:val="auto"/>
        </w:rPr>
        <w:t>1.9、工程验收合格后5个工作日内，提交满足甲方要求的竣工资料，把有关资料送交甲方。</w:t>
      </w:r>
    </w:p>
    <w:p>
      <w:pPr>
        <w:overflowPunct w:val="0"/>
        <w:spacing w:line="360" w:lineRule="auto"/>
        <w:ind w:firstLine="480" w:firstLineChars="200"/>
        <w:rPr>
          <w:color w:val="auto"/>
        </w:rPr>
      </w:pPr>
      <w:r>
        <w:rPr>
          <w:rFonts w:hint="eastAsia"/>
          <w:color w:val="auto"/>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val="0"/>
        <w:spacing w:line="360" w:lineRule="auto"/>
        <w:ind w:firstLine="480" w:firstLineChars="200"/>
        <w:rPr>
          <w:color w:val="auto"/>
        </w:rPr>
      </w:pPr>
      <w:r>
        <w:rPr>
          <w:rFonts w:hint="eastAsia"/>
          <w:color w:val="auto"/>
        </w:rPr>
        <w:t>1.11、办理竣工验收、合格证、检测费用等由乙方自行承担。</w:t>
      </w:r>
    </w:p>
    <w:p>
      <w:pPr>
        <w:overflowPunct w:val="0"/>
        <w:spacing w:line="360" w:lineRule="auto"/>
        <w:ind w:firstLine="480" w:firstLineChars="200"/>
        <w:rPr>
          <w:color w:val="auto"/>
        </w:rPr>
      </w:pPr>
      <w:r>
        <w:rPr>
          <w:rFonts w:hint="eastAsia"/>
          <w:color w:val="auto"/>
        </w:rPr>
        <w:t>2、工程的移交：</w:t>
      </w:r>
    </w:p>
    <w:p>
      <w:pPr>
        <w:overflowPunct w:val="0"/>
        <w:spacing w:line="360" w:lineRule="auto"/>
        <w:ind w:firstLine="480" w:firstLineChars="200"/>
        <w:rPr>
          <w:color w:val="auto"/>
        </w:rPr>
      </w:pPr>
      <w:r>
        <w:rPr>
          <w:rFonts w:hint="eastAsia"/>
          <w:color w:val="auto"/>
        </w:rPr>
        <w:t>2.1、交房前精装修所有范围内（含精装甲分包、甲供材）所有安保责任均由乙方承担，出现物品丢失，由乙方按照购买同种类及同品质产品的重购价进行赔偿。</w:t>
      </w:r>
    </w:p>
    <w:p>
      <w:pPr>
        <w:overflowPunct w:val="0"/>
        <w:spacing w:line="360" w:lineRule="auto"/>
        <w:ind w:firstLine="480" w:firstLineChars="200"/>
        <w:rPr>
          <w:color w:val="auto"/>
        </w:rPr>
      </w:pPr>
      <w:r>
        <w:rPr>
          <w:rFonts w:hint="eastAsia"/>
          <w:color w:val="auto"/>
        </w:rPr>
        <w:t>2.2、本工程竣工验收合格之日起3日内由双方负责人共同洽谈交接事宜并办理移交手续。工程自移交第二日起，全部由甲方负责管理。</w:t>
      </w:r>
    </w:p>
    <w:p>
      <w:pPr>
        <w:overflowPunct w:val="0"/>
        <w:spacing w:line="360" w:lineRule="auto"/>
        <w:ind w:firstLine="480" w:firstLineChars="200"/>
        <w:rPr>
          <w:color w:val="auto"/>
        </w:rPr>
      </w:pPr>
      <w:r>
        <w:rPr>
          <w:rFonts w:hint="eastAsia"/>
          <w:color w:val="auto"/>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val="0"/>
        <w:spacing w:line="360" w:lineRule="auto"/>
        <w:ind w:firstLine="480" w:firstLineChars="200"/>
        <w:rPr>
          <w:color w:val="auto"/>
        </w:rPr>
      </w:pPr>
      <w:r>
        <w:rPr>
          <w:rFonts w:hint="eastAsia"/>
          <w:color w:val="auto"/>
        </w:rPr>
        <w:t>2.4、工程在未移交甲方之前，乙方承担维护及管理责任；如甲方提前使用，因使用损坏发生的修理费用由甲方承担。</w:t>
      </w:r>
    </w:p>
    <w:p>
      <w:pPr>
        <w:overflowPunct w:val="0"/>
        <w:spacing w:line="360" w:lineRule="auto"/>
        <w:ind w:firstLine="480" w:firstLineChars="200"/>
        <w:rPr>
          <w:color w:val="auto"/>
        </w:rPr>
      </w:pPr>
      <w:r>
        <w:rPr>
          <w:rFonts w:hint="eastAsia"/>
          <w:color w:val="auto"/>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wordWrap/>
        <w:overflowPunct w:val="0"/>
        <w:topLinePunct w:val="0"/>
        <w:autoSpaceDE/>
        <w:spacing w:line="360" w:lineRule="auto"/>
        <w:ind w:firstLine="0" w:firstLineChars="0"/>
        <w:rPr>
          <w:b/>
          <w:bCs/>
          <w:color w:val="auto"/>
        </w:rPr>
      </w:pPr>
      <w:r>
        <w:rPr>
          <w:rFonts w:hint="eastAsia"/>
          <w:b/>
          <w:bCs/>
          <w:color w:val="auto"/>
        </w:rPr>
        <w:t>十二、工程变更、签证</w:t>
      </w:r>
    </w:p>
    <w:p>
      <w:pPr>
        <w:overflowPunct w:val="0"/>
        <w:spacing w:line="360" w:lineRule="auto"/>
        <w:ind w:firstLine="480" w:firstLineChars="200"/>
        <w:rPr>
          <w:color w:val="auto"/>
        </w:rPr>
      </w:pPr>
      <w:r>
        <w:rPr>
          <w:rFonts w:hint="eastAsia"/>
          <w:color w:val="auto"/>
        </w:rPr>
        <w:t>1、乙方应严格按照经甲方审核签认的施工图纸施工，不得随意变更；若确需变更，应按程序报甲方书面同意后，方可变更施工，否则造成的一切后果及责任均由乙方负责。</w:t>
      </w:r>
    </w:p>
    <w:p>
      <w:pPr>
        <w:overflowPunct w:val="0"/>
        <w:spacing w:line="360" w:lineRule="auto"/>
        <w:ind w:firstLine="480" w:firstLineChars="200"/>
        <w:rPr>
          <w:color w:val="auto"/>
        </w:rPr>
      </w:pPr>
      <w:r>
        <w:rPr>
          <w:rFonts w:hint="eastAsia"/>
          <w:color w:val="auto"/>
        </w:rPr>
        <w:t>2、施工过程中，若甲方需要增减项目或变更项目应提前以书面形式通知乙方，乙方承诺满足甲方的需求</w:t>
      </w:r>
      <w:r>
        <w:rPr>
          <w:rFonts w:hint="eastAsia"/>
          <w:color w:val="auto"/>
          <w:kern w:val="0"/>
          <w:szCs w:val="20"/>
        </w:rPr>
        <w:t>，并不因此要求赔偿/补偿。</w:t>
      </w:r>
    </w:p>
    <w:p>
      <w:pPr>
        <w:overflowPunct w:val="0"/>
        <w:spacing w:line="360" w:lineRule="auto"/>
        <w:ind w:firstLine="480" w:firstLineChars="200"/>
        <w:rPr>
          <w:color w:val="auto"/>
        </w:rPr>
      </w:pPr>
      <w:r>
        <w:rPr>
          <w:rFonts w:hint="eastAsia"/>
          <w:color w:val="auto"/>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18"/>
        <w:rPr>
          <w:color w:val="auto"/>
        </w:rPr>
      </w:pPr>
      <w:r>
        <w:rPr>
          <w:rFonts w:hint="eastAsia"/>
          <w:color w:val="auto"/>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18"/>
        <w:ind w:firstLine="0" w:firstLineChars="0"/>
        <w:rPr>
          <w:b/>
          <w:bCs/>
          <w:color w:val="auto"/>
        </w:rPr>
      </w:pPr>
      <w:r>
        <w:rPr>
          <w:rFonts w:hint="eastAsia"/>
          <w:b/>
          <w:bCs/>
          <w:color w:val="auto"/>
        </w:rPr>
        <w:t>十三、结算方式</w:t>
      </w:r>
    </w:p>
    <w:p>
      <w:pPr>
        <w:overflowPunct w:val="0"/>
        <w:spacing w:line="360" w:lineRule="auto"/>
        <w:ind w:firstLine="480" w:firstLineChars="200"/>
        <w:rPr>
          <w:color w:val="auto"/>
        </w:rPr>
      </w:pPr>
      <w:r>
        <w:rPr>
          <w:rFonts w:hint="eastAsia"/>
          <w:color w:val="auto"/>
        </w:rPr>
        <w:t>1、结算依据：甲方审核签认的施工设计方案、甲方认可的变更签证、施工合同、补充协议、招标、投标文件等。</w:t>
      </w:r>
    </w:p>
    <w:p>
      <w:pPr>
        <w:overflowPunct w:val="0"/>
        <w:spacing w:line="360" w:lineRule="auto"/>
        <w:ind w:firstLine="480" w:firstLineChars="200"/>
        <w:rPr>
          <w:color w:val="auto"/>
        </w:rPr>
      </w:pPr>
      <w:r>
        <w:rPr>
          <w:rFonts w:hint="eastAsia"/>
          <w:color w:val="auto"/>
        </w:rPr>
        <w:t>2、结算价款＝合同固定总价±变更、签证造价－其他应扣费用（含违约金）。</w:t>
      </w:r>
    </w:p>
    <w:p>
      <w:pPr>
        <w:overflowPunct w:val="0"/>
        <w:spacing w:line="360" w:lineRule="auto"/>
        <w:ind w:firstLine="480" w:firstLineChars="200"/>
        <w:rPr>
          <w:color w:val="auto"/>
        </w:rPr>
      </w:pPr>
      <w:r>
        <w:rPr>
          <w:rFonts w:hint="eastAsia"/>
          <w:color w:val="auto"/>
        </w:rPr>
        <w:t>3、乙方结算资料在报送甲方时一次性报送完整，在甲方结算审价过程中，不再接受增加任何结算资料（图纸、签证变更单、价格凭证等），送审的结算书中若有遗漏项目均作为让利给发包人，不作增加调整。</w:t>
      </w:r>
    </w:p>
    <w:p>
      <w:pPr>
        <w:overflowPunct w:val="0"/>
        <w:spacing w:line="360" w:lineRule="auto"/>
        <w:ind w:firstLine="480" w:firstLineChars="200"/>
        <w:rPr>
          <w:color w:val="auto"/>
        </w:rPr>
      </w:pPr>
      <w:r>
        <w:rPr>
          <w:rFonts w:hint="eastAsia"/>
          <w:color w:val="auto"/>
        </w:rPr>
        <w:t>4、乙方报送结算书应诚实准确，若最终审减额（报送金额—结算金额）超过结算金额的5%，则需要乙方向甲方支付超出5%部分的费用的3%作为违约金，且违约金在结算金额中一次性扣除。</w:t>
      </w:r>
    </w:p>
    <w:p>
      <w:pPr>
        <w:overflowPunct w:val="0"/>
        <w:spacing w:line="360" w:lineRule="auto"/>
        <w:ind w:firstLine="480" w:firstLineChars="200"/>
        <w:rPr>
          <w:color w:val="auto"/>
        </w:rPr>
      </w:pPr>
      <w:r>
        <w:rPr>
          <w:rFonts w:hint="eastAsia"/>
          <w:color w:val="auto"/>
        </w:rPr>
        <w:t>5、办理竣工验收、合格证、检测费用等由乙方自行承担。</w:t>
      </w:r>
    </w:p>
    <w:p>
      <w:pPr>
        <w:overflowPunct w:val="0"/>
        <w:spacing w:line="360" w:lineRule="auto"/>
        <w:ind w:firstLine="480" w:firstLineChars="200"/>
        <w:rPr>
          <w:color w:val="auto"/>
        </w:rPr>
      </w:pPr>
      <w:r>
        <w:rPr>
          <w:rFonts w:hint="eastAsia"/>
          <w:color w:val="auto"/>
        </w:rPr>
        <w:t>6、若甲方需在本合同约定的承包范围以外委托乙方完成其他工作，应以正式书面形式将具体工作范围、价款、完成时间、付款方式等主要内容通知乙方。若无正式书面委托，甲方不予结算。</w:t>
      </w:r>
    </w:p>
    <w:p>
      <w:pPr>
        <w:pStyle w:val="18"/>
        <w:ind w:firstLine="0" w:firstLineChars="0"/>
        <w:rPr>
          <w:rFonts w:hint="eastAsia" w:ascii="Calibri" w:hAnsi="Calibri" w:eastAsia="宋体"/>
          <w:b/>
          <w:bCs/>
          <w:color w:val="auto"/>
          <w:kern w:val="2"/>
          <w:sz w:val="24"/>
          <w:szCs w:val="22"/>
          <w:lang w:val="en-US" w:eastAsia="zh-CN" w:bidi="ar-SA"/>
        </w:rPr>
      </w:pPr>
      <w:r>
        <w:rPr>
          <w:rFonts w:ascii="Calibri" w:hAnsi="Calibri" w:eastAsia="宋体"/>
          <w:b/>
          <w:bCs/>
          <w:color w:val="auto"/>
          <w:kern w:val="2"/>
          <w:sz w:val="24"/>
          <w:szCs w:val="22"/>
          <w:lang w:val="en-US" w:eastAsia="zh-CN" w:bidi="ar-SA"/>
        </w:rPr>
        <w:t>十四、质保期</w:t>
      </w:r>
    </w:p>
    <w:p>
      <w:pPr>
        <w:overflowPunct w:val="0"/>
        <w:spacing w:line="360" w:lineRule="auto"/>
        <w:ind w:firstLine="480" w:firstLineChars="200"/>
        <w:rPr>
          <w:color w:val="auto"/>
        </w:rPr>
      </w:pPr>
      <w:r>
        <w:rPr>
          <w:rFonts w:hint="eastAsia"/>
          <w:color w:val="auto"/>
        </w:rPr>
        <w:t>1、本工程的质保期为2年，自工程全部施工完成，经甲方、监理及相关部门验收合格之日起开始计算。</w:t>
      </w:r>
    </w:p>
    <w:p>
      <w:pPr>
        <w:overflowPunct w:val="0"/>
        <w:spacing w:line="360" w:lineRule="auto"/>
        <w:ind w:firstLine="480" w:firstLineChars="200"/>
        <w:rPr>
          <w:color w:val="auto"/>
        </w:rPr>
      </w:pPr>
      <w:r>
        <w:rPr>
          <w:rFonts w:hint="eastAsia"/>
          <w:color w:val="auto"/>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18"/>
        <w:ind w:firstLine="0" w:firstLineChars="0"/>
        <w:rPr>
          <w:b/>
          <w:bCs/>
          <w:color w:val="auto"/>
        </w:rPr>
      </w:pPr>
      <w:r>
        <w:rPr>
          <w:rFonts w:hint="eastAsia"/>
          <w:b/>
          <w:bCs/>
          <w:color w:val="auto"/>
        </w:rPr>
        <w:t>十五、双方责任与义务</w:t>
      </w:r>
    </w:p>
    <w:p>
      <w:pPr>
        <w:overflowPunct w:val="0"/>
        <w:spacing w:line="360" w:lineRule="auto"/>
        <w:ind w:firstLine="480" w:firstLineChars="200"/>
        <w:rPr>
          <w:color w:val="auto"/>
        </w:rPr>
      </w:pPr>
      <w:r>
        <w:rPr>
          <w:rFonts w:hint="eastAsia"/>
          <w:color w:val="auto"/>
        </w:rPr>
        <w:t>1、甲方的责任与义务</w:t>
      </w:r>
    </w:p>
    <w:p>
      <w:pPr>
        <w:overflowPunct w:val="0"/>
        <w:spacing w:line="360" w:lineRule="auto"/>
        <w:ind w:firstLine="480" w:firstLineChars="200"/>
        <w:rPr>
          <w:color w:val="auto"/>
        </w:rPr>
      </w:pPr>
      <w:r>
        <w:rPr>
          <w:rFonts w:hint="eastAsia"/>
          <w:color w:val="auto"/>
        </w:rPr>
        <w:t>1.1、遵守法律、法规和规章，甲方应在其实施本合同的全部工作中遵守与本合同有关的法律、法规和规章，并应承担由于其自身违反上述法律、法规和规章的责任。</w:t>
      </w:r>
    </w:p>
    <w:p>
      <w:pPr>
        <w:overflowPunct w:val="0"/>
        <w:spacing w:line="360" w:lineRule="auto"/>
        <w:ind w:firstLine="480" w:firstLineChars="200"/>
        <w:rPr>
          <w:color w:val="auto"/>
        </w:rPr>
      </w:pPr>
      <w:r>
        <w:rPr>
          <w:rFonts w:hint="eastAsia"/>
          <w:color w:val="auto"/>
        </w:rPr>
        <w:t>1.2、</w:t>
      </w:r>
      <w:r>
        <w:rPr>
          <w:rFonts w:hint="eastAsia"/>
          <w:color w:val="auto"/>
          <w:szCs w:val="24"/>
        </w:rPr>
        <w:t>甲方委派</w:t>
      </w:r>
      <w:r>
        <w:rPr>
          <w:rFonts w:hint="eastAsia"/>
          <w:color w:val="auto"/>
          <w:szCs w:val="24"/>
          <w:u w:val="single"/>
        </w:rPr>
        <w:t xml:space="preserve"> 高瞻 </w:t>
      </w:r>
      <w:r>
        <w:rPr>
          <w:rFonts w:hint="eastAsia"/>
          <w:color w:val="auto"/>
          <w:szCs w:val="24"/>
        </w:rPr>
        <w:t>为现场代表，电话</w:t>
      </w:r>
      <w:r>
        <w:rPr>
          <w:rFonts w:hint="eastAsia"/>
          <w:color w:val="auto"/>
          <w:szCs w:val="24"/>
          <w:u w:val="single"/>
        </w:rPr>
        <w:t xml:space="preserve">18600013139 </w:t>
      </w:r>
      <w:r>
        <w:rPr>
          <w:rFonts w:hint="eastAsia"/>
          <w:color w:val="auto"/>
          <w:szCs w:val="24"/>
        </w:rPr>
        <w:t>，负责现场材料样品确认，材料进场验收和</w:t>
      </w:r>
      <w:r>
        <w:rPr>
          <w:rFonts w:hint="eastAsia"/>
          <w:color w:val="auto"/>
        </w:rPr>
        <w:t>监督、检查产品、工程的质量，协调工作中发生的有关事宜，并参与产品、工程的初验、验收和签证工作。如现场代表变更则需及时通知乙方。</w:t>
      </w:r>
    </w:p>
    <w:p>
      <w:pPr>
        <w:overflowPunct w:val="0"/>
        <w:spacing w:line="360" w:lineRule="auto"/>
        <w:ind w:firstLine="480" w:firstLineChars="200"/>
        <w:rPr>
          <w:color w:val="auto"/>
        </w:rPr>
      </w:pPr>
      <w:r>
        <w:rPr>
          <w:rFonts w:hint="eastAsia"/>
          <w:color w:val="auto"/>
        </w:rPr>
        <w:t>1.3、甲方应提供乙方所需工程建筑图、说明书、建筑平面图、变更图及有关技术文件等作为乙方产品设计和施工的有效依据。</w:t>
      </w:r>
    </w:p>
    <w:p>
      <w:pPr>
        <w:overflowPunct w:val="0"/>
        <w:spacing w:line="360" w:lineRule="auto"/>
        <w:ind w:firstLine="480" w:firstLineChars="200"/>
        <w:rPr>
          <w:color w:val="auto"/>
        </w:rPr>
      </w:pPr>
      <w:r>
        <w:rPr>
          <w:rFonts w:hint="eastAsia"/>
          <w:color w:val="auto"/>
        </w:rPr>
        <w:t>1.4、甲方协调乙方与土建单位施工配合问题，并督促工程进度。</w:t>
      </w:r>
    </w:p>
    <w:p>
      <w:pPr>
        <w:overflowPunct w:val="0"/>
        <w:spacing w:line="360" w:lineRule="auto"/>
        <w:ind w:firstLine="480" w:firstLineChars="200"/>
        <w:rPr>
          <w:color w:val="auto"/>
        </w:rPr>
      </w:pPr>
      <w:r>
        <w:rPr>
          <w:rFonts w:hint="eastAsia"/>
          <w:color w:val="auto"/>
        </w:rPr>
        <w:t>1.5、签订合同时，甲方向乙方提供建筑施工图、变更通知及相关材料1套。</w:t>
      </w:r>
    </w:p>
    <w:p>
      <w:pPr>
        <w:overflowPunct w:val="0"/>
        <w:spacing w:line="360" w:lineRule="auto"/>
        <w:ind w:firstLine="480" w:firstLineChars="200"/>
        <w:rPr>
          <w:color w:val="auto"/>
        </w:rPr>
      </w:pPr>
      <w:r>
        <w:rPr>
          <w:rFonts w:hint="eastAsia"/>
          <w:color w:val="auto"/>
        </w:rPr>
        <w:t>1.6、甲方应及时按合同要求给乙方拨付工程款、组织工程竣工验收并按合同规定办理竣工结算。</w:t>
      </w:r>
    </w:p>
    <w:p>
      <w:pPr>
        <w:overflowPunct w:val="0"/>
        <w:spacing w:line="360" w:lineRule="auto"/>
        <w:ind w:firstLine="480" w:firstLineChars="200"/>
        <w:rPr>
          <w:color w:val="auto"/>
        </w:rPr>
      </w:pPr>
      <w:r>
        <w:rPr>
          <w:rFonts w:hint="eastAsia"/>
          <w:color w:val="auto"/>
        </w:rPr>
        <w:t>1.7、进场材料及施工成品、半成品达不到标准要求的，甲方有权责令乙方调换。</w:t>
      </w:r>
    </w:p>
    <w:p>
      <w:pPr>
        <w:overflowPunct w:val="0"/>
        <w:spacing w:line="360" w:lineRule="auto"/>
        <w:ind w:firstLine="480" w:firstLineChars="200"/>
        <w:rPr>
          <w:color w:val="auto"/>
        </w:rPr>
      </w:pPr>
      <w:r>
        <w:rPr>
          <w:rFonts w:hint="eastAsia"/>
          <w:color w:val="auto"/>
        </w:rPr>
        <w:t>1.8、为乙方协调水源、电源接驳点。</w:t>
      </w:r>
    </w:p>
    <w:p>
      <w:pPr>
        <w:overflowPunct w:val="0"/>
        <w:spacing w:line="360" w:lineRule="auto"/>
        <w:ind w:firstLine="480" w:firstLineChars="200"/>
        <w:rPr>
          <w:color w:val="auto"/>
        </w:rPr>
      </w:pPr>
      <w:r>
        <w:rPr>
          <w:rFonts w:hint="eastAsia"/>
          <w:color w:val="auto"/>
        </w:rPr>
        <w:t>2、 乙方责任与义务</w:t>
      </w:r>
    </w:p>
    <w:p>
      <w:pPr>
        <w:overflowPunct w:val="0"/>
        <w:spacing w:line="360" w:lineRule="auto"/>
        <w:ind w:firstLine="480" w:firstLineChars="200"/>
        <w:rPr>
          <w:color w:val="auto"/>
        </w:rPr>
      </w:pPr>
      <w:r>
        <w:rPr>
          <w:rFonts w:hint="eastAsia"/>
          <w:color w:val="auto"/>
        </w:rPr>
        <w:t>2.1、遵守法律、法规和规章，乙方应在其负责的各项工作中遵守与本合同工程有关的法律、法规和规章，并保证甲方免于承担由于乙方违反上述法律、法规和规章的任何责任。</w:t>
      </w:r>
    </w:p>
    <w:p>
      <w:pPr>
        <w:overflowPunct w:val="0"/>
        <w:spacing w:line="360" w:lineRule="auto"/>
        <w:ind w:firstLine="480" w:firstLineChars="200"/>
        <w:rPr>
          <w:color w:val="auto"/>
        </w:rPr>
      </w:pPr>
      <w:r>
        <w:rPr>
          <w:rFonts w:hint="eastAsia"/>
          <w:color w:val="auto"/>
        </w:rPr>
        <w:t>2.2、</w:t>
      </w:r>
      <w:r>
        <w:rPr>
          <w:rFonts w:hint="eastAsia"/>
          <w:color w:val="auto"/>
          <w:szCs w:val="24"/>
        </w:rPr>
        <w:t>乙方委派</w:t>
      </w:r>
      <w:r>
        <w:rPr>
          <w:rFonts w:hint="eastAsia"/>
          <w:color w:val="auto"/>
          <w:szCs w:val="24"/>
          <w:u w:val="single"/>
        </w:rPr>
        <w:t>苗强</w:t>
      </w:r>
      <w:r>
        <w:rPr>
          <w:rFonts w:hint="eastAsia"/>
          <w:color w:val="auto"/>
          <w:szCs w:val="24"/>
        </w:rPr>
        <w:t>为现场代表，电话</w:t>
      </w:r>
      <w:r>
        <w:rPr>
          <w:rFonts w:hint="eastAsia"/>
          <w:color w:val="auto"/>
          <w:szCs w:val="24"/>
          <w:u w:val="single"/>
        </w:rPr>
        <w:t>13698828556</w:t>
      </w:r>
      <w:r>
        <w:rPr>
          <w:rFonts w:hint="eastAsia"/>
          <w:color w:val="auto"/>
          <w:szCs w:val="24"/>
        </w:rPr>
        <w:t>，</w:t>
      </w:r>
      <w:r>
        <w:rPr>
          <w:rFonts w:hint="eastAsia"/>
          <w:color w:val="auto"/>
        </w:rPr>
        <w:t>并须持有与工程项目相适应的资格证书，负责施工期间的施工质量、安全问题，协调工作中发生的有关事宜。如现场代表变更则需经甲方同意。</w:t>
      </w:r>
    </w:p>
    <w:p>
      <w:pPr>
        <w:overflowPunct w:val="0"/>
        <w:spacing w:line="360" w:lineRule="auto"/>
        <w:ind w:firstLine="480" w:firstLineChars="200"/>
        <w:rPr>
          <w:color w:val="auto"/>
        </w:rPr>
      </w:pPr>
      <w:r>
        <w:rPr>
          <w:rFonts w:hint="eastAsia"/>
          <w:color w:val="auto"/>
        </w:rPr>
        <w:t>2.3、乙方应服从甲方、监理单位、总承包单位的管理，密切配合总承包单位施工，遵守工地的有关规定；严格实行工序开工前向监理报验制度。</w:t>
      </w:r>
    </w:p>
    <w:p>
      <w:pPr>
        <w:overflowPunct w:val="0"/>
        <w:spacing w:line="360" w:lineRule="auto"/>
        <w:ind w:firstLine="480" w:firstLineChars="200"/>
        <w:rPr>
          <w:color w:val="auto"/>
        </w:rPr>
      </w:pPr>
      <w:r>
        <w:rPr>
          <w:rFonts w:hint="eastAsia"/>
          <w:color w:val="auto"/>
        </w:rPr>
        <w:t>2.4、乙方需无条件配合其它二次单位（软装、智能化等）做好预留预埋工作。</w:t>
      </w:r>
    </w:p>
    <w:p>
      <w:pPr>
        <w:overflowPunct w:val="0"/>
        <w:spacing w:line="360" w:lineRule="auto"/>
        <w:ind w:firstLine="480" w:firstLineChars="200"/>
        <w:rPr>
          <w:color w:val="auto"/>
        </w:rPr>
      </w:pPr>
      <w:r>
        <w:rPr>
          <w:rFonts w:hint="eastAsia"/>
          <w:color w:val="auto"/>
        </w:rPr>
        <w:t>2.5、乙方不得将该工程转包或分包，否则甲方不支付乙方所发生的任何费用。</w:t>
      </w:r>
    </w:p>
    <w:p>
      <w:pPr>
        <w:overflowPunct w:val="0"/>
        <w:spacing w:line="360" w:lineRule="auto"/>
        <w:ind w:firstLine="480" w:firstLineChars="200"/>
        <w:rPr>
          <w:color w:val="auto"/>
        </w:rPr>
      </w:pPr>
      <w:r>
        <w:rPr>
          <w:rFonts w:hint="eastAsia"/>
          <w:color w:val="auto"/>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val="0"/>
        <w:spacing w:line="360" w:lineRule="auto"/>
        <w:ind w:firstLine="480" w:firstLineChars="200"/>
        <w:rPr>
          <w:color w:val="auto"/>
        </w:rPr>
      </w:pPr>
      <w:r>
        <w:rPr>
          <w:rFonts w:hint="eastAsia"/>
          <w:color w:val="auto"/>
        </w:rPr>
        <w:t>2.7、做好各项质量自检记录，参加竣工验收，编制工程结算。</w:t>
      </w:r>
    </w:p>
    <w:p>
      <w:pPr>
        <w:overflowPunct w:val="0"/>
        <w:spacing w:line="360" w:lineRule="auto"/>
        <w:ind w:firstLine="480" w:firstLineChars="200"/>
        <w:rPr>
          <w:color w:val="auto"/>
        </w:rPr>
      </w:pPr>
      <w:r>
        <w:rPr>
          <w:rFonts w:hint="eastAsia"/>
          <w:color w:val="auto"/>
        </w:rPr>
        <w:t>2.8、遵守国家或地方政府及有关部门对施工现场管理规定；服从甲方的有关指令，积极配合甲方进度安排。</w:t>
      </w:r>
    </w:p>
    <w:p>
      <w:pPr>
        <w:overflowPunct w:val="0"/>
        <w:spacing w:line="360" w:lineRule="auto"/>
        <w:ind w:firstLine="480" w:firstLineChars="200"/>
        <w:rPr>
          <w:color w:val="auto"/>
        </w:rPr>
      </w:pPr>
      <w:r>
        <w:rPr>
          <w:rFonts w:hint="eastAsia"/>
          <w:color w:val="auto"/>
        </w:rPr>
        <w:t>2.9、依据规范要求，负责组织工程验收及检测，验收及检测费由乙方自理。</w:t>
      </w:r>
    </w:p>
    <w:p>
      <w:pPr>
        <w:overflowPunct w:val="0"/>
        <w:spacing w:line="360" w:lineRule="auto"/>
        <w:ind w:firstLine="480" w:firstLineChars="200"/>
        <w:rPr>
          <w:color w:val="auto"/>
        </w:rPr>
      </w:pPr>
      <w:r>
        <w:rPr>
          <w:rFonts w:hint="eastAsia"/>
          <w:color w:val="auto"/>
        </w:rPr>
        <w:t>2.10、根据施工验收规范及甲方要求，及时向甲方和总承包单位提供该分项技术资料。</w:t>
      </w:r>
    </w:p>
    <w:p>
      <w:pPr>
        <w:overflowPunct w:val="0"/>
        <w:spacing w:line="360" w:lineRule="auto"/>
        <w:ind w:firstLine="480" w:firstLineChars="200"/>
        <w:rPr>
          <w:color w:val="auto"/>
        </w:rPr>
      </w:pPr>
      <w:r>
        <w:rPr>
          <w:rFonts w:hint="eastAsia"/>
          <w:color w:val="auto"/>
        </w:rPr>
        <w:t>2.11、甲方告知水源电源接驳点，但是具体接驳工作及产生的水电费由甲方承担。乙方在施工中用水、用电耗直接向总承包单位缴纳（具体的计量计价方式由乙方和总承包单位自行协商确定）。</w:t>
      </w:r>
    </w:p>
    <w:p>
      <w:pPr>
        <w:overflowPunct w:val="0"/>
        <w:spacing w:line="360" w:lineRule="auto"/>
        <w:ind w:firstLine="480" w:firstLineChars="200"/>
        <w:rPr>
          <w:color w:val="auto"/>
        </w:rPr>
      </w:pPr>
      <w:r>
        <w:rPr>
          <w:rFonts w:hint="eastAsia"/>
          <w:color w:val="auto"/>
        </w:rPr>
        <w:t>2.12、周边关系由乙方进行协调，包括协调的责任及相关费用。</w:t>
      </w:r>
    </w:p>
    <w:p>
      <w:pPr>
        <w:spacing w:line="360" w:lineRule="auto"/>
        <w:rPr>
          <w:rFonts w:hint="eastAsia" w:ascii="Calibri" w:hAnsi="Calibri" w:eastAsia="宋体" w:cs="Times New Roman"/>
          <w:color w:val="auto"/>
          <w:kern w:val="2"/>
          <w:sz w:val="24"/>
          <w:szCs w:val="22"/>
          <w:lang w:val="en-US" w:eastAsia="zh-CN" w:bidi="ar-SA"/>
        </w:rPr>
      </w:pPr>
      <w:r>
        <w:rPr>
          <w:rFonts w:ascii="Calibri" w:hAnsi="Calibri" w:eastAsia="宋体" w:cs="Times New Roman"/>
          <w:color w:val="auto"/>
          <w:kern w:val="2"/>
          <w:sz w:val="24"/>
          <w:szCs w:val="22"/>
          <w:lang w:val="en-US" w:eastAsia="zh-CN" w:bidi="ar-SA"/>
        </w:rPr>
        <w:t>2.13、乙方负责电梯门洞及电梯控制箱周边的封堵。</w:t>
      </w:r>
    </w:p>
    <w:p>
      <w:pPr>
        <w:spacing w:line="360" w:lineRule="auto"/>
        <w:rPr>
          <w:rFonts w:hint="eastAsia" w:ascii="Calibri" w:hAnsi="Calibri" w:eastAsia="宋体" w:cs="Times New Roman"/>
          <w:color w:val="auto"/>
          <w:kern w:val="2"/>
          <w:sz w:val="24"/>
          <w:szCs w:val="22"/>
          <w:lang w:val="en-US" w:eastAsia="zh-CN" w:bidi="ar-SA"/>
        </w:rPr>
      </w:pPr>
      <w:r>
        <w:rPr>
          <w:rFonts w:ascii="Calibri" w:hAnsi="Calibri" w:eastAsia="宋体" w:cs="Times New Roman"/>
          <w:color w:val="auto"/>
          <w:kern w:val="2"/>
          <w:sz w:val="24"/>
          <w:szCs w:val="22"/>
          <w:lang w:val="en-US" w:eastAsia="zh-CN" w:bidi="ar-SA"/>
        </w:rPr>
        <w:t>2.14、乙方负责完工后异味去除、保洁、垃圾清理等收尾工作。</w:t>
      </w:r>
    </w:p>
    <w:p>
      <w:pPr>
        <w:overflowPunct w:val="0"/>
        <w:spacing w:line="360" w:lineRule="auto"/>
        <w:ind w:firstLine="480" w:firstLineChars="200"/>
        <w:rPr>
          <w:color w:val="auto"/>
        </w:rPr>
      </w:pPr>
      <w:r>
        <w:rPr>
          <w:rFonts w:hint="eastAsia"/>
          <w:color w:val="auto"/>
        </w:rPr>
        <w:t>2.15、乙方承诺本项目不因其他项目的合作（付款）影响本项目的施工，否则自愿支付甲方10万元违约金。</w:t>
      </w:r>
    </w:p>
    <w:p>
      <w:pPr>
        <w:pStyle w:val="18"/>
        <w:ind w:firstLine="0" w:firstLineChars="0"/>
        <w:rPr>
          <w:b/>
          <w:bCs/>
          <w:color w:val="auto"/>
        </w:rPr>
      </w:pPr>
      <w:r>
        <w:rPr>
          <w:rFonts w:hint="eastAsia"/>
          <w:b/>
          <w:bCs/>
          <w:color w:val="auto"/>
        </w:rPr>
        <w:t>十六、违约责任</w:t>
      </w:r>
    </w:p>
    <w:p>
      <w:pPr>
        <w:overflowPunct w:val="0"/>
        <w:spacing w:line="360" w:lineRule="auto"/>
        <w:ind w:firstLine="480" w:firstLineChars="200"/>
        <w:rPr>
          <w:color w:val="auto"/>
        </w:rPr>
      </w:pPr>
      <w:r>
        <w:rPr>
          <w:rFonts w:hint="eastAsia"/>
          <w:color w:val="auto"/>
        </w:rPr>
        <w:t>1、除不可抗力外，甲乙双方应严格遵守本合同的条款，否则，违约方须承担违约责任。</w:t>
      </w:r>
    </w:p>
    <w:p>
      <w:pPr>
        <w:overflowPunct w:val="0"/>
        <w:spacing w:line="360" w:lineRule="auto"/>
        <w:ind w:firstLine="480" w:firstLineChars="200"/>
        <w:rPr>
          <w:color w:val="auto"/>
        </w:rPr>
      </w:pPr>
      <w:r>
        <w:rPr>
          <w:rFonts w:hint="eastAsia"/>
          <w:color w:val="auto"/>
        </w:rPr>
        <w:t>2、乙方逾期进场、完工的或单独楼栋、总体工程未能按本合同约定工期进场、完工的，视为乙方违约，每逾期一天，按2000元/天向甲方支付违约金，同时因施工逾期引起的相关损失由乙方承担。</w:t>
      </w:r>
    </w:p>
    <w:p>
      <w:pPr>
        <w:overflowPunct w:val="0"/>
        <w:spacing w:line="360" w:lineRule="auto"/>
        <w:ind w:firstLine="480" w:firstLineChars="200"/>
        <w:rPr>
          <w:color w:val="auto"/>
        </w:rPr>
      </w:pPr>
      <w:r>
        <w:rPr>
          <w:rFonts w:hint="eastAsia"/>
          <w:color w:val="auto"/>
        </w:rPr>
        <w:t>3、乙方存在其他任何逾期违约行为但未达到甲方行使单方解除条件的，每逾期一日，按2000元/日向甲方支付违约金，本合同另有约定时除外。</w:t>
      </w:r>
    </w:p>
    <w:p>
      <w:pPr>
        <w:overflowPunct w:val="0"/>
        <w:spacing w:line="360" w:lineRule="auto"/>
        <w:ind w:firstLine="480" w:firstLineChars="200"/>
        <w:rPr>
          <w:color w:val="auto"/>
        </w:rPr>
      </w:pPr>
      <w:r>
        <w:rPr>
          <w:rFonts w:hint="eastAsia"/>
          <w:color w:val="auto"/>
        </w:rPr>
        <w:t>4、乙方存在其他违约行为但未达到甲方行使单方解除条件的，每存在一项/次违约行为，乙方应按2000元/次（项）向甲方支付违约金。</w:t>
      </w:r>
    </w:p>
    <w:p>
      <w:pPr>
        <w:overflowPunct w:val="0"/>
        <w:spacing w:line="360" w:lineRule="auto"/>
        <w:ind w:firstLine="480" w:firstLineChars="200"/>
        <w:rPr>
          <w:color w:val="auto"/>
        </w:rPr>
      </w:pPr>
      <w:r>
        <w:rPr>
          <w:rFonts w:hint="eastAsia"/>
          <w:color w:val="auto"/>
        </w:rPr>
        <w:t>5、乙方提供产品的品牌、规格、型号等与本合同约定不符的，视为乙方违约，甲方有权拒绝验收，乙方应在5日内无偿更换。</w:t>
      </w:r>
    </w:p>
    <w:p>
      <w:pPr>
        <w:overflowPunct w:val="0"/>
        <w:spacing w:line="360" w:lineRule="auto"/>
        <w:ind w:firstLine="480" w:firstLineChars="200"/>
        <w:rPr>
          <w:color w:val="auto"/>
        </w:rPr>
      </w:pPr>
      <w:r>
        <w:rPr>
          <w:rFonts w:hint="eastAsia"/>
          <w:color w:val="auto"/>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val="0"/>
        <w:spacing w:line="360" w:lineRule="auto"/>
        <w:ind w:firstLine="480" w:firstLineChars="200"/>
        <w:rPr>
          <w:color w:val="auto"/>
        </w:rPr>
      </w:pPr>
      <w:r>
        <w:rPr>
          <w:rFonts w:hint="eastAsia"/>
          <w:color w:val="auto"/>
        </w:rPr>
        <w:t>8、乙方违约导致甲方解除合同的，乙方所有人员必须在3日内撤离施工现场，甲方已支付的预付款（如有）需在3日内退还至甲方，由此造成的所有损失均由乙方负责。</w:t>
      </w:r>
    </w:p>
    <w:p>
      <w:pPr>
        <w:overflowPunct w:val="0"/>
        <w:spacing w:line="360" w:lineRule="auto"/>
        <w:ind w:firstLine="480" w:firstLineChars="200"/>
        <w:rPr>
          <w:color w:val="auto"/>
        </w:rPr>
      </w:pPr>
      <w:r>
        <w:rPr>
          <w:rFonts w:hint="eastAsia"/>
          <w:color w:val="auto"/>
        </w:rPr>
        <w:t>9、乙方应向甲方支付的违约金等，甲方有权直接在甲方应付未付款中扣除，违约金不足以弥补甲方损失的，甲方可继续向乙方追偿。</w:t>
      </w:r>
    </w:p>
    <w:p>
      <w:pPr>
        <w:pStyle w:val="18"/>
        <w:rPr>
          <w:color w:val="auto"/>
        </w:rPr>
      </w:pPr>
      <w:r>
        <w:rPr>
          <w:rFonts w:hint="eastAsia"/>
          <w:color w:val="auto"/>
        </w:rPr>
        <w:t>10、合同约定应由乙方完成的工作内容（包括但不限于：承包范围内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18"/>
        <w:ind w:firstLine="0" w:firstLineChars="0"/>
        <w:rPr>
          <w:b/>
          <w:bCs/>
          <w:color w:val="auto"/>
        </w:rPr>
      </w:pPr>
      <w:r>
        <w:rPr>
          <w:rFonts w:hint="eastAsia"/>
          <w:b/>
          <w:bCs/>
          <w:color w:val="auto"/>
        </w:rPr>
        <w:t>十七、不可抗力</w:t>
      </w:r>
    </w:p>
    <w:p>
      <w:pPr>
        <w:pStyle w:val="18"/>
        <w:rPr>
          <w:color w:val="auto"/>
        </w:rPr>
      </w:pPr>
      <w:r>
        <w:rPr>
          <w:rFonts w:hint="eastAsia"/>
          <w:color w:val="auto"/>
        </w:rPr>
        <w:t>1、不可抗力指因战争、动乱、瘟疫、空中飞行物坠落或其他非双方责任造成的爆炸、火灾以及9级以上的台风、7级及7级以上的地震等。（以当地行业主管部门的公告为准 ）。</w:t>
      </w:r>
    </w:p>
    <w:p>
      <w:pPr>
        <w:pStyle w:val="18"/>
        <w:rPr>
          <w:color w:val="auto"/>
        </w:rPr>
      </w:pPr>
      <w:r>
        <w:rPr>
          <w:rFonts w:hint="eastAsia"/>
          <w:color w:val="auto"/>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18"/>
        <w:rPr>
          <w:color w:val="auto"/>
        </w:rPr>
      </w:pPr>
      <w:r>
        <w:rPr>
          <w:rFonts w:hint="eastAsia"/>
          <w:color w:val="auto"/>
        </w:rPr>
        <w:t>3、费用承担：</w:t>
      </w:r>
    </w:p>
    <w:p>
      <w:pPr>
        <w:pStyle w:val="18"/>
        <w:rPr>
          <w:color w:val="auto"/>
        </w:rPr>
      </w:pPr>
      <w:r>
        <w:rPr>
          <w:rFonts w:hint="eastAsia"/>
          <w:color w:val="auto"/>
        </w:rPr>
        <w:t>3.1、人员伤亡由所属单位负责，并承担相应费用；</w:t>
      </w:r>
    </w:p>
    <w:p>
      <w:pPr>
        <w:pStyle w:val="18"/>
        <w:rPr>
          <w:color w:val="auto"/>
        </w:rPr>
      </w:pPr>
      <w:r>
        <w:rPr>
          <w:rFonts w:hint="eastAsia"/>
          <w:color w:val="auto"/>
        </w:rPr>
        <w:t>3.2、造成乙方工程设备、机械的损失等损失由乙方承担；</w:t>
      </w:r>
    </w:p>
    <w:p>
      <w:pPr>
        <w:pStyle w:val="18"/>
        <w:rPr>
          <w:color w:val="auto"/>
        </w:rPr>
      </w:pPr>
      <w:r>
        <w:rPr>
          <w:rFonts w:hint="eastAsia"/>
          <w:color w:val="auto"/>
        </w:rPr>
        <w:t>3.3、所需清理修复工作的责任与费用的承担，双方另行商定。</w:t>
      </w:r>
    </w:p>
    <w:p>
      <w:pPr>
        <w:pStyle w:val="18"/>
        <w:ind w:firstLine="0" w:firstLineChars="0"/>
        <w:rPr>
          <w:b/>
          <w:bCs/>
          <w:color w:val="auto"/>
        </w:rPr>
      </w:pPr>
      <w:r>
        <w:rPr>
          <w:rFonts w:hint="eastAsia"/>
          <w:b/>
          <w:bCs/>
          <w:color w:val="auto"/>
        </w:rPr>
        <w:t>十八、送达条款</w:t>
      </w:r>
    </w:p>
    <w:p>
      <w:pPr>
        <w:wordWrap/>
        <w:overflowPunct w:val="0"/>
        <w:topLinePunct w:val="0"/>
        <w:autoSpaceDE/>
        <w:spacing w:line="360" w:lineRule="auto"/>
        <w:ind w:firstLine="480" w:firstLineChars="200"/>
        <w:rPr>
          <w:color w:val="auto"/>
        </w:rPr>
      </w:pPr>
      <w:r>
        <w:rPr>
          <w:rFonts w:hint="eastAsia"/>
          <w:color w:val="auto"/>
        </w:rPr>
        <w:t>甲乙双方明确送达信息如下：</w:t>
      </w:r>
    </w:p>
    <w:p>
      <w:pPr>
        <w:wordWrap/>
        <w:overflowPunct w:val="0"/>
        <w:topLinePunct w:val="0"/>
        <w:autoSpaceDE/>
        <w:spacing w:line="360" w:lineRule="auto"/>
        <w:ind w:firstLine="480" w:firstLineChars="200"/>
        <w:rPr>
          <w:color w:val="auto"/>
        </w:rPr>
      </w:pPr>
      <w:r>
        <w:rPr>
          <w:rFonts w:hint="eastAsia"/>
          <w:color w:val="auto"/>
        </w:rPr>
        <w:t>1、甲方确认的送达信息为：</w:t>
      </w:r>
    </w:p>
    <w:p>
      <w:pPr>
        <w:wordWrap/>
        <w:overflowPunct w:val="0"/>
        <w:topLinePunct w:val="0"/>
        <w:autoSpaceDE/>
        <w:spacing w:line="360" w:lineRule="auto"/>
        <w:ind w:left="0" w:leftChars="0"/>
        <w:rPr>
          <w:rFonts w:hint="eastAsia"/>
          <w:color w:val="auto"/>
        </w:rPr>
      </w:pPr>
      <w:r>
        <w:rPr>
          <w:rFonts w:hint="eastAsia"/>
          <w:color w:val="auto"/>
        </w:rPr>
        <w:t xml:space="preserve">送达地址：洛阳市洛龙区关林西路8号中浩德控股集团有限公司 。           </w:t>
      </w:r>
    </w:p>
    <w:p>
      <w:pPr>
        <w:wordWrap/>
        <w:overflowPunct w:val="0"/>
        <w:topLinePunct w:val="0"/>
        <w:autoSpaceDE/>
        <w:spacing w:line="360" w:lineRule="auto"/>
        <w:ind w:left="0" w:leftChars="0"/>
        <w:rPr>
          <w:color w:val="auto"/>
        </w:rPr>
      </w:pPr>
      <w:r>
        <w:rPr>
          <w:rFonts w:hint="eastAsia"/>
          <w:color w:val="auto"/>
        </w:rPr>
        <w:t xml:space="preserve">联系人：成本管理部；联系固话：0379-60667770；联系手机 ：   /   。      </w:t>
      </w:r>
    </w:p>
    <w:p>
      <w:pPr>
        <w:wordWrap/>
        <w:overflowPunct w:val="0"/>
        <w:topLinePunct w:val="0"/>
        <w:autoSpaceDE/>
        <w:spacing w:line="360" w:lineRule="auto"/>
        <w:ind w:firstLine="480" w:firstLineChars="200"/>
        <w:rPr>
          <w:color w:val="auto"/>
        </w:rPr>
      </w:pPr>
      <w:r>
        <w:rPr>
          <w:rFonts w:hint="eastAsia"/>
          <w:color w:val="auto"/>
        </w:rPr>
        <w:t>2、乙方确认的送达信息为：</w:t>
      </w:r>
    </w:p>
    <w:p>
      <w:pPr>
        <w:overflowPunct w:val="0"/>
        <w:spacing w:line="360" w:lineRule="auto"/>
        <w:ind w:firstLine="480" w:firstLineChars="200"/>
        <w:rPr>
          <w:color w:val="auto"/>
        </w:rPr>
      </w:pPr>
      <w:r>
        <w:rPr>
          <w:rFonts w:hint="eastAsia"/>
          <w:color w:val="auto"/>
        </w:rPr>
        <w:t>送达地址：洛阳市洛伊路东宇大厦901室。</w:t>
      </w:r>
    </w:p>
    <w:p>
      <w:pPr>
        <w:pStyle w:val="18"/>
        <w:rPr>
          <w:color w:val="auto"/>
        </w:rPr>
      </w:pPr>
      <w:r>
        <w:rPr>
          <w:rFonts w:hint="eastAsia"/>
          <w:color w:val="auto"/>
        </w:rPr>
        <w:t xml:space="preserve">联系人： </w:t>
      </w:r>
      <w:r>
        <w:rPr>
          <w:rFonts w:hint="eastAsia"/>
          <w:color w:val="auto"/>
          <w:u w:val="single"/>
        </w:rPr>
        <w:t>赵亚红</w:t>
      </w:r>
      <w:r>
        <w:rPr>
          <w:rFonts w:hint="eastAsia"/>
          <w:color w:val="auto"/>
        </w:rPr>
        <w:t>；联系固话：</w:t>
      </w:r>
      <w:r>
        <w:rPr>
          <w:rFonts w:hint="eastAsia"/>
          <w:color w:val="auto"/>
          <w:u w:val="single"/>
        </w:rPr>
        <w:t xml:space="preserve">   /  </w:t>
      </w:r>
      <w:r>
        <w:rPr>
          <w:rFonts w:hint="eastAsia"/>
          <w:color w:val="auto"/>
        </w:rPr>
        <w:t xml:space="preserve">；联系手机 ：13803793942。   </w:t>
      </w:r>
    </w:p>
    <w:p>
      <w:pPr>
        <w:overflowPunct w:val="0"/>
        <w:spacing w:line="360" w:lineRule="auto"/>
        <w:ind w:firstLine="480" w:firstLineChars="200"/>
        <w:rPr>
          <w:color w:val="auto"/>
        </w:rPr>
      </w:pPr>
      <w:r>
        <w:rPr>
          <w:rFonts w:hint="eastAsia"/>
          <w:color w:val="auto"/>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18"/>
        <w:ind w:firstLine="0" w:firstLineChars="0"/>
        <w:rPr>
          <w:b/>
          <w:bCs/>
          <w:color w:val="auto"/>
        </w:rPr>
      </w:pPr>
      <w:r>
        <w:rPr>
          <w:rFonts w:hint="eastAsia"/>
          <w:b/>
          <w:bCs/>
          <w:color w:val="auto"/>
        </w:rPr>
        <w:t>十九、合同解约条款</w:t>
      </w:r>
    </w:p>
    <w:p>
      <w:pPr>
        <w:overflowPunct w:val="0"/>
        <w:spacing w:line="360" w:lineRule="auto"/>
        <w:ind w:firstLine="480" w:firstLineChars="200"/>
        <w:rPr>
          <w:color w:val="auto"/>
        </w:rPr>
      </w:pPr>
      <w:r>
        <w:rPr>
          <w:rFonts w:hint="eastAsia"/>
          <w:color w:val="auto"/>
        </w:rPr>
        <w:t>1、乙方存在如下任一情况的，甲方有权要求乙方按照合同总价的20%支付违约金（本合同另有约定时除外），且有权解除本合同，解除通知到达乙方之日生效，该违约金不足以弥补甲方损失，乙方还应继续承担赔偿责任。</w:t>
      </w:r>
    </w:p>
    <w:p>
      <w:pPr>
        <w:overflowPunct w:val="0"/>
        <w:spacing w:line="360" w:lineRule="auto"/>
        <w:ind w:firstLine="480" w:firstLineChars="200"/>
        <w:rPr>
          <w:color w:val="auto"/>
        </w:rPr>
      </w:pPr>
      <w:r>
        <w:rPr>
          <w:rFonts w:hint="eastAsia"/>
          <w:color w:val="auto"/>
        </w:rPr>
        <w:t>1.1、本工程不能通过验收的；</w:t>
      </w:r>
    </w:p>
    <w:p>
      <w:pPr>
        <w:overflowPunct w:val="0"/>
        <w:spacing w:line="360" w:lineRule="auto"/>
        <w:ind w:firstLine="480" w:firstLineChars="200"/>
        <w:rPr>
          <w:color w:val="auto"/>
        </w:rPr>
      </w:pPr>
      <w:r>
        <w:rPr>
          <w:rFonts w:hint="eastAsia"/>
          <w:color w:val="auto"/>
        </w:rPr>
        <w:t>1.2、乙方未能按时进场施工的，在甲方发出书面通知后的5日内仍未进场施工的；</w:t>
      </w:r>
    </w:p>
    <w:p>
      <w:pPr>
        <w:overflowPunct w:val="0"/>
        <w:spacing w:line="360" w:lineRule="auto"/>
        <w:ind w:firstLine="480" w:firstLineChars="200"/>
        <w:rPr>
          <w:color w:val="auto"/>
        </w:rPr>
      </w:pPr>
      <w:r>
        <w:rPr>
          <w:rFonts w:hint="eastAsia"/>
          <w:color w:val="auto"/>
        </w:rPr>
        <w:t>1.3、乙方在施工过程中非因不可抗力或甲方原因造成连续停工7日以上或累计达7日的；</w:t>
      </w:r>
    </w:p>
    <w:p>
      <w:pPr>
        <w:overflowPunct w:val="0"/>
        <w:spacing w:line="360" w:lineRule="auto"/>
        <w:ind w:firstLine="480" w:firstLineChars="200"/>
        <w:rPr>
          <w:color w:val="auto"/>
        </w:rPr>
      </w:pPr>
      <w:r>
        <w:rPr>
          <w:rFonts w:hint="eastAsia"/>
          <w:color w:val="auto"/>
        </w:rPr>
        <w:t>1.4、乙方逾期竣工、向甲方提交竣工结算书及完整的竣工结算资料、核对工程价款或其他逾期行为达7日及以上的；</w:t>
      </w:r>
    </w:p>
    <w:p>
      <w:pPr>
        <w:overflowPunct w:val="0"/>
        <w:spacing w:line="360" w:lineRule="auto"/>
        <w:ind w:firstLine="480" w:firstLineChars="200"/>
        <w:rPr>
          <w:color w:val="auto"/>
        </w:rPr>
      </w:pPr>
      <w:r>
        <w:rPr>
          <w:rFonts w:hint="eastAsia"/>
          <w:color w:val="auto"/>
        </w:rPr>
        <w:t>1.5、乙方人员在施工区内出现打架斗殴行为至警察出警、立案、相关行为人收到行政处罚或刑事处罚的；</w:t>
      </w:r>
    </w:p>
    <w:p>
      <w:pPr>
        <w:overflowPunct w:val="0"/>
        <w:spacing w:line="360" w:lineRule="auto"/>
        <w:ind w:firstLine="480" w:firstLineChars="200"/>
        <w:rPr>
          <w:color w:val="auto"/>
        </w:rPr>
      </w:pPr>
      <w:r>
        <w:rPr>
          <w:rFonts w:hint="eastAsia"/>
          <w:color w:val="auto"/>
        </w:rPr>
        <w:t>1.6、乙方擅自把工程分包或转包给其他任何单位的；</w:t>
      </w:r>
    </w:p>
    <w:p>
      <w:pPr>
        <w:overflowPunct w:val="0"/>
        <w:spacing w:line="360" w:lineRule="auto"/>
        <w:ind w:firstLine="480" w:firstLineChars="200"/>
        <w:rPr>
          <w:color w:val="auto"/>
        </w:rPr>
      </w:pPr>
      <w:r>
        <w:rPr>
          <w:rFonts w:hint="eastAsia"/>
          <w:color w:val="auto"/>
        </w:rPr>
        <w:t>1.7、乙方与甲方工作人员串通、虚构事实或使用其他方式虚报工程量的；</w:t>
      </w:r>
    </w:p>
    <w:p>
      <w:pPr>
        <w:overflowPunct w:val="0"/>
        <w:spacing w:line="360" w:lineRule="auto"/>
        <w:ind w:firstLine="480" w:firstLineChars="200"/>
        <w:rPr>
          <w:color w:val="auto"/>
        </w:rPr>
      </w:pPr>
      <w:r>
        <w:rPr>
          <w:rFonts w:hint="eastAsia"/>
          <w:color w:val="auto"/>
        </w:rPr>
        <w:t>1.8、甲方或监理方对同一施工问题连续下发三次整改通知书后乙方无作为或整改问题未在整改通知书要求的期限内解决；</w:t>
      </w:r>
    </w:p>
    <w:p>
      <w:pPr>
        <w:overflowPunct w:val="0"/>
        <w:spacing w:line="360" w:lineRule="auto"/>
        <w:ind w:firstLine="480" w:firstLineChars="200"/>
        <w:rPr>
          <w:color w:val="auto"/>
        </w:rPr>
      </w:pPr>
      <w:r>
        <w:rPr>
          <w:rFonts w:hint="eastAsia"/>
          <w:color w:val="auto"/>
        </w:rPr>
        <w:t>1.9、乙方购置不符合合同约定的品牌、厂家、产地、材质、工艺、规格、型号等标准的产品或者假冒伪劣产品用于本工程；</w:t>
      </w:r>
    </w:p>
    <w:p>
      <w:pPr>
        <w:overflowPunct w:val="0"/>
        <w:spacing w:line="360" w:lineRule="auto"/>
        <w:ind w:firstLine="480" w:firstLineChars="200"/>
        <w:rPr>
          <w:color w:val="auto"/>
        </w:rPr>
      </w:pPr>
      <w:r>
        <w:rPr>
          <w:rFonts w:hint="eastAsia"/>
          <w:color w:val="auto"/>
          <w:szCs w:val="24"/>
        </w:rPr>
        <w:t>1.10、</w:t>
      </w:r>
      <w:r>
        <w:rPr>
          <w:rFonts w:hint="eastAsia"/>
          <w:color w:val="auto"/>
        </w:rPr>
        <w:t>乙方存在其他违约行为，经甲方书面通知之日7日内仍未纠正的。</w:t>
      </w:r>
    </w:p>
    <w:p>
      <w:pPr>
        <w:overflowPunct w:val="0"/>
        <w:spacing w:line="360" w:lineRule="auto"/>
        <w:ind w:firstLine="480" w:firstLineChars="200"/>
        <w:rPr>
          <w:color w:val="auto"/>
        </w:rPr>
      </w:pPr>
      <w:r>
        <w:rPr>
          <w:rFonts w:hint="eastAsia"/>
          <w:color w:val="auto"/>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val="0"/>
        <w:spacing w:line="360" w:lineRule="auto"/>
        <w:ind w:firstLine="480" w:firstLineChars="200"/>
        <w:rPr>
          <w:color w:val="auto"/>
        </w:rPr>
      </w:pPr>
      <w:r>
        <w:rPr>
          <w:rFonts w:hint="eastAsia"/>
          <w:color w:val="auto"/>
        </w:rPr>
        <w:t>3、如合同解约甲方有权委托其他公司进行施工。</w:t>
      </w:r>
    </w:p>
    <w:p>
      <w:pPr>
        <w:pStyle w:val="18"/>
        <w:ind w:firstLine="0" w:firstLineChars="0"/>
        <w:rPr>
          <w:b/>
          <w:bCs/>
          <w:color w:val="auto"/>
        </w:rPr>
      </w:pPr>
      <w:r>
        <w:rPr>
          <w:rFonts w:hint="eastAsia"/>
          <w:b/>
          <w:bCs/>
          <w:color w:val="auto"/>
        </w:rPr>
        <w:t>二十、争议的解决</w:t>
      </w:r>
    </w:p>
    <w:p>
      <w:pPr>
        <w:wordWrap/>
        <w:overflowPunct w:val="0"/>
        <w:topLinePunct w:val="0"/>
        <w:autoSpaceDE/>
        <w:spacing w:line="360" w:lineRule="auto"/>
        <w:ind w:firstLine="480" w:firstLineChars="200"/>
        <w:rPr>
          <w:b/>
          <w:color w:val="auto"/>
        </w:rPr>
      </w:pPr>
      <w:r>
        <w:rPr>
          <w:rFonts w:hint="eastAsia"/>
          <w:color w:val="auto"/>
        </w:rPr>
        <w:t>本合同履行过程中发生争议或纠纷的，由当事人双方协商解决。协商不成时，双方同意向合同签约地人民法院提起诉讼。</w:t>
      </w:r>
    </w:p>
    <w:p>
      <w:pPr>
        <w:pStyle w:val="18"/>
        <w:ind w:firstLine="0" w:firstLineChars="0"/>
        <w:rPr>
          <w:b/>
          <w:bCs/>
          <w:color w:val="auto"/>
        </w:rPr>
      </w:pPr>
      <w:r>
        <w:rPr>
          <w:rFonts w:hint="eastAsia"/>
          <w:b/>
          <w:bCs/>
          <w:color w:val="auto"/>
        </w:rPr>
        <w:t>二十一、其他</w:t>
      </w:r>
    </w:p>
    <w:p>
      <w:pPr>
        <w:wordWrap/>
        <w:overflowPunct w:val="0"/>
        <w:topLinePunct w:val="0"/>
        <w:autoSpaceDE/>
        <w:spacing w:line="360" w:lineRule="auto"/>
        <w:ind w:firstLine="480" w:firstLineChars="200"/>
        <w:rPr>
          <w:color w:val="auto"/>
        </w:rPr>
      </w:pPr>
      <w:r>
        <w:rPr>
          <w:rFonts w:hint="eastAsia"/>
          <w:color w:val="auto"/>
        </w:rPr>
        <w:t>1、本合同未尽事宜双方协商解决或另签补充协议，补充协议与本合同具有同等法律效力。</w:t>
      </w:r>
    </w:p>
    <w:p>
      <w:pPr>
        <w:wordWrap/>
        <w:overflowPunct w:val="0"/>
        <w:topLinePunct w:val="0"/>
        <w:autoSpaceDE/>
        <w:spacing w:line="360" w:lineRule="auto"/>
        <w:ind w:firstLine="480" w:firstLineChars="200"/>
        <w:rPr>
          <w:color w:val="auto"/>
        </w:rPr>
      </w:pPr>
      <w:r>
        <w:rPr>
          <w:rFonts w:hint="eastAsia"/>
          <w:color w:val="auto"/>
        </w:rPr>
        <w:t>2、本合同一式柒份，甲方伍份，乙方贰份，均具有同等法律效力。</w:t>
      </w:r>
    </w:p>
    <w:p>
      <w:pPr>
        <w:wordWrap/>
        <w:overflowPunct w:val="0"/>
        <w:topLinePunct w:val="0"/>
        <w:autoSpaceDE/>
        <w:spacing w:line="360" w:lineRule="auto"/>
        <w:ind w:firstLine="480" w:firstLineChars="200"/>
        <w:rPr>
          <w:color w:val="auto"/>
        </w:rPr>
      </w:pPr>
      <w:r>
        <w:rPr>
          <w:rFonts w:hint="eastAsia"/>
          <w:color w:val="auto"/>
        </w:rPr>
        <w:t>3、本合同及其补充协议自双方盖章之日起生效。</w:t>
      </w:r>
    </w:p>
    <w:p>
      <w:pPr>
        <w:pStyle w:val="18"/>
        <w:rPr>
          <w:color w:val="auto"/>
        </w:rPr>
      </w:pPr>
      <w:r>
        <w:rPr>
          <w:rFonts w:hint="eastAsia"/>
          <w:color w:val="auto"/>
        </w:rPr>
        <w:t xml:space="preserve">4、合同签订地点：洛阳市洛龙区。 </w:t>
      </w:r>
    </w:p>
    <w:p>
      <w:pPr>
        <w:pStyle w:val="18"/>
        <w:ind w:firstLine="0" w:firstLineChars="0"/>
        <w:rPr>
          <w:color w:val="auto"/>
        </w:rPr>
      </w:pPr>
      <w:r>
        <w:rPr>
          <w:rFonts w:hint="eastAsia"/>
          <w:b/>
          <w:bCs/>
          <w:color w:val="auto"/>
        </w:rPr>
        <w:t>二十二、合同附件</w:t>
      </w:r>
    </w:p>
    <w:p>
      <w:pPr>
        <w:overflowPunct w:val="0"/>
        <w:spacing w:line="360" w:lineRule="auto"/>
        <w:ind w:firstLine="480" w:firstLineChars="200"/>
        <w:rPr>
          <w:color w:val="auto"/>
        </w:rPr>
      </w:pPr>
      <w:r>
        <w:rPr>
          <w:rFonts w:hint="eastAsia"/>
          <w:color w:val="auto"/>
        </w:rPr>
        <w:t>1、合同附件一、《廉政合作协议》</w:t>
      </w:r>
    </w:p>
    <w:p>
      <w:pPr>
        <w:overflowPunct w:val="0"/>
        <w:spacing w:line="360" w:lineRule="auto"/>
        <w:ind w:firstLine="480" w:firstLineChars="200"/>
        <w:rPr>
          <w:color w:val="auto"/>
        </w:rPr>
      </w:pPr>
      <w:r>
        <w:rPr>
          <w:rFonts w:hint="eastAsia"/>
          <w:color w:val="auto"/>
        </w:rPr>
        <w:t>2、合同附件二、《乙方派驻本工程人员名单表》</w:t>
      </w:r>
    </w:p>
    <w:p>
      <w:pPr>
        <w:overflowPunct w:val="0"/>
        <w:spacing w:line="360" w:lineRule="auto"/>
        <w:ind w:firstLine="480" w:firstLineChars="200"/>
        <w:rPr>
          <w:color w:val="auto"/>
        </w:rPr>
      </w:pPr>
      <w:r>
        <w:rPr>
          <w:rFonts w:hint="eastAsia"/>
          <w:color w:val="auto"/>
        </w:rPr>
        <w:t>3、合同附件三、《材料品牌表》</w:t>
      </w:r>
    </w:p>
    <w:p>
      <w:pPr>
        <w:overflowPunct w:val="0"/>
        <w:ind w:firstLine="480" w:firstLineChars="200"/>
        <w:rPr>
          <w:color w:val="auto"/>
        </w:rPr>
      </w:pPr>
      <w:r>
        <w:rPr>
          <w:rFonts w:hint="eastAsia"/>
          <w:color w:val="auto"/>
        </w:rPr>
        <w:t>4、合同附件四、《装修工程外观验收标准》</w:t>
      </w:r>
    </w:p>
    <w:p>
      <w:pPr>
        <w:overflowPunct w:val="0"/>
        <w:spacing w:line="360" w:lineRule="auto"/>
        <w:ind w:firstLine="480" w:firstLineChars="200"/>
        <w:rPr>
          <w:color w:val="auto"/>
        </w:rPr>
      </w:pPr>
      <w:r>
        <w:rPr>
          <w:rFonts w:hint="eastAsia"/>
          <w:color w:val="auto"/>
        </w:rPr>
        <w:t>5、合同附件五、《工程完工清洁移交标准》</w:t>
      </w:r>
    </w:p>
    <w:p>
      <w:pPr>
        <w:overflowPunct w:val="0"/>
        <w:spacing w:line="360" w:lineRule="auto"/>
        <w:ind w:firstLine="480" w:firstLineChars="200"/>
        <w:rPr>
          <w:color w:val="auto"/>
        </w:rPr>
      </w:pPr>
      <w:r>
        <w:rPr>
          <w:rFonts w:hint="eastAsia"/>
          <w:color w:val="auto"/>
        </w:rPr>
        <w:t>6、合同附件六、《成品保护标准》</w:t>
      </w:r>
    </w:p>
    <w:p>
      <w:pPr>
        <w:overflowPunct w:val="0"/>
        <w:spacing w:line="360" w:lineRule="auto"/>
        <w:ind w:firstLine="480" w:firstLineChars="200"/>
        <w:rPr>
          <w:color w:val="auto"/>
        </w:rPr>
      </w:pPr>
      <w:r>
        <w:rPr>
          <w:rFonts w:hint="eastAsia"/>
          <w:color w:val="auto"/>
        </w:rPr>
        <w:t>7、合同附件七、《价格清单》（单独打印后附装订）</w:t>
      </w:r>
    </w:p>
    <w:p>
      <w:pPr>
        <w:overflowPunct w:val="0"/>
        <w:rPr>
          <w:bCs/>
          <w:color w:val="auto"/>
          <w:szCs w:val="24"/>
        </w:rPr>
      </w:pPr>
      <w:r>
        <w:rPr>
          <w:rFonts w:hint="eastAsia"/>
          <w:color w:val="auto"/>
        </w:rPr>
        <w:t>（以下无正文）</w:t>
      </w:r>
    </w:p>
    <w:p>
      <w:pPr>
        <w:overflowPunct w:val="0"/>
        <w:spacing w:line="360" w:lineRule="auto"/>
        <w:ind w:firstLine="480" w:firstLineChars="200"/>
        <w:rPr>
          <w:color w:val="auto"/>
        </w:rPr>
      </w:pPr>
      <w:r>
        <w:rPr>
          <w:rFonts w:hint="eastAsia"/>
          <w:bCs/>
          <w:color w:val="auto"/>
        </w:rPr>
        <w:t>甲方：（盖章）</w:t>
      </w:r>
      <w:r>
        <w:rPr>
          <w:rFonts w:hint="eastAsia"/>
          <w:color w:val="auto"/>
        </w:rPr>
        <w:t xml:space="preserve">                     </w:t>
      </w:r>
      <w:r>
        <w:rPr>
          <w:rFonts w:hint="eastAsia"/>
          <w:bCs/>
          <w:color w:val="auto"/>
        </w:rPr>
        <w:t>乙方：（盖章）</w:t>
      </w:r>
    </w:p>
    <w:p>
      <w:pPr>
        <w:overflowPunct w:val="0"/>
        <w:spacing w:line="360" w:lineRule="auto"/>
        <w:ind w:firstLine="480" w:firstLineChars="200"/>
        <w:jc w:val="both"/>
        <w:rPr>
          <w:color w:val="auto"/>
        </w:rPr>
      </w:pPr>
      <w:r>
        <w:rPr>
          <w:rFonts w:hint="eastAsia"/>
          <w:color w:val="auto"/>
        </w:rPr>
        <w:t xml:space="preserve">洛阳浩德鑫置地有限公司             洛阳卓资建筑工程有限公司          </w:t>
      </w:r>
    </w:p>
    <w:p>
      <w:pPr>
        <w:overflowPunct w:val="0"/>
        <w:spacing w:line="360" w:lineRule="auto"/>
        <w:ind w:firstLine="480" w:firstLineChars="200"/>
        <w:rPr>
          <w:color w:val="auto"/>
        </w:rPr>
      </w:pPr>
      <w:r>
        <w:rPr>
          <w:rFonts w:hint="eastAsia"/>
          <w:color w:val="auto"/>
        </w:rPr>
        <w:t>法定代表人：                       法定代表人：</w:t>
      </w:r>
    </w:p>
    <w:p>
      <w:pPr>
        <w:overflowPunct w:val="0"/>
        <w:spacing w:line="360" w:lineRule="auto"/>
        <w:ind w:firstLine="480" w:firstLineChars="200"/>
        <w:rPr>
          <w:color w:val="auto"/>
        </w:rPr>
      </w:pPr>
      <w:r>
        <w:rPr>
          <w:rFonts w:hint="eastAsia"/>
          <w:color w:val="auto"/>
        </w:rPr>
        <w:t>委托代理人：                       委托代理人：</w:t>
      </w:r>
    </w:p>
    <w:p>
      <w:pPr>
        <w:overflowPunct w:val="0"/>
        <w:spacing w:line="360" w:lineRule="auto"/>
        <w:ind w:firstLine="480" w:firstLineChars="200"/>
        <w:rPr>
          <w:color w:val="auto"/>
        </w:rPr>
      </w:pPr>
      <w:r>
        <w:rPr>
          <w:rFonts w:hint="eastAsia"/>
          <w:color w:val="auto"/>
        </w:rPr>
        <w:t xml:space="preserve">纳税人识别号：914103005542480325    纳税人识别号：91410300MA40MJ671Y </w:t>
      </w:r>
    </w:p>
    <w:p>
      <w:pPr>
        <w:overflowPunct w:val="0"/>
        <w:spacing w:line="360" w:lineRule="auto"/>
        <w:ind w:firstLine="480" w:firstLineChars="200"/>
        <w:rPr>
          <w:color w:val="auto"/>
        </w:rPr>
      </w:pPr>
      <w:r>
        <w:rPr>
          <w:rFonts w:hint="eastAsia"/>
          <w:color w:val="auto"/>
        </w:rPr>
        <w:t>开户行：</w:t>
      </w:r>
      <w:r>
        <w:rPr>
          <w:rFonts w:hint="eastAsia"/>
          <w:color w:val="auto"/>
          <w:kern w:val="0"/>
        </w:rPr>
        <w:t>交行洛阳分行西苑支行</w:t>
      </w:r>
      <w:r>
        <w:rPr>
          <w:rFonts w:hint="eastAsia"/>
          <w:color w:val="auto"/>
        </w:rPr>
        <w:t xml:space="preserve">         开户行：中国建设银行洛阳华山路支行</w:t>
      </w:r>
    </w:p>
    <w:p>
      <w:pPr>
        <w:pStyle w:val="2"/>
        <w:overflowPunct w:val="0"/>
        <w:ind w:firstLine="480" w:firstLineChars="200"/>
        <w:rPr>
          <w:b w:val="0"/>
          <w:bCs/>
          <w:color w:val="auto"/>
        </w:rPr>
      </w:pPr>
      <w:r>
        <w:rPr>
          <w:rFonts w:hint="eastAsia" w:hAnsi="宋体" w:cs="宋体"/>
          <w:b w:val="0"/>
          <w:bCs/>
          <w:color w:val="auto"/>
          <w:szCs w:val="24"/>
        </w:rPr>
        <w:t>账号：413062200018170292470          账号：41050168630800000336</w:t>
      </w:r>
    </w:p>
    <w:p>
      <w:pPr>
        <w:wordWrap/>
        <w:overflowPunct w:val="0"/>
        <w:topLinePunct w:val="0"/>
        <w:autoSpaceDE/>
        <w:ind w:firstLine="480" w:firstLineChars="200"/>
        <w:rPr>
          <w:b/>
          <w:color w:val="auto"/>
        </w:rPr>
      </w:pPr>
      <w:r>
        <w:rPr>
          <w:rFonts w:hint="eastAsia"/>
          <w:color w:val="auto"/>
        </w:rPr>
        <w:t>签订日期：</w:t>
      </w:r>
      <w:r>
        <w:rPr>
          <w:rFonts w:hint="eastAsia"/>
          <w:color w:val="auto"/>
          <w:u w:val="single"/>
        </w:rPr>
        <w:t>2024</w:t>
      </w:r>
      <w:r>
        <w:rPr>
          <w:rFonts w:hint="eastAsia"/>
          <w:color w:val="auto"/>
        </w:rPr>
        <w:t>年</w:t>
      </w:r>
      <w:r>
        <w:rPr>
          <w:rFonts w:hint="eastAsia"/>
          <w:color w:val="auto"/>
          <w:u w:val="single"/>
        </w:rPr>
        <w:t>3月</w:t>
      </w:r>
      <w:r>
        <w:rPr>
          <w:rFonts w:hint="eastAsia"/>
          <w:color w:val="auto"/>
        </w:rPr>
        <w:t xml:space="preserve">  </w:t>
      </w:r>
      <w:r>
        <w:rPr>
          <w:rFonts w:hint="eastAsia"/>
          <w:color w:val="auto"/>
          <w:u w:val="single"/>
        </w:rPr>
        <w:t xml:space="preserve"> </w:t>
      </w:r>
      <w:r>
        <w:rPr>
          <w:rFonts w:hint="eastAsia"/>
          <w:color w:val="auto"/>
        </w:rPr>
        <w:t>日            签订日期：</w:t>
      </w:r>
      <w:r>
        <w:rPr>
          <w:rFonts w:hint="eastAsia"/>
          <w:color w:val="auto"/>
          <w:u w:val="single"/>
        </w:rPr>
        <w:t>2024</w:t>
      </w:r>
      <w:r>
        <w:rPr>
          <w:rFonts w:hint="eastAsia"/>
          <w:color w:val="auto"/>
        </w:rPr>
        <w:t>年</w:t>
      </w:r>
      <w:r>
        <w:rPr>
          <w:rFonts w:hint="eastAsia"/>
          <w:color w:val="auto"/>
          <w:u w:val="single"/>
        </w:rPr>
        <w:t>3</w:t>
      </w:r>
      <w:r>
        <w:rPr>
          <w:rFonts w:hint="eastAsia"/>
          <w:color w:val="auto"/>
        </w:rPr>
        <w:t>月</w:t>
      </w:r>
      <w:r>
        <w:rPr>
          <w:rFonts w:hint="eastAsia"/>
          <w:color w:val="auto"/>
          <w:u w:val="single"/>
        </w:rPr>
        <w:t xml:space="preserve"> </w:t>
      </w:r>
      <w:r>
        <w:rPr>
          <w:rFonts w:hint="eastAsia"/>
          <w:color w:val="auto"/>
        </w:rPr>
        <w:t>日</w:t>
      </w:r>
    </w:p>
    <w:p>
      <w:pPr>
        <w:overflowPunct w:val="0"/>
        <w:spacing w:line="360" w:lineRule="auto"/>
        <w:ind w:firstLine="480"/>
        <w:rPr>
          <w:color w:val="auto"/>
        </w:rPr>
      </w:pPr>
    </w:p>
    <w:p>
      <w:pPr>
        <w:overflowPunct w:val="0"/>
        <w:spacing w:line="360" w:lineRule="auto"/>
        <w:ind w:firstLine="0" w:firstLineChars="0"/>
        <w:rPr>
          <w:color w:val="auto"/>
        </w:rPr>
      </w:pPr>
    </w:p>
    <w:p>
      <w:pPr>
        <w:overflowPunct w:val="0"/>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overflowPunct w:val="0"/>
        <w:spacing w:line="360" w:lineRule="auto"/>
        <w:ind w:firstLine="0" w:firstLineChars="0"/>
        <w:rPr>
          <w:color w:val="auto"/>
        </w:rPr>
      </w:pPr>
      <w:r>
        <w:rPr>
          <w:rFonts w:hint="eastAsia"/>
          <w:color w:val="auto"/>
        </w:rPr>
        <w:t>附件一、廉政合作协议</w:t>
      </w:r>
    </w:p>
    <w:p>
      <w:pPr>
        <w:overflowPunct w:val="0"/>
        <w:spacing w:line="360" w:lineRule="auto"/>
        <w:ind w:firstLine="3200" w:firstLineChars="1000"/>
        <w:jc w:val="both"/>
        <w:rPr>
          <w:color w:val="auto"/>
          <w:sz w:val="32"/>
          <w:szCs w:val="32"/>
          <w:lang w:val="zh-CN"/>
        </w:rPr>
      </w:pPr>
      <w:r>
        <w:rPr>
          <w:rFonts w:hint="eastAsia"/>
          <w:color w:val="auto"/>
          <w:sz w:val="32"/>
          <w:szCs w:val="32"/>
          <w:lang w:val="zh-CN"/>
        </w:rPr>
        <w:t>廉政合作协议</w:t>
      </w:r>
    </w:p>
    <w:p>
      <w:pPr>
        <w:overflowPunct w:val="0"/>
        <w:spacing w:line="360" w:lineRule="auto"/>
        <w:ind w:firstLine="482"/>
        <w:rPr>
          <w:b/>
          <w:color w:val="auto"/>
        </w:rPr>
      </w:pPr>
      <w:r>
        <w:rPr>
          <w:rFonts w:hint="eastAsia"/>
          <w:b/>
          <w:color w:val="auto"/>
        </w:rPr>
        <w:t>甲方：</w:t>
      </w:r>
      <w:r>
        <w:rPr>
          <w:rFonts w:hint="eastAsia"/>
          <w:color w:val="auto"/>
        </w:rPr>
        <w:t>洛阳浩德鑫置地有限公司</w:t>
      </w:r>
    </w:p>
    <w:p>
      <w:pPr>
        <w:overflowPunct w:val="0"/>
        <w:spacing w:line="360" w:lineRule="auto"/>
        <w:ind w:firstLine="482"/>
        <w:rPr>
          <w:color w:val="auto"/>
        </w:rPr>
      </w:pPr>
      <w:r>
        <w:rPr>
          <w:rFonts w:hint="eastAsia"/>
          <w:b/>
          <w:color w:val="auto"/>
        </w:rPr>
        <w:t>乙方：</w:t>
      </w:r>
      <w:r>
        <w:rPr>
          <w:rFonts w:hint="eastAsia"/>
          <w:color w:val="auto"/>
        </w:rPr>
        <w:t>洛阳卓资建筑工程有限公司</w:t>
      </w:r>
    </w:p>
    <w:p>
      <w:pPr>
        <w:overflowPunct w:val="0"/>
        <w:spacing w:line="360" w:lineRule="auto"/>
        <w:ind w:firstLine="480" w:firstLineChars="200"/>
        <w:rPr>
          <w:color w:val="auto"/>
        </w:rPr>
      </w:pPr>
      <w:r>
        <w:rPr>
          <w:rFonts w:hint="eastAsia"/>
          <w:color w:val="auto"/>
        </w:rPr>
        <w:t>为加强工程项目建设期间的廉政管理，确保项目高效优质按期竣工，甲、乙双方经协商签订本协议并作为双方共同遵守的廉政行为准则。</w:t>
      </w:r>
    </w:p>
    <w:p>
      <w:pPr>
        <w:overflowPunct w:val="0"/>
        <w:spacing w:line="360" w:lineRule="auto"/>
        <w:ind w:firstLine="480" w:firstLineChars="200"/>
        <w:rPr>
          <w:color w:val="auto"/>
        </w:rPr>
      </w:pPr>
      <w:r>
        <w:rPr>
          <w:rFonts w:hint="eastAsia"/>
          <w:color w:val="auto"/>
        </w:rPr>
        <w:t>一．甲方责任</w:t>
      </w:r>
    </w:p>
    <w:p>
      <w:pPr>
        <w:overflowPunct w:val="0"/>
        <w:spacing w:line="360" w:lineRule="auto"/>
        <w:ind w:firstLine="480" w:firstLineChars="200"/>
        <w:rPr>
          <w:color w:val="auto"/>
        </w:rPr>
      </w:pPr>
      <w:r>
        <w:rPr>
          <w:rFonts w:hint="eastAsia"/>
          <w:color w:val="auto"/>
        </w:rPr>
        <w:t>1．甲方有责任向乙方介绍本单位有关廉政管理的各项制度和规定。</w:t>
      </w:r>
    </w:p>
    <w:p>
      <w:pPr>
        <w:overflowPunct w:val="0"/>
        <w:spacing w:line="360" w:lineRule="auto"/>
        <w:ind w:firstLine="480" w:firstLineChars="200"/>
        <w:rPr>
          <w:color w:val="auto"/>
        </w:rPr>
      </w:pPr>
      <w:r>
        <w:rPr>
          <w:rFonts w:hint="eastAsia"/>
          <w:color w:val="auto"/>
        </w:rPr>
        <w:t>2．甲方有责任对本单位项目管理人员进行廉政教育。</w:t>
      </w:r>
    </w:p>
    <w:p>
      <w:pPr>
        <w:overflowPunct w:val="0"/>
        <w:spacing w:line="360" w:lineRule="auto"/>
        <w:ind w:firstLine="480" w:firstLineChars="200"/>
        <w:rPr>
          <w:color w:val="auto"/>
        </w:rPr>
      </w:pPr>
      <w:r>
        <w:rPr>
          <w:rFonts w:hint="eastAsia"/>
          <w:color w:val="auto"/>
        </w:rPr>
        <w:t>3．甲方人员应严格遵守本单位有关廉政管理的规定，不得接受乙方的宴请，不得接受任何形式的实物、现金或礼券。</w:t>
      </w:r>
    </w:p>
    <w:p>
      <w:pPr>
        <w:overflowPunct w:val="0"/>
        <w:spacing w:line="360" w:lineRule="auto"/>
        <w:ind w:firstLine="480" w:firstLineChars="200"/>
        <w:rPr>
          <w:color w:val="auto"/>
        </w:rPr>
      </w:pPr>
      <w:r>
        <w:rPr>
          <w:rFonts w:hint="eastAsia"/>
          <w:color w:val="auto"/>
        </w:rPr>
        <w:t>4．甲方在项目建设期间发现甲方人员任何形式的索贿受贿行为，均应及时采取措施予以制止，并及时通报乙方单位领导。</w:t>
      </w:r>
    </w:p>
    <w:p>
      <w:pPr>
        <w:overflowPunct w:val="0"/>
        <w:spacing w:line="360" w:lineRule="auto"/>
        <w:ind w:firstLine="480" w:firstLineChars="200"/>
        <w:rPr>
          <w:color w:val="auto"/>
        </w:rPr>
      </w:pPr>
      <w:r>
        <w:rPr>
          <w:rFonts w:hint="eastAsia"/>
          <w:color w:val="auto"/>
        </w:rPr>
        <w:t>5．甲方人员如违反廉政管理制度及本协议规定，甲方应视情节轻重、影响大小给予处罚。</w:t>
      </w:r>
    </w:p>
    <w:p>
      <w:pPr>
        <w:overflowPunct w:val="0"/>
        <w:spacing w:line="360" w:lineRule="auto"/>
        <w:ind w:firstLine="480" w:firstLineChars="200"/>
        <w:rPr>
          <w:color w:val="auto"/>
        </w:rPr>
      </w:pPr>
      <w:r>
        <w:rPr>
          <w:rFonts w:hint="eastAsia"/>
          <w:color w:val="auto"/>
        </w:rPr>
        <w:t>6．对于乙方举报甲方人员违反廉政规定的情况，甲方应及时进行调查，根据调查情况进行处理。</w:t>
      </w:r>
    </w:p>
    <w:p>
      <w:pPr>
        <w:overflowPunct w:val="0"/>
        <w:spacing w:line="360" w:lineRule="auto"/>
        <w:ind w:firstLine="480" w:firstLineChars="200"/>
        <w:rPr>
          <w:color w:val="auto"/>
        </w:rPr>
      </w:pPr>
      <w:r>
        <w:rPr>
          <w:rFonts w:hint="eastAsia"/>
          <w:color w:val="auto"/>
        </w:rPr>
        <w:t>二．乙方责任</w:t>
      </w:r>
    </w:p>
    <w:p>
      <w:pPr>
        <w:overflowPunct w:val="0"/>
        <w:spacing w:line="360" w:lineRule="auto"/>
        <w:ind w:firstLine="480" w:firstLineChars="200"/>
        <w:rPr>
          <w:color w:val="auto"/>
        </w:rPr>
      </w:pPr>
      <w:r>
        <w:rPr>
          <w:rFonts w:hint="eastAsia"/>
          <w:color w:val="auto"/>
        </w:rPr>
        <w:t>1．乙方应保证乙方有关人员了解甲方有关廉政管理的各项制度及本协议的规定，并遵照执行。</w:t>
      </w:r>
    </w:p>
    <w:p>
      <w:pPr>
        <w:overflowPunct w:val="0"/>
        <w:spacing w:line="360" w:lineRule="auto"/>
        <w:ind w:firstLine="480" w:firstLineChars="200"/>
        <w:rPr>
          <w:color w:val="auto"/>
        </w:rPr>
      </w:pPr>
      <w:r>
        <w:rPr>
          <w:rFonts w:hint="eastAsia"/>
          <w:color w:val="auto"/>
        </w:rPr>
        <w:t>2．乙方不得宴请甲方人员，不得以任何形式赠送实物、现金或礼券。</w:t>
      </w:r>
    </w:p>
    <w:p>
      <w:pPr>
        <w:overflowPunct w:val="0"/>
        <w:spacing w:line="360" w:lineRule="auto"/>
        <w:ind w:firstLine="480" w:firstLineChars="200"/>
        <w:rPr>
          <w:color w:val="auto"/>
        </w:rPr>
      </w:pPr>
      <w:r>
        <w:rPr>
          <w:rFonts w:hint="eastAsia"/>
          <w:color w:val="auto"/>
        </w:rPr>
        <w:t>3．乙方在项目建设期间发现乙方人员任何向甲方人员行贿行为，均应及时采取措施予以制止，并及时通报甲方单位领导。</w:t>
      </w:r>
    </w:p>
    <w:p>
      <w:pPr>
        <w:overflowPunct w:val="0"/>
        <w:spacing w:line="360" w:lineRule="auto"/>
        <w:ind w:firstLine="480" w:firstLineChars="200"/>
        <w:rPr>
          <w:color w:val="auto"/>
        </w:rPr>
      </w:pPr>
      <w:r>
        <w:rPr>
          <w:rFonts w:hint="eastAsia"/>
          <w:color w:val="auto"/>
        </w:rPr>
        <w:t>4．乙方有责任接受甲方对乙方在项目建设期间廉政管理执行情况的监督。</w:t>
      </w:r>
    </w:p>
    <w:p>
      <w:pPr>
        <w:overflowPunct w:val="0"/>
        <w:spacing w:line="360" w:lineRule="auto"/>
        <w:ind w:firstLine="480" w:firstLineChars="200"/>
        <w:rPr>
          <w:color w:val="auto"/>
        </w:rPr>
      </w:pPr>
      <w:r>
        <w:rPr>
          <w:rFonts w:hint="eastAsia"/>
          <w:color w:val="auto"/>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overflowPunct w:val="0"/>
        <w:spacing w:line="360" w:lineRule="auto"/>
        <w:ind w:firstLine="480" w:firstLineChars="200"/>
        <w:rPr>
          <w:color w:val="auto"/>
        </w:rPr>
      </w:pPr>
      <w:r>
        <w:rPr>
          <w:rFonts w:hint="eastAsia"/>
          <w:color w:val="auto"/>
        </w:rPr>
        <w:t>6．如因乙方或其人员在项目建设期间贿赂甲方人员，被检察机关立案查处的，甲方有权终止合同履行或解除合同，由此给甲方造成的损失，均由乙方负责赔偿。</w:t>
      </w:r>
    </w:p>
    <w:p>
      <w:pPr>
        <w:overflowPunct w:val="0"/>
        <w:spacing w:line="360" w:lineRule="auto"/>
        <w:ind w:firstLine="480" w:firstLineChars="200"/>
        <w:rPr>
          <w:color w:val="auto"/>
        </w:rPr>
      </w:pPr>
      <w:r>
        <w:rPr>
          <w:rFonts w:hint="eastAsia"/>
          <w:color w:val="auto"/>
        </w:rPr>
        <w:t xml:space="preserve"> 三、为维护甲乙双方的合法利益，营造良好的商务环境，甲方建立多种举报渠道（如下）。甲方风控部人员将恪守职业道德，严格履行保密义务！</w:t>
      </w:r>
    </w:p>
    <w:p>
      <w:pPr>
        <w:overflowPunct w:val="0"/>
        <w:spacing w:line="360" w:lineRule="auto"/>
        <w:ind w:firstLine="480" w:firstLineChars="200"/>
        <w:rPr>
          <w:color w:val="auto"/>
        </w:rPr>
      </w:pPr>
      <w:r>
        <w:rPr>
          <w:rFonts w:hint="eastAsia"/>
          <w:color w:val="auto"/>
        </w:rPr>
        <w:t>（1）微信小程序举报（扫描右侧二维码进入程序，举报信息直达集团董事长）；</w:t>
      </w:r>
    </w:p>
    <w:p>
      <w:pPr>
        <w:overflowPunct w:val="0"/>
        <w:spacing w:line="360" w:lineRule="auto"/>
        <w:ind w:firstLine="480" w:firstLineChars="200"/>
        <w:rPr>
          <w:color w:val="auto"/>
        </w:rPr>
      </w:pPr>
      <w:r>
        <w:rPr>
          <w:rFonts w:hint="eastAsia"/>
          <w:color w:val="auto"/>
        </w:rPr>
        <w:drawing>
          <wp:anchor distT="0" distB="0" distL="114300" distR="114300" simplePos="0" relativeHeight="251659264" behindDoc="0" locked="0" layoutInCell="1" allowOverlap="1">
            <wp:simplePos x="0" y="0"/>
            <wp:positionH relativeFrom="column">
              <wp:posOffset>4318000</wp:posOffset>
            </wp:positionH>
            <wp:positionV relativeFrom="paragraph">
              <wp:posOffset>125095</wp:posOffset>
            </wp:positionV>
            <wp:extent cx="935990" cy="935990"/>
            <wp:effectExtent l="0" t="0" r="8890" b="8890"/>
            <wp:wrapNone/>
            <wp:docPr id="5"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说明: 32dc313b898daf07a491037a11ba2c8"/>
                    <pic:cNvPicPr>
                      <a:picLocks noChangeAspect="1"/>
                    </pic:cNvPicPr>
                  </pic:nvPicPr>
                  <pic:blipFill>
                    <a:blip r:embed="rId8"/>
                    <a:stretch>
                      <a:fillRect/>
                    </a:stretch>
                  </pic:blipFill>
                  <pic:spPr>
                    <a:xfrm>
                      <a:off x="0" y="0"/>
                      <a:ext cx="935990" cy="935990"/>
                    </a:xfrm>
                    <a:prstGeom prst="rect">
                      <a:avLst/>
                    </a:prstGeom>
                    <a:noFill/>
                    <a:ln>
                      <a:noFill/>
                    </a:ln>
                  </pic:spPr>
                </pic:pic>
              </a:graphicData>
            </a:graphic>
          </wp:anchor>
        </w:drawing>
      </w:r>
      <w:r>
        <w:rPr>
          <w:rFonts w:hint="eastAsia"/>
          <w:color w:val="auto"/>
        </w:rPr>
        <w:t>（2）邮箱：shenji@chinahonden.com</w:t>
      </w:r>
    </w:p>
    <w:p>
      <w:pPr>
        <w:overflowPunct w:val="0"/>
        <w:spacing w:line="360" w:lineRule="auto"/>
        <w:ind w:firstLine="480" w:firstLineChars="200"/>
        <w:rPr>
          <w:color w:val="auto"/>
        </w:rPr>
      </w:pPr>
      <w:r>
        <w:rPr>
          <w:rFonts w:hint="eastAsia"/>
          <w:color w:val="auto"/>
        </w:rPr>
        <w:t>（3）电话：风控总监毛政辉：13693798532</w:t>
      </w:r>
    </w:p>
    <w:p>
      <w:pPr>
        <w:overflowPunct w:val="0"/>
        <w:spacing w:line="360" w:lineRule="auto"/>
        <w:ind w:firstLine="480" w:firstLineChars="200"/>
        <w:rPr>
          <w:color w:val="auto"/>
        </w:rPr>
      </w:pPr>
      <w:r>
        <w:rPr>
          <w:rFonts w:hint="eastAsia"/>
          <w:color w:val="auto"/>
        </w:rPr>
        <w:t>（4）电话：审计监察副总监齐全中：18137710188</w:t>
      </w:r>
    </w:p>
    <w:p>
      <w:pPr>
        <w:overflowPunct w:val="0"/>
        <w:spacing w:line="360" w:lineRule="auto"/>
        <w:ind w:firstLine="480" w:firstLineChars="200"/>
        <w:rPr>
          <w:color w:val="auto"/>
        </w:rPr>
      </w:pPr>
      <w:r>
        <w:rPr>
          <w:rFonts w:hint="eastAsia"/>
          <w:color w:val="auto"/>
        </w:rPr>
        <w:t>（5）电话：审计监察高级经理苏文倩：18839528225</w:t>
      </w:r>
    </w:p>
    <w:p>
      <w:pPr>
        <w:overflowPunct w:val="0"/>
        <w:ind w:firstLine="480" w:firstLineChars="200"/>
        <w:rPr>
          <w:color w:val="auto"/>
        </w:rPr>
      </w:pPr>
      <w:r>
        <w:rPr>
          <w:rFonts w:hint="eastAsia"/>
          <w:color w:val="auto"/>
        </w:rPr>
        <w:t>（6）信件举报邮寄地址：洛阳市洛龙区关林西路8号中浩德控股集团有限公司审计监察部（收）。</w:t>
      </w:r>
    </w:p>
    <w:p>
      <w:pPr>
        <w:overflowPunct w:val="0"/>
        <w:spacing w:line="360" w:lineRule="auto"/>
        <w:ind w:firstLine="480" w:firstLineChars="200"/>
        <w:rPr>
          <w:color w:val="auto"/>
        </w:rPr>
      </w:pPr>
      <w:r>
        <w:rPr>
          <w:rFonts w:hint="eastAsia"/>
          <w:color w:val="auto"/>
        </w:rPr>
        <w:t>四、甲乙双方发现对方工作人员有下列行为之一的，可通过第三条约定的渠道进行举报：</w:t>
      </w:r>
    </w:p>
    <w:p>
      <w:pPr>
        <w:overflowPunct w:val="0"/>
        <w:spacing w:line="360" w:lineRule="auto"/>
        <w:ind w:firstLine="480" w:firstLineChars="200"/>
        <w:rPr>
          <w:color w:val="auto"/>
        </w:rPr>
      </w:pPr>
      <w:r>
        <w:rPr>
          <w:rFonts w:hint="eastAsia"/>
          <w:color w:val="auto"/>
        </w:rPr>
        <w:t>1.推诿扯皮、有责不负、处事消极、渎职失职、弄虚作假等行为。</w:t>
      </w:r>
    </w:p>
    <w:p>
      <w:pPr>
        <w:overflowPunct w:val="0"/>
        <w:spacing w:line="360" w:lineRule="auto"/>
        <w:ind w:firstLine="480" w:firstLineChars="200"/>
        <w:rPr>
          <w:color w:val="auto"/>
        </w:rPr>
      </w:pPr>
      <w:r>
        <w:rPr>
          <w:rFonts w:hint="eastAsia"/>
          <w:color w:val="auto"/>
        </w:rPr>
        <w:t>2.以权谋私、滥用职权、处事不公、隐瞒事故、违章指挥造成公司严重事故隐患的行为。</w:t>
      </w:r>
    </w:p>
    <w:p>
      <w:pPr>
        <w:overflowPunct w:val="0"/>
        <w:spacing w:line="360" w:lineRule="auto"/>
        <w:ind w:firstLine="480" w:firstLineChars="200"/>
        <w:rPr>
          <w:color w:val="auto"/>
        </w:rPr>
      </w:pPr>
      <w:r>
        <w:rPr>
          <w:rFonts w:hint="eastAsia"/>
          <w:color w:val="auto"/>
        </w:rPr>
        <w:t>3.贪污、受贿、盗窃、欺上瞒下等违法乱纪行为。</w:t>
      </w:r>
    </w:p>
    <w:p>
      <w:pPr>
        <w:overflowPunct w:val="0"/>
        <w:spacing w:line="360" w:lineRule="auto"/>
        <w:ind w:firstLine="480" w:firstLineChars="200"/>
        <w:rPr>
          <w:color w:val="auto"/>
        </w:rPr>
      </w:pPr>
      <w:r>
        <w:rPr>
          <w:rFonts w:hint="eastAsia"/>
          <w:color w:val="auto"/>
        </w:rPr>
        <w:t>4.出卖、泄露公司商业机密等危害公司行为。</w:t>
      </w:r>
    </w:p>
    <w:p>
      <w:pPr>
        <w:overflowPunct w:val="0"/>
        <w:spacing w:line="360" w:lineRule="auto"/>
        <w:ind w:firstLine="480" w:firstLineChars="200"/>
        <w:rPr>
          <w:color w:val="auto"/>
        </w:rPr>
      </w:pPr>
      <w:r>
        <w:rPr>
          <w:rFonts w:hint="eastAsia"/>
          <w:color w:val="auto"/>
        </w:rPr>
        <w:t>5.重大经济活动未按公司制度、流程执行的违规违纪行为。</w:t>
      </w:r>
    </w:p>
    <w:p>
      <w:pPr>
        <w:overflowPunct w:val="0"/>
        <w:spacing w:line="360" w:lineRule="auto"/>
        <w:ind w:firstLine="480" w:firstLineChars="200"/>
        <w:rPr>
          <w:color w:val="auto"/>
        </w:rPr>
      </w:pPr>
      <w:r>
        <w:rPr>
          <w:rFonts w:hint="eastAsia"/>
          <w:color w:val="auto"/>
        </w:rPr>
        <w:t>6.利用职权，任人唯亲，拉帮结派，搞小利益团体或对同事正当行使权利进行打击报复的行为。</w:t>
      </w:r>
    </w:p>
    <w:p>
      <w:pPr>
        <w:overflowPunct w:val="0"/>
        <w:spacing w:line="360" w:lineRule="auto"/>
        <w:ind w:firstLine="480" w:firstLineChars="200"/>
        <w:rPr>
          <w:color w:val="auto"/>
        </w:rPr>
      </w:pPr>
      <w:r>
        <w:rPr>
          <w:rFonts w:hint="eastAsia"/>
          <w:color w:val="auto"/>
        </w:rPr>
        <w:t>7.故意涂改公司文件或以公司名义谋私利，损害公司荣誉和利益的行为。</w:t>
      </w:r>
    </w:p>
    <w:p>
      <w:pPr>
        <w:overflowPunct w:val="0"/>
        <w:spacing w:line="360" w:lineRule="auto"/>
        <w:ind w:firstLine="480" w:firstLineChars="200"/>
        <w:rPr>
          <w:color w:val="auto"/>
        </w:rPr>
      </w:pPr>
      <w:r>
        <w:rPr>
          <w:rFonts w:hint="eastAsia"/>
          <w:color w:val="auto"/>
        </w:rPr>
        <w:t>8.私自侵占、挪用公司财物，损坏公司重要设备或资产的行为。</w:t>
      </w:r>
    </w:p>
    <w:p>
      <w:pPr>
        <w:overflowPunct w:val="0"/>
        <w:spacing w:line="360" w:lineRule="auto"/>
        <w:ind w:firstLine="480" w:firstLineChars="200"/>
        <w:rPr>
          <w:color w:val="auto"/>
        </w:rPr>
      </w:pPr>
      <w:r>
        <w:rPr>
          <w:rFonts w:hint="eastAsia"/>
          <w:color w:val="auto"/>
        </w:rPr>
        <w:t>9.破坏团队和谐，故意挑拨员工之间关系，对同事恶意侮辱、陷害、制造事端的行为。</w:t>
      </w:r>
    </w:p>
    <w:p>
      <w:pPr>
        <w:overflowPunct w:val="0"/>
        <w:spacing w:line="360" w:lineRule="auto"/>
        <w:ind w:firstLine="480" w:firstLineChars="200"/>
        <w:rPr>
          <w:color w:val="auto"/>
        </w:rPr>
      </w:pPr>
      <w:r>
        <w:rPr>
          <w:rFonts w:hint="eastAsia"/>
          <w:color w:val="auto"/>
        </w:rPr>
        <w:t>10.妄议集团经营、管理、决策部署、会议决议，对正当行使职权的执法部门、员工进行设置障碍、诋毁、恶意侮辱的行为。</w:t>
      </w:r>
    </w:p>
    <w:p>
      <w:pPr>
        <w:overflowPunct w:val="0"/>
        <w:spacing w:line="360" w:lineRule="auto"/>
        <w:ind w:firstLine="480" w:firstLineChars="200"/>
        <w:rPr>
          <w:color w:val="auto"/>
        </w:rPr>
      </w:pPr>
      <w:r>
        <w:rPr>
          <w:rFonts w:hint="eastAsia"/>
          <w:color w:val="auto"/>
        </w:rPr>
        <w:t>11.其他违反法律或者甲方公司相关制度的行为。</w:t>
      </w:r>
    </w:p>
    <w:p>
      <w:pPr>
        <w:overflowPunct w:val="0"/>
        <w:spacing w:line="360" w:lineRule="auto"/>
        <w:ind w:firstLine="480" w:firstLineChars="200"/>
        <w:rPr>
          <w:color w:val="auto"/>
        </w:rPr>
      </w:pPr>
      <w:r>
        <w:rPr>
          <w:rFonts w:hint="eastAsia"/>
          <w:color w:val="auto"/>
        </w:rPr>
        <w:t>（以下无正文）</w:t>
      </w:r>
    </w:p>
    <w:p>
      <w:pPr>
        <w:overflowPunct w:val="0"/>
        <w:autoSpaceDN/>
        <w:spacing w:line="360" w:lineRule="auto"/>
        <w:ind w:firstLine="480" w:firstLineChars="200"/>
        <w:rPr>
          <w:color w:val="auto"/>
        </w:rPr>
      </w:pPr>
    </w:p>
    <w:p>
      <w:pPr>
        <w:overflowPunct w:val="0"/>
        <w:spacing w:line="360" w:lineRule="auto"/>
        <w:ind w:left="0" w:firstLine="480" w:firstLineChars="200"/>
        <w:rPr>
          <w:color w:val="auto"/>
        </w:rPr>
      </w:pPr>
      <w:r>
        <w:rPr>
          <w:rFonts w:hint="eastAsia"/>
          <w:color w:val="auto"/>
        </w:rPr>
        <w:t xml:space="preserve">甲方（盖章）：洛阳浩德鑫置地有限公司  乙方（盖章）：洛阳卓资建筑工程有限公司             </w:t>
      </w:r>
    </w:p>
    <w:p>
      <w:pPr>
        <w:overflowPunct w:val="0"/>
        <w:rPr>
          <w:color w:val="auto"/>
        </w:rPr>
      </w:pPr>
      <w:r>
        <w:rPr>
          <w:rFonts w:hint="eastAsia"/>
          <w:color w:val="auto"/>
        </w:rPr>
        <w:t>签订日期：</w:t>
      </w:r>
      <w:r>
        <w:rPr>
          <w:rFonts w:hint="eastAsia"/>
          <w:color w:val="auto"/>
          <w:u w:val="single"/>
        </w:rPr>
        <w:t>2024</w:t>
      </w:r>
      <w:r>
        <w:rPr>
          <w:rFonts w:hint="eastAsia"/>
          <w:color w:val="auto"/>
        </w:rPr>
        <w:t>年</w:t>
      </w:r>
      <w:r>
        <w:rPr>
          <w:rFonts w:hint="eastAsia"/>
          <w:color w:val="auto"/>
          <w:u w:val="single"/>
          <w:lang w:val="en-US" w:eastAsia="zh-CN"/>
        </w:rPr>
        <w:t>3</w:t>
      </w:r>
      <w:r>
        <w:rPr>
          <w:rFonts w:hint="eastAsia"/>
          <w:color w:val="auto"/>
          <w:u w:val="single"/>
        </w:rPr>
        <w:t>月</w:t>
      </w:r>
      <w:r>
        <w:rPr>
          <w:rFonts w:hint="eastAsia"/>
          <w:color w:val="auto"/>
          <w:u w:val="single"/>
          <w:lang w:val="en-US" w:eastAsia="zh-CN"/>
        </w:rPr>
        <w:t>22</w:t>
      </w:r>
      <w:r>
        <w:rPr>
          <w:rFonts w:hint="eastAsia"/>
          <w:color w:val="auto"/>
        </w:rPr>
        <w:t>日               签订日期：</w:t>
      </w:r>
      <w:r>
        <w:rPr>
          <w:rFonts w:hint="eastAsia"/>
          <w:color w:val="auto"/>
          <w:u w:val="single"/>
        </w:rPr>
        <w:t>2024</w:t>
      </w:r>
      <w:r>
        <w:rPr>
          <w:rFonts w:hint="eastAsia"/>
          <w:color w:val="auto"/>
        </w:rPr>
        <w:t>年</w:t>
      </w:r>
      <w:r>
        <w:rPr>
          <w:rFonts w:hint="eastAsia"/>
          <w:color w:val="auto"/>
          <w:u w:val="single"/>
          <w:lang w:val="en-US" w:eastAsia="zh-CN"/>
        </w:rPr>
        <w:t>3</w:t>
      </w:r>
      <w:r>
        <w:rPr>
          <w:rFonts w:hint="eastAsia"/>
          <w:color w:val="auto"/>
          <w:u w:val="single"/>
        </w:rPr>
        <w:t>月</w:t>
      </w:r>
      <w:r>
        <w:rPr>
          <w:rFonts w:hint="eastAsia"/>
          <w:color w:val="auto"/>
          <w:u w:val="single"/>
          <w:lang w:val="en-US" w:eastAsia="zh-CN"/>
        </w:rPr>
        <w:t>22</w:t>
      </w:r>
      <w:r>
        <w:rPr>
          <w:rFonts w:hint="eastAsia"/>
          <w:color w:val="auto"/>
        </w:rPr>
        <w:t xml:space="preserve">日  </w:t>
      </w:r>
    </w:p>
    <w:p>
      <w:pPr>
        <w:pStyle w:val="2"/>
        <w:overflowPunct w:val="0"/>
        <w:spacing w:line="360" w:lineRule="auto"/>
        <w:rPr>
          <w:rFonts w:hAnsi="宋体" w:cs="宋体"/>
          <w:bCs/>
          <w:color w:val="auto"/>
          <w:szCs w:val="28"/>
        </w:rPr>
      </w:pPr>
    </w:p>
    <w:p>
      <w:pPr>
        <w:overflowPunct w:val="0"/>
        <w:jc w:val="both"/>
        <w:rPr>
          <w:color w:val="auto"/>
        </w:rPr>
      </w:pPr>
      <w:r>
        <w:rPr>
          <w:rFonts w:hint="eastAsia"/>
          <w:color w:val="auto"/>
        </w:rPr>
        <w:tab/>
      </w:r>
    </w:p>
    <w:p>
      <w:pPr>
        <w:pStyle w:val="2"/>
        <w:overflowPunct w:val="0"/>
        <w:spacing w:line="360" w:lineRule="auto"/>
        <w:rPr>
          <w:rFonts w:hAnsi="宋体" w:cs="宋体"/>
          <w:bCs/>
          <w:color w:val="auto"/>
          <w:szCs w:val="28"/>
        </w:rPr>
      </w:pPr>
      <w:r>
        <w:rPr>
          <w:rFonts w:hint="eastAsia" w:hAnsi="宋体" w:cs="宋体"/>
          <w:bCs/>
          <w:color w:val="auto"/>
          <w:szCs w:val="28"/>
        </w:rPr>
        <w:t>附件二、《乙方派驻本工程人员名单表》</w:t>
      </w:r>
    </w:p>
    <w:tbl>
      <w:tblPr>
        <w:tblStyle w:val="47"/>
        <w:tblW w:w="8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1451"/>
        <w:gridCol w:w="978"/>
        <w:gridCol w:w="1560"/>
        <w:gridCol w:w="1115"/>
        <w:gridCol w:w="1046"/>
        <w:gridCol w:w="2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999" w:type="dxa"/>
            <w:gridSpan w:val="7"/>
            <w:vAlign w:val="center"/>
          </w:tcPr>
          <w:p>
            <w:pPr>
              <w:pStyle w:val="100"/>
              <w:rPr>
                <w:color w:val="auto"/>
                <w:kern w:val="0"/>
                <w:szCs w:val="24"/>
                <w:lang w:bidi="ar-SA"/>
              </w:rPr>
            </w:pPr>
            <w:r>
              <w:rPr>
                <w:rFonts w:hint="eastAsia"/>
                <w:color w:val="auto"/>
                <w:kern w:val="0"/>
                <w:szCs w:val="20"/>
                <w:lang w:bidi="ar-SA"/>
              </w:rPr>
              <w:t>《</w:t>
            </w:r>
            <w:r>
              <w:rPr>
                <w:rFonts w:hint="eastAsia"/>
                <w:color w:val="auto"/>
              </w:rPr>
              <w:t>乙方派驻本工程人员名单表</w:t>
            </w:r>
            <w:r>
              <w:rPr>
                <w:rFonts w:hint="eastAsia"/>
                <w:color w:val="auto"/>
                <w:kern w:val="0"/>
                <w:szCs w:val="20"/>
                <w:lang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31" w:type="dxa"/>
            <w:vAlign w:val="center"/>
          </w:tcPr>
          <w:p>
            <w:pPr>
              <w:pStyle w:val="100"/>
              <w:ind w:firstLine="0" w:firstLineChars="0"/>
              <w:jc w:val="left"/>
              <w:rPr>
                <w:color w:val="auto"/>
              </w:rPr>
            </w:pPr>
            <w:r>
              <w:rPr>
                <w:rFonts w:hint="eastAsia"/>
                <w:color w:val="auto"/>
              </w:rPr>
              <w:t>序号</w:t>
            </w:r>
          </w:p>
        </w:tc>
        <w:tc>
          <w:tcPr>
            <w:tcW w:w="1451" w:type="dxa"/>
            <w:vAlign w:val="center"/>
          </w:tcPr>
          <w:p>
            <w:pPr>
              <w:pStyle w:val="100"/>
              <w:jc w:val="left"/>
              <w:rPr>
                <w:color w:val="auto"/>
              </w:rPr>
            </w:pPr>
            <w:r>
              <w:rPr>
                <w:rFonts w:hint="eastAsia"/>
                <w:color w:val="auto"/>
              </w:rPr>
              <w:t>专业</w:t>
            </w:r>
          </w:p>
        </w:tc>
        <w:tc>
          <w:tcPr>
            <w:tcW w:w="978" w:type="dxa"/>
            <w:vAlign w:val="center"/>
          </w:tcPr>
          <w:p>
            <w:pPr>
              <w:pStyle w:val="100"/>
              <w:ind w:firstLine="0" w:firstLineChars="0"/>
              <w:jc w:val="left"/>
              <w:rPr>
                <w:color w:val="auto"/>
              </w:rPr>
            </w:pPr>
            <w:r>
              <w:rPr>
                <w:rFonts w:hint="eastAsia"/>
                <w:color w:val="auto"/>
              </w:rPr>
              <w:t>姓名</w:t>
            </w:r>
          </w:p>
        </w:tc>
        <w:tc>
          <w:tcPr>
            <w:tcW w:w="1560" w:type="dxa"/>
            <w:vAlign w:val="center"/>
          </w:tcPr>
          <w:p>
            <w:pPr>
              <w:pStyle w:val="100"/>
              <w:jc w:val="left"/>
              <w:rPr>
                <w:color w:val="auto"/>
              </w:rPr>
            </w:pPr>
            <w:r>
              <w:rPr>
                <w:rFonts w:hint="eastAsia"/>
                <w:color w:val="auto"/>
              </w:rPr>
              <w:t>职称</w:t>
            </w:r>
          </w:p>
        </w:tc>
        <w:tc>
          <w:tcPr>
            <w:tcW w:w="1115" w:type="dxa"/>
            <w:vAlign w:val="center"/>
          </w:tcPr>
          <w:p>
            <w:pPr>
              <w:pStyle w:val="100"/>
              <w:ind w:firstLine="0" w:firstLineChars="0"/>
              <w:jc w:val="left"/>
              <w:rPr>
                <w:color w:val="auto"/>
              </w:rPr>
            </w:pPr>
            <w:r>
              <w:rPr>
                <w:rFonts w:hint="eastAsia"/>
                <w:color w:val="auto"/>
              </w:rPr>
              <w:t>学历</w:t>
            </w:r>
          </w:p>
        </w:tc>
        <w:tc>
          <w:tcPr>
            <w:tcW w:w="1046" w:type="dxa"/>
            <w:vAlign w:val="center"/>
          </w:tcPr>
          <w:p>
            <w:pPr>
              <w:pStyle w:val="100"/>
              <w:ind w:firstLine="0" w:firstLineChars="0"/>
              <w:jc w:val="left"/>
              <w:rPr>
                <w:color w:val="auto"/>
              </w:rPr>
            </w:pPr>
            <w:r>
              <w:rPr>
                <w:rFonts w:hint="eastAsia"/>
                <w:color w:val="auto"/>
              </w:rPr>
              <w:t>工作年限</w:t>
            </w:r>
          </w:p>
        </w:tc>
        <w:tc>
          <w:tcPr>
            <w:tcW w:w="2018" w:type="dxa"/>
            <w:vAlign w:val="center"/>
          </w:tcPr>
          <w:p>
            <w:pPr>
              <w:pStyle w:val="100"/>
              <w:tabs>
                <w:tab w:val="left" w:pos="445"/>
              </w:tabs>
              <w:ind w:firstLine="0" w:firstLineChars="0"/>
              <w:jc w:val="left"/>
              <w:rPr>
                <w:color w:val="auto"/>
              </w:rPr>
            </w:pPr>
            <w:r>
              <w:rPr>
                <w:rFonts w:hint="eastAsia"/>
                <w:color w:val="auto"/>
              </w:rPr>
              <w:t>担任本工程的职务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31" w:type="dxa"/>
            <w:vAlign w:val="center"/>
          </w:tcPr>
          <w:p>
            <w:pPr>
              <w:overflowPunct w:val="0"/>
              <w:jc w:val="left"/>
              <w:rPr>
                <w:color w:val="auto"/>
              </w:rPr>
            </w:pPr>
            <w:r>
              <w:rPr>
                <w:rFonts w:hint="eastAsia"/>
                <w:color w:val="auto"/>
                <w:lang w:bidi="ar"/>
              </w:rPr>
              <w:t>1</w:t>
            </w:r>
          </w:p>
        </w:tc>
        <w:tc>
          <w:tcPr>
            <w:tcW w:w="1451" w:type="dxa"/>
            <w:vAlign w:val="center"/>
          </w:tcPr>
          <w:p>
            <w:pPr>
              <w:overflowPunct w:val="0"/>
              <w:jc w:val="left"/>
              <w:rPr>
                <w:color w:val="auto"/>
              </w:rPr>
            </w:pPr>
            <w:r>
              <w:rPr>
                <w:rFonts w:hint="eastAsia"/>
                <w:color w:val="auto"/>
              </w:rPr>
              <w:t>建筑工程市政公用工程</w:t>
            </w:r>
          </w:p>
        </w:tc>
        <w:tc>
          <w:tcPr>
            <w:tcW w:w="978" w:type="dxa"/>
            <w:vAlign w:val="center"/>
          </w:tcPr>
          <w:p>
            <w:pPr>
              <w:overflowPunct w:val="0"/>
              <w:ind w:firstLine="0" w:firstLineChars="0"/>
              <w:jc w:val="left"/>
              <w:rPr>
                <w:color w:val="auto"/>
              </w:rPr>
            </w:pPr>
            <w:r>
              <w:rPr>
                <w:rFonts w:hint="eastAsia"/>
                <w:color w:val="auto"/>
              </w:rPr>
              <w:t>陈望</w:t>
            </w:r>
          </w:p>
        </w:tc>
        <w:tc>
          <w:tcPr>
            <w:tcW w:w="1560" w:type="dxa"/>
            <w:vAlign w:val="center"/>
          </w:tcPr>
          <w:p>
            <w:pPr>
              <w:overflowPunct w:val="0"/>
              <w:jc w:val="left"/>
              <w:rPr>
                <w:color w:val="auto"/>
              </w:rPr>
            </w:pP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r>
              <w:rPr>
                <w:rFonts w:hint="eastAsia"/>
                <w:color w:val="auto"/>
              </w:rPr>
              <w:t>10</w:t>
            </w:r>
          </w:p>
        </w:tc>
        <w:tc>
          <w:tcPr>
            <w:tcW w:w="2018" w:type="dxa"/>
            <w:vAlign w:val="center"/>
          </w:tcPr>
          <w:p>
            <w:pPr>
              <w:overflowPunct w:val="0"/>
              <w:jc w:val="left"/>
              <w:rPr>
                <w:color w:val="auto"/>
              </w:rPr>
            </w:pPr>
            <w:r>
              <w:rPr>
                <w:rFonts w:hint="eastAsia"/>
                <w:color w:val="auto"/>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31" w:type="dxa"/>
            <w:vAlign w:val="center"/>
          </w:tcPr>
          <w:p>
            <w:pPr>
              <w:overflowPunct w:val="0"/>
              <w:jc w:val="left"/>
              <w:rPr>
                <w:color w:val="auto"/>
              </w:rPr>
            </w:pPr>
            <w:r>
              <w:rPr>
                <w:rFonts w:hint="eastAsia"/>
                <w:color w:val="auto"/>
                <w:lang w:bidi="ar"/>
              </w:rPr>
              <w:t>2</w:t>
            </w:r>
          </w:p>
        </w:tc>
        <w:tc>
          <w:tcPr>
            <w:tcW w:w="1451" w:type="dxa"/>
            <w:vAlign w:val="center"/>
          </w:tcPr>
          <w:p>
            <w:pPr>
              <w:overflowPunct w:val="0"/>
              <w:jc w:val="left"/>
              <w:rPr>
                <w:color w:val="auto"/>
              </w:rPr>
            </w:pPr>
            <w:r>
              <w:rPr>
                <w:rFonts w:hint="eastAsia"/>
                <w:color w:val="auto"/>
              </w:rPr>
              <w:t>建筑工程</w:t>
            </w:r>
          </w:p>
        </w:tc>
        <w:tc>
          <w:tcPr>
            <w:tcW w:w="978" w:type="dxa"/>
            <w:vAlign w:val="center"/>
          </w:tcPr>
          <w:p>
            <w:pPr>
              <w:overflowPunct w:val="0"/>
              <w:ind w:firstLine="0" w:firstLineChars="0"/>
              <w:jc w:val="left"/>
              <w:rPr>
                <w:color w:val="auto"/>
              </w:rPr>
            </w:pPr>
            <w:r>
              <w:rPr>
                <w:rFonts w:hint="eastAsia"/>
                <w:color w:val="auto"/>
              </w:rPr>
              <w:t>卢红甫</w:t>
            </w:r>
          </w:p>
        </w:tc>
        <w:tc>
          <w:tcPr>
            <w:tcW w:w="1560" w:type="dxa"/>
            <w:vAlign w:val="center"/>
          </w:tcPr>
          <w:p>
            <w:pPr>
              <w:overflowPunct w:val="0"/>
              <w:jc w:val="left"/>
              <w:rPr>
                <w:color w:val="auto"/>
              </w:rPr>
            </w:pPr>
            <w:r>
              <w:rPr>
                <w:rFonts w:hint="eastAsia"/>
                <w:color w:val="auto"/>
              </w:rPr>
              <w:t>工程师</w:t>
            </w: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r>
              <w:rPr>
                <w:rFonts w:hint="eastAsia"/>
                <w:color w:val="auto"/>
              </w:rPr>
              <w:t>12</w:t>
            </w:r>
          </w:p>
        </w:tc>
        <w:tc>
          <w:tcPr>
            <w:tcW w:w="2018" w:type="dxa"/>
            <w:vAlign w:val="center"/>
          </w:tcPr>
          <w:p>
            <w:pPr>
              <w:overflowPunct w:val="0"/>
              <w:jc w:val="left"/>
              <w:rPr>
                <w:color w:val="auto"/>
              </w:rPr>
            </w:pPr>
            <w:r>
              <w:rPr>
                <w:rFonts w:hint="eastAsia"/>
                <w:color w:val="auto"/>
              </w:rPr>
              <w:t>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31" w:type="dxa"/>
            <w:vAlign w:val="center"/>
          </w:tcPr>
          <w:p>
            <w:pPr>
              <w:overflowPunct w:val="0"/>
              <w:jc w:val="left"/>
              <w:rPr>
                <w:color w:val="auto"/>
              </w:rPr>
            </w:pPr>
            <w:r>
              <w:rPr>
                <w:rFonts w:hint="eastAsia"/>
                <w:color w:val="auto"/>
                <w:lang w:bidi="ar"/>
              </w:rPr>
              <w:t>3</w:t>
            </w:r>
          </w:p>
        </w:tc>
        <w:tc>
          <w:tcPr>
            <w:tcW w:w="1451" w:type="dxa"/>
            <w:vAlign w:val="center"/>
          </w:tcPr>
          <w:p>
            <w:pPr>
              <w:overflowPunct w:val="0"/>
              <w:jc w:val="left"/>
              <w:rPr>
                <w:color w:val="auto"/>
              </w:rPr>
            </w:pPr>
            <w:r>
              <w:rPr>
                <w:rFonts w:hint="eastAsia"/>
                <w:color w:val="auto"/>
              </w:rPr>
              <w:t>土建</w:t>
            </w:r>
          </w:p>
        </w:tc>
        <w:tc>
          <w:tcPr>
            <w:tcW w:w="978" w:type="dxa"/>
            <w:vAlign w:val="center"/>
          </w:tcPr>
          <w:p>
            <w:pPr>
              <w:overflowPunct w:val="0"/>
              <w:ind w:firstLine="0" w:firstLineChars="0"/>
              <w:jc w:val="left"/>
              <w:rPr>
                <w:color w:val="auto"/>
              </w:rPr>
            </w:pPr>
            <w:r>
              <w:rPr>
                <w:rFonts w:hint="eastAsia"/>
                <w:color w:val="auto"/>
              </w:rPr>
              <w:t>李辉</w:t>
            </w:r>
          </w:p>
        </w:tc>
        <w:tc>
          <w:tcPr>
            <w:tcW w:w="1560" w:type="dxa"/>
            <w:vAlign w:val="center"/>
          </w:tcPr>
          <w:p>
            <w:pPr>
              <w:overflowPunct w:val="0"/>
              <w:jc w:val="left"/>
              <w:rPr>
                <w:color w:val="auto"/>
              </w:rPr>
            </w:pPr>
            <w:r>
              <w:rPr>
                <w:rFonts w:hint="eastAsia"/>
                <w:color w:val="auto"/>
              </w:rPr>
              <w:t>工程师</w:t>
            </w: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r>
              <w:rPr>
                <w:rFonts w:hint="eastAsia"/>
                <w:color w:val="auto"/>
              </w:rPr>
              <w:t>11</w:t>
            </w:r>
          </w:p>
        </w:tc>
        <w:tc>
          <w:tcPr>
            <w:tcW w:w="2018" w:type="dxa"/>
            <w:vAlign w:val="center"/>
          </w:tcPr>
          <w:p>
            <w:pPr>
              <w:overflowPunct w:val="0"/>
              <w:jc w:val="left"/>
              <w:rPr>
                <w:color w:val="auto"/>
              </w:rPr>
            </w:pPr>
            <w:r>
              <w:rPr>
                <w:rFonts w:hint="eastAsia"/>
                <w:color w:val="auto"/>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31" w:type="dxa"/>
            <w:vAlign w:val="center"/>
          </w:tcPr>
          <w:p>
            <w:pPr>
              <w:overflowPunct w:val="0"/>
              <w:jc w:val="left"/>
              <w:rPr>
                <w:color w:val="auto"/>
              </w:rPr>
            </w:pPr>
            <w:r>
              <w:rPr>
                <w:rFonts w:hint="eastAsia"/>
                <w:color w:val="auto"/>
                <w:lang w:bidi="ar"/>
              </w:rPr>
              <w:t>4</w:t>
            </w:r>
          </w:p>
        </w:tc>
        <w:tc>
          <w:tcPr>
            <w:tcW w:w="1451" w:type="dxa"/>
            <w:vAlign w:val="center"/>
          </w:tcPr>
          <w:p>
            <w:pPr>
              <w:overflowPunct w:val="0"/>
              <w:jc w:val="left"/>
              <w:rPr>
                <w:color w:val="auto"/>
              </w:rPr>
            </w:pPr>
          </w:p>
        </w:tc>
        <w:tc>
          <w:tcPr>
            <w:tcW w:w="978" w:type="dxa"/>
            <w:vAlign w:val="center"/>
          </w:tcPr>
          <w:p>
            <w:pPr>
              <w:overflowPunct w:val="0"/>
              <w:ind w:firstLine="0" w:firstLineChars="0"/>
              <w:jc w:val="left"/>
              <w:rPr>
                <w:color w:val="auto"/>
              </w:rPr>
            </w:pPr>
            <w:r>
              <w:rPr>
                <w:rFonts w:hint="eastAsia"/>
                <w:color w:val="auto"/>
              </w:rPr>
              <w:t>张燕格</w:t>
            </w:r>
          </w:p>
        </w:tc>
        <w:tc>
          <w:tcPr>
            <w:tcW w:w="1560" w:type="dxa"/>
            <w:vAlign w:val="center"/>
          </w:tcPr>
          <w:p>
            <w:pPr>
              <w:overflowPunct w:val="0"/>
              <w:jc w:val="left"/>
              <w:rPr>
                <w:color w:val="auto"/>
              </w:rPr>
            </w:pP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r>
              <w:rPr>
                <w:rFonts w:hint="eastAsia"/>
                <w:color w:val="auto"/>
              </w:rPr>
              <w:t>9</w:t>
            </w:r>
          </w:p>
        </w:tc>
        <w:tc>
          <w:tcPr>
            <w:tcW w:w="2018" w:type="dxa"/>
            <w:vAlign w:val="center"/>
          </w:tcPr>
          <w:p>
            <w:pPr>
              <w:overflowPunct w:val="0"/>
              <w:jc w:val="left"/>
              <w:rPr>
                <w:color w:val="auto"/>
              </w:rPr>
            </w:pPr>
            <w:r>
              <w:rPr>
                <w:rFonts w:hint="eastAsia"/>
                <w:color w:val="auto"/>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831" w:type="dxa"/>
            <w:vAlign w:val="center"/>
          </w:tcPr>
          <w:p>
            <w:pPr>
              <w:overflowPunct w:val="0"/>
              <w:jc w:val="left"/>
              <w:rPr>
                <w:color w:val="auto"/>
              </w:rPr>
            </w:pPr>
            <w:r>
              <w:rPr>
                <w:rFonts w:hint="eastAsia"/>
                <w:color w:val="auto"/>
                <w:lang w:bidi="ar"/>
              </w:rPr>
              <w:t>5</w:t>
            </w:r>
          </w:p>
        </w:tc>
        <w:tc>
          <w:tcPr>
            <w:tcW w:w="1451" w:type="dxa"/>
            <w:vAlign w:val="center"/>
          </w:tcPr>
          <w:p>
            <w:pPr>
              <w:overflowPunct w:val="0"/>
              <w:jc w:val="left"/>
              <w:rPr>
                <w:color w:val="auto"/>
              </w:rPr>
            </w:pPr>
          </w:p>
        </w:tc>
        <w:tc>
          <w:tcPr>
            <w:tcW w:w="978" w:type="dxa"/>
            <w:vAlign w:val="center"/>
          </w:tcPr>
          <w:p>
            <w:pPr>
              <w:overflowPunct w:val="0"/>
              <w:ind w:firstLine="0" w:firstLineChars="0"/>
              <w:jc w:val="left"/>
              <w:rPr>
                <w:color w:val="auto"/>
              </w:rPr>
            </w:pPr>
            <w:r>
              <w:rPr>
                <w:rFonts w:hint="eastAsia"/>
                <w:color w:val="auto"/>
              </w:rPr>
              <w:t>赵亚红</w:t>
            </w:r>
          </w:p>
        </w:tc>
        <w:tc>
          <w:tcPr>
            <w:tcW w:w="1560" w:type="dxa"/>
            <w:vAlign w:val="center"/>
          </w:tcPr>
          <w:p>
            <w:pPr>
              <w:overflowPunct w:val="0"/>
              <w:jc w:val="left"/>
              <w:rPr>
                <w:color w:val="auto"/>
              </w:rPr>
            </w:pP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p>
        </w:tc>
        <w:tc>
          <w:tcPr>
            <w:tcW w:w="2018" w:type="dxa"/>
            <w:vAlign w:val="center"/>
          </w:tcPr>
          <w:p>
            <w:pPr>
              <w:overflowPunct w:val="0"/>
              <w:jc w:val="left"/>
              <w:rPr>
                <w:color w:val="auto"/>
              </w:rPr>
            </w:pPr>
            <w:r>
              <w:rPr>
                <w:rFonts w:hint="eastAsia"/>
                <w:color w:val="auto"/>
              </w:rPr>
              <w:t>资料员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831" w:type="dxa"/>
            <w:vAlign w:val="center"/>
          </w:tcPr>
          <w:p>
            <w:pPr>
              <w:overflowPunct w:val="0"/>
              <w:jc w:val="left"/>
              <w:rPr>
                <w:color w:val="auto"/>
              </w:rPr>
            </w:pPr>
            <w:r>
              <w:rPr>
                <w:rFonts w:hint="eastAsia"/>
                <w:color w:val="auto"/>
                <w:lang w:bidi="ar"/>
              </w:rPr>
              <w:t>6</w:t>
            </w:r>
          </w:p>
        </w:tc>
        <w:tc>
          <w:tcPr>
            <w:tcW w:w="1451" w:type="dxa"/>
            <w:vAlign w:val="center"/>
          </w:tcPr>
          <w:p>
            <w:pPr>
              <w:overflowPunct w:val="0"/>
              <w:jc w:val="left"/>
              <w:rPr>
                <w:color w:val="auto"/>
              </w:rPr>
            </w:pPr>
          </w:p>
        </w:tc>
        <w:tc>
          <w:tcPr>
            <w:tcW w:w="978" w:type="dxa"/>
            <w:vAlign w:val="center"/>
          </w:tcPr>
          <w:p>
            <w:pPr>
              <w:overflowPunct w:val="0"/>
              <w:ind w:firstLine="0" w:firstLineChars="0"/>
              <w:jc w:val="left"/>
              <w:rPr>
                <w:color w:val="auto"/>
              </w:rPr>
            </w:pPr>
            <w:r>
              <w:rPr>
                <w:rFonts w:hint="eastAsia"/>
                <w:color w:val="auto"/>
              </w:rPr>
              <w:t>宋小桃</w:t>
            </w:r>
          </w:p>
        </w:tc>
        <w:tc>
          <w:tcPr>
            <w:tcW w:w="1560" w:type="dxa"/>
            <w:vAlign w:val="center"/>
          </w:tcPr>
          <w:p>
            <w:pPr>
              <w:overflowPunct w:val="0"/>
              <w:jc w:val="left"/>
              <w:rPr>
                <w:color w:val="auto"/>
              </w:rPr>
            </w:pPr>
            <w:r>
              <w:rPr>
                <w:rFonts w:hint="eastAsia"/>
                <w:color w:val="auto"/>
              </w:rPr>
              <w:t>工程师</w:t>
            </w:r>
          </w:p>
        </w:tc>
        <w:tc>
          <w:tcPr>
            <w:tcW w:w="1115" w:type="dxa"/>
            <w:vAlign w:val="center"/>
          </w:tcPr>
          <w:p>
            <w:pPr>
              <w:overflowPunct w:val="0"/>
              <w:jc w:val="left"/>
              <w:rPr>
                <w:color w:val="auto"/>
              </w:rPr>
            </w:pPr>
            <w:r>
              <w:rPr>
                <w:rFonts w:hint="eastAsia"/>
                <w:color w:val="auto"/>
              </w:rPr>
              <w:t>大专</w:t>
            </w:r>
          </w:p>
        </w:tc>
        <w:tc>
          <w:tcPr>
            <w:tcW w:w="1046" w:type="dxa"/>
            <w:vAlign w:val="center"/>
          </w:tcPr>
          <w:p>
            <w:pPr>
              <w:overflowPunct w:val="0"/>
              <w:jc w:val="left"/>
              <w:rPr>
                <w:color w:val="auto"/>
              </w:rPr>
            </w:pPr>
            <w:r>
              <w:rPr>
                <w:rFonts w:hint="eastAsia"/>
                <w:color w:val="auto"/>
              </w:rPr>
              <w:t>12</w:t>
            </w:r>
          </w:p>
        </w:tc>
        <w:tc>
          <w:tcPr>
            <w:tcW w:w="2018" w:type="dxa"/>
            <w:vAlign w:val="center"/>
          </w:tcPr>
          <w:p>
            <w:pPr>
              <w:overflowPunct w:val="0"/>
              <w:jc w:val="left"/>
              <w:rPr>
                <w:color w:val="auto"/>
              </w:rPr>
            </w:pPr>
            <w:r>
              <w:rPr>
                <w:rFonts w:hint="eastAsia"/>
                <w:color w:val="auto"/>
              </w:rPr>
              <w:t>材料员</w:t>
            </w:r>
          </w:p>
        </w:tc>
      </w:tr>
    </w:tbl>
    <w:p>
      <w:pPr>
        <w:pStyle w:val="2"/>
        <w:overflowPunct w:val="0"/>
        <w:spacing w:line="360" w:lineRule="auto"/>
        <w:rPr>
          <w:rFonts w:hAnsi="宋体" w:cs="宋体"/>
          <w:bCs/>
          <w:color w:val="auto"/>
          <w:szCs w:val="28"/>
        </w:rPr>
      </w:pPr>
    </w:p>
    <w:p>
      <w:pPr>
        <w:pStyle w:val="2"/>
        <w:overflowPunct w:val="0"/>
        <w:spacing w:line="360" w:lineRule="auto"/>
        <w:rPr>
          <w:rFonts w:hAnsi="宋体" w:cs="宋体"/>
          <w:bCs/>
          <w:color w:val="auto"/>
          <w:szCs w:val="28"/>
        </w:rPr>
      </w:pPr>
    </w:p>
    <w:p>
      <w:pPr>
        <w:pStyle w:val="2"/>
        <w:overflowPunct w:val="0"/>
        <w:spacing w:line="360" w:lineRule="auto"/>
        <w:rPr>
          <w:rFonts w:hAnsi="宋体" w:cs="宋体"/>
          <w:bCs/>
          <w:color w:val="auto"/>
          <w:szCs w:val="28"/>
        </w:rPr>
      </w:pPr>
      <w:r>
        <w:rPr>
          <w:rFonts w:hint="eastAsia" w:hAnsi="宋体" w:cs="宋体"/>
          <w:bCs/>
          <w:color w:val="auto"/>
          <w:szCs w:val="28"/>
        </w:rPr>
        <w:t>附件三、材料品牌表</w:t>
      </w:r>
    </w:p>
    <w:p>
      <w:pPr>
        <w:pStyle w:val="2"/>
        <w:overflowPunct w:val="0"/>
        <w:rPr>
          <w:rFonts w:hAnsi="宋体" w:cs="宋体"/>
          <w:bCs/>
          <w:color w:val="auto"/>
          <w:szCs w:val="28"/>
        </w:rPr>
      </w:pPr>
    </w:p>
    <w:tbl>
      <w:tblPr>
        <w:tblStyle w:val="47"/>
        <w:tblW w:w="8758" w:type="dxa"/>
        <w:tblInd w:w="93" w:type="dxa"/>
        <w:tblLayout w:type="autofit"/>
        <w:tblCellMar>
          <w:top w:w="0" w:type="dxa"/>
          <w:left w:w="108" w:type="dxa"/>
          <w:bottom w:w="0" w:type="dxa"/>
          <w:right w:w="108" w:type="dxa"/>
        </w:tblCellMar>
      </w:tblPr>
      <w:tblGrid>
        <w:gridCol w:w="940"/>
        <w:gridCol w:w="3143"/>
        <w:gridCol w:w="2203"/>
        <w:gridCol w:w="2472"/>
      </w:tblGrid>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序号</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材料名称</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供应方式</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乙方选定品牌</w:t>
            </w:r>
          </w:p>
        </w:tc>
      </w:tr>
      <w:tr>
        <w:tblPrEx>
          <w:tblCellMar>
            <w:top w:w="0" w:type="dxa"/>
            <w:left w:w="108" w:type="dxa"/>
            <w:bottom w:w="0" w:type="dxa"/>
            <w:right w:w="108" w:type="dxa"/>
          </w:tblCellMar>
        </w:tblPrEx>
        <w:trPr>
          <w:trHeight w:val="799"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墙地砖</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诺贝尔</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木地板</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大欧</w:t>
            </w:r>
          </w:p>
        </w:tc>
      </w:tr>
      <w:tr>
        <w:tblPrEx>
          <w:tblCellMar>
            <w:top w:w="0" w:type="dxa"/>
            <w:left w:w="108" w:type="dxa"/>
            <w:bottom w:w="0" w:type="dxa"/>
            <w:right w:w="108" w:type="dxa"/>
          </w:tblCellMar>
        </w:tblPrEx>
        <w:trPr>
          <w:trHeight w:val="799"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3</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灯具（工艺吊灯除外）</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西顿</w:t>
            </w:r>
          </w:p>
        </w:tc>
      </w:tr>
      <w:tr>
        <w:tblPrEx>
          <w:tblCellMar>
            <w:top w:w="0" w:type="dxa"/>
            <w:left w:w="108" w:type="dxa"/>
            <w:bottom w:w="0" w:type="dxa"/>
            <w:right w:w="108" w:type="dxa"/>
          </w:tblCellMar>
        </w:tblPrEx>
        <w:trPr>
          <w:trHeight w:val="763"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4</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开关插座</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西顿</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5</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电线电缆（强电）</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郑三</w:t>
            </w:r>
          </w:p>
        </w:tc>
      </w:tr>
      <w:tr>
        <w:tblPrEx>
          <w:tblCellMar>
            <w:top w:w="0" w:type="dxa"/>
            <w:left w:w="108" w:type="dxa"/>
            <w:bottom w:w="0" w:type="dxa"/>
            <w:right w:w="108" w:type="dxa"/>
          </w:tblCellMar>
        </w:tblPrEx>
        <w:trPr>
          <w:trHeight w:val="907"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6</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0" w:firstLineChars="0"/>
              <w:jc w:val="both"/>
              <w:textAlignment w:val="auto"/>
              <w:rPr>
                <w:color w:val="auto"/>
              </w:rPr>
            </w:pPr>
            <w:r>
              <w:rPr>
                <w:rFonts w:hint="eastAsia"/>
                <w:color w:val="auto"/>
                <w:lang w:bidi="ar"/>
              </w:rPr>
              <w:t>防水石膏板、普通石膏板</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可耐福</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7</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轻钢龙骨</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CBH</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8</w:t>
            </w:r>
          </w:p>
        </w:tc>
        <w:tc>
          <w:tcPr>
            <w:tcW w:w="3197" w:type="dxa"/>
            <w:tcBorders>
              <w:top w:val="single" w:color="000000" w:sz="4" w:space="0"/>
              <w:left w:val="single" w:color="000000" w:sz="4" w:space="0"/>
              <w:bottom w:val="nil"/>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乳胶漆</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nil"/>
              <w:right w:val="single" w:color="000000" w:sz="4" w:space="0"/>
            </w:tcBorders>
            <w:vAlign w:val="center"/>
          </w:tcPr>
          <w:p>
            <w:pPr>
              <w:overflowPunct w:val="0"/>
              <w:ind w:firstLine="480"/>
              <w:jc w:val="both"/>
              <w:rPr>
                <w:color w:val="auto"/>
              </w:rPr>
            </w:pPr>
            <w:r>
              <w:rPr>
                <w:rFonts w:hint="eastAsia"/>
                <w:color w:val="auto"/>
              </w:rPr>
              <w:t>多乐士</w:t>
            </w:r>
          </w:p>
        </w:tc>
      </w:tr>
      <w:tr>
        <w:tblPrEx>
          <w:tblCellMar>
            <w:top w:w="0" w:type="dxa"/>
            <w:left w:w="108" w:type="dxa"/>
            <w:bottom w:w="0" w:type="dxa"/>
            <w:right w:w="108" w:type="dxa"/>
          </w:tblCellMar>
        </w:tblPrEx>
        <w:trPr>
          <w:trHeight w:val="729"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9</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铝合金门窗内墙密封胶</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10</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给排水管</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日丰</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11</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地暖管材</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德国威德曼</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12</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石膏阴角线</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13</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石材</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0" w:firstLineChars="0"/>
              <w:jc w:val="both"/>
              <w:rPr>
                <w:color w:val="auto"/>
              </w:rPr>
            </w:pPr>
            <w:r>
              <w:rPr>
                <w:rFonts w:hint="eastAsia"/>
                <w:color w:val="auto"/>
              </w:rPr>
              <w:t>按设计及国标要求</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14</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成品干粉腻子</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胖子、阿力克</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15</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沙、石</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16</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防水材料</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overflowPunct w:val="0"/>
              <w:ind w:firstLine="480"/>
              <w:jc w:val="both"/>
              <w:rPr>
                <w:color w:val="auto"/>
              </w:rPr>
            </w:pPr>
            <w:r>
              <w:rPr>
                <w:rFonts w:hint="eastAsia"/>
                <w:color w:val="auto"/>
              </w:rPr>
              <w:t>圣戈班</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17</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坐便器</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科勒</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18</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淋浴组合</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科勒</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19</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暖风机</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0" w:firstLineChars="0"/>
              <w:jc w:val="both"/>
              <w:textAlignment w:val="auto"/>
              <w:rPr>
                <w:color w:val="auto"/>
              </w:rPr>
            </w:pPr>
            <w:r>
              <w:rPr>
                <w:rFonts w:hint="eastAsia"/>
                <w:color w:val="auto"/>
              </w:rPr>
              <w:t>巴洛斯顿、奥普、1+1</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20</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地漏</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金案</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21</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浴缸</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科勒</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22</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洗烘一体机</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西门子</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23</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冰箱</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西门子</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24</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洗碗机</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方太</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25</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蒸烤一体机</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方太</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26</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烟机灶具</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方太</w:t>
            </w:r>
          </w:p>
        </w:tc>
      </w:tr>
      <w:tr>
        <w:tblPrEx>
          <w:tblCellMar>
            <w:top w:w="0" w:type="dxa"/>
            <w:left w:w="108" w:type="dxa"/>
            <w:bottom w:w="0" w:type="dxa"/>
            <w:right w:w="108" w:type="dxa"/>
          </w:tblCellMar>
        </w:tblPrEx>
        <w:trPr>
          <w:trHeight w:val="565"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27</w:t>
            </w: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热水器</w:t>
            </w: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lang w:bidi="ar"/>
              </w:rPr>
              <w:t>乙供自报价</w:t>
            </w: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r>
              <w:rPr>
                <w:rFonts w:hint="eastAsia"/>
                <w:color w:val="auto"/>
              </w:rPr>
              <w:t>百乐满</w:t>
            </w:r>
          </w:p>
        </w:tc>
      </w:tr>
      <w:tr>
        <w:tblPrEx>
          <w:tblCellMar>
            <w:top w:w="0" w:type="dxa"/>
            <w:left w:w="108" w:type="dxa"/>
            <w:bottom w:w="0" w:type="dxa"/>
            <w:right w:w="108" w:type="dxa"/>
          </w:tblCellMar>
        </w:tblPrEx>
        <w:trPr>
          <w:trHeight w:val="238" w:hRule="atLeast"/>
        </w:trPr>
        <w:tc>
          <w:tcPr>
            <w:tcW w:w="815"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p>
        </w:tc>
        <w:tc>
          <w:tcPr>
            <w:tcW w:w="319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p>
        </w:tc>
        <w:tc>
          <w:tcPr>
            <w:tcW w:w="2237"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p>
        </w:tc>
        <w:tc>
          <w:tcPr>
            <w:tcW w:w="2509" w:type="dxa"/>
            <w:tcBorders>
              <w:top w:val="single" w:color="000000" w:sz="4" w:space="0"/>
              <w:left w:val="single" w:color="000000" w:sz="4" w:space="0"/>
              <w:bottom w:val="single" w:color="000000" w:sz="4" w:space="0"/>
              <w:right w:val="single" w:color="000000" w:sz="4" w:space="0"/>
            </w:tcBorders>
            <w:vAlign w:val="center"/>
          </w:tcPr>
          <w:p>
            <w:pPr>
              <w:widowControl w:val="0"/>
              <w:overflowPunct w:val="0"/>
              <w:ind w:firstLine="480"/>
              <w:jc w:val="both"/>
              <w:textAlignment w:val="auto"/>
              <w:rPr>
                <w:color w:val="auto"/>
              </w:rPr>
            </w:pPr>
          </w:p>
        </w:tc>
      </w:tr>
    </w:tbl>
    <w:p>
      <w:pPr>
        <w:pStyle w:val="2"/>
        <w:overflowPunct w:val="0"/>
        <w:rPr>
          <w:rFonts w:hAnsi="宋体" w:cs="宋体"/>
          <w:bCs/>
          <w:color w:val="auto"/>
          <w:szCs w:val="28"/>
        </w:rPr>
      </w:pPr>
    </w:p>
    <w:p>
      <w:pPr>
        <w:pStyle w:val="2"/>
        <w:overflowPunct w:val="0"/>
        <w:ind w:firstLine="518"/>
        <w:rPr>
          <w:rFonts w:hAnsi="宋体" w:cs="宋体"/>
          <w:bCs/>
          <w:color w:val="auto"/>
          <w:szCs w:val="28"/>
        </w:rPr>
      </w:pPr>
    </w:p>
    <w:p>
      <w:pPr>
        <w:pStyle w:val="2"/>
        <w:overflowPunct w:val="0"/>
        <w:spacing w:line="360" w:lineRule="auto"/>
        <w:rPr>
          <w:rFonts w:hAnsi="宋体" w:cs="宋体"/>
          <w:bCs/>
          <w:color w:val="auto"/>
          <w:szCs w:val="28"/>
        </w:rPr>
      </w:pPr>
      <w:r>
        <w:rPr>
          <w:rFonts w:hint="eastAsia" w:hAnsi="宋体" w:cs="宋体"/>
          <w:bCs/>
          <w:color w:val="auto"/>
          <w:szCs w:val="28"/>
        </w:rPr>
        <w:t>附件四、《装修工程外观验收标准》</w:t>
      </w:r>
    </w:p>
    <w:tbl>
      <w:tblPr>
        <w:tblStyle w:val="47"/>
        <w:tblW w:w="97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056"/>
        <w:gridCol w:w="7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152" w:type="dxa"/>
          </w:tcPr>
          <w:p>
            <w:pPr>
              <w:pStyle w:val="100"/>
              <w:ind w:firstLine="0" w:firstLineChars="0"/>
              <w:rPr>
                <w:color w:val="auto"/>
              </w:rPr>
            </w:pPr>
            <w:r>
              <w:rPr>
                <w:rFonts w:hint="eastAsia"/>
                <w:color w:val="auto"/>
              </w:rPr>
              <w:t>检查内容</w:t>
            </w:r>
          </w:p>
        </w:tc>
        <w:tc>
          <w:tcPr>
            <w:tcW w:w="8646" w:type="dxa"/>
            <w:gridSpan w:val="2"/>
          </w:tcPr>
          <w:p>
            <w:pPr>
              <w:pStyle w:val="100"/>
              <w:rPr>
                <w:color w:val="auto"/>
              </w:rPr>
            </w:pPr>
            <w:r>
              <w:rPr>
                <w:rFonts w:hint="eastAsia"/>
                <w:color w:val="auto"/>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tcPr>
          <w:p>
            <w:pPr>
              <w:pStyle w:val="100"/>
              <w:ind w:firstLine="0" w:firstLineChars="0"/>
              <w:rPr>
                <w:color w:val="auto"/>
              </w:rPr>
            </w:pPr>
            <w:r>
              <w:rPr>
                <w:rFonts w:hint="eastAsia"/>
                <w:color w:val="auto"/>
              </w:rPr>
              <w:t>交楼标准</w:t>
            </w:r>
          </w:p>
        </w:tc>
        <w:tc>
          <w:tcPr>
            <w:tcW w:w="8646" w:type="dxa"/>
            <w:gridSpan w:val="2"/>
          </w:tcPr>
          <w:p>
            <w:pPr>
              <w:pStyle w:val="100"/>
              <w:rPr>
                <w:color w:val="auto"/>
              </w:rPr>
            </w:pPr>
            <w:r>
              <w:rPr>
                <w:rFonts w:hint="eastAsia"/>
                <w:color w:val="auto"/>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restart"/>
          </w:tcPr>
          <w:p>
            <w:pPr>
              <w:pStyle w:val="100"/>
              <w:rPr>
                <w:color w:val="auto"/>
              </w:rPr>
            </w:pPr>
          </w:p>
          <w:p>
            <w:pPr>
              <w:pStyle w:val="100"/>
              <w:rPr>
                <w:color w:val="auto"/>
              </w:rPr>
            </w:pPr>
          </w:p>
          <w:p>
            <w:pPr>
              <w:pStyle w:val="100"/>
              <w:ind w:firstLine="0" w:firstLineChars="0"/>
              <w:rPr>
                <w:color w:val="auto"/>
              </w:rPr>
            </w:pPr>
            <w:r>
              <w:rPr>
                <w:rFonts w:hint="eastAsia"/>
                <w:color w:val="auto"/>
              </w:rPr>
              <w:t>地面</w:t>
            </w:r>
          </w:p>
        </w:tc>
        <w:tc>
          <w:tcPr>
            <w:tcW w:w="1056" w:type="dxa"/>
            <w:vMerge w:val="restart"/>
          </w:tcPr>
          <w:p>
            <w:pPr>
              <w:pStyle w:val="100"/>
              <w:rPr>
                <w:color w:val="auto"/>
              </w:rPr>
            </w:pPr>
          </w:p>
          <w:p>
            <w:pPr>
              <w:pStyle w:val="100"/>
              <w:rPr>
                <w:color w:val="auto"/>
              </w:rPr>
            </w:pPr>
          </w:p>
          <w:p>
            <w:pPr>
              <w:pStyle w:val="100"/>
              <w:ind w:firstLine="0" w:firstLineChars="0"/>
              <w:rPr>
                <w:color w:val="auto"/>
              </w:rPr>
            </w:pPr>
            <w:r>
              <w:rPr>
                <w:rFonts w:hint="eastAsia"/>
                <w:color w:val="auto"/>
              </w:rPr>
              <w:t xml:space="preserve">瓷 </w:t>
            </w:r>
            <w:r>
              <w:rPr>
                <w:rFonts w:hint="eastAsia"/>
                <w:color w:val="auto"/>
                <w:spacing w:val="-16"/>
              </w:rPr>
              <w:t>砖</w:t>
            </w:r>
          </w:p>
        </w:tc>
        <w:tc>
          <w:tcPr>
            <w:tcW w:w="7590" w:type="dxa"/>
          </w:tcPr>
          <w:p>
            <w:pPr>
              <w:pStyle w:val="100"/>
              <w:rPr>
                <w:color w:val="auto"/>
              </w:rPr>
            </w:pPr>
            <w:r>
              <w:rPr>
                <w:rFonts w:hint="eastAsia"/>
                <w:color w:val="auto"/>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restart"/>
          </w:tcPr>
          <w:p>
            <w:pPr>
              <w:pStyle w:val="100"/>
              <w:rPr>
                <w:color w:val="auto"/>
              </w:rPr>
            </w:pPr>
          </w:p>
          <w:p>
            <w:pPr>
              <w:pStyle w:val="100"/>
              <w:ind w:firstLine="0" w:firstLineChars="0"/>
              <w:rPr>
                <w:color w:val="auto"/>
              </w:rPr>
            </w:pPr>
            <w:r>
              <w:rPr>
                <w:rFonts w:hint="eastAsia"/>
                <w:color w:val="auto"/>
              </w:rPr>
              <w:t>木地板</w:t>
            </w:r>
          </w:p>
        </w:tc>
        <w:tc>
          <w:tcPr>
            <w:tcW w:w="7590" w:type="dxa"/>
          </w:tcPr>
          <w:p>
            <w:pPr>
              <w:pStyle w:val="100"/>
              <w:rPr>
                <w:color w:val="auto"/>
              </w:rPr>
            </w:pPr>
            <w:r>
              <w:rPr>
                <w:rFonts w:hint="eastAsia"/>
                <w:color w:val="auto"/>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restart"/>
          </w:tcPr>
          <w:p>
            <w:pPr>
              <w:pStyle w:val="100"/>
              <w:rPr>
                <w:color w:val="auto"/>
              </w:rPr>
            </w:pPr>
          </w:p>
          <w:p>
            <w:pPr>
              <w:pStyle w:val="100"/>
              <w:rPr>
                <w:color w:val="auto"/>
              </w:rPr>
            </w:pPr>
          </w:p>
          <w:p>
            <w:pPr>
              <w:pStyle w:val="100"/>
              <w:rPr>
                <w:color w:val="auto"/>
              </w:rPr>
            </w:pPr>
            <w:r>
              <w:rPr>
                <w:rFonts w:hint="eastAsia"/>
                <w:color w:val="auto"/>
              </w:rPr>
              <w:t>墙面</w:t>
            </w:r>
          </w:p>
        </w:tc>
        <w:tc>
          <w:tcPr>
            <w:tcW w:w="1056" w:type="dxa"/>
            <w:vMerge w:val="restart"/>
          </w:tcPr>
          <w:p>
            <w:pPr>
              <w:pStyle w:val="100"/>
              <w:rPr>
                <w:color w:val="auto"/>
              </w:rPr>
            </w:pPr>
          </w:p>
          <w:p>
            <w:pPr>
              <w:pStyle w:val="100"/>
              <w:ind w:firstLine="0" w:firstLineChars="0"/>
              <w:rPr>
                <w:color w:val="auto"/>
              </w:rPr>
            </w:pPr>
            <w:r>
              <w:rPr>
                <w:rFonts w:hint="eastAsia"/>
                <w:color w:val="auto"/>
              </w:rPr>
              <w:t>乳胶漆墙面</w:t>
            </w:r>
          </w:p>
        </w:tc>
        <w:tc>
          <w:tcPr>
            <w:tcW w:w="7590" w:type="dxa"/>
          </w:tcPr>
          <w:p>
            <w:pPr>
              <w:pStyle w:val="100"/>
              <w:rPr>
                <w:color w:val="auto"/>
              </w:rPr>
            </w:pPr>
            <w:r>
              <w:rPr>
                <w:rFonts w:hint="eastAsia"/>
                <w:color w:val="auto"/>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restart"/>
          </w:tcPr>
          <w:p>
            <w:pPr>
              <w:pStyle w:val="100"/>
              <w:rPr>
                <w:color w:val="auto"/>
              </w:rPr>
            </w:pPr>
          </w:p>
          <w:p>
            <w:pPr>
              <w:pStyle w:val="100"/>
              <w:ind w:firstLine="0" w:firstLineChars="0"/>
              <w:rPr>
                <w:color w:val="auto"/>
              </w:rPr>
            </w:pPr>
            <w:r>
              <w:rPr>
                <w:rFonts w:hint="eastAsia"/>
                <w:color w:val="auto"/>
                <w:lang w:val="en-US"/>
              </w:rPr>
              <w:t>瓷砖</w:t>
            </w:r>
            <w:r>
              <w:rPr>
                <w:rFonts w:hint="eastAsia"/>
                <w:color w:val="auto"/>
              </w:rPr>
              <w:t>墙面</w:t>
            </w:r>
          </w:p>
        </w:tc>
        <w:tc>
          <w:tcPr>
            <w:tcW w:w="7590" w:type="dxa"/>
          </w:tcPr>
          <w:p>
            <w:pPr>
              <w:pStyle w:val="100"/>
              <w:rPr>
                <w:color w:val="auto"/>
              </w:rPr>
            </w:pPr>
            <w:r>
              <w:rPr>
                <w:rFonts w:hint="eastAsia"/>
                <w:color w:val="auto"/>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restart"/>
          </w:tcPr>
          <w:p>
            <w:pPr>
              <w:pStyle w:val="100"/>
              <w:rPr>
                <w:color w:val="auto"/>
              </w:rPr>
            </w:pPr>
          </w:p>
          <w:p>
            <w:pPr>
              <w:pStyle w:val="100"/>
              <w:rPr>
                <w:color w:val="auto"/>
              </w:rPr>
            </w:pPr>
          </w:p>
          <w:p>
            <w:pPr>
              <w:pStyle w:val="100"/>
              <w:rPr>
                <w:color w:val="auto"/>
              </w:rPr>
            </w:pPr>
          </w:p>
          <w:p>
            <w:pPr>
              <w:pStyle w:val="100"/>
              <w:rPr>
                <w:color w:val="auto"/>
              </w:rPr>
            </w:pPr>
          </w:p>
          <w:p>
            <w:pPr>
              <w:pStyle w:val="100"/>
              <w:ind w:firstLine="0" w:firstLineChars="0"/>
              <w:rPr>
                <w:color w:val="auto"/>
              </w:rPr>
            </w:pPr>
            <w:r>
              <w:rPr>
                <w:rFonts w:hint="eastAsia"/>
                <w:color w:val="auto"/>
              </w:rPr>
              <w:t>天花</w:t>
            </w:r>
          </w:p>
        </w:tc>
        <w:tc>
          <w:tcPr>
            <w:tcW w:w="1056" w:type="dxa"/>
            <w:vMerge w:val="restart"/>
          </w:tcPr>
          <w:p>
            <w:pPr>
              <w:pStyle w:val="100"/>
              <w:rPr>
                <w:color w:val="auto"/>
              </w:rPr>
            </w:pPr>
          </w:p>
          <w:p>
            <w:pPr>
              <w:pStyle w:val="100"/>
              <w:ind w:firstLine="0" w:firstLineChars="0"/>
              <w:rPr>
                <w:color w:val="auto"/>
              </w:rPr>
            </w:pPr>
            <w:r>
              <w:rPr>
                <w:rFonts w:hint="eastAsia"/>
                <w:color w:val="auto"/>
              </w:rPr>
              <w:t>乳胶漆天花</w:t>
            </w:r>
          </w:p>
        </w:tc>
        <w:tc>
          <w:tcPr>
            <w:tcW w:w="7590" w:type="dxa"/>
          </w:tcPr>
          <w:p>
            <w:pPr>
              <w:pStyle w:val="100"/>
              <w:rPr>
                <w:color w:val="auto"/>
              </w:rPr>
            </w:pPr>
            <w:r>
              <w:rPr>
                <w:rFonts w:hint="eastAsia"/>
                <w:color w:val="auto"/>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jc w:val="both"/>
              <w:rPr>
                <w:color w:val="auto"/>
              </w:rPr>
            </w:pPr>
          </w:p>
        </w:tc>
        <w:tc>
          <w:tcPr>
            <w:tcW w:w="7590" w:type="dxa"/>
          </w:tcPr>
          <w:p>
            <w:pPr>
              <w:pStyle w:val="100"/>
              <w:rPr>
                <w:color w:val="auto"/>
              </w:rPr>
            </w:pPr>
            <w:r>
              <w:rPr>
                <w:rFonts w:hint="eastAsia"/>
                <w:color w:val="auto"/>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tcBorders>
          </w:tcPr>
          <w:p>
            <w:pPr>
              <w:overflowPunct w:val="0"/>
              <w:rPr>
                <w:color w:val="auto"/>
              </w:rPr>
            </w:pPr>
          </w:p>
        </w:tc>
        <w:tc>
          <w:tcPr>
            <w:tcW w:w="1056" w:type="dxa"/>
            <w:vMerge w:val="restart"/>
          </w:tcPr>
          <w:p>
            <w:pPr>
              <w:pStyle w:val="100"/>
              <w:rPr>
                <w:color w:val="auto"/>
              </w:rPr>
            </w:pPr>
          </w:p>
          <w:p>
            <w:pPr>
              <w:pStyle w:val="100"/>
              <w:ind w:firstLine="0" w:firstLineChars="0"/>
              <w:rPr>
                <w:color w:val="auto"/>
              </w:rPr>
            </w:pPr>
            <w:r>
              <w:rPr>
                <w:rFonts w:hint="eastAsia"/>
                <w:color w:val="auto"/>
              </w:rPr>
              <w:t>吊顶</w:t>
            </w:r>
          </w:p>
        </w:tc>
        <w:tc>
          <w:tcPr>
            <w:tcW w:w="7590" w:type="dxa"/>
          </w:tcPr>
          <w:p>
            <w:pPr>
              <w:pStyle w:val="100"/>
              <w:rPr>
                <w:color w:val="auto"/>
              </w:rPr>
            </w:pPr>
            <w:r>
              <w:rPr>
                <w:rFonts w:hint="eastAsia"/>
                <w:color w:val="auto"/>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52" w:type="dxa"/>
            <w:vMerge w:val="continue"/>
            <w:tcBorders>
              <w:top w:val="nil"/>
            </w:tcBorders>
          </w:tcPr>
          <w:p>
            <w:pPr>
              <w:overflowPunct w:val="0"/>
              <w:rPr>
                <w:color w:val="auto"/>
              </w:rPr>
            </w:pPr>
          </w:p>
        </w:tc>
        <w:tc>
          <w:tcPr>
            <w:tcW w:w="1056" w:type="dxa"/>
            <w:vMerge w:val="continue"/>
            <w:tcBorders>
              <w:top w:val="nil"/>
            </w:tcBorders>
          </w:tcPr>
          <w:p>
            <w:pPr>
              <w:overflowPunct w:val="0"/>
              <w:rPr>
                <w:color w:val="auto"/>
              </w:rPr>
            </w:pPr>
          </w:p>
        </w:tc>
        <w:tc>
          <w:tcPr>
            <w:tcW w:w="7590" w:type="dxa"/>
          </w:tcPr>
          <w:p>
            <w:pPr>
              <w:pStyle w:val="100"/>
              <w:rPr>
                <w:color w:val="auto"/>
              </w:rPr>
            </w:pPr>
            <w:r>
              <w:rPr>
                <w:rFonts w:hint="eastAsia"/>
                <w:color w:val="auto"/>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nil"/>
              <w:bottom w:val="single" w:color="auto" w:sz="4" w:space="0"/>
            </w:tcBorders>
          </w:tcPr>
          <w:p>
            <w:pPr>
              <w:overflowPunct w:val="0"/>
              <w:rPr>
                <w:color w:val="auto"/>
              </w:rPr>
            </w:pPr>
          </w:p>
        </w:tc>
        <w:tc>
          <w:tcPr>
            <w:tcW w:w="1056" w:type="dxa"/>
            <w:vMerge w:val="continue"/>
            <w:tcBorders>
              <w:top w:val="nil"/>
              <w:bottom w:val="single" w:color="auto" w:sz="4" w:space="0"/>
            </w:tcBorders>
          </w:tcPr>
          <w:p>
            <w:pPr>
              <w:overflowPunct w:val="0"/>
              <w:rPr>
                <w:color w:val="auto"/>
              </w:rPr>
            </w:pPr>
          </w:p>
        </w:tc>
        <w:tc>
          <w:tcPr>
            <w:tcW w:w="7590" w:type="dxa"/>
          </w:tcPr>
          <w:p>
            <w:pPr>
              <w:pStyle w:val="100"/>
              <w:rPr>
                <w:color w:val="auto"/>
              </w:rPr>
            </w:pPr>
            <w:r>
              <w:rPr>
                <w:rFonts w:hint="eastAsia"/>
                <w:color w:val="auto"/>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restart"/>
            <w:tcBorders>
              <w:top w:val="single" w:color="auto" w:sz="4" w:space="0"/>
              <w:left w:val="single" w:color="auto" w:sz="4" w:space="0"/>
              <w:bottom w:val="single" w:color="auto" w:sz="4" w:space="0"/>
              <w:right w:val="single" w:color="auto" w:sz="4" w:space="0"/>
            </w:tcBorders>
          </w:tcPr>
          <w:p>
            <w:pPr>
              <w:overflowPunct w:val="0"/>
              <w:rPr>
                <w:color w:val="auto"/>
              </w:rPr>
            </w:pPr>
          </w:p>
          <w:p>
            <w:pPr>
              <w:overflowPunct w:val="0"/>
              <w:ind w:firstLine="0" w:firstLineChars="0"/>
              <w:rPr>
                <w:color w:val="auto"/>
              </w:rPr>
            </w:pPr>
            <w:r>
              <w:rPr>
                <w:rFonts w:hint="eastAsia"/>
                <w:color w:val="auto"/>
              </w:rPr>
              <w:t>给排水</w:t>
            </w:r>
          </w:p>
        </w:tc>
        <w:tc>
          <w:tcPr>
            <w:tcW w:w="1056" w:type="dxa"/>
            <w:tcBorders>
              <w:top w:val="single" w:color="auto" w:sz="4" w:space="0"/>
              <w:left w:val="single" w:color="auto" w:sz="4" w:space="0"/>
              <w:bottom w:val="single" w:color="auto" w:sz="4" w:space="0"/>
              <w:right w:val="single" w:color="auto" w:sz="4" w:space="0"/>
            </w:tcBorders>
          </w:tcPr>
          <w:p>
            <w:pPr>
              <w:pStyle w:val="100"/>
              <w:ind w:firstLine="0" w:firstLineChars="0"/>
              <w:rPr>
                <w:color w:val="auto"/>
              </w:rPr>
            </w:pPr>
            <w:r>
              <w:rPr>
                <w:rFonts w:hint="eastAsia"/>
                <w:color w:val="auto"/>
              </w:rPr>
              <w:t>给水</w:t>
            </w:r>
          </w:p>
        </w:tc>
        <w:tc>
          <w:tcPr>
            <w:tcW w:w="7590" w:type="dxa"/>
            <w:tcBorders>
              <w:left w:val="single" w:color="auto" w:sz="4" w:space="0"/>
            </w:tcBorders>
          </w:tcPr>
          <w:p>
            <w:pPr>
              <w:pStyle w:val="100"/>
              <w:rPr>
                <w:color w:val="auto"/>
              </w:rPr>
            </w:pPr>
            <w:r>
              <w:rPr>
                <w:rFonts w:hint="eastAsia"/>
                <w:color w:val="auto"/>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top w:val="single" w:color="auto" w:sz="4" w:space="0"/>
              <w:left w:val="single" w:color="auto" w:sz="4" w:space="0"/>
              <w:bottom w:val="single" w:color="auto" w:sz="4" w:space="0"/>
              <w:right w:val="single" w:color="auto" w:sz="4" w:space="0"/>
            </w:tcBorders>
          </w:tcPr>
          <w:p>
            <w:pPr>
              <w:overflowPunct w:val="0"/>
              <w:rPr>
                <w:color w:val="auto"/>
              </w:rPr>
            </w:pPr>
          </w:p>
        </w:tc>
        <w:tc>
          <w:tcPr>
            <w:tcW w:w="1056" w:type="dxa"/>
            <w:tcBorders>
              <w:top w:val="single" w:color="auto" w:sz="4" w:space="0"/>
              <w:left w:val="single" w:color="auto" w:sz="4" w:space="0"/>
              <w:bottom w:val="single" w:color="auto" w:sz="4" w:space="0"/>
              <w:right w:val="single" w:color="auto" w:sz="4" w:space="0"/>
            </w:tcBorders>
          </w:tcPr>
          <w:p>
            <w:pPr>
              <w:pStyle w:val="100"/>
              <w:ind w:firstLine="0" w:firstLineChars="0"/>
              <w:rPr>
                <w:color w:val="auto"/>
              </w:rPr>
            </w:pPr>
            <w:r>
              <w:rPr>
                <w:rFonts w:hint="eastAsia"/>
                <w:color w:val="auto"/>
              </w:rPr>
              <w:t>排水</w:t>
            </w:r>
          </w:p>
        </w:tc>
        <w:tc>
          <w:tcPr>
            <w:tcW w:w="7590" w:type="dxa"/>
            <w:tcBorders>
              <w:left w:val="single" w:color="auto" w:sz="4" w:space="0"/>
              <w:bottom w:val="single" w:color="auto" w:sz="4" w:space="0"/>
            </w:tcBorders>
          </w:tcPr>
          <w:p>
            <w:pPr>
              <w:pStyle w:val="100"/>
              <w:ind w:firstLine="240" w:firstLineChars="100"/>
              <w:rPr>
                <w:color w:val="auto"/>
              </w:rPr>
            </w:pPr>
            <w:r>
              <w:rPr>
                <w:rFonts w:hint="eastAsia"/>
                <w:color w:val="auto"/>
              </w:rPr>
              <w:t>排水顺畅、有吸力，不渗漏，配件齐全，安装到位。预留口位置准确，保护有效，管内无异物。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52" w:type="dxa"/>
            <w:vMerge w:val="restart"/>
            <w:tcBorders>
              <w:top w:val="single" w:color="auto" w:sz="4" w:space="0"/>
              <w:left w:val="single" w:color="auto" w:sz="4" w:space="0"/>
              <w:right w:val="single" w:color="auto" w:sz="4" w:space="0"/>
            </w:tcBorders>
          </w:tcPr>
          <w:p>
            <w:pPr>
              <w:overflowPunct w:val="0"/>
              <w:rPr>
                <w:color w:val="auto"/>
              </w:rPr>
            </w:pPr>
          </w:p>
          <w:p>
            <w:pPr>
              <w:overflowPunct w:val="0"/>
              <w:rPr>
                <w:color w:val="auto"/>
              </w:rPr>
            </w:pPr>
          </w:p>
          <w:p>
            <w:pPr>
              <w:overflowPunct w:val="0"/>
              <w:rPr>
                <w:color w:val="auto"/>
              </w:rPr>
            </w:pPr>
          </w:p>
          <w:p>
            <w:pPr>
              <w:overflowPunct w:val="0"/>
              <w:rPr>
                <w:color w:val="auto"/>
              </w:rPr>
            </w:pPr>
          </w:p>
          <w:p>
            <w:pPr>
              <w:overflowPunct w:val="0"/>
              <w:rPr>
                <w:color w:val="auto"/>
              </w:rPr>
            </w:pPr>
          </w:p>
          <w:p>
            <w:pPr>
              <w:overflowPunct w:val="0"/>
              <w:rPr>
                <w:color w:val="auto"/>
              </w:rPr>
            </w:pPr>
          </w:p>
          <w:p>
            <w:pPr>
              <w:overflowPunct w:val="0"/>
              <w:ind w:firstLine="0" w:firstLineChars="0"/>
              <w:rPr>
                <w:color w:val="auto"/>
              </w:rPr>
            </w:pPr>
            <w:r>
              <w:rPr>
                <w:rFonts w:hint="eastAsia"/>
                <w:color w:val="auto"/>
              </w:rPr>
              <w:t>安装类</w:t>
            </w:r>
          </w:p>
        </w:tc>
        <w:tc>
          <w:tcPr>
            <w:tcW w:w="1056" w:type="dxa"/>
            <w:vMerge w:val="restart"/>
            <w:tcBorders>
              <w:top w:val="single" w:color="auto" w:sz="4" w:space="0"/>
              <w:left w:val="single" w:color="auto" w:sz="4" w:space="0"/>
              <w:bottom w:val="single" w:color="auto" w:sz="4" w:space="0"/>
              <w:right w:val="single" w:color="auto" w:sz="4" w:space="0"/>
            </w:tcBorders>
          </w:tcPr>
          <w:p>
            <w:pPr>
              <w:overflowPunct w:val="0"/>
              <w:jc w:val="both"/>
              <w:rPr>
                <w:color w:val="auto"/>
              </w:rPr>
            </w:pPr>
          </w:p>
          <w:p>
            <w:pPr>
              <w:overflowPunct w:val="0"/>
              <w:ind w:firstLine="0" w:firstLineChars="0"/>
              <w:jc w:val="both"/>
              <w:rPr>
                <w:color w:val="auto"/>
              </w:rPr>
            </w:pPr>
            <w:r>
              <w:rPr>
                <w:rFonts w:hint="eastAsia"/>
                <w:color w:val="auto"/>
              </w:rPr>
              <w:t>灯具</w:t>
            </w: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top w:val="single" w:color="auto" w:sz="4" w:space="0"/>
              <w:left w:val="single" w:color="auto" w:sz="4" w:space="0"/>
              <w:bottom w:val="single" w:color="auto" w:sz="4" w:space="0"/>
              <w:right w:val="single" w:color="auto" w:sz="4" w:space="0"/>
            </w:tcBorders>
          </w:tcPr>
          <w:p>
            <w:pPr>
              <w:overflowPunct w:val="0"/>
              <w:jc w:val="both"/>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jc w:val="both"/>
              <w:rPr>
                <w:color w:val="auto"/>
              </w:rPr>
            </w:pPr>
          </w:p>
        </w:tc>
        <w:tc>
          <w:tcPr>
            <w:tcW w:w="1056" w:type="dxa"/>
            <w:vMerge w:val="restart"/>
            <w:tcBorders>
              <w:top w:val="single" w:color="auto" w:sz="4" w:space="0"/>
              <w:left w:val="single" w:color="auto" w:sz="4" w:space="0"/>
              <w:bottom w:val="single" w:color="auto" w:sz="4" w:space="0"/>
              <w:right w:val="single" w:color="auto" w:sz="4" w:space="0"/>
            </w:tcBorders>
          </w:tcPr>
          <w:p>
            <w:pPr>
              <w:overflowPunct w:val="0"/>
              <w:jc w:val="both"/>
              <w:rPr>
                <w:color w:val="auto"/>
              </w:rPr>
            </w:pPr>
          </w:p>
          <w:p>
            <w:pPr>
              <w:overflowPunct w:val="0"/>
              <w:ind w:firstLine="0" w:firstLineChars="0"/>
              <w:jc w:val="both"/>
              <w:rPr>
                <w:color w:val="auto"/>
              </w:rPr>
            </w:pPr>
            <w:r>
              <w:rPr>
                <w:rFonts w:hint="eastAsia"/>
                <w:color w:val="auto"/>
              </w:rPr>
              <w:t>开关插座等</w:t>
            </w: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jc w:val="both"/>
              <w:rPr>
                <w:color w:val="auto"/>
              </w:rPr>
            </w:pPr>
          </w:p>
        </w:tc>
        <w:tc>
          <w:tcPr>
            <w:tcW w:w="1056" w:type="dxa"/>
            <w:vMerge w:val="continue"/>
            <w:tcBorders>
              <w:top w:val="single" w:color="auto" w:sz="4" w:space="0"/>
              <w:left w:val="single" w:color="auto" w:sz="4" w:space="0"/>
              <w:bottom w:val="single" w:color="auto" w:sz="4" w:space="0"/>
              <w:right w:val="single" w:color="auto" w:sz="4" w:space="0"/>
            </w:tcBorders>
          </w:tcPr>
          <w:p>
            <w:pPr>
              <w:overflowPunct w:val="0"/>
              <w:jc w:val="both"/>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top w:val="single" w:color="auto" w:sz="4" w:space="0"/>
              <w:left w:val="single" w:color="auto" w:sz="4" w:space="0"/>
              <w:bottom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top w:val="single" w:color="auto" w:sz="4" w:space="0"/>
              <w:left w:val="single" w:color="auto" w:sz="4" w:space="0"/>
              <w:bottom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top w:val="single" w:color="auto" w:sz="4" w:space="0"/>
              <w:left w:val="single" w:color="auto" w:sz="4" w:space="0"/>
              <w:bottom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restart"/>
            <w:tcBorders>
              <w:top w:val="single" w:color="auto" w:sz="4" w:space="0"/>
              <w:left w:val="single" w:color="auto" w:sz="4" w:space="0"/>
              <w:right w:val="single" w:color="auto" w:sz="4" w:space="0"/>
            </w:tcBorders>
          </w:tcPr>
          <w:p>
            <w:pPr>
              <w:overflowPunct w:val="0"/>
              <w:rPr>
                <w:color w:val="auto"/>
              </w:rPr>
            </w:pPr>
          </w:p>
          <w:p>
            <w:pPr>
              <w:overflowPunct w:val="0"/>
              <w:rPr>
                <w:color w:val="auto"/>
              </w:rPr>
            </w:pPr>
          </w:p>
          <w:p>
            <w:pPr>
              <w:overflowPunct w:val="0"/>
              <w:ind w:firstLine="0" w:firstLineChars="0"/>
              <w:rPr>
                <w:color w:val="auto"/>
              </w:rPr>
            </w:pPr>
            <w:r>
              <w:rPr>
                <w:rFonts w:hint="eastAsia"/>
                <w:color w:val="auto"/>
              </w:rPr>
              <w:t>洁具</w:t>
            </w: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洁具及配件安装牢固端正，无破裂、脱瓷、划痕、水锈、污渍，洗手盆闭水器启闭灵活自如。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left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left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52" w:type="dxa"/>
            <w:vMerge w:val="continue"/>
            <w:tcBorders>
              <w:left w:val="single" w:color="auto" w:sz="4" w:space="0"/>
              <w:right w:val="single" w:color="auto" w:sz="4" w:space="0"/>
            </w:tcBorders>
          </w:tcPr>
          <w:p>
            <w:pPr>
              <w:overflowPunct w:val="0"/>
              <w:rPr>
                <w:color w:val="auto"/>
              </w:rPr>
            </w:pPr>
          </w:p>
        </w:tc>
        <w:tc>
          <w:tcPr>
            <w:tcW w:w="1056" w:type="dxa"/>
            <w:vMerge w:val="continue"/>
            <w:tcBorders>
              <w:left w:val="single" w:color="auto" w:sz="4" w:space="0"/>
              <w:right w:val="single" w:color="auto" w:sz="4" w:space="0"/>
            </w:tcBorders>
          </w:tcPr>
          <w:p>
            <w:pPr>
              <w:overflowPunct w:val="0"/>
              <w:rPr>
                <w:color w:val="auto"/>
              </w:rPr>
            </w:pPr>
          </w:p>
        </w:tc>
        <w:tc>
          <w:tcPr>
            <w:tcW w:w="7590" w:type="dxa"/>
            <w:tcBorders>
              <w:top w:val="single" w:color="auto" w:sz="4" w:space="0"/>
              <w:left w:val="single" w:color="auto" w:sz="4" w:space="0"/>
              <w:bottom w:val="single" w:color="auto" w:sz="4" w:space="0"/>
              <w:right w:val="single" w:color="auto" w:sz="4" w:space="0"/>
            </w:tcBorders>
          </w:tcPr>
          <w:p>
            <w:pPr>
              <w:pStyle w:val="100"/>
              <w:rPr>
                <w:color w:val="auto"/>
              </w:rPr>
            </w:pPr>
            <w:r>
              <w:rPr>
                <w:rFonts w:hint="eastAsia"/>
                <w:color w:val="auto"/>
              </w:rPr>
              <w:t>出水流速及水量正常，无滴漏现象。</w:t>
            </w:r>
          </w:p>
        </w:tc>
      </w:tr>
    </w:tbl>
    <w:p>
      <w:pPr>
        <w:pStyle w:val="2"/>
        <w:overflowPunct w:val="0"/>
        <w:spacing w:line="360" w:lineRule="auto"/>
        <w:ind w:firstLine="480"/>
        <w:rPr>
          <w:rFonts w:hAnsi="宋体" w:cs="宋体"/>
          <w:color w:val="auto"/>
          <w:szCs w:val="24"/>
        </w:rPr>
      </w:pPr>
    </w:p>
    <w:p>
      <w:pPr>
        <w:pStyle w:val="2"/>
        <w:overflowPunct w:val="0"/>
        <w:spacing w:line="360" w:lineRule="auto"/>
        <w:rPr>
          <w:rFonts w:hAnsi="宋体" w:cs="宋体"/>
          <w:bCs/>
          <w:color w:val="auto"/>
          <w:szCs w:val="28"/>
        </w:rPr>
      </w:pPr>
      <w:r>
        <w:rPr>
          <w:rFonts w:hint="eastAsia" w:hAnsi="宋体" w:cs="宋体"/>
          <w:bCs/>
          <w:color w:val="auto"/>
          <w:szCs w:val="28"/>
        </w:rPr>
        <w:t>附件五、《工程完工清洁移交标准》</w:t>
      </w:r>
    </w:p>
    <w:p>
      <w:pPr>
        <w:overflowPunct w:val="0"/>
        <w:spacing w:line="360" w:lineRule="auto"/>
        <w:ind w:firstLine="480"/>
        <w:outlineLvl w:val="9"/>
        <w:rPr>
          <w:color w:val="auto"/>
        </w:rPr>
      </w:pPr>
      <w:bookmarkStart w:id="3" w:name="_Toc501393776"/>
      <w:bookmarkStart w:id="4" w:name="_Toc28004843"/>
      <w:bookmarkStart w:id="5" w:name="_Toc501447305"/>
      <w:bookmarkStart w:id="6" w:name="_Toc501393569"/>
      <w:r>
        <w:rPr>
          <w:rFonts w:hint="eastAsia"/>
          <w:color w:val="auto"/>
        </w:rPr>
        <w:t xml:space="preserve">                  </w:t>
      </w:r>
      <w:r>
        <w:rPr>
          <w:rFonts w:hint="eastAsia"/>
          <w:color w:val="auto"/>
          <w:sz w:val="28"/>
          <w:szCs w:val="28"/>
        </w:rPr>
        <w:t xml:space="preserve">   工程完工清洁移交标准</w:t>
      </w:r>
      <w:bookmarkEnd w:id="3"/>
      <w:bookmarkEnd w:id="4"/>
      <w:bookmarkEnd w:id="5"/>
      <w:bookmarkEnd w:id="6"/>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vAlign w:val="center"/>
          </w:tcPr>
          <w:p>
            <w:pPr>
              <w:widowControl w:val="0"/>
              <w:overflowPunct w:val="0"/>
              <w:ind w:firstLine="0" w:firstLineChars="0"/>
              <w:jc w:val="both"/>
              <w:rPr>
                <w:color w:val="auto"/>
              </w:rPr>
            </w:pPr>
            <w:r>
              <w:rPr>
                <w:rFonts w:hint="eastAsia"/>
                <w:color w:val="auto"/>
              </w:rPr>
              <w:t>项目</w:t>
            </w:r>
          </w:p>
        </w:tc>
        <w:tc>
          <w:tcPr>
            <w:tcW w:w="1552" w:type="dxa"/>
            <w:vAlign w:val="center"/>
          </w:tcPr>
          <w:p>
            <w:pPr>
              <w:widowControl w:val="0"/>
              <w:overflowPunct w:val="0"/>
              <w:ind w:firstLine="480"/>
              <w:jc w:val="both"/>
              <w:rPr>
                <w:color w:val="auto"/>
              </w:rPr>
            </w:pPr>
            <w:r>
              <w:rPr>
                <w:rFonts w:hint="eastAsia"/>
                <w:color w:val="auto"/>
              </w:rPr>
              <w:t>部位</w:t>
            </w:r>
          </w:p>
        </w:tc>
        <w:tc>
          <w:tcPr>
            <w:tcW w:w="7567" w:type="dxa"/>
            <w:vAlign w:val="center"/>
          </w:tcPr>
          <w:p>
            <w:pPr>
              <w:widowControl w:val="0"/>
              <w:overflowPunct w:val="0"/>
              <w:ind w:firstLine="480"/>
              <w:jc w:val="both"/>
              <w:rPr>
                <w:color w:val="auto"/>
              </w:rPr>
            </w:pPr>
            <w:r>
              <w:rPr>
                <w:rFonts w:hint="eastAsia"/>
                <w:color w:val="auto"/>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vAlign w:val="center"/>
          </w:tcPr>
          <w:p>
            <w:pPr>
              <w:widowControl w:val="0"/>
              <w:overflowPunct w:val="0"/>
              <w:ind w:firstLine="0" w:firstLineChars="0"/>
              <w:jc w:val="both"/>
              <w:rPr>
                <w:color w:val="auto"/>
              </w:rPr>
            </w:pPr>
            <w:r>
              <w:rPr>
                <w:rFonts w:hint="eastAsia"/>
                <w:color w:val="auto"/>
              </w:rPr>
              <w:t>室内部位</w:t>
            </w:r>
          </w:p>
        </w:tc>
        <w:tc>
          <w:tcPr>
            <w:tcW w:w="1552" w:type="dxa"/>
            <w:vAlign w:val="center"/>
          </w:tcPr>
          <w:p>
            <w:pPr>
              <w:widowControl w:val="0"/>
              <w:overflowPunct w:val="0"/>
              <w:jc w:val="both"/>
              <w:rPr>
                <w:color w:val="auto"/>
              </w:rPr>
            </w:pPr>
            <w:r>
              <w:rPr>
                <w:rFonts w:hint="eastAsia"/>
                <w:color w:val="auto"/>
              </w:rPr>
              <w:t>楼地面</w:t>
            </w:r>
          </w:p>
        </w:tc>
        <w:tc>
          <w:tcPr>
            <w:tcW w:w="7567" w:type="dxa"/>
            <w:vAlign w:val="center"/>
          </w:tcPr>
          <w:p>
            <w:pPr>
              <w:widowControl w:val="0"/>
              <w:overflowPunct w:val="0"/>
              <w:jc w:val="both"/>
              <w:rPr>
                <w:color w:val="auto"/>
              </w:rPr>
            </w:pPr>
            <w:r>
              <w:rPr>
                <w:rFonts w:hint="eastAsia"/>
                <w:color w:val="auto"/>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r>
              <w:rPr>
                <w:rFonts w:hint="eastAsia"/>
                <w:color w:val="auto"/>
              </w:rPr>
              <w:t>墙面</w:t>
            </w:r>
          </w:p>
        </w:tc>
        <w:tc>
          <w:tcPr>
            <w:tcW w:w="7567" w:type="dxa"/>
            <w:vAlign w:val="center"/>
          </w:tcPr>
          <w:p>
            <w:pPr>
              <w:widowControl w:val="0"/>
              <w:overflowPunct w:val="0"/>
              <w:jc w:val="both"/>
              <w:rPr>
                <w:color w:val="auto"/>
              </w:rPr>
            </w:pPr>
            <w:r>
              <w:rPr>
                <w:rFonts w:hint="eastAsia"/>
                <w:color w:val="auto"/>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r>
              <w:rPr>
                <w:rFonts w:hint="eastAsia"/>
                <w:color w:val="auto"/>
              </w:rPr>
              <w:t>天棚</w:t>
            </w:r>
          </w:p>
        </w:tc>
        <w:tc>
          <w:tcPr>
            <w:tcW w:w="7567" w:type="dxa"/>
            <w:vAlign w:val="center"/>
          </w:tcPr>
          <w:p>
            <w:pPr>
              <w:widowControl w:val="0"/>
              <w:overflowPunct w:val="0"/>
              <w:jc w:val="both"/>
              <w:rPr>
                <w:color w:val="auto"/>
              </w:rPr>
            </w:pPr>
            <w:r>
              <w:rPr>
                <w:rFonts w:hint="eastAsia"/>
                <w:color w:val="auto"/>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门（包括入户门和室内门）</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开关面板</w:t>
            </w:r>
          </w:p>
        </w:tc>
        <w:tc>
          <w:tcPr>
            <w:tcW w:w="7567" w:type="dxa"/>
            <w:vAlign w:val="center"/>
          </w:tcPr>
          <w:p>
            <w:pPr>
              <w:widowControl w:val="0"/>
              <w:overflowPunct w:val="0"/>
              <w:jc w:val="both"/>
              <w:rPr>
                <w:color w:val="auto"/>
              </w:rPr>
            </w:pPr>
            <w:r>
              <w:rPr>
                <w:rFonts w:hint="eastAsia"/>
                <w:color w:val="auto"/>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入户电箱</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栏杆以及扶手</w:t>
            </w:r>
          </w:p>
        </w:tc>
        <w:tc>
          <w:tcPr>
            <w:tcW w:w="7567" w:type="dxa"/>
            <w:vAlign w:val="center"/>
          </w:tcPr>
          <w:p>
            <w:pPr>
              <w:widowControl w:val="0"/>
              <w:overflowPunct w:val="0"/>
              <w:jc w:val="both"/>
              <w:rPr>
                <w:color w:val="auto"/>
              </w:rPr>
            </w:pPr>
            <w:r>
              <w:rPr>
                <w:rFonts w:hint="eastAsia"/>
                <w:color w:val="auto"/>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橱柜</w:t>
            </w:r>
          </w:p>
        </w:tc>
        <w:tc>
          <w:tcPr>
            <w:tcW w:w="7567" w:type="dxa"/>
            <w:vAlign w:val="center"/>
          </w:tcPr>
          <w:p>
            <w:pPr>
              <w:widowControl w:val="0"/>
              <w:overflowPunct w:val="0"/>
              <w:jc w:val="both"/>
              <w:rPr>
                <w:color w:val="auto"/>
              </w:rPr>
            </w:pPr>
            <w:r>
              <w:rPr>
                <w:rFonts w:hint="eastAsia"/>
                <w:color w:val="auto"/>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淋浴屏风</w:t>
            </w:r>
          </w:p>
        </w:tc>
        <w:tc>
          <w:tcPr>
            <w:tcW w:w="7567" w:type="dxa"/>
            <w:vAlign w:val="center"/>
          </w:tcPr>
          <w:p>
            <w:pPr>
              <w:widowControl w:val="0"/>
              <w:overflowPunct w:val="0"/>
              <w:jc w:val="both"/>
              <w:rPr>
                <w:color w:val="auto"/>
              </w:rPr>
            </w:pPr>
            <w:r>
              <w:rPr>
                <w:rFonts w:hint="eastAsia"/>
                <w:color w:val="auto"/>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线管及管道</w:t>
            </w:r>
          </w:p>
        </w:tc>
        <w:tc>
          <w:tcPr>
            <w:tcW w:w="7567" w:type="dxa"/>
            <w:vAlign w:val="center"/>
          </w:tcPr>
          <w:p>
            <w:pPr>
              <w:widowControl w:val="0"/>
              <w:overflowPunct w:val="0"/>
              <w:jc w:val="both"/>
              <w:rPr>
                <w:color w:val="auto"/>
              </w:rPr>
            </w:pPr>
            <w:r>
              <w:rPr>
                <w:rFonts w:hint="eastAsia"/>
                <w:color w:val="auto"/>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玻璃</w:t>
            </w:r>
          </w:p>
        </w:tc>
        <w:tc>
          <w:tcPr>
            <w:tcW w:w="7567" w:type="dxa"/>
            <w:vAlign w:val="center"/>
          </w:tcPr>
          <w:p>
            <w:pPr>
              <w:widowControl w:val="0"/>
              <w:overflowPunct w:val="0"/>
              <w:jc w:val="both"/>
              <w:rPr>
                <w:color w:val="auto"/>
              </w:rPr>
            </w:pPr>
            <w:r>
              <w:rPr>
                <w:rFonts w:hint="eastAsia"/>
                <w:color w:val="auto"/>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空调机位</w:t>
            </w:r>
          </w:p>
        </w:tc>
        <w:tc>
          <w:tcPr>
            <w:tcW w:w="7567" w:type="dxa"/>
            <w:vAlign w:val="center"/>
          </w:tcPr>
          <w:p>
            <w:pPr>
              <w:widowControl w:val="0"/>
              <w:overflowPunct w:val="0"/>
              <w:jc w:val="both"/>
              <w:rPr>
                <w:color w:val="auto"/>
              </w:rPr>
            </w:pPr>
            <w:r>
              <w:rPr>
                <w:rFonts w:hint="eastAsia"/>
                <w:color w:val="auto"/>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空调</w:t>
            </w:r>
          </w:p>
        </w:tc>
        <w:tc>
          <w:tcPr>
            <w:tcW w:w="7567" w:type="dxa"/>
            <w:vAlign w:val="center"/>
          </w:tcPr>
          <w:p>
            <w:pPr>
              <w:widowControl w:val="0"/>
              <w:overflowPunct w:val="0"/>
              <w:jc w:val="both"/>
              <w:rPr>
                <w:color w:val="auto"/>
              </w:rPr>
            </w:pPr>
            <w:r>
              <w:rPr>
                <w:rFonts w:hint="eastAsia"/>
                <w:color w:val="auto"/>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可视对讲、报警安防</w:t>
            </w:r>
          </w:p>
        </w:tc>
        <w:tc>
          <w:tcPr>
            <w:tcW w:w="7567" w:type="dxa"/>
            <w:vAlign w:val="center"/>
          </w:tcPr>
          <w:p>
            <w:pPr>
              <w:widowControl w:val="0"/>
              <w:overflowPunct w:val="0"/>
              <w:jc w:val="both"/>
              <w:rPr>
                <w:color w:val="auto"/>
              </w:rPr>
            </w:pPr>
            <w:r>
              <w:rPr>
                <w:rFonts w:hint="eastAsia"/>
                <w:color w:val="auto"/>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龙头</w:t>
            </w:r>
          </w:p>
        </w:tc>
        <w:tc>
          <w:tcPr>
            <w:tcW w:w="7567" w:type="dxa"/>
            <w:vAlign w:val="center"/>
          </w:tcPr>
          <w:p>
            <w:pPr>
              <w:widowControl w:val="0"/>
              <w:overflowPunct w:val="0"/>
              <w:jc w:val="both"/>
              <w:rPr>
                <w:color w:val="auto"/>
              </w:rPr>
            </w:pPr>
            <w:r>
              <w:rPr>
                <w:rFonts w:hint="eastAsia"/>
                <w:color w:val="auto"/>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r>
              <w:rPr>
                <w:rFonts w:hint="eastAsia"/>
                <w:color w:val="auto"/>
              </w:rPr>
              <w:t>拖把池</w:t>
            </w:r>
          </w:p>
        </w:tc>
        <w:tc>
          <w:tcPr>
            <w:tcW w:w="7567" w:type="dxa"/>
            <w:vAlign w:val="center"/>
          </w:tcPr>
          <w:p>
            <w:pPr>
              <w:widowControl w:val="0"/>
              <w:overflowPunct w:val="0"/>
              <w:jc w:val="both"/>
              <w:rPr>
                <w:color w:val="auto"/>
              </w:rPr>
            </w:pPr>
            <w:r>
              <w:rPr>
                <w:rFonts w:hint="eastAsia"/>
                <w:color w:val="auto"/>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left="0" w:leftChars="0" w:firstLine="480" w:firstLineChars="200"/>
              <w:jc w:val="both"/>
              <w:rPr>
                <w:color w:val="auto"/>
              </w:rPr>
            </w:pPr>
            <w:r>
              <w:rPr>
                <w:rFonts w:hint="eastAsia"/>
                <w:color w:val="auto"/>
              </w:rPr>
              <w:t>灯罩</w:t>
            </w:r>
          </w:p>
        </w:tc>
        <w:tc>
          <w:tcPr>
            <w:tcW w:w="7567" w:type="dxa"/>
            <w:vAlign w:val="center"/>
          </w:tcPr>
          <w:p>
            <w:pPr>
              <w:overflowPunct w:val="0"/>
              <w:adjustRightInd/>
              <w:snapToGrid/>
              <w:ind w:firstLine="480" w:firstLineChars="200"/>
              <w:jc w:val="both"/>
              <w:rPr>
                <w:color w:val="auto"/>
              </w:rPr>
            </w:pPr>
            <w:r>
              <w:rPr>
                <w:rFonts w:hint="eastAsia"/>
                <w:color w:val="auto"/>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left="0" w:leftChars="0" w:firstLine="480" w:firstLineChars="200"/>
              <w:jc w:val="both"/>
              <w:rPr>
                <w:color w:val="auto"/>
              </w:rPr>
            </w:pPr>
            <w:r>
              <w:rPr>
                <w:rFonts w:hint="eastAsia"/>
                <w:color w:val="auto"/>
              </w:rPr>
              <w:t>空调孔</w:t>
            </w:r>
          </w:p>
        </w:tc>
        <w:tc>
          <w:tcPr>
            <w:tcW w:w="7567" w:type="dxa"/>
            <w:vAlign w:val="center"/>
          </w:tcPr>
          <w:p>
            <w:pPr>
              <w:overflowPunct w:val="0"/>
              <w:adjustRightInd/>
              <w:snapToGrid/>
              <w:ind w:firstLine="480" w:firstLineChars="200"/>
              <w:jc w:val="both"/>
              <w:rPr>
                <w:color w:val="auto"/>
              </w:rPr>
            </w:pPr>
            <w:r>
              <w:rPr>
                <w:rFonts w:hint="eastAsia"/>
                <w:color w:val="auto"/>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left="0" w:leftChars="0" w:firstLine="0" w:firstLineChars="0"/>
              <w:jc w:val="both"/>
              <w:rPr>
                <w:color w:val="auto"/>
              </w:rPr>
            </w:pPr>
            <w:r>
              <w:rPr>
                <w:rFonts w:hint="eastAsia"/>
                <w:color w:val="auto"/>
              </w:rPr>
              <w:t>报警按钮</w:t>
            </w:r>
          </w:p>
        </w:tc>
        <w:tc>
          <w:tcPr>
            <w:tcW w:w="7567" w:type="dxa"/>
            <w:vAlign w:val="center"/>
          </w:tcPr>
          <w:p>
            <w:pPr>
              <w:overflowPunct w:val="0"/>
              <w:adjustRightInd/>
              <w:snapToGrid/>
              <w:ind w:firstLine="480" w:firstLineChars="200"/>
              <w:jc w:val="both"/>
              <w:rPr>
                <w:color w:val="auto"/>
              </w:rPr>
            </w:pPr>
            <w:r>
              <w:rPr>
                <w:rFonts w:hint="eastAsia"/>
                <w:color w:val="auto"/>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left="0" w:leftChars="0" w:firstLine="480" w:firstLineChars="200"/>
              <w:jc w:val="both"/>
              <w:rPr>
                <w:color w:val="auto"/>
              </w:rPr>
            </w:pPr>
            <w:r>
              <w:rPr>
                <w:rFonts w:hint="eastAsia"/>
                <w:color w:val="auto"/>
              </w:rPr>
              <w:t>窗台</w:t>
            </w:r>
          </w:p>
        </w:tc>
        <w:tc>
          <w:tcPr>
            <w:tcW w:w="7567" w:type="dxa"/>
            <w:vAlign w:val="center"/>
          </w:tcPr>
          <w:p>
            <w:pPr>
              <w:overflowPunct w:val="0"/>
              <w:adjustRightInd/>
              <w:snapToGrid/>
              <w:ind w:firstLine="480" w:firstLineChars="200"/>
              <w:jc w:val="both"/>
              <w:rPr>
                <w:color w:val="auto"/>
              </w:rPr>
            </w:pPr>
            <w:r>
              <w:rPr>
                <w:rFonts w:hint="eastAsia"/>
                <w:color w:val="auto"/>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0" w:firstLineChars="0"/>
              <w:jc w:val="both"/>
              <w:rPr>
                <w:color w:val="auto"/>
              </w:rPr>
            </w:pPr>
            <w:r>
              <w:rPr>
                <w:rFonts w:hint="eastAsia"/>
                <w:color w:val="auto"/>
              </w:rPr>
              <w:t>小家电（脱排、灶具、燃气热水器）</w:t>
            </w:r>
          </w:p>
        </w:tc>
        <w:tc>
          <w:tcPr>
            <w:tcW w:w="7567" w:type="dxa"/>
            <w:vAlign w:val="center"/>
          </w:tcPr>
          <w:p>
            <w:pPr>
              <w:overflowPunct w:val="0"/>
              <w:adjustRightInd/>
              <w:snapToGrid/>
              <w:jc w:val="both"/>
              <w:rPr>
                <w:color w:val="auto"/>
              </w:rPr>
            </w:pPr>
            <w:r>
              <w:rPr>
                <w:rFonts w:hint="eastAsia"/>
                <w:color w:val="auto"/>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0" w:firstLineChars="0"/>
              <w:jc w:val="both"/>
              <w:rPr>
                <w:color w:val="auto"/>
              </w:rPr>
            </w:pPr>
            <w:r>
              <w:rPr>
                <w:rFonts w:hint="eastAsia"/>
                <w:color w:val="auto"/>
              </w:rPr>
              <w:t>不锈钢水槽</w:t>
            </w:r>
          </w:p>
        </w:tc>
        <w:tc>
          <w:tcPr>
            <w:tcW w:w="7567" w:type="dxa"/>
            <w:vAlign w:val="center"/>
          </w:tcPr>
          <w:p>
            <w:pPr>
              <w:overflowPunct w:val="0"/>
              <w:adjustRightInd/>
              <w:snapToGrid/>
              <w:jc w:val="both"/>
              <w:rPr>
                <w:color w:val="auto"/>
              </w:rPr>
            </w:pPr>
            <w:r>
              <w:rPr>
                <w:rFonts w:hint="eastAsia"/>
                <w:color w:val="auto"/>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0" w:firstLineChars="0"/>
              <w:jc w:val="both"/>
              <w:rPr>
                <w:color w:val="auto"/>
              </w:rPr>
            </w:pPr>
            <w:r>
              <w:rPr>
                <w:rFonts w:hint="eastAsia"/>
                <w:color w:val="auto"/>
              </w:rPr>
              <w:t>浴霸</w:t>
            </w:r>
          </w:p>
        </w:tc>
        <w:tc>
          <w:tcPr>
            <w:tcW w:w="7567" w:type="dxa"/>
            <w:vAlign w:val="center"/>
          </w:tcPr>
          <w:p>
            <w:pPr>
              <w:overflowPunct w:val="0"/>
              <w:adjustRightInd/>
              <w:snapToGrid/>
              <w:jc w:val="both"/>
              <w:rPr>
                <w:color w:val="auto"/>
              </w:rPr>
            </w:pPr>
            <w:r>
              <w:rPr>
                <w:rFonts w:hint="eastAsia"/>
                <w:color w:val="auto"/>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0" w:firstLineChars="0"/>
              <w:jc w:val="both"/>
              <w:rPr>
                <w:color w:val="auto"/>
              </w:rPr>
            </w:pPr>
            <w:r>
              <w:rPr>
                <w:rFonts w:hint="eastAsia"/>
                <w:color w:val="auto"/>
              </w:rPr>
              <w:t>镜面梳妆柜</w:t>
            </w:r>
          </w:p>
        </w:tc>
        <w:tc>
          <w:tcPr>
            <w:tcW w:w="7567" w:type="dxa"/>
            <w:vAlign w:val="center"/>
          </w:tcPr>
          <w:p>
            <w:pPr>
              <w:overflowPunct w:val="0"/>
              <w:adjustRightInd/>
              <w:snapToGrid/>
              <w:jc w:val="both"/>
              <w:rPr>
                <w:color w:val="auto"/>
              </w:rPr>
            </w:pPr>
            <w:r>
              <w:rPr>
                <w:rFonts w:hint="eastAsia"/>
                <w:color w:val="auto"/>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480" w:firstLineChars="200"/>
              <w:jc w:val="both"/>
              <w:rPr>
                <w:color w:val="auto"/>
              </w:rPr>
            </w:pPr>
            <w:r>
              <w:rPr>
                <w:rFonts w:hint="eastAsia"/>
                <w:color w:val="auto"/>
              </w:rPr>
              <w:t>浴巾架</w:t>
            </w:r>
          </w:p>
        </w:tc>
        <w:tc>
          <w:tcPr>
            <w:tcW w:w="7567" w:type="dxa"/>
            <w:vAlign w:val="center"/>
          </w:tcPr>
          <w:p>
            <w:pPr>
              <w:overflowPunct w:val="0"/>
              <w:adjustRightInd/>
              <w:snapToGrid/>
              <w:jc w:val="both"/>
              <w:rPr>
                <w:color w:val="auto"/>
              </w:rPr>
            </w:pPr>
            <w:r>
              <w:rPr>
                <w:rFonts w:hint="eastAsia"/>
                <w:color w:val="auto"/>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480" w:firstLineChars="200"/>
              <w:jc w:val="both"/>
              <w:rPr>
                <w:color w:val="auto"/>
              </w:rPr>
            </w:pPr>
            <w:r>
              <w:rPr>
                <w:rFonts w:hint="eastAsia"/>
                <w:color w:val="auto"/>
              </w:rPr>
              <w:t>毛巾杆</w:t>
            </w:r>
          </w:p>
        </w:tc>
        <w:tc>
          <w:tcPr>
            <w:tcW w:w="7567" w:type="dxa"/>
            <w:vAlign w:val="center"/>
          </w:tcPr>
          <w:p>
            <w:pPr>
              <w:overflowPunct w:val="0"/>
              <w:adjustRightInd/>
              <w:snapToGrid/>
              <w:jc w:val="both"/>
              <w:rPr>
                <w:color w:val="auto"/>
              </w:rPr>
            </w:pPr>
            <w:r>
              <w:rPr>
                <w:rFonts w:hint="eastAsia"/>
                <w:color w:val="auto"/>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480" w:firstLineChars="200"/>
              <w:jc w:val="both"/>
              <w:rPr>
                <w:color w:val="auto"/>
              </w:rPr>
            </w:pPr>
            <w:r>
              <w:rPr>
                <w:rFonts w:hint="eastAsia"/>
                <w:color w:val="auto"/>
              </w:rPr>
              <w:t>台盆</w:t>
            </w:r>
          </w:p>
        </w:tc>
        <w:tc>
          <w:tcPr>
            <w:tcW w:w="7567" w:type="dxa"/>
            <w:vAlign w:val="center"/>
          </w:tcPr>
          <w:p>
            <w:pPr>
              <w:overflowPunct w:val="0"/>
              <w:adjustRightInd/>
              <w:snapToGrid/>
              <w:jc w:val="both"/>
              <w:rPr>
                <w:color w:val="auto"/>
              </w:rPr>
            </w:pPr>
            <w:r>
              <w:rPr>
                <w:rFonts w:hint="eastAsia"/>
                <w:color w:val="auto"/>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480" w:firstLineChars="200"/>
              <w:jc w:val="both"/>
              <w:rPr>
                <w:color w:val="auto"/>
              </w:rPr>
            </w:pPr>
            <w:r>
              <w:rPr>
                <w:rFonts w:hint="eastAsia"/>
                <w:color w:val="auto"/>
              </w:rPr>
              <w:t>储藏间</w:t>
            </w:r>
          </w:p>
        </w:tc>
        <w:tc>
          <w:tcPr>
            <w:tcW w:w="7567" w:type="dxa"/>
            <w:vAlign w:val="center"/>
          </w:tcPr>
          <w:p>
            <w:pPr>
              <w:overflowPunct w:val="0"/>
              <w:adjustRightInd/>
              <w:snapToGrid/>
              <w:jc w:val="both"/>
              <w:rPr>
                <w:color w:val="auto"/>
              </w:rPr>
            </w:pPr>
            <w:r>
              <w:rPr>
                <w:rFonts w:hint="eastAsia"/>
                <w:color w:val="auto"/>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ind w:firstLine="480" w:firstLineChars="200"/>
              <w:jc w:val="both"/>
              <w:rPr>
                <w:color w:val="auto"/>
              </w:rPr>
            </w:pPr>
            <w:r>
              <w:rPr>
                <w:rFonts w:hint="eastAsia"/>
                <w:color w:val="auto"/>
              </w:rPr>
              <w:t>晾衣架</w:t>
            </w:r>
          </w:p>
        </w:tc>
        <w:tc>
          <w:tcPr>
            <w:tcW w:w="7567" w:type="dxa"/>
            <w:vAlign w:val="center"/>
          </w:tcPr>
          <w:p>
            <w:pPr>
              <w:overflowPunct w:val="0"/>
              <w:adjustRightInd/>
              <w:snapToGrid/>
              <w:jc w:val="both"/>
              <w:rPr>
                <w:color w:val="auto"/>
              </w:rPr>
            </w:pPr>
            <w:r>
              <w:rPr>
                <w:rFonts w:hint="eastAsia"/>
                <w:color w:val="auto"/>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pPr>
              <w:widowControl w:val="0"/>
              <w:overflowPunct w:val="0"/>
              <w:ind w:firstLine="0" w:firstLineChars="0"/>
              <w:jc w:val="both"/>
              <w:rPr>
                <w:color w:val="auto"/>
              </w:rPr>
            </w:pPr>
            <w:r>
              <w:rPr>
                <w:rFonts w:hint="eastAsia"/>
                <w:color w:val="auto"/>
              </w:rPr>
              <w:t>公共</w:t>
            </w:r>
          </w:p>
          <w:p>
            <w:pPr>
              <w:widowControl w:val="0"/>
              <w:overflowPunct w:val="0"/>
              <w:ind w:firstLine="0" w:firstLineChars="0"/>
              <w:jc w:val="both"/>
              <w:rPr>
                <w:color w:val="auto"/>
              </w:rPr>
            </w:pPr>
            <w:r>
              <w:rPr>
                <w:rFonts w:hint="eastAsia"/>
                <w:color w:val="auto"/>
              </w:rPr>
              <w:t>部位</w:t>
            </w:r>
          </w:p>
        </w:tc>
        <w:tc>
          <w:tcPr>
            <w:tcW w:w="1552" w:type="dxa"/>
            <w:vAlign w:val="center"/>
          </w:tcPr>
          <w:p>
            <w:pPr>
              <w:widowControl w:val="0"/>
              <w:overflowPunct w:val="0"/>
              <w:ind w:firstLine="0" w:firstLineChars="0"/>
              <w:jc w:val="both"/>
              <w:rPr>
                <w:color w:val="auto"/>
              </w:rPr>
            </w:pPr>
            <w:r>
              <w:rPr>
                <w:rFonts w:hint="eastAsia"/>
                <w:color w:val="auto"/>
              </w:rPr>
              <w:t>电梯（含轿厢、门扇、门套及控制面板）</w:t>
            </w:r>
          </w:p>
        </w:tc>
        <w:tc>
          <w:tcPr>
            <w:tcW w:w="7567" w:type="dxa"/>
            <w:vAlign w:val="center"/>
          </w:tcPr>
          <w:p>
            <w:pPr>
              <w:widowControl w:val="0"/>
              <w:overflowPunct w:val="0"/>
              <w:jc w:val="both"/>
              <w:rPr>
                <w:color w:val="auto"/>
              </w:rPr>
            </w:pPr>
            <w:r>
              <w:rPr>
                <w:rFonts w:hint="eastAsia"/>
                <w:color w:val="auto"/>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楼地面（入户大堂及电梯厅）</w:t>
            </w:r>
          </w:p>
        </w:tc>
        <w:tc>
          <w:tcPr>
            <w:tcW w:w="7567" w:type="dxa"/>
            <w:vAlign w:val="center"/>
          </w:tcPr>
          <w:p>
            <w:pPr>
              <w:widowControl w:val="0"/>
              <w:overflowPunct w:val="0"/>
              <w:jc w:val="both"/>
              <w:rPr>
                <w:color w:val="auto"/>
              </w:rPr>
            </w:pPr>
            <w:r>
              <w:rPr>
                <w:rFonts w:hint="eastAsia"/>
                <w:color w:val="auto"/>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墙面（入户大堂及电梯厅）</w:t>
            </w:r>
          </w:p>
        </w:tc>
        <w:tc>
          <w:tcPr>
            <w:tcW w:w="7567" w:type="dxa"/>
            <w:vAlign w:val="center"/>
          </w:tcPr>
          <w:p>
            <w:pPr>
              <w:widowControl w:val="0"/>
              <w:overflowPunct w:val="0"/>
              <w:jc w:val="both"/>
              <w:rPr>
                <w:color w:val="auto"/>
              </w:rPr>
            </w:pPr>
            <w:r>
              <w:rPr>
                <w:rFonts w:hint="eastAsia"/>
                <w:color w:val="auto"/>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天棚（入户大堂及电梯厅）</w:t>
            </w:r>
          </w:p>
        </w:tc>
        <w:tc>
          <w:tcPr>
            <w:tcW w:w="7567" w:type="dxa"/>
            <w:vAlign w:val="center"/>
          </w:tcPr>
          <w:p>
            <w:pPr>
              <w:widowControl w:val="0"/>
              <w:overflowPunct w:val="0"/>
              <w:jc w:val="both"/>
              <w:rPr>
                <w:color w:val="auto"/>
              </w:rPr>
            </w:pPr>
            <w:r>
              <w:rPr>
                <w:rFonts w:hint="eastAsia"/>
                <w:color w:val="auto"/>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防火门</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消火栓箱</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楼地面（楼梯）</w:t>
            </w:r>
          </w:p>
        </w:tc>
        <w:tc>
          <w:tcPr>
            <w:tcW w:w="7567" w:type="dxa"/>
            <w:vAlign w:val="center"/>
          </w:tcPr>
          <w:p>
            <w:pPr>
              <w:widowControl w:val="0"/>
              <w:overflowPunct w:val="0"/>
              <w:jc w:val="both"/>
              <w:rPr>
                <w:color w:val="auto"/>
              </w:rPr>
            </w:pPr>
            <w:r>
              <w:rPr>
                <w:rFonts w:hint="eastAsia"/>
                <w:color w:val="auto"/>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墙面（楼梯）</w:t>
            </w:r>
          </w:p>
        </w:tc>
        <w:tc>
          <w:tcPr>
            <w:tcW w:w="7567" w:type="dxa"/>
            <w:vAlign w:val="center"/>
          </w:tcPr>
          <w:p>
            <w:pPr>
              <w:widowControl w:val="0"/>
              <w:overflowPunct w:val="0"/>
              <w:jc w:val="both"/>
              <w:rPr>
                <w:color w:val="auto"/>
              </w:rPr>
            </w:pPr>
            <w:r>
              <w:rPr>
                <w:rFonts w:hint="eastAsia"/>
                <w:color w:val="auto"/>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天棚（楼梯）</w:t>
            </w:r>
          </w:p>
        </w:tc>
        <w:tc>
          <w:tcPr>
            <w:tcW w:w="7567" w:type="dxa"/>
            <w:vAlign w:val="center"/>
          </w:tcPr>
          <w:p>
            <w:pPr>
              <w:widowControl w:val="0"/>
              <w:overflowPunct w:val="0"/>
              <w:jc w:val="both"/>
              <w:rPr>
                <w:color w:val="auto"/>
              </w:rPr>
            </w:pPr>
            <w:r>
              <w:rPr>
                <w:rFonts w:hint="eastAsia"/>
                <w:color w:val="auto"/>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开关面板</w:t>
            </w:r>
          </w:p>
        </w:tc>
        <w:tc>
          <w:tcPr>
            <w:tcW w:w="7567" w:type="dxa"/>
            <w:vAlign w:val="center"/>
          </w:tcPr>
          <w:p>
            <w:pPr>
              <w:widowControl w:val="0"/>
              <w:overflowPunct w:val="0"/>
              <w:jc w:val="both"/>
              <w:rPr>
                <w:color w:val="auto"/>
              </w:rPr>
            </w:pPr>
            <w:r>
              <w:rPr>
                <w:rFonts w:hint="eastAsia"/>
                <w:color w:val="auto"/>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电箱</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栏杆以及扶手</w:t>
            </w:r>
          </w:p>
        </w:tc>
        <w:tc>
          <w:tcPr>
            <w:tcW w:w="7567" w:type="dxa"/>
            <w:vAlign w:val="center"/>
          </w:tcPr>
          <w:p>
            <w:pPr>
              <w:widowControl w:val="0"/>
              <w:overflowPunct w:val="0"/>
              <w:jc w:val="both"/>
              <w:rPr>
                <w:color w:val="auto"/>
              </w:rPr>
            </w:pPr>
            <w:r>
              <w:rPr>
                <w:rFonts w:hint="eastAsia"/>
                <w:color w:val="auto"/>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单元门</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线管及管道</w:t>
            </w:r>
          </w:p>
        </w:tc>
        <w:tc>
          <w:tcPr>
            <w:tcW w:w="7567" w:type="dxa"/>
            <w:vAlign w:val="center"/>
          </w:tcPr>
          <w:p>
            <w:pPr>
              <w:widowControl w:val="0"/>
              <w:overflowPunct w:val="0"/>
              <w:jc w:val="both"/>
              <w:rPr>
                <w:color w:val="auto"/>
              </w:rPr>
            </w:pPr>
            <w:r>
              <w:rPr>
                <w:rFonts w:hint="eastAsia"/>
                <w:color w:val="auto"/>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指示牌</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信报箱</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jc w:val="both"/>
              <w:rPr>
                <w:color w:val="auto"/>
              </w:rPr>
            </w:pPr>
            <w:r>
              <w:rPr>
                <w:rFonts w:hint="eastAsia"/>
                <w:color w:val="auto"/>
              </w:rPr>
              <w:t>玻璃</w:t>
            </w:r>
          </w:p>
        </w:tc>
        <w:tc>
          <w:tcPr>
            <w:tcW w:w="7567" w:type="dxa"/>
            <w:vAlign w:val="center"/>
          </w:tcPr>
          <w:p>
            <w:pPr>
              <w:overflowPunct w:val="0"/>
              <w:adjustRightInd/>
              <w:snapToGrid/>
              <w:ind w:firstLine="480" w:firstLineChars="200"/>
              <w:jc w:val="both"/>
              <w:rPr>
                <w:color w:val="auto"/>
              </w:rPr>
            </w:pPr>
            <w:r>
              <w:rPr>
                <w:rFonts w:hint="eastAsia"/>
                <w:color w:val="auto"/>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overflowPunct w:val="0"/>
              <w:adjustRightInd/>
              <w:snapToGrid/>
              <w:jc w:val="both"/>
              <w:rPr>
                <w:color w:val="auto"/>
              </w:rPr>
            </w:pPr>
            <w:r>
              <w:rPr>
                <w:rFonts w:hint="eastAsia"/>
                <w:color w:val="auto"/>
              </w:rPr>
              <w:t>灯罩</w:t>
            </w:r>
          </w:p>
        </w:tc>
        <w:tc>
          <w:tcPr>
            <w:tcW w:w="7567" w:type="dxa"/>
            <w:vAlign w:val="center"/>
          </w:tcPr>
          <w:p>
            <w:pPr>
              <w:overflowPunct w:val="0"/>
              <w:adjustRightInd/>
              <w:snapToGrid/>
              <w:ind w:firstLine="480" w:firstLineChars="200"/>
              <w:jc w:val="both"/>
              <w:rPr>
                <w:color w:val="auto"/>
              </w:rPr>
            </w:pPr>
            <w:r>
              <w:rPr>
                <w:rFonts w:hint="eastAsia"/>
                <w:color w:val="auto"/>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pPr>
              <w:widowControl w:val="0"/>
              <w:overflowPunct w:val="0"/>
              <w:ind w:firstLine="0" w:firstLineChars="0"/>
              <w:jc w:val="both"/>
              <w:rPr>
                <w:color w:val="auto"/>
              </w:rPr>
            </w:pPr>
            <w:r>
              <w:rPr>
                <w:rFonts w:hint="eastAsia"/>
                <w:color w:val="auto"/>
              </w:rPr>
              <w:t>室外</w:t>
            </w:r>
          </w:p>
          <w:p>
            <w:pPr>
              <w:widowControl w:val="0"/>
              <w:overflowPunct w:val="0"/>
              <w:ind w:firstLine="0" w:firstLineChars="0"/>
              <w:jc w:val="both"/>
              <w:rPr>
                <w:color w:val="auto"/>
              </w:rPr>
            </w:pPr>
            <w:r>
              <w:rPr>
                <w:rFonts w:hint="eastAsia"/>
                <w:color w:val="auto"/>
              </w:rPr>
              <w:t>部位</w:t>
            </w:r>
          </w:p>
        </w:tc>
        <w:tc>
          <w:tcPr>
            <w:tcW w:w="1552" w:type="dxa"/>
            <w:vAlign w:val="center"/>
          </w:tcPr>
          <w:p>
            <w:pPr>
              <w:widowControl w:val="0"/>
              <w:overflowPunct w:val="0"/>
              <w:jc w:val="both"/>
              <w:rPr>
                <w:color w:val="auto"/>
              </w:rPr>
            </w:pPr>
            <w:r>
              <w:rPr>
                <w:rFonts w:hint="eastAsia"/>
                <w:color w:val="auto"/>
              </w:rPr>
              <w:t>外墙面</w:t>
            </w:r>
          </w:p>
        </w:tc>
        <w:tc>
          <w:tcPr>
            <w:tcW w:w="7567" w:type="dxa"/>
            <w:vAlign w:val="center"/>
          </w:tcPr>
          <w:p>
            <w:pPr>
              <w:widowControl w:val="0"/>
              <w:overflowPunct w:val="0"/>
              <w:jc w:val="both"/>
              <w:rPr>
                <w:color w:val="auto"/>
              </w:rPr>
            </w:pPr>
            <w:r>
              <w:rPr>
                <w:rFonts w:hint="eastAsia"/>
                <w:color w:val="auto"/>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玻璃幕墙、门窗</w:t>
            </w:r>
          </w:p>
        </w:tc>
        <w:tc>
          <w:tcPr>
            <w:tcW w:w="7567" w:type="dxa"/>
            <w:vAlign w:val="center"/>
          </w:tcPr>
          <w:p>
            <w:pPr>
              <w:widowControl w:val="0"/>
              <w:overflowPunct w:val="0"/>
              <w:jc w:val="both"/>
              <w:rPr>
                <w:color w:val="auto"/>
              </w:rPr>
            </w:pPr>
            <w:r>
              <w:rPr>
                <w:rFonts w:hint="eastAsia"/>
                <w:color w:val="auto"/>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阳光棚或雨棚</w:t>
            </w:r>
          </w:p>
        </w:tc>
        <w:tc>
          <w:tcPr>
            <w:tcW w:w="7567" w:type="dxa"/>
            <w:vAlign w:val="center"/>
          </w:tcPr>
          <w:p>
            <w:pPr>
              <w:widowControl w:val="0"/>
              <w:overflowPunct w:val="0"/>
              <w:jc w:val="both"/>
              <w:rPr>
                <w:color w:val="auto"/>
              </w:rPr>
            </w:pPr>
            <w:r>
              <w:rPr>
                <w:rFonts w:hint="eastAsia"/>
                <w:color w:val="auto"/>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百叶窗</w:t>
            </w:r>
          </w:p>
        </w:tc>
        <w:tc>
          <w:tcPr>
            <w:tcW w:w="7567" w:type="dxa"/>
            <w:vAlign w:val="center"/>
          </w:tcPr>
          <w:p>
            <w:pPr>
              <w:widowControl w:val="0"/>
              <w:overflowPunct w:val="0"/>
              <w:jc w:val="both"/>
              <w:rPr>
                <w:color w:val="auto"/>
              </w:rPr>
            </w:pPr>
            <w:r>
              <w:rPr>
                <w:rFonts w:hint="eastAsia"/>
                <w:color w:val="auto"/>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屋顶（含天沟）</w:t>
            </w:r>
          </w:p>
        </w:tc>
        <w:tc>
          <w:tcPr>
            <w:tcW w:w="7567" w:type="dxa"/>
            <w:vAlign w:val="center"/>
          </w:tcPr>
          <w:p>
            <w:pPr>
              <w:widowControl w:val="0"/>
              <w:overflowPunct w:val="0"/>
              <w:jc w:val="both"/>
              <w:rPr>
                <w:color w:val="auto"/>
              </w:rPr>
            </w:pPr>
            <w:r>
              <w:rPr>
                <w:rFonts w:hint="eastAsia"/>
                <w:color w:val="auto"/>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室外地面</w:t>
            </w:r>
          </w:p>
        </w:tc>
        <w:tc>
          <w:tcPr>
            <w:tcW w:w="7567" w:type="dxa"/>
            <w:vAlign w:val="center"/>
          </w:tcPr>
          <w:p>
            <w:pPr>
              <w:widowControl w:val="0"/>
              <w:overflowPunct w:val="0"/>
              <w:jc w:val="both"/>
              <w:rPr>
                <w:color w:val="auto"/>
              </w:rPr>
            </w:pPr>
            <w:r>
              <w:rPr>
                <w:rFonts w:hint="eastAsia"/>
                <w:color w:val="auto"/>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室外道路</w:t>
            </w:r>
          </w:p>
        </w:tc>
        <w:tc>
          <w:tcPr>
            <w:tcW w:w="7567" w:type="dxa"/>
            <w:vAlign w:val="center"/>
          </w:tcPr>
          <w:p>
            <w:pPr>
              <w:widowControl w:val="0"/>
              <w:overflowPunct w:val="0"/>
              <w:jc w:val="both"/>
              <w:rPr>
                <w:color w:val="auto"/>
              </w:rPr>
            </w:pPr>
            <w:r>
              <w:rPr>
                <w:rFonts w:hint="eastAsia"/>
                <w:color w:val="auto"/>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告示牌</w:t>
            </w: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水篦子</w:t>
            </w:r>
          </w:p>
        </w:tc>
        <w:tc>
          <w:tcPr>
            <w:tcW w:w="7567" w:type="dxa"/>
            <w:vAlign w:val="center"/>
          </w:tcPr>
          <w:p>
            <w:pPr>
              <w:widowControl w:val="0"/>
              <w:overflowPunct w:val="0"/>
              <w:jc w:val="both"/>
              <w:rPr>
                <w:color w:val="auto"/>
              </w:rPr>
            </w:pPr>
            <w:r>
              <w:rPr>
                <w:rFonts w:hint="eastAsia"/>
                <w:color w:val="auto"/>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线管及管道</w:t>
            </w:r>
          </w:p>
        </w:tc>
        <w:tc>
          <w:tcPr>
            <w:tcW w:w="7567" w:type="dxa"/>
            <w:vAlign w:val="center"/>
          </w:tcPr>
          <w:p>
            <w:pPr>
              <w:widowControl w:val="0"/>
              <w:overflowPunct w:val="0"/>
              <w:jc w:val="both"/>
              <w:rPr>
                <w:color w:val="auto"/>
              </w:rPr>
            </w:pPr>
            <w:r>
              <w:rPr>
                <w:rFonts w:hint="eastAsia"/>
                <w:color w:val="auto"/>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p>
          <w:p>
            <w:pPr>
              <w:widowControl w:val="0"/>
              <w:overflowPunct w:val="0"/>
              <w:ind w:firstLine="0" w:firstLineChars="0"/>
              <w:jc w:val="both"/>
              <w:rPr>
                <w:color w:val="auto"/>
              </w:rPr>
            </w:pPr>
            <w:r>
              <w:rPr>
                <w:rFonts w:hint="eastAsia"/>
                <w:color w:val="auto"/>
              </w:rPr>
              <w:t>消火栓</w:t>
            </w:r>
          </w:p>
          <w:p>
            <w:pPr>
              <w:widowControl w:val="0"/>
              <w:overflowPunct w:val="0"/>
              <w:jc w:val="both"/>
              <w:rPr>
                <w:color w:val="auto"/>
              </w:rPr>
            </w:pPr>
          </w:p>
        </w:tc>
        <w:tc>
          <w:tcPr>
            <w:tcW w:w="7567" w:type="dxa"/>
            <w:vAlign w:val="center"/>
          </w:tcPr>
          <w:p>
            <w:pPr>
              <w:widowControl w:val="0"/>
              <w:overflowPunct w:val="0"/>
              <w:jc w:val="both"/>
              <w:rPr>
                <w:color w:val="auto"/>
              </w:rPr>
            </w:pPr>
            <w:r>
              <w:rPr>
                <w:rFonts w:hint="eastAsia"/>
                <w:color w:val="auto"/>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vAlign w:val="center"/>
          </w:tcPr>
          <w:p>
            <w:pPr>
              <w:widowControl w:val="0"/>
              <w:overflowPunct w:val="0"/>
              <w:ind w:firstLine="0" w:firstLineChars="0"/>
              <w:jc w:val="both"/>
              <w:rPr>
                <w:color w:val="auto"/>
              </w:rPr>
            </w:pPr>
            <w:r>
              <w:rPr>
                <w:rFonts w:hint="eastAsia"/>
                <w:color w:val="auto"/>
              </w:rPr>
              <w:t>其他</w:t>
            </w:r>
          </w:p>
        </w:tc>
        <w:tc>
          <w:tcPr>
            <w:tcW w:w="1552" w:type="dxa"/>
            <w:vAlign w:val="center"/>
          </w:tcPr>
          <w:p>
            <w:pPr>
              <w:widowControl w:val="0"/>
              <w:overflowPunct w:val="0"/>
              <w:ind w:firstLine="0" w:firstLineChars="0"/>
              <w:jc w:val="both"/>
              <w:rPr>
                <w:color w:val="auto"/>
              </w:rPr>
            </w:pPr>
            <w:r>
              <w:rPr>
                <w:rFonts w:hint="eastAsia"/>
                <w:color w:val="auto"/>
              </w:rPr>
              <w:t>卫浴洁具</w:t>
            </w:r>
          </w:p>
        </w:tc>
        <w:tc>
          <w:tcPr>
            <w:tcW w:w="7567" w:type="dxa"/>
            <w:vAlign w:val="center"/>
          </w:tcPr>
          <w:p>
            <w:pPr>
              <w:widowControl w:val="0"/>
              <w:overflowPunct w:val="0"/>
              <w:jc w:val="both"/>
              <w:rPr>
                <w:color w:val="auto"/>
              </w:rPr>
            </w:pPr>
            <w:r>
              <w:rPr>
                <w:rFonts w:hint="eastAsia"/>
                <w:color w:val="auto"/>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Merge w:val="restart"/>
            <w:vAlign w:val="center"/>
          </w:tcPr>
          <w:p>
            <w:pPr>
              <w:overflowPunct w:val="0"/>
              <w:jc w:val="both"/>
              <w:rPr>
                <w:color w:val="auto"/>
              </w:rPr>
            </w:pPr>
            <w:r>
              <w:rPr>
                <w:rFonts w:hint="eastAsia"/>
                <w:color w:val="auto"/>
              </w:rPr>
              <w:t>灯具</w:t>
            </w:r>
          </w:p>
        </w:tc>
        <w:tc>
          <w:tcPr>
            <w:tcW w:w="7567" w:type="dxa"/>
            <w:vAlign w:val="center"/>
          </w:tcPr>
          <w:p>
            <w:pPr>
              <w:overflowPunct w:val="0"/>
              <w:jc w:val="both"/>
              <w:rPr>
                <w:color w:val="auto"/>
              </w:rPr>
            </w:pPr>
            <w:r>
              <w:rPr>
                <w:rFonts w:hint="eastAsia"/>
                <w:color w:val="auto"/>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Merge w:val="continue"/>
            <w:vAlign w:val="center"/>
          </w:tcPr>
          <w:p>
            <w:pPr>
              <w:widowControl w:val="0"/>
              <w:overflowPunct w:val="0"/>
              <w:jc w:val="both"/>
              <w:rPr>
                <w:color w:val="auto"/>
              </w:rPr>
            </w:pPr>
          </w:p>
        </w:tc>
        <w:tc>
          <w:tcPr>
            <w:tcW w:w="7567" w:type="dxa"/>
            <w:vAlign w:val="center"/>
          </w:tcPr>
          <w:p>
            <w:pPr>
              <w:overflowPunct w:val="0"/>
              <w:jc w:val="both"/>
              <w:rPr>
                <w:color w:val="auto"/>
              </w:rPr>
            </w:pPr>
            <w:r>
              <w:rPr>
                <w:rFonts w:hint="eastAsia"/>
                <w:color w:val="auto"/>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柜子（如有）</w:t>
            </w:r>
          </w:p>
        </w:tc>
        <w:tc>
          <w:tcPr>
            <w:tcW w:w="7567" w:type="dxa"/>
            <w:vAlign w:val="center"/>
          </w:tcPr>
          <w:p>
            <w:pPr>
              <w:widowControl w:val="0"/>
              <w:overflowPunct w:val="0"/>
              <w:jc w:val="both"/>
              <w:rPr>
                <w:color w:val="auto"/>
              </w:rPr>
            </w:pPr>
            <w:r>
              <w:rPr>
                <w:rFonts w:hint="eastAsia"/>
                <w:color w:val="auto"/>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vAlign w:val="center"/>
          </w:tcPr>
          <w:p>
            <w:pPr>
              <w:widowControl w:val="0"/>
              <w:overflowPunct w:val="0"/>
              <w:ind w:firstLine="0" w:firstLineChars="0"/>
              <w:jc w:val="both"/>
              <w:rPr>
                <w:color w:val="auto"/>
              </w:rPr>
            </w:pPr>
            <w:r>
              <w:rPr>
                <w:rFonts w:hint="eastAsia"/>
                <w:color w:val="auto"/>
              </w:rPr>
              <w:t>地下</w:t>
            </w:r>
          </w:p>
          <w:p>
            <w:pPr>
              <w:widowControl w:val="0"/>
              <w:overflowPunct w:val="0"/>
              <w:ind w:firstLine="0" w:firstLineChars="0"/>
              <w:jc w:val="both"/>
              <w:rPr>
                <w:color w:val="auto"/>
              </w:rPr>
            </w:pPr>
            <w:r>
              <w:rPr>
                <w:rFonts w:hint="eastAsia"/>
                <w:color w:val="auto"/>
              </w:rPr>
              <w:t>车库</w:t>
            </w:r>
          </w:p>
        </w:tc>
        <w:tc>
          <w:tcPr>
            <w:tcW w:w="1552" w:type="dxa"/>
            <w:vAlign w:val="center"/>
          </w:tcPr>
          <w:p>
            <w:pPr>
              <w:widowControl w:val="0"/>
              <w:overflowPunct w:val="0"/>
              <w:jc w:val="both"/>
              <w:rPr>
                <w:color w:val="auto"/>
              </w:rPr>
            </w:pPr>
            <w:r>
              <w:rPr>
                <w:rFonts w:hint="eastAsia"/>
                <w:color w:val="auto"/>
              </w:rPr>
              <w:t>地面</w:t>
            </w:r>
          </w:p>
        </w:tc>
        <w:tc>
          <w:tcPr>
            <w:tcW w:w="7567" w:type="dxa"/>
            <w:vAlign w:val="center"/>
          </w:tcPr>
          <w:p>
            <w:pPr>
              <w:widowControl w:val="0"/>
              <w:overflowPunct w:val="0"/>
              <w:jc w:val="both"/>
              <w:rPr>
                <w:color w:val="auto"/>
              </w:rPr>
            </w:pPr>
            <w:r>
              <w:rPr>
                <w:rFonts w:hint="eastAsia"/>
                <w:color w:val="auto"/>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r>
              <w:rPr>
                <w:rFonts w:hint="eastAsia"/>
                <w:color w:val="auto"/>
              </w:rPr>
              <w:t>墙面</w:t>
            </w:r>
          </w:p>
        </w:tc>
        <w:tc>
          <w:tcPr>
            <w:tcW w:w="7567" w:type="dxa"/>
            <w:vAlign w:val="center"/>
          </w:tcPr>
          <w:p>
            <w:pPr>
              <w:widowControl w:val="0"/>
              <w:overflowPunct w:val="0"/>
              <w:jc w:val="both"/>
              <w:rPr>
                <w:color w:val="auto"/>
              </w:rPr>
            </w:pPr>
            <w:r>
              <w:rPr>
                <w:rFonts w:hint="eastAsia"/>
                <w:color w:val="auto"/>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jc w:val="both"/>
              <w:rPr>
                <w:color w:val="auto"/>
              </w:rPr>
            </w:pPr>
            <w:r>
              <w:rPr>
                <w:rFonts w:hint="eastAsia"/>
                <w:color w:val="auto"/>
              </w:rPr>
              <w:t>天棚</w:t>
            </w:r>
          </w:p>
        </w:tc>
        <w:tc>
          <w:tcPr>
            <w:tcW w:w="7567" w:type="dxa"/>
            <w:vAlign w:val="center"/>
          </w:tcPr>
          <w:p>
            <w:pPr>
              <w:widowControl w:val="0"/>
              <w:overflowPunct w:val="0"/>
              <w:jc w:val="both"/>
              <w:rPr>
                <w:color w:val="auto"/>
              </w:rPr>
            </w:pPr>
            <w:r>
              <w:rPr>
                <w:rFonts w:hint="eastAsia"/>
                <w:color w:val="auto"/>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各类管道</w:t>
            </w:r>
          </w:p>
        </w:tc>
        <w:tc>
          <w:tcPr>
            <w:tcW w:w="7567" w:type="dxa"/>
            <w:vAlign w:val="center"/>
          </w:tcPr>
          <w:p>
            <w:pPr>
              <w:widowControl w:val="0"/>
              <w:overflowPunct w:val="0"/>
              <w:ind w:firstLine="480" w:firstLineChars="200"/>
              <w:jc w:val="both"/>
              <w:rPr>
                <w:color w:val="auto"/>
              </w:rPr>
            </w:pPr>
            <w:r>
              <w:rPr>
                <w:rFonts w:hint="eastAsia"/>
                <w:color w:val="auto"/>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pPr>
              <w:widowControl w:val="0"/>
              <w:overflowPunct w:val="0"/>
              <w:ind w:firstLine="480"/>
              <w:jc w:val="both"/>
              <w:rPr>
                <w:color w:val="auto"/>
              </w:rPr>
            </w:pPr>
          </w:p>
        </w:tc>
        <w:tc>
          <w:tcPr>
            <w:tcW w:w="1552" w:type="dxa"/>
            <w:vAlign w:val="center"/>
          </w:tcPr>
          <w:p>
            <w:pPr>
              <w:widowControl w:val="0"/>
              <w:overflowPunct w:val="0"/>
              <w:ind w:firstLine="0" w:firstLineChars="0"/>
              <w:jc w:val="both"/>
              <w:rPr>
                <w:color w:val="auto"/>
              </w:rPr>
            </w:pPr>
            <w:r>
              <w:rPr>
                <w:rFonts w:hint="eastAsia"/>
                <w:color w:val="auto"/>
              </w:rPr>
              <w:t>水泵房、设备间等</w:t>
            </w:r>
          </w:p>
        </w:tc>
        <w:tc>
          <w:tcPr>
            <w:tcW w:w="7567" w:type="dxa"/>
            <w:vAlign w:val="center"/>
          </w:tcPr>
          <w:p>
            <w:pPr>
              <w:widowControl w:val="0"/>
              <w:overflowPunct w:val="0"/>
              <w:ind w:firstLine="480" w:firstLineChars="200"/>
              <w:jc w:val="both"/>
              <w:rPr>
                <w:color w:val="auto"/>
              </w:rPr>
            </w:pPr>
            <w:r>
              <w:rPr>
                <w:rFonts w:hint="eastAsia"/>
                <w:color w:val="auto"/>
              </w:rPr>
              <w:t>地面无涂料污染，内外无垃圾灰尘。</w:t>
            </w:r>
          </w:p>
        </w:tc>
      </w:tr>
    </w:tbl>
    <w:p>
      <w:pPr>
        <w:pStyle w:val="2"/>
        <w:overflowPunct w:val="0"/>
        <w:spacing w:line="360" w:lineRule="auto"/>
        <w:rPr>
          <w:rFonts w:hAnsi="宋体" w:cs="宋体"/>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pacing w:val="8"/>
          <w:szCs w:val="24"/>
        </w:rPr>
      </w:pPr>
    </w:p>
    <w:p>
      <w:pPr>
        <w:pStyle w:val="2"/>
        <w:overflowPunct w:val="0"/>
        <w:spacing w:line="360" w:lineRule="auto"/>
        <w:rPr>
          <w:rFonts w:hAnsi="宋体" w:cs="宋体"/>
          <w:bCs/>
          <w:color w:val="auto"/>
          <w:szCs w:val="28"/>
        </w:rPr>
      </w:pPr>
      <w:r>
        <w:rPr>
          <w:rFonts w:hint="eastAsia" w:hAnsi="宋体" w:cs="宋体"/>
          <w:bCs/>
          <w:color w:val="auto"/>
          <w:szCs w:val="28"/>
        </w:rPr>
        <w:t>附件六、《成品保护标准》</w:t>
      </w:r>
    </w:p>
    <w:p>
      <w:pPr>
        <w:overflowPunct w:val="0"/>
        <w:ind w:firstLine="480" w:firstLineChars="200"/>
        <w:rPr>
          <w:color w:val="auto"/>
        </w:rPr>
      </w:pPr>
      <w:bookmarkStart w:id="7" w:name="_Toc487545765"/>
      <w:bookmarkStart w:id="8" w:name="_Toc463773973"/>
      <w:r>
        <w:rPr>
          <w:rFonts w:hint="eastAsia"/>
          <w:color w:val="auto"/>
        </w:rPr>
        <w:t>精装修工程成品保护</w:t>
      </w:r>
      <w:bookmarkEnd w:id="7"/>
      <w:bookmarkEnd w:id="8"/>
      <w:r>
        <w:rPr>
          <w:rFonts w:hint="eastAsia"/>
          <w:color w:val="auto"/>
        </w:rPr>
        <w:t>标准</w:t>
      </w:r>
    </w:p>
    <w:tbl>
      <w:tblPr>
        <w:tblStyle w:val="47"/>
        <w:tblW w:w="9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3969"/>
        <w:gridCol w:w="4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保护项目</w:t>
            </w:r>
          </w:p>
        </w:tc>
        <w:tc>
          <w:tcPr>
            <w:tcW w:w="3969" w:type="dxa"/>
          </w:tcPr>
          <w:p>
            <w:pPr>
              <w:overflowPunct w:val="0"/>
              <w:adjustRightInd/>
              <w:snapToGrid/>
              <w:ind w:firstLine="480"/>
              <w:rPr>
                <w:color w:val="auto"/>
              </w:rPr>
            </w:pPr>
            <w:r>
              <w:rPr>
                <w:rFonts w:hint="eastAsia"/>
                <w:color w:val="auto"/>
              </w:rPr>
              <w:t>图片示例</w:t>
            </w:r>
          </w:p>
        </w:tc>
        <w:tc>
          <w:tcPr>
            <w:tcW w:w="4417" w:type="dxa"/>
          </w:tcPr>
          <w:p>
            <w:pPr>
              <w:overflowPunct w:val="0"/>
              <w:adjustRightInd/>
              <w:snapToGrid/>
              <w:ind w:firstLine="480"/>
              <w:rPr>
                <w:color w:val="auto"/>
              </w:rPr>
            </w:pPr>
            <w:r>
              <w:rPr>
                <w:rFonts w:hint="eastAsia"/>
                <w:color w:val="auto"/>
              </w:rPr>
              <w:t>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1、墙面瓷砖、石材防护</w:t>
            </w:r>
          </w:p>
        </w:tc>
        <w:tc>
          <w:tcPr>
            <w:tcW w:w="3969" w:type="dxa"/>
          </w:tcPr>
          <w:p>
            <w:pPr>
              <w:overflowPunct w:val="0"/>
              <w:adjustRightInd/>
              <w:snapToGrid/>
              <w:rPr>
                <w:color w:val="auto"/>
              </w:rPr>
            </w:pPr>
            <w:r>
              <w:rPr>
                <w:rFonts w:hint="eastAsia"/>
                <w:color w:val="auto"/>
              </w:rPr>
              <w:drawing>
                <wp:inline distT="0" distB="0" distL="114300" distR="114300">
                  <wp:extent cx="2339340" cy="2114550"/>
                  <wp:effectExtent l="0" t="0" r="7620" b="3810"/>
                  <wp:docPr id="11" name="图片 1" descr="阳角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阳角保护"/>
                          <pic:cNvPicPr>
                            <a:picLocks noChangeAspect="1"/>
                          </pic:cNvPicPr>
                        </pic:nvPicPr>
                        <pic:blipFill>
                          <a:blip r:embed="rId9"/>
                          <a:stretch>
                            <a:fillRect/>
                          </a:stretch>
                        </pic:blipFill>
                        <pic:spPr>
                          <a:xfrm>
                            <a:off x="0" y="0"/>
                            <a:ext cx="2339340" cy="2114550"/>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43785" cy="2965450"/>
                  <wp:effectExtent l="0" t="0" r="3175" b="6350"/>
                  <wp:docPr id="4" name="图片 2" descr="50ac681a86869710f0002f0f-e7f005ef7500096b53d84f8d0e48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50ac681a86869710f0002f0f-e7f005ef7500096b53d84f8d0e48e7b9"/>
                          <pic:cNvPicPr>
                            <a:picLocks noChangeAspect="1"/>
                          </pic:cNvPicPr>
                        </pic:nvPicPr>
                        <pic:blipFill>
                          <a:blip r:embed="rId10"/>
                          <a:stretch>
                            <a:fillRect/>
                          </a:stretch>
                        </pic:blipFill>
                        <pic:spPr>
                          <a:xfrm>
                            <a:off x="0" y="0"/>
                            <a:ext cx="2343785" cy="296545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公共区域墙砖阳角、电梯门套使用多层木夹板从两边保护好（高1.2m，宽每边20cm），并采用透明中性硅酮密封胶进行临时固定，防止施工过程中碰撞砖角。</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2、公共部位地面瓷砖、石材防护</w:t>
            </w:r>
          </w:p>
        </w:tc>
        <w:tc>
          <w:tcPr>
            <w:tcW w:w="3969" w:type="dxa"/>
          </w:tcPr>
          <w:p>
            <w:pPr>
              <w:overflowPunct w:val="0"/>
              <w:adjustRightInd/>
              <w:snapToGrid/>
              <w:rPr>
                <w:color w:val="auto"/>
              </w:rPr>
            </w:pPr>
            <w:r>
              <w:rPr>
                <w:rFonts w:hint="eastAsia"/>
                <w:color w:val="auto"/>
              </w:rPr>
              <w:drawing>
                <wp:inline distT="0" distB="0" distL="114300" distR="114300">
                  <wp:extent cx="2324735" cy="1743710"/>
                  <wp:effectExtent l="0" t="0" r="6985" b="8890"/>
                  <wp:docPr id="44" name="图片 3" descr="IMG_20160804_1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IMG_20160804_112555"/>
                          <pic:cNvPicPr>
                            <a:picLocks noChangeAspect="1"/>
                          </pic:cNvPicPr>
                        </pic:nvPicPr>
                        <pic:blipFill>
                          <a:blip r:embed="rId11"/>
                          <a:stretch>
                            <a:fillRect/>
                          </a:stretch>
                        </pic:blipFill>
                        <pic:spPr>
                          <a:xfrm>
                            <a:off x="0" y="0"/>
                            <a:ext cx="2324735" cy="1743710"/>
                          </a:xfrm>
                          <a:prstGeom prst="rect">
                            <a:avLst/>
                          </a:prstGeom>
                          <a:noFill/>
                          <a:ln>
                            <a:noFill/>
                          </a:ln>
                        </pic:spPr>
                      </pic:pic>
                    </a:graphicData>
                  </a:graphic>
                </wp:inline>
              </w:drawing>
            </w:r>
          </w:p>
          <w:p>
            <w:pPr>
              <w:overflowPunct w:val="0"/>
              <w:adjustRightInd/>
              <w:snapToGrid/>
              <w:rPr>
                <w:color w:val="auto"/>
                <w:szCs w:val="24"/>
              </w:rPr>
            </w:pPr>
            <w:r>
              <w:rPr>
                <w:rFonts w:hint="eastAsia"/>
                <w:color w:val="auto"/>
              </w:rPr>
              <w:drawing>
                <wp:inline distT="0" distB="0" distL="114300" distR="114300">
                  <wp:extent cx="2340610" cy="2479040"/>
                  <wp:effectExtent l="0" t="0" r="6350"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2"/>
                          <a:stretch>
                            <a:fillRect/>
                          </a:stretch>
                        </pic:blipFill>
                        <pic:spPr>
                          <a:xfrm>
                            <a:off x="0" y="0"/>
                            <a:ext cx="2340610" cy="247904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1、首层大堂及走道清洁完毕后，第一步铺设3mm土工布表面附带防潮膜，在交接处及转角处，需用胶带固定；第二步采用9mm木夹板满铺，在板面接缝采用10mm码钉。</w:t>
            </w:r>
          </w:p>
          <w:p>
            <w:pPr>
              <w:overflowPunct w:val="0"/>
              <w:adjustRightInd/>
              <w:snapToGrid/>
              <w:ind w:firstLine="480"/>
              <w:rPr>
                <w:color w:val="auto"/>
              </w:rPr>
            </w:pPr>
            <w:r>
              <w:rPr>
                <w:rFonts w:hint="eastAsia"/>
                <w:color w:val="auto"/>
              </w:rPr>
              <w:t>2、二层以上公共区域地砖、石材须用防护层物质铺在地砖表面上，完全覆盖保护。覆盖物应采用地板革、塑料胶垫等防护严密、不易破损材料。</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保护时间：成品施工完成至移交物业（装修单位拆除）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3、楼梯间石材、瓷砖踏步和平台防护</w:t>
            </w:r>
          </w:p>
        </w:tc>
        <w:tc>
          <w:tcPr>
            <w:tcW w:w="3969" w:type="dxa"/>
          </w:tcPr>
          <w:p>
            <w:pPr>
              <w:overflowPunct w:val="0"/>
              <w:adjustRightInd/>
              <w:snapToGrid/>
              <w:rPr>
                <w:color w:val="auto"/>
              </w:rPr>
            </w:pPr>
            <w:r>
              <w:rPr>
                <w:rFonts w:hint="eastAsia"/>
                <w:color w:val="auto"/>
              </w:rPr>
              <w:drawing>
                <wp:inline distT="0" distB="0" distL="114300" distR="114300">
                  <wp:extent cx="2339975" cy="3111500"/>
                  <wp:effectExtent l="0" t="0" r="6985" b="1270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3"/>
                          <a:stretch>
                            <a:fillRect/>
                          </a:stretch>
                        </pic:blipFill>
                        <pic:spPr>
                          <a:xfrm>
                            <a:off x="0" y="0"/>
                            <a:ext cx="2339975" cy="311150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1、各楼层楼梯踏步采用9厘夹板，叠加38钢直钉固定（中间及两头三颗自攻丝固定）。</w:t>
            </w:r>
          </w:p>
          <w:p>
            <w:pPr>
              <w:overflowPunct w:val="0"/>
              <w:adjustRightInd/>
              <w:snapToGrid/>
              <w:ind w:firstLine="480"/>
              <w:rPr>
                <w:color w:val="auto"/>
              </w:rPr>
            </w:pPr>
            <w:r>
              <w:rPr>
                <w:rFonts w:hint="eastAsia"/>
                <w:color w:val="auto"/>
              </w:rPr>
              <w:t>2、各楼层楼梯平台采用不能皱折的 3mm 纤维板（采0.2mm 厚弱粘性薄膜进行保护）进行保护。</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保护时间：成品施工完成至移交物业（装修单位拆除）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tcPr>
          <w:p>
            <w:pPr>
              <w:overflowPunct w:val="0"/>
              <w:adjustRightInd/>
              <w:snapToGrid/>
              <w:ind w:firstLine="0" w:firstLineChars="0"/>
              <w:rPr>
                <w:color w:val="auto"/>
              </w:rPr>
            </w:pPr>
            <w:r>
              <w:rPr>
                <w:rFonts w:hint="eastAsia"/>
                <w:color w:val="auto"/>
              </w:rPr>
              <w:t>4、楼梯间水泥面踏步防护</w:t>
            </w:r>
          </w:p>
        </w:tc>
        <w:tc>
          <w:tcPr>
            <w:tcW w:w="3969" w:type="dxa"/>
          </w:tcPr>
          <w:p>
            <w:pPr>
              <w:overflowPunct w:val="0"/>
              <w:adjustRightInd/>
              <w:snapToGrid/>
              <w:rPr>
                <w:color w:val="auto"/>
              </w:rPr>
            </w:pPr>
            <w:r>
              <w:rPr>
                <w:rFonts w:hint="eastAsia"/>
                <w:color w:val="auto"/>
              </w:rPr>
              <w:drawing>
                <wp:inline distT="0" distB="0" distL="114300" distR="114300">
                  <wp:extent cx="2339975" cy="1906905"/>
                  <wp:effectExtent l="0" t="0" r="6985" b="1333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14"/>
                          <a:stretch>
                            <a:fillRect/>
                          </a:stretch>
                        </pic:blipFill>
                        <pic:spPr>
                          <a:xfrm>
                            <a:off x="0" y="0"/>
                            <a:ext cx="2339975" cy="190690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楼梯踏步在施工完成后及时用硬质板条做好角部包封，防止撞伤踏步阳角。</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tcPr>
          <w:p>
            <w:pPr>
              <w:overflowPunct w:val="0"/>
              <w:adjustRightInd/>
              <w:snapToGrid/>
              <w:ind w:firstLine="0" w:firstLineChars="0"/>
              <w:rPr>
                <w:color w:val="auto"/>
              </w:rPr>
            </w:pPr>
            <w:r>
              <w:rPr>
                <w:rFonts w:hint="eastAsia"/>
                <w:color w:val="auto"/>
              </w:rPr>
              <w:t>5、电梯轿厢防护</w:t>
            </w:r>
          </w:p>
        </w:tc>
        <w:tc>
          <w:tcPr>
            <w:tcW w:w="3969" w:type="dxa"/>
          </w:tcPr>
          <w:p>
            <w:pPr>
              <w:overflowPunct w:val="0"/>
              <w:adjustRightInd/>
              <w:snapToGrid/>
              <w:ind w:firstLine="480"/>
              <w:rPr>
                <w:color w:val="auto"/>
                <w:szCs w:val="24"/>
              </w:rPr>
            </w:pPr>
            <w:r>
              <w:rPr>
                <w:rFonts w:hint="eastAsia"/>
                <w:color w:val="auto"/>
              </w:rPr>
              <w:drawing>
                <wp:inline distT="0" distB="0" distL="114300" distR="114300">
                  <wp:extent cx="2339975" cy="5686425"/>
                  <wp:effectExtent l="0" t="0" r="6985" b="1333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5"/>
                          <a:stretch>
                            <a:fillRect/>
                          </a:stretch>
                        </pic:blipFill>
                        <pic:spPr>
                          <a:xfrm>
                            <a:off x="0" y="0"/>
                            <a:ext cx="2339975" cy="568642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1、电梯轿厢内全包围，预留灯具、开关、风口部位。全部采用不低于12厘板满封，转角处全部采用金属边角龙骨，用自攻丝固定牢固。</w:t>
            </w:r>
          </w:p>
          <w:p>
            <w:pPr>
              <w:overflowPunct w:val="0"/>
              <w:adjustRightInd/>
              <w:snapToGrid/>
              <w:ind w:firstLine="480"/>
              <w:rPr>
                <w:color w:val="auto"/>
              </w:rPr>
            </w:pPr>
            <w:r>
              <w:rPr>
                <w:rFonts w:hint="eastAsia"/>
                <w:color w:val="auto"/>
              </w:rPr>
              <w:t>2、根据操纵箱面板实际需要预留按钮孔、轿厢显示及检修面板开孔，在按钮孔内表面做透明膜，防止使用污染。</w:t>
            </w:r>
          </w:p>
          <w:p>
            <w:pPr>
              <w:overflowPunct w:val="0"/>
              <w:adjustRightInd/>
              <w:snapToGrid/>
              <w:ind w:firstLine="480"/>
              <w:rPr>
                <w:color w:val="auto"/>
              </w:rPr>
            </w:pPr>
            <w:r>
              <w:rPr>
                <w:rFonts w:hint="eastAsia"/>
                <w:color w:val="auto"/>
              </w:rPr>
              <w:t>3、轿厢门口翻板使用轿厢内同等材料，外加不少于2组翻转合页。</w:t>
            </w:r>
          </w:p>
          <w:p>
            <w:pPr>
              <w:overflowPunct w:val="0"/>
              <w:adjustRightInd/>
              <w:snapToGrid/>
              <w:ind w:firstLine="480"/>
              <w:rPr>
                <w:color w:val="auto"/>
              </w:rPr>
            </w:pPr>
            <w:r>
              <w:rPr>
                <w:rFonts w:hint="eastAsia"/>
                <w:color w:val="auto"/>
              </w:rPr>
              <w:t>4、安装单位管道试压时通知项目部及电梯单位提前将电梯升至顶层。</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保护时间：开始临时使用至移交物业（移交物业时拆除后使用木地板保护）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1383" w:type="dxa"/>
          </w:tcPr>
          <w:p>
            <w:pPr>
              <w:overflowPunct w:val="0"/>
              <w:adjustRightInd/>
              <w:snapToGrid/>
              <w:ind w:firstLine="0" w:firstLineChars="0"/>
              <w:rPr>
                <w:color w:val="auto"/>
              </w:rPr>
            </w:pPr>
            <w:r>
              <w:rPr>
                <w:rFonts w:hint="eastAsia"/>
                <w:color w:val="auto"/>
              </w:rPr>
              <w:t>6、电梯呼叫盒面板防护</w:t>
            </w:r>
          </w:p>
        </w:tc>
        <w:tc>
          <w:tcPr>
            <w:tcW w:w="3969" w:type="dxa"/>
          </w:tcPr>
          <w:p>
            <w:pPr>
              <w:overflowPunct w:val="0"/>
              <w:adjustRightInd/>
              <w:snapToGrid/>
              <w:rPr>
                <w:color w:val="auto"/>
              </w:rPr>
            </w:pPr>
            <w:r>
              <w:rPr>
                <w:rFonts w:hint="eastAsia"/>
                <w:color w:val="auto"/>
              </w:rPr>
              <w:drawing>
                <wp:inline distT="0" distB="0" distL="114300" distR="114300">
                  <wp:extent cx="2339975" cy="2183130"/>
                  <wp:effectExtent l="0" t="0" r="6985" b="1143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6"/>
                          <a:stretch>
                            <a:fillRect/>
                          </a:stretch>
                        </pic:blipFill>
                        <pic:spPr>
                          <a:xfrm>
                            <a:off x="0" y="0"/>
                            <a:ext cx="2339975" cy="218313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用加厚保护膜满贴。</w:t>
            </w:r>
          </w:p>
          <w:p>
            <w:pPr>
              <w:overflowPunct w:val="0"/>
              <w:adjustRightInd/>
              <w:snapToGrid/>
              <w:ind w:firstLine="480"/>
              <w:rPr>
                <w:color w:val="auto"/>
              </w:rPr>
            </w:pPr>
            <w:r>
              <w:rPr>
                <w:rFonts w:hint="eastAsia"/>
                <w:color w:val="auto"/>
              </w:rPr>
              <w:t>实施单位：电梯使用单位</w:t>
            </w:r>
          </w:p>
          <w:p>
            <w:pPr>
              <w:overflowPunct w:val="0"/>
              <w:adjustRightInd/>
              <w:snapToGrid/>
              <w:ind w:firstLine="480"/>
              <w:rPr>
                <w:color w:val="auto"/>
              </w:rPr>
            </w:pPr>
            <w:r>
              <w:rPr>
                <w:rFonts w:hint="eastAsia"/>
                <w:color w:val="auto"/>
              </w:rPr>
              <w:t>维护单位：安装完毕后移交精装修单位维护。</w:t>
            </w:r>
          </w:p>
          <w:p>
            <w:pPr>
              <w:overflowPunct w:val="0"/>
              <w:adjustRightInd/>
              <w:snapToGrid/>
              <w:ind w:firstLine="480"/>
              <w:rPr>
                <w:color w:val="auto"/>
              </w:rPr>
            </w:pPr>
            <w:r>
              <w:rPr>
                <w:rFonts w:hint="eastAsia"/>
                <w:color w:val="auto"/>
              </w:rPr>
              <w:t>保护时间：开始临时使用至移交物业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7、室内卧室、客厅、厨卫地砖防护</w:t>
            </w:r>
          </w:p>
        </w:tc>
        <w:tc>
          <w:tcPr>
            <w:tcW w:w="3969" w:type="dxa"/>
          </w:tcPr>
          <w:p>
            <w:pPr>
              <w:overflowPunct w:val="0"/>
              <w:adjustRightInd/>
              <w:snapToGrid/>
              <w:rPr>
                <w:color w:val="auto"/>
              </w:rPr>
            </w:pPr>
            <w:r>
              <w:rPr>
                <w:rFonts w:hint="eastAsia"/>
                <w:color w:val="auto"/>
              </w:rPr>
              <w:drawing>
                <wp:inline distT="0" distB="0" distL="114300" distR="114300">
                  <wp:extent cx="2336165" cy="1479550"/>
                  <wp:effectExtent l="0" t="0" r="10795" b="13970"/>
                  <wp:docPr id="49" name="图片 9" descr="微信截图_2019080416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微信截图_20190804165850"/>
                          <pic:cNvPicPr>
                            <a:picLocks noChangeAspect="1"/>
                          </pic:cNvPicPr>
                        </pic:nvPicPr>
                        <pic:blipFill>
                          <a:blip r:embed="rId17"/>
                          <a:stretch>
                            <a:fillRect/>
                          </a:stretch>
                        </pic:blipFill>
                        <pic:spPr>
                          <a:xfrm>
                            <a:off x="0" y="0"/>
                            <a:ext cx="2336165" cy="1479550"/>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39975" cy="1999615"/>
                  <wp:effectExtent l="0" t="0" r="6985" b="12065"/>
                  <wp:docPr id="48" name="图片 10" descr="P10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P1000337"/>
                          <pic:cNvPicPr>
                            <a:picLocks noChangeAspect="1"/>
                          </pic:cNvPicPr>
                        </pic:nvPicPr>
                        <pic:blipFill>
                          <a:blip r:embed="rId18"/>
                          <a:stretch>
                            <a:fillRect/>
                          </a:stretch>
                        </pic:blipFill>
                        <pic:spPr>
                          <a:xfrm>
                            <a:off x="0" y="0"/>
                            <a:ext cx="2339975" cy="199961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地砖铺贴完成后及时清除地砖表面泥浆及垃圾，待表面干爽后用专用填缝剂将拼缝填满、擦顺。清洁完毕，用适宜尺寸的干净彩条布满铺在地砖表面上，必须确保完全覆盖，在彩条布交接处及转角处，需用胶带固定。然后在彩条布上满铺成品纸板，拼缝处用胶带纸粘贴。</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8、木地板防护</w:t>
            </w:r>
          </w:p>
        </w:tc>
        <w:tc>
          <w:tcPr>
            <w:tcW w:w="3969" w:type="dxa"/>
          </w:tcPr>
          <w:p>
            <w:pPr>
              <w:overflowPunct w:val="0"/>
              <w:adjustRightInd/>
              <w:snapToGrid/>
              <w:rPr>
                <w:color w:val="auto"/>
                <w:sz w:val="20"/>
              </w:rPr>
            </w:pPr>
            <w:r>
              <w:rPr>
                <w:rFonts w:hint="eastAsia"/>
                <w:color w:val="auto"/>
              </w:rPr>
              <w:drawing>
                <wp:inline distT="0" distB="0" distL="114300" distR="114300">
                  <wp:extent cx="2339340" cy="1689100"/>
                  <wp:effectExtent l="0" t="0" r="7620" b="254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9"/>
                          <a:stretch>
                            <a:fillRect/>
                          </a:stretch>
                        </pic:blipFill>
                        <pic:spPr>
                          <a:xfrm>
                            <a:off x="0" y="0"/>
                            <a:ext cx="2339340" cy="1689100"/>
                          </a:xfrm>
                          <a:prstGeom prst="rect">
                            <a:avLst/>
                          </a:prstGeom>
                          <a:noFill/>
                          <a:ln>
                            <a:noFill/>
                          </a:ln>
                        </pic:spPr>
                      </pic:pic>
                    </a:graphicData>
                  </a:graphic>
                </wp:inline>
              </w:drawing>
            </w:r>
          </w:p>
          <w:p>
            <w:pPr>
              <w:overflowPunct w:val="0"/>
              <w:adjustRightInd/>
              <w:snapToGrid/>
              <w:ind w:firstLine="480"/>
              <w:rPr>
                <w:color w:val="auto"/>
                <w:szCs w:val="21"/>
              </w:rPr>
            </w:pPr>
            <w:r>
              <w:rPr>
                <w:rFonts w:hint="eastAsia"/>
                <w:color w:val="auto"/>
              </w:rPr>
              <w:drawing>
                <wp:inline distT="0" distB="0" distL="114300" distR="114300">
                  <wp:extent cx="2340610" cy="1652270"/>
                  <wp:effectExtent l="0" t="0" r="6350" b="889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0"/>
                          <a:stretch>
                            <a:fillRect/>
                          </a:stretch>
                        </pic:blipFill>
                        <pic:spPr>
                          <a:xfrm>
                            <a:off x="0" y="0"/>
                            <a:ext cx="2340610" cy="165227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将地板表面打扫干净，第一步采用彩条布全面覆盖，第二步采用瓦楞纸做进一步保护，周边和衔接部位用胶带纸封闭。</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9、涂料防护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3150" cy="2175510"/>
                  <wp:effectExtent l="0" t="0" r="3810" b="3810"/>
                  <wp:docPr id="43" name="图片 13" descr="微信截图_2019080417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微信截图_20190804170042"/>
                          <pic:cNvPicPr>
                            <a:picLocks noChangeAspect="1"/>
                          </pic:cNvPicPr>
                        </pic:nvPicPr>
                        <pic:blipFill>
                          <a:blip r:embed="rId21"/>
                          <a:stretch>
                            <a:fillRect/>
                          </a:stretch>
                        </pic:blipFill>
                        <pic:spPr>
                          <a:xfrm>
                            <a:off x="0" y="0"/>
                            <a:ext cx="2343150" cy="217551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1、涂刷墙柱面时，必须采取贴纸或塑料薄膜等措施，不得沾污地面、门窗、玻璃等己完的工程。</w:t>
            </w:r>
          </w:p>
          <w:p>
            <w:pPr>
              <w:overflowPunct w:val="0"/>
              <w:adjustRightInd/>
              <w:snapToGrid/>
              <w:ind w:firstLine="480"/>
              <w:rPr>
                <w:color w:val="auto"/>
              </w:rPr>
            </w:pPr>
            <w:r>
              <w:rPr>
                <w:rFonts w:hint="eastAsia"/>
                <w:color w:val="auto"/>
              </w:rPr>
              <w:t>2、涂料墙面不得雨淋、水泡，其他工种施工时不得碰撞阳角和墙面，严禁有一切污染物污染涂料墙面，严禁在涂料墙面上乱写乱画。</w:t>
            </w:r>
          </w:p>
          <w:p>
            <w:pPr>
              <w:overflowPunct w:val="0"/>
              <w:adjustRightInd/>
              <w:snapToGrid/>
              <w:ind w:firstLine="480"/>
              <w:rPr>
                <w:color w:val="auto"/>
              </w:rPr>
            </w:pPr>
            <w:r>
              <w:rPr>
                <w:rFonts w:hint="eastAsia"/>
                <w:color w:val="auto"/>
              </w:rPr>
              <w:t>3、室内严禁用火用水，防止装饰成品污染、受潮、变色。</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10、壁纸、壁布保护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5690" cy="1758950"/>
                  <wp:effectExtent l="0" t="0" r="1270" b="8890"/>
                  <wp:docPr id="42" name="图片 14" descr="7ba37aac47d54a9cab4d84be276f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7ba37aac47d54a9cab4d84be276f0bf"/>
                          <pic:cNvPicPr>
                            <a:picLocks noChangeAspect="1"/>
                          </pic:cNvPicPr>
                        </pic:nvPicPr>
                        <pic:blipFill>
                          <a:blip r:embed="rId22"/>
                          <a:stretch>
                            <a:fillRect/>
                          </a:stretch>
                        </pic:blipFill>
                        <pic:spPr>
                          <a:xfrm>
                            <a:off x="0" y="0"/>
                            <a:ext cx="2345690" cy="1758950"/>
                          </a:xfrm>
                          <a:prstGeom prst="rect">
                            <a:avLst/>
                          </a:prstGeom>
                          <a:noFill/>
                          <a:ln>
                            <a:noFill/>
                          </a:ln>
                        </pic:spPr>
                      </pic:pic>
                    </a:graphicData>
                  </a:graphic>
                </wp:inline>
              </w:drawing>
            </w:r>
          </w:p>
          <w:p>
            <w:pPr>
              <w:overflowPunct w:val="0"/>
              <w:adjustRightInd/>
              <w:snapToGrid/>
              <w:ind w:firstLine="480"/>
              <w:rPr>
                <w:color w:val="auto"/>
              </w:rPr>
            </w:pPr>
            <w:r>
              <w:rPr>
                <w:rFonts w:hint="eastAsia"/>
                <w:color w:val="auto"/>
              </w:rPr>
              <w:drawing>
                <wp:inline distT="0" distB="0" distL="114300" distR="114300">
                  <wp:extent cx="2345690" cy="1758950"/>
                  <wp:effectExtent l="0" t="0" r="1270" b="8890"/>
                  <wp:docPr id="41" name="图片 15" descr="90efd3e21a53f252020eb30ee863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90efd3e21a53f252020eb30ee863abb"/>
                          <pic:cNvPicPr>
                            <a:picLocks noChangeAspect="1"/>
                          </pic:cNvPicPr>
                        </pic:nvPicPr>
                        <pic:blipFill>
                          <a:blip r:embed="rId23"/>
                          <a:stretch>
                            <a:fillRect/>
                          </a:stretch>
                        </pic:blipFill>
                        <pic:spPr>
                          <a:xfrm>
                            <a:off x="0" y="0"/>
                            <a:ext cx="2345690" cy="175895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1、采用塑料薄膜并用图钉固定在接缝处，不得私自拆除。</w:t>
            </w:r>
          </w:p>
          <w:p>
            <w:pPr>
              <w:overflowPunct w:val="0"/>
              <w:adjustRightInd/>
              <w:snapToGrid/>
              <w:ind w:firstLine="480"/>
              <w:rPr>
                <w:color w:val="auto"/>
              </w:rPr>
            </w:pPr>
            <w:r>
              <w:rPr>
                <w:rFonts w:hint="eastAsia"/>
                <w:color w:val="auto"/>
              </w:rPr>
              <w:t>2、不得雨淋、水泡，其他工种施工时不得碰撞阳角和墙面，严禁有一切污染物污染，严禁乱写乱画。</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11、木饰面防护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39340" cy="2083435"/>
                  <wp:effectExtent l="0" t="0" r="0" b="0"/>
                  <wp:docPr id="39"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1"/>
                          <pic:cNvPicPr>
                            <a:picLocks noChangeAspect="1"/>
                          </pic:cNvPicPr>
                        </pic:nvPicPr>
                        <pic:blipFill>
                          <a:blip r:embed="rId24"/>
                          <a:stretch>
                            <a:fillRect/>
                          </a:stretch>
                        </pic:blipFill>
                        <pic:spPr>
                          <a:xfrm>
                            <a:off x="0" y="0"/>
                            <a:ext cx="2339340" cy="208343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1、采用塑料薄膜，边角使用美纹纸粘结牢固，不得私自拆除；阳角处纸质护角条保护。</w:t>
            </w:r>
          </w:p>
          <w:p>
            <w:pPr>
              <w:overflowPunct w:val="0"/>
              <w:adjustRightInd/>
              <w:snapToGrid/>
              <w:ind w:firstLine="480"/>
              <w:rPr>
                <w:color w:val="auto"/>
              </w:rPr>
            </w:pPr>
            <w:r>
              <w:rPr>
                <w:rFonts w:hint="eastAsia"/>
                <w:color w:val="auto"/>
              </w:rPr>
              <w:t>2、不得雨淋、水泡，其他工种施工时不得碰撞阳角和墙面，严禁有一切污染物污染，严禁乱写乱画。</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12、窗台石材台面防护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2515" cy="2338705"/>
                  <wp:effectExtent l="0" t="0" r="4445" b="8255"/>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25"/>
                          <a:stretch>
                            <a:fillRect/>
                          </a:stretch>
                        </pic:blipFill>
                        <pic:spPr>
                          <a:xfrm>
                            <a:off x="0" y="0"/>
                            <a:ext cx="2342515" cy="233870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1、验收合格后，仔细清理石材表面、拼缝及拼角部位的垃圾杂物，之后用干净棉布清除表面灰尘。</w:t>
            </w:r>
          </w:p>
          <w:p>
            <w:pPr>
              <w:overflowPunct w:val="0"/>
              <w:adjustRightInd/>
              <w:snapToGrid/>
              <w:ind w:firstLine="480"/>
              <w:rPr>
                <w:color w:val="auto"/>
              </w:rPr>
            </w:pPr>
            <w:r>
              <w:rPr>
                <w:rFonts w:hint="eastAsia"/>
                <w:color w:val="auto"/>
              </w:rPr>
              <w:t>2、清洁完毕，用适宜尺寸的成品瓦楞纸板折成 L 型，覆盖在窗台石上，覆盖时须确保完全被包覆。</w:t>
            </w:r>
          </w:p>
          <w:p>
            <w:pPr>
              <w:overflowPunct w:val="0"/>
              <w:adjustRightInd/>
              <w:snapToGrid/>
              <w:ind w:firstLine="480"/>
              <w:rPr>
                <w:color w:val="auto"/>
              </w:rPr>
            </w:pPr>
            <w:r>
              <w:rPr>
                <w:rFonts w:hint="eastAsia"/>
                <w:color w:val="auto"/>
              </w:rPr>
              <w:t>3、在纸板交接处及转角处，需用胶带固定.</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13、铝扣板吊顶防护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0610" cy="2340610"/>
                  <wp:effectExtent l="0" t="0" r="6350" b="635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6"/>
                          <a:stretch>
                            <a:fillRect/>
                          </a:stretch>
                        </pic:blipFill>
                        <pic:spPr>
                          <a:xfrm>
                            <a:off x="0" y="0"/>
                            <a:ext cx="2340610" cy="234061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出厂时带有成品保护（多以粘性薄膜为主），安装成品时，只适当拆除需交叉安装的界面上的成品保护，其余大面保护保留，且禁止提前拆除。</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14、橱柜、衣柜、油烟机防护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38705" cy="2200910"/>
                  <wp:effectExtent l="0" t="0" r="8255" b="889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7"/>
                          <a:stretch>
                            <a:fillRect/>
                          </a:stretch>
                        </pic:blipFill>
                        <pic:spPr>
                          <a:xfrm>
                            <a:off x="0" y="0"/>
                            <a:ext cx="2338705" cy="2200910"/>
                          </a:xfrm>
                          <a:prstGeom prst="rect">
                            <a:avLst/>
                          </a:prstGeom>
                          <a:noFill/>
                          <a:ln>
                            <a:noFill/>
                          </a:ln>
                        </pic:spPr>
                      </pic:pic>
                    </a:graphicData>
                  </a:graphic>
                </wp:inline>
              </w:drawing>
            </w:r>
          </w:p>
          <w:p>
            <w:pPr>
              <w:overflowPunct w:val="0"/>
              <w:adjustRightInd/>
              <w:snapToGrid/>
              <w:ind w:firstLine="480"/>
              <w:rPr>
                <w:color w:val="auto"/>
              </w:rPr>
            </w:pPr>
            <w:r>
              <w:rPr>
                <w:rFonts w:hint="eastAsia"/>
                <w:color w:val="auto"/>
              </w:rPr>
              <w:drawing>
                <wp:inline distT="0" distB="0" distL="114300" distR="114300">
                  <wp:extent cx="2339975" cy="1894840"/>
                  <wp:effectExtent l="0" t="0" r="6985" b="1016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8"/>
                          <a:stretch>
                            <a:fillRect/>
                          </a:stretch>
                        </pic:blipFill>
                        <pic:spPr>
                          <a:xfrm>
                            <a:off x="0" y="0"/>
                            <a:ext cx="2339975" cy="1894840"/>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40610" cy="3498850"/>
                  <wp:effectExtent l="0" t="0" r="6350" b="6350"/>
                  <wp:docPr id="27" name="图片 21" descr="62911952985996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629119529859964656"/>
                          <pic:cNvPicPr>
                            <a:picLocks noChangeAspect="1"/>
                          </pic:cNvPicPr>
                        </pic:nvPicPr>
                        <pic:blipFill>
                          <a:blip r:embed="rId29"/>
                          <a:stretch>
                            <a:fillRect/>
                          </a:stretch>
                        </pic:blipFill>
                        <pic:spPr>
                          <a:xfrm>
                            <a:off x="0" y="0"/>
                            <a:ext cx="2340610" cy="3498850"/>
                          </a:xfrm>
                          <a:prstGeom prst="rect">
                            <a:avLst/>
                          </a:prstGeom>
                          <a:noFill/>
                          <a:ln>
                            <a:noFill/>
                          </a:ln>
                        </pic:spPr>
                      </pic:pic>
                    </a:graphicData>
                  </a:graphic>
                </wp:inline>
              </w:drawing>
            </w:r>
          </w:p>
          <w:p>
            <w:pPr>
              <w:overflowPunct w:val="0"/>
              <w:adjustRightInd/>
              <w:snapToGrid/>
              <w:rPr>
                <w:color w:val="auto"/>
                <w:sz w:val="20"/>
              </w:rPr>
            </w:pPr>
            <w:r>
              <w:rPr>
                <w:rFonts w:hint="eastAsia"/>
                <w:color w:val="auto"/>
              </w:rPr>
              <w:drawing>
                <wp:inline distT="0" distB="0" distL="114300" distR="114300">
                  <wp:extent cx="2340610" cy="2091690"/>
                  <wp:effectExtent l="0" t="0" r="6350" b="1143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0"/>
                          <a:stretch>
                            <a:fillRect/>
                          </a:stretch>
                        </pic:blipFill>
                        <pic:spPr>
                          <a:xfrm>
                            <a:off x="0" y="0"/>
                            <a:ext cx="2340610" cy="209169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柜体安装完成后，将台面污染清除后及时用塑料或发泡薄膜满铺保护，周边用美纹纸与墙面瓷砖粘贴牢固。</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383" w:type="dxa"/>
          </w:tcPr>
          <w:p>
            <w:pPr>
              <w:overflowPunct w:val="0"/>
              <w:adjustRightInd/>
              <w:snapToGrid/>
              <w:ind w:firstLine="0" w:firstLineChars="0"/>
              <w:rPr>
                <w:color w:val="auto"/>
              </w:rPr>
            </w:pPr>
            <w:r>
              <w:rPr>
                <w:rFonts w:hint="eastAsia"/>
                <w:color w:val="auto"/>
              </w:rPr>
              <w:t>15、洗手台盆防护</w:t>
            </w:r>
          </w:p>
        </w:tc>
        <w:tc>
          <w:tcPr>
            <w:tcW w:w="3969" w:type="dxa"/>
          </w:tcPr>
          <w:p>
            <w:pPr>
              <w:overflowPunct w:val="0"/>
              <w:adjustRightInd/>
              <w:snapToGrid/>
              <w:ind w:firstLine="480"/>
              <w:rPr>
                <w:color w:val="auto"/>
                <w:szCs w:val="24"/>
              </w:rPr>
            </w:pPr>
            <w:r>
              <w:rPr>
                <w:rFonts w:hint="eastAsia"/>
                <w:color w:val="auto"/>
              </w:rPr>
              <w:drawing>
                <wp:inline distT="0" distB="0" distL="114300" distR="114300">
                  <wp:extent cx="2339340" cy="1508125"/>
                  <wp:effectExtent l="0" t="0" r="7620" b="63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1"/>
                          <a:stretch>
                            <a:fillRect/>
                          </a:stretch>
                        </pic:blipFill>
                        <pic:spPr>
                          <a:xfrm>
                            <a:off x="0" y="0"/>
                            <a:ext cx="2339340" cy="1508125"/>
                          </a:xfrm>
                          <a:prstGeom prst="rect">
                            <a:avLst/>
                          </a:prstGeom>
                          <a:noFill/>
                          <a:ln>
                            <a:noFill/>
                          </a:ln>
                        </pic:spPr>
                      </pic:pic>
                    </a:graphicData>
                  </a:graphic>
                </wp:inline>
              </w:drawing>
            </w:r>
          </w:p>
          <w:p>
            <w:pPr>
              <w:overflowPunct w:val="0"/>
              <w:adjustRightInd/>
              <w:snapToGrid/>
              <w:ind w:firstLine="480"/>
              <w:rPr>
                <w:color w:val="auto"/>
                <w:szCs w:val="24"/>
              </w:rPr>
            </w:pPr>
            <w:r>
              <w:rPr>
                <w:rFonts w:hint="eastAsia"/>
                <w:color w:val="auto"/>
              </w:rPr>
              <w:drawing>
                <wp:inline distT="0" distB="0" distL="114300" distR="114300">
                  <wp:extent cx="2340610" cy="1393825"/>
                  <wp:effectExtent l="0" t="0" r="6350" b="825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32"/>
                          <a:stretch>
                            <a:fillRect/>
                          </a:stretch>
                        </pic:blipFill>
                        <pic:spPr>
                          <a:xfrm>
                            <a:off x="0" y="0"/>
                            <a:ext cx="2340610" cy="139382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采用塑料或发泡薄膜满铺保护，周边用美纹纸和墙面瓷砖与柜体粘贴牢固。</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383" w:type="dxa"/>
          </w:tcPr>
          <w:p>
            <w:pPr>
              <w:overflowPunct w:val="0"/>
              <w:adjustRightInd/>
              <w:snapToGrid/>
              <w:ind w:firstLine="0" w:firstLineChars="0"/>
              <w:rPr>
                <w:color w:val="auto"/>
              </w:rPr>
            </w:pPr>
            <w:r>
              <w:rPr>
                <w:rFonts w:hint="eastAsia"/>
                <w:color w:val="auto"/>
              </w:rPr>
              <w:t>16、镜柜防护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0610" cy="1878965"/>
                  <wp:effectExtent l="0" t="0" r="6350" b="10795"/>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33"/>
                          <a:stretch>
                            <a:fillRect/>
                          </a:stretch>
                        </pic:blipFill>
                        <pic:spPr>
                          <a:xfrm>
                            <a:off x="0" y="0"/>
                            <a:ext cx="2340610" cy="1878965"/>
                          </a:xfrm>
                          <a:prstGeom prst="rect">
                            <a:avLst/>
                          </a:prstGeom>
                          <a:noFill/>
                          <a:ln>
                            <a:noFill/>
                          </a:ln>
                        </pic:spPr>
                      </pic:pic>
                    </a:graphicData>
                  </a:graphic>
                </wp:inline>
              </w:drawing>
            </w:r>
          </w:p>
          <w:p>
            <w:pPr>
              <w:overflowPunct w:val="0"/>
              <w:adjustRightInd/>
              <w:snapToGrid/>
              <w:ind w:firstLine="480"/>
              <w:rPr>
                <w:color w:val="auto"/>
              </w:rPr>
            </w:pPr>
            <w:r>
              <w:rPr>
                <w:rFonts w:hint="eastAsia"/>
                <w:color w:val="auto"/>
              </w:rPr>
              <w:drawing>
                <wp:inline distT="0" distB="0" distL="114300" distR="114300">
                  <wp:extent cx="2339340" cy="1866265"/>
                  <wp:effectExtent l="0" t="0" r="7620" b="825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34"/>
                          <a:stretch>
                            <a:fillRect/>
                          </a:stretch>
                        </pic:blipFill>
                        <pic:spPr>
                          <a:xfrm>
                            <a:off x="0" y="0"/>
                            <a:ext cx="2339340" cy="186626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1、半成品贴身包裹塑料薄膜或塑料袋，并加装玻璃专用护角，玻璃之间填充泡沫塑料，五金件用专用牛皮纸盒包装。</w:t>
            </w:r>
          </w:p>
          <w:p>
            <w:pPr>
              <w:overflowPunct w:val="0"/>
              <w:adjustRightInd/>
              <w:snapToGrid/>
              <w:ind w:firstLine="480"/>
              <w:rPr>
                <w:color w:val="auto"/>
              </w:rPr>
            </w:pPr>
            <w:r>
              <w:rPr>
                <w:rFonts w:hint="eastAsia"/>
                <w:color w:val="auto"/>
              </w:rPr>
              <w:t>2、安装完成后进行清洁，然后用发泡薄膜保护，用美纹纸进行粘贴固定</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保护时间：成品施工完成至交房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17、马桶防护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38705" cy="1964055"/>
                  <wp:effectExtent l="0" t="0" r="8255" b="190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5"/>
                          <a:stretch>
                            <a:fillRect/>
                          </a:stretch>
                        </pic:blipFill>
                        <pic:spPr>
                          <a:xfrm>
                            <a:off x="0" y="0"/>
                            <a:ext cx="2338705" cy="1964055"/>
                          </a:xfrm>
                          <a:prstGeom prst="rect">
                            <a:avLst/>
                          </a:prstGeom>
                          <a:noFill/>
                          <a:ln>
                            <a:noFill/>
                          </a:ln>
                        </pic:spPr>
                      </pic:pic>
                    </a:graphicData>
                  </a:graphic>
                </wp:inline>
              </w:drawing>
            </w:r>
          </w:p>
          <w:p>
            <w:pPr>
              <w:overflowPunct w:val="0"/>
              <w:adjustRightInd/>
              <w:snapToGrid/>
              <w:ind w:firstLine="480"/>
              <w:rPr>
                <w:color w:val="auto"/>
              </w:rPr>
            </w:pPr>
            <w:r>
              <w:rPr>
                <w:rFonts w:hint="eastAsia"/>
                <w:color w:val="auto"/>
              </w:rPr>
              <w:drawing>
                <wp:inline distT="0" distB="0" distL="114300" distR="114300">
                  <wp:extent cx="2341245" cy="1758315"/>
                  <wp:effectExtent l="0" t="0" r="5715" b="9525"/>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pic:cNvPicPr>
                        </pic:nvPicPr>
                        <pic:blipFill>
                          <a:blip r:embed="rId36"/>
                          <a:stretch>
                            <a:fillRect/>
                          </a:stretch>
                        </pic:blipFill>
                        <pic:spPr>
                          <a:xfrm>
                            <a:off x="0" y="0"/>
                            <a:ext cx="2341245" cy="175831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注意保留原包装物，安装完成后用原包装直接包裹马桶， 不得在保护纸壳上面堆放材料，或把保护纸壳移作他用； 在保护包装上标识严禁踩踏等标识。</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18、浴缸防护</w:t>
            </w:r>
          </w:p>
        </w:tc>
        <w:tc>
          <w:tcPr>
            <w:tcW w:w="3969" w:type="dxa"/>
          </w:tcPr>
          <w:p>
            <w:pPr>
              <w:overflowPunct w:val="0"/>
              <w:adjustRightInd/>
              <w:snapToGrid/>
              <w:ind w:firstLine="480"/>
              <w:rPr>
                <w:color w:val="auto"/>
                <w:szCs w:val="24"/>
              </w:rPr>
            </w:pPr>
            <w:r>
              <w:rPr>
                <w:rFonts w:hint="eastAsia"/>
                <w:color w:val="auto"/>
              </w:rPr>
              <w:drawing>
                <wp:inline distT="0" distB="0" distL="114300" distR="114300">
                  <wp:extent cx="2342515" cy="2338705"/>
                  <wp:effectExtent l="0" t="0" r="4445" b="825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pic:cNvPicPr>
                            <a:picLocks noChangeAspect="1"/>
                          </pic:cNvPicPr>
                        </pic:nvPicPr>
                        <pic:blipFill>
                          <a:blip r:embed="rId37"/>
                          <a:stretch>
                            <a:fillRect/>
                          </a:stretch>
                        </pic:blipFill>
                        <pic:spPr>
                          <a:xfrm>
                            <a:off x="0" y="0"/>
                            <a:ext cx="2342515" cy="233870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浴缸安装完成并验收合格后随即清理干净周围，用浴缸自带保护膜拆开沿浴缸台外侧至里覆盖，再用 12 厘板保护，张贴严禁踩踏标识。</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19、淋浴屏防护</w:t>
            </w:r>
          </w:p>
        </w:tc>
        <w:tc>
          <w:tcPr>
            <w:tcW w:w="3969" w:type="dxa"/>
          </w:tcPr>
          <w:p>
            <w:pPr>
              <w:overflowPunct w:val="0"/>
              <w:adjustRightInd/>
              <w:snapToGrid/>
              <w:rPr>
                <w:color w:val="auto"/>
              </w:rPr>
            </w:pPr>
            <w:r>
              <w:rPr>
                <w:rFonts w:hint="eastAsia"/>
                <w:color w:val="auto"/>
              </w:rPr>
              <w:drawing>
                <wp:inline distT="0" distB="0" distL="114300" distR="114300">
                  <wp:extent cx="2339975" cy="1623060"/>
                  <wp:effectExtent l="0" t="0" r="6985" b="762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8"/>
                          <a:stretch>
                            <a:fillRect/>
                          </a:stretch>
                        </pic:blipFill>
                        <pic:spPr>
                          <a:xfrm>
                            <a:off x="0" y="0"/>
                            <a:ext cx="2339975" cy="162306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1、淋浴屏安装 与户内部品安装同步。</w:t>
            </w:r>
          </w:p>
          <w:p>
            <w:pPr>
              <w:overflowPunct w:val="0"/>
              <w:adjustRightInd/>
              <w:snapToGrid/>
              <w:ind w:firstLine="480"/>
              <w:rPr>
                <w:color w:val="auto"/>
              </w:rPr>
            </w:pPr>
            <w:r>
              <w:rPr>
                <w:rFonts w:hint="eastAsia"/>
                <w:color w:val="auto"/>
              </w:rPr>
              <w:t>2、淋浴屏保护 铝合金框及玻璃，均在出厂前采用静电吸附薄膜对内外两侧进行保护；</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20、厨卫五金件保护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0610" cy="1645920"/>
                  <wp:effectExtent l="0" t="0" r="635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9"/>
                          <a:stretch>
                            <a:fillRect/>
                          </a:stretch>
                        </pic:blipFill>
                        <pic:spPr>
                          <a:xfrm>
                            <a:off x="0" y="0"/>
                            <a:ext cx="2340610" cy="1645920"/>
                          </a:xfrm>
                          <a:prstGeom prst="rect">
                            <a:avLst/>
                          </a:prstGeom>
                          <a:noFill/>
                          <a:ln>
                            <a:noFill/>
                          </a:ln>
                        </pic:spPr>
                      </pic:pic>
                    </a:graphicData>
                  </a:graphic>
                </wp:inline>
              </w:drawing>
            </w:r>
          </w:p>
          <w:p>
            <w:pPr>
              <w:overflowPunct w:val="0"/>
              <w:adjustRightInd/>
              <w:snapToGrid/>
              <w:ind w:firstLine="480"/>
              <w:rPr>
                <w:color w:val="auto"/>
                <w:szCs w:val="24"/>
              </w:rPr>
            </w:pPr>
            <w:r>
              <w:rPr>
                <w:rFonts w:hint="eastAsia"/>
                <w:color w:val="auto"/>
              </w:rPr>
              <w:drawing>
                <wp:inline distT="0" distB="0" distL="114300" distR="114300">
                  <wp:extent cx="2339975" cy="1638300"/>
                  <wp:effectExtent l="0" t="0" r="6985" b="762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0"/>
                          <a:stretch>
                            <a:fillRect/>
                          </a:stretch>
                        </pic:blipFill>
                        <pic:spPr>
                          <a:xfrm>
                            <a:off x="0" y="0"/>
                            <a:ext cx="2339975" cy="163830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花洒、水龙头等五金件安装完成、验收合格后，用原包装物包裹保护。</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21、地漏保护</w:t>
            </w:r>
          </w:p>
        </w:tc>
        <w:tc>
          <w:tcPr>
            <w:tcW w:w="3969" w:type="dxa"/>
          </w:tcPr>
          <w:p>
            <w:pPr>
              <w:overflowPunct w:val="0"/>
              <w:adjustRightInd/>
              <w:snapToGrid/>
              <w:ind w:firstLine="480"/>
              <w:rPr>
                <w:color w:val="auto"/>
                <w:szCs w:val="24"/>
              </w:rPr>
            </w:pPr>
            <w:r>
              <w:rPr>
                <w:rFonts w:hint="eastAsia"/>
                <w:color w:val="auto"/>
              </w:rPr>
              <w:drawing>
                <wp:inline distT="0" distB="0" distL="114300" distR="114300">
                  <wp:extent cx="2340610" cy="2339340"/>
                  <wp:effectExtent l="0" t="0" r="6350" b="7620"/>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1"/>
                          </pic:cNvPicPr>
                        </pic:nvPicPr>
                        <pic:blipFill>
                          <a:blip r:embed="rId41"/>
                          <a:stretch>
                            <a:fillRect/>
                          </a:stretch>
                        </pic:blipFill>
                        <pic:spPr>
                          <a:xfrm>
                            <a:off x="0" y="0"/>
                            <a:ext cx="2340610" cy="233934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安装完成、验收合格后，用原包装物包裹保护。</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22、空调、风口保护</w:t>
            </w:r>
          </w:p>
        </w:tc>
        <w:tc>
          <w:tcPr>
            <w:tcW w:w="3969" w:type="dxa"/>
          </w:tcPr>
          <w:p>
            <w:pPr>
              <w:overflowPunct w:val="0"/>
              <w:adjustRightInd/>
              <w:snapToGrid/>
              <w:ind w:firstLine="480"/>
              <w:rPr>
                <w:color w:val="auto"/>
              </w:rPr>
            </w:pPr>
            <w:r>
              <w:rPr>
                <w:rFonts w:hint="eastAsia"/>
                <w:color w:val="auto"/>
              </w:rPr>
              <w:drawing>
                <wp:inline distT="0" distB="0" distL="114300" distR="114300">
                  <wp:extent cx="2340610" cy="1316990"/>
                  <wp:effectExtent l="0" t="0" r="6350" b="8890"/>
                  <wp:docPr id="15" name="图片 3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timg"/>
                          <pic:cNvPicPr>
                            <a:picLocks noChangeAspect="1"/>
                          </pic:cNvPicPr>
                        </pic:nvPicPr>
                        <pic:blipFill>
                          <a:blip r:embed="rId42"/>
                          <a:stretch>
                            <a:fillRect/>
                          </a:stretch>
                        </pic:blipFill>
                        <pic:spPr>
                          <a:xfrm>
                            <a:off x="0" y="0"/>
                            <a:ext cx="2340610" cy="1316990"/>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38705" cy="1548765"/>
                  <wp:effectExtent l="0" t="0" r="8255" b="5715"/>
                  <wp:docPr id="14" name="图片 35" descr="微信截图_201908031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微信截图_20190803115956"/>
                          <pic:cNvPicPr>
                            <a:picLocks noChangeAspect="1"/>
                          </pic:cNvPicPr>
                        </pic:nvPicPr>
                        <pic:blipFill>
                          <a:blip r:embed="rId43"/>
                          <a:stretch>
                            <a:fillRect/>
                          </a:stretch>
                        </pic:blipFill>
                        <pic:spPr>
                          <a:xfrm>
                            <a:off x="0" y="0"/>
                            <a:ext cx="2338705" cy="1548765"/>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43785" cy="923925"/>
                  <wp:effectExtent l="0" t="0" r="3175" b="5715"/>
                  <wp:docPr id="17" name="图片 36" descr="微信截图_201908031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微信截图_20190803120034"/>
                          <pic:cNvPicPr>
                            <a:picLocks noChangeAspect="1"/>
                          </pic:cNvPicPr>
                        </pic:nvPicPr>
                        <pic:blipFill>
                          <a:blip r:embed="rId44"/>
                          <a:stretch>
                            <a:fillRect/>
                          </a:stretch>
                        </pic:blipFill>
                        <pic:spPr>
                          <a:xfrm>
                            <a:off x="0" y="0"/>
                            <a:ext cx="2343785" cy="923925"/>
                          </a:xfrm>
                          <a:prstGeom prst="rect">
                            <a:avLst/>
                          </a:prstGeom>
                          <a:noFill/>
                          <a:ln>
                            <a:noFill/>
                          </a:ln>
                        </pic:spPr>
                      </pic:pic>
                    </a:graphicData>
                  </a:graphic>
                </wp:inline>
              </w:drawing>
            </w:r>
          </w:p>
          <w:p>
            <w:pPr>
              <w:overflowPunct w:val="0"/>
              <w:adjustRightInd/>
              <w:snapToGrid/>
              <w:ind w:firstLine="480"/>
              <w:rPr>
                <w:color w:val="auto"/>
                <w:szCs w:val="24"/>
              </w:rPr>
            </w:pPr>
            <w:r>
              <w:rPr>
                <w:rFonts w:hint="eastAsia"/>
                <w:color w:val="auto"/>
              </w:rPr>
              <w:drawing>
                <wp:inline distT="0" distB="0" distL="114300" distR="114300">
                  <wp:extent cx="2338705" cy="2156460"/>
                  <wp:effectExtent l="0" t="0" r="8255" b="762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1"/>
                          </pic:cNvPicPr>
                        </pic:nvPicPr>
                        <pic:blipFill>
                          <a:blip r:embed="rId45"/>
                          <a:stretch>
                            <a:fillRect/>
                          </a:stretch>
                        </pic:blipFill>
                        <pic:spPr>
                          <a:xfrm>
                            <a:off x="0" y="0"/>
                            <a:ext cx="2338705" cy="215646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1、安装调整完成后，室内壁挂机立即用原厂包装用的塑料薄膜完全覆盖，并用美纹纸将塑料薄膜与机身固定，确保每边都封闭密实。</w:t>
            </w:r>
          </w:p>
          <w:p>
            <w:pPr>
              <w:overflowPunct w:val="0"/>
              <w:adjustRightInd/>
              <w:snapToGrid/>
              <w:ind w:firstLine="480"/>
              <w:rPr>
                <w:color w:val="auto"/>
              </w:rPr>
            </w:pPr>
            <w:r>
              <w:rPr>
                <w:rFonts w:hint="eastAsia"/>
                <w:color w:val="auto"/>
              </w:rPr>
              <w:t>2、风管机，出回风口均用薄膜裁剪成与风口同一尺寸，满铺，并用美纹纸将薄膜与风口翻边整条粘贴固定。</w:t>
            </w:r>
          </w:p>
          <w:p>
            <w:pPr>
              <w:overflowPunct w:val="0"/>
              <w:adjustRightInd/>
              <w:snapToGrid/>
              <w:ind w:firstLine="480"/>
              <w:rPr>
                <w:color w:val="auto"/>
              </w:rPr>
            </w:pPr>
            <w:r>
              <w:rPr>
                <w:rFonts w:hint="eastAsia"/>
                <w:color w:val="auto"/>
              </w:rPr>
              <w:t>3、中央空调在安装完毕后应立即用出厂的薄膜包装覆盖，避免杂物进入。</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23、住户电箱防护</w:t>
            </w:r>
          </w:p>
        </w:tc>
        <w:tc>
          <w:tcPr>
            <w:tcW w:w="3969" w:type="dxa"/>
          </w:tcPr>
          <w:p>
            <w:pPr>
              <w:overflowPunct w:val="0"/>
              <w:adjustRightInd/>
              <w:snapToGrid/>
              <w:rPr>
                <w:color w:val="auto"/>
              </w:rPr>
            </w:pPr>
            <w:r>
              <w:rPr>
                <w:rFonts w:hint="eastAsia"/>
                <w:color w:val="auto"/>
              </w:rPr>
              <w:drawing>
                <wp:inline distT="0" distB="0" distL="114300" distR="114300">
                  <wp:extent cx="2339340" cy="2339340"/>
                  <wp:effectExtent l="0" t="0" r="7620" b="7620"/>
                  <wp:docPr id="32"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1"/>
                          <pic:cNvPicPr>
                            <a:picLocks noChangeAspect="1"/>
                          </pic:cNvPicPr>
                        </pic:nvPicPr>
                        <pic:blipFill>
                          <a:blip r:embed="rId46"/>
                          <a:stretch>
                            <a:fillRect/>
                          </a:stretch>
                        </pic:blipFill>
                        <pic:spPr>
                          <a:xfrm>
                            <a:off x="0" y="0"/>
                            <a:ext cx="2339340" cy="2339340"/>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安装完毕后用塑料板及时进行防护，并涂写触电危险等警告字样。</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24、开关、插座防护（精装交付）</w:t>
            </w:r>
          </w:p>
        </w:tc>
        <w:tc>
          <w:tcPr>
            <w:tcW w:w="3969" w:type="dxa"/>
          </w:tcPr>
          <w:p>
            <w:pPr>
              <w:overflowPunct w:val="0"/>
              <w:adjustRightInd/>
              <w:snapToGrid/>
              <w:rPr>
                <w:color w:val="auto"/>
              </w:rPr>
            </w:pPr>
            <w:r>
              <w:rPr>
                <w:rFonts w:hint="eastAsia"/>
                <w:color w:val="auto"/>
              </w:rPr>
              <w:drawing>
                <wp:inline distT="0" distB="0" distL="114300" distR="114300">
                  <wp:extent cx="2338070" cy="1584960"/>
                  <wp:effectExtent l="0" t="0" r="8890" b="0"/>
                  <wp:docPr id="30" name="图片 39" descr="IMG_20160809_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IMG_20160809_150626"/>
                          <pic:cNvPicPr>
                            <a:picLocks noChangeAspect="1"/>
                          </pic:cNvPicPr>
                        </pic:nvPicPr>
                        <pic:blipFill>
                          <a:blip r:embed="rId47"/>
                          <a:stretch>
                            <a:fillRect/>
                          </a:stretch>
                        </pic:blipFill>
                        <pic:spPr>
                          <a:xfrm>
                            <a:off x="0" y="0"/>
                            <a:ext cx="2338070" cy="1584960"/>
                          </a:xfrm>
                          <a:prstGeom prst="rect">
                            <a:avLst/>
                          </a:prstGeom>
                          <a:noFill/>
                          <a:ln>
                            <a:noFill/>
                          </a:ln>
                        </pic:spPr>
                      </pic:pic>
                    </a:graphicData>
                  </a:graphic>
                </wp:inline>
              </w:drawing>
            </w:r>
          </w:p>
          <w:p>
            <w:pPr>
              <w:overflowPunct w:val="0"/>
              <w:adjustRightInd/>
              <w:snapToGrid/>
              <w:rPr>
                <w:color w:val="auto"/>
              </w:rPr>
            </w:pPr>
            <w:r>
              <w:rPr>
                <w:rFonts w:hint="eastAsia"/>
                <w:color w:val="auto"/>
              </w:rPr>
              <w:drawing>
                <wp:inline distT="0" distB="0" distL="114300" distR="114300">
                  <wp:extent cx="2339975" cy="1565275"/>
                  <wp:effectExtent l="0" t="0" r="6985" b="4445"/>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48"/>
                          <a:stretch>
                            <a:fillRect/>
                          </a:stretch>
                        </pic:blipFill>
                        <pic:spPr>
                          <a:xfrm>
                            <a:off x="0" y="0"/>
                            <a:ext cx="2339975" cy="156527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涂饰完成后，清除污渍借用面板原装膜安装。</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djustRightInd/>
              <w:snapToGrid/>
              <w:ind w:firstLine="0" w:firstLineChars="0"/>
              <w:rPr>
                <w:color w:val="auto"/>
              </w:rPr>
            </w:pPr>
            <w:r>
              <w:rPr>
                <w:rFonts w:hint="eastAsia"/>
                <w:color w:val="auto"/>
              </w:rPr>
              <w:t>25、灯具、应急灯等防护</w:t>
            </w:r>
          </w:p>
        </w:tc>
        <w:tc>
          <w:tcPr>
            <w:tcW w:w="3969" w:type="dxa"/>
          </w:tcPr>
          <w:p>
            <w:pPr>
              <w:overflowPunct w:val="0"/>
              <w:adjustRightInd/>
              <w:snapToGrid/>
              <w:rPr>
                <w:color w:val="auto"/>
              </w:rPr>
            </w:pPr>
            <w:r>
              <w:rPr>
                <w:rFonts w:hint="eastAsia"/>
                <w:color w:val="auto"/>
              </w:rPr>
              <w:drawing>
                <wp:inline distT="0" distB="0" distL="114300" distR="114300">
                  <wp:extent cx="2338070" cy="1870075"/>
                  <wp:effectExtent l="0" t="0" r="8890" b="4445"/>
                  <wp:docPr id="37"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1"/>
                          <pic:cNvPicPr>
                            <a:picLocks noChangeAspect="1"/>
                          </pic:cNvPicPr>
                        </pic:nvPicPr>
                        <pic:blipFill>
                          <a:blip r:embed="rId49"/>
                          <a:stretch>
                            <a:fillRect/>
                          </a:stretch>
                        </pic:blipFill>
                        <pic:spPr>
                          <a:xfrm>
                            <a:off x="0" y="0"/>
                            <a:ext cx="2338070" cy="1870075"/>
                          </a:xfrm>
                          <a:prstGeom prst="rect">
                            <a:avLst/>
                          </a:prstGeom>
                          <a:noFill/>
                          <a:ln>
                            <a:noFill/>
                          </a:ln>
                        </pic:spPr>
                      </pic:pic>
                    </a:graphicData>
                  </a:graphic>
                </wp:inline>
              </w:drawing>
            </w:r>
          </w:p>
          <w:p>
            <w:pPr>
              <w:overflowPunct w:val="0"/>
              <w:adjustRightInd/>
              <w:snapToGrid/>
              <w:ind w:firstLine="480"/>
              <w:rPr>
                <w:color w:val="auto"/>
              </w:rPr>
            </w:pPr>
            <w:r>
              <w:rPr>
                <w:rFonts w:hint="eastAsia"/>
                <w:color w:val="auto"/>
              </w:rPr>
              <w:drawing>
                <wp:inline distT="0" distB="0" distL="114300" distR="114300">
                  <wp:extent cx="2338705" cy="1710055"/>
                  <wp:effectExtent l="0" t="0" r="8255" b="12065"/>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50"/>
                          <a:stretch>
                            <a:fillRect/>
                          </a:stretch>
                        </pic:blipFill>
                        <pic:spPr>
                          <a:xfrm>
                            <a:off x="0" y="0"/>
                            <a:ext cx="2338705" cy="1710055"/>
                          </a:xfrm>
                          <a:prstGeom prst="rect">
                            <a:avLst/>
                          </a:prstGeom>
                          <a:noFill/>
                          <a:ln>
                            <a:noFill/>
                          </a:ln>
                        </pic:spPr>
                      </pic:pic>
                    </a:graphicData>
                  </a:graphic>
                </wp:inline>
              </w:drawing>
            </w:r>
          </w:p>
          <w:p>
            <w:pPr>
              <w:overflowPunct w:val="0"/>
              <w:adjustRightInd/>
              <w:snapToGrid/>
              <w:ind w:firstLine="480"/>
              <w:rPr>
                <w:color w:val="auto"/>
                <w:szCs w:val="24"/>
              </w:rPr>
            </w:pPr>
            <w:r>
              <w:rPr>
                <w:rFonts w:hint="eastAsia"/>
                <w:color w:val="auto"/>
              </w:rPr>
              <w:drawing>
                <wp:inline distT="0" distB="0" distL="114300" distR="114300">
                  <wp:extent cx="2341245" cy="2339975"/>
                  <wp:effectExtent l="0" t="0" r="5715" b="698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51"/>
                          <a:stretch>
                            <a:fillRect/>
                          </a:stretch>
                        </pic:blipFill>
                        <pic:spPr>
                          <a:xfrm>
                            <a:off x="0" y="0"/>
                            <a:ext cx="2341245" cy="2339975"/>
                          </a:xfrm>
                          <a:prstGeom prst="rect">
                            <a:avLst/>
                          </a:prstGeom>
                          <a:noFill/>
                          <a:ln>
                            <a:noFill/>
                          </a:ln>
                        </pic:spPr>
                      </pic:pic>
                    </a:graphicData>
                  </a:graphic>
                </wp:inline>
              </w:drawing>
            </w:r>
          </w:p>
        </w:tc>
        <w:tc>
          <w:tcPr>
            <w:tcW w:w="4417" w:type="dxa"/>
          </w:tcPr>
          <w:p>
            <w:pPr>
              <w:overflowPunct w:val="0"/>
              <w:adjustRightInd/>
              <w:snapToGrid/>
              <w:ind w:firstLine="480"/>
              <w:rPr>
                <w:color w:val="auto"/>
              </w:rPr>
            </w:pPr>
            <w:r>
              <w:rPr>
                <w:rFonts w:hint="eastAsia"/>
                <w:color w:val="auto"/>
              </w:rPr>
              <w:t>用原包装物包裹保护（粘接处用不污染型材的自粘胶带纸粘接）。</w:t>
            </w:r>
          </w:p>
          <w:p>
            <w:pPr>
              <w:overflowPunct w:val="0"/>
              <w:adjustRightInd/>
              <w:snapToGrid/>
              <w:ind w:firstLine="480"/>
              <w:rPr>
                <w:color w:val="auto"/>
              </w:rPr>
            </w:pPr>
            <w:r>
              <w:rPr>
                <w:rFonts w:hint="eastAsia"/>
                <w:color w:val="auto"/>
              </w:rPr>
              <w:t>实施单位：精装修单位</w:t>
            </w:r>
          </w:p>
          <w:p>
            <w:pPr>
              <w:overflowPunct w:val="0"/>
              <w:adjustRightInd/>
              <w:snapToGrid/>
              <w:ind w:firstLine="480"/>
              <w:rPr>
                <w:color w:val="auto"/>
              </w:rPr>
            </w:pPr>
            <w:r>
              <w:rPr>
                <w:rFonts w:hint="eastAsia"/>
                <w:color w:val="auto"/>
              </w:rPr>
              <w:t>保护时间：材料进场至移交物业</w:t>
            </w:r>
          </w:p>
        </w:tc>
      </w:tr>
    </w:tbl>
    <w:p>
      <w:pPr>
        <w:overflowPunct w:val="0"/>
        <w:ind w:firstLine="480"/>
        <w:jc w:val="both"/>
        <w:rPr>
          <w:color w:val="auto"/>
        </w:rPr>
      </w:pPr>
    </w:p>
    <w:p>
      <w:pPr>
        <w:overflowPunct w:val="0"/>
        <w:ind w:firstLine="480"/>
        <w:rPr>
          <w:color w:val="auto"/>
        </w:rPr>
      </w:pPr>
      <w:r>
        <w:rPr>
          <w:rFonts w:hint="eastAsia"/>
          <w:color w:val="auto"/>
        </w:rPr>
        <w:t>附件七、《价格清单》（单独打印后附装订）</w:t>
      </w:r>
    </w:p>
    <w:p>
      <w:pPr>
        <w:pStyle w:val="20"/>
        <w:ind w:firstLine="562"/>
        <w:jc w:val="center"/>
        <w:rPr>
          <w:color w:val="auto"/>
        </w:rPr>
      </w:pPr>
    </w:p>
    <w:p>
      <w:pPr>
        <w:pStyle w:val="33"/>
        <w:spacing w:line="360" w:lineRule="exact"/>
        <w:ind w:firstLine="480" w:firstLineChars="200"/>
        <w:jc w:val="both"/>
        <w:rPr>
          <w:color w:val="auto"/>
        </w:rPr>
      </w:pPr>
    </w:p>
    <w:p>
      <w:pPr>
        <w:overflowPunct w:val="0"/>
        <w:rPr>
          <w:color w:val="auto"/>
        </w:rPr>
      </w:pPr>
    </w:p>
    <w:sectPr>
      <w:headerReference r:id="rId5" w:type="default"/>
      <w:footerReference r:id="rId6" w:type="default"/>
      <w:pgSz w:w="11906" w:h="16838"/>
      <w:pgMar w:top="1304" w:right="762" w:bottom="1304" w:left="1064" w:header="851" w:footer="85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ind w:firstLine="36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1"/>
                      <w:ind w:firstLine="36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0" w:firstLineChars="0"/>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3"/>
      <w:lvlText w:val="%1."/>
      <w:lvlJc w:val="left"/>
      <w:pPr>
        <w:tabs>
          <w:tab w:val="left" w:pos="0"/>
        </w:tabs>
        <w:ind w:left="425" w:hanging="425"/>
      </w:pPr>
      <w:rPr>
        <w:rFonts w:cs="Times New Roman"/>
      </w:rPr>
    </w:lvl>
    <w:lvl w:ilvl="1" w:tentative="0">
      <w:start w:val="1"/>
      <w:numFmt w:val="decimal"/>
      <w:pStyle w:val="5"/>
      <w:lvlText w:val="%2."/>
      <w:legacy w:legacy="1" w:legacySpace="0" w:legacyIndent="425"/>
      <w:lvlJc w:val="left"/>
      <w:pPr>
        <w:ind w:left="992" w:hanging="425"/>
      </w:pPr>
      <w:rPr>
        <w:rFonts w:cs="Times New Roman"/>
      </w:rPr>
    </w:lvl>
    <w:lvl w:ilvl="2" w:tentative="0">
      <w:start w:val="1"/>
      <w:numFmt w:val="none"/>
      <w:pStyle w:val="6"/>
      <w:suff w:val="nothing"/>
      <w:lvlText w:val=""/>
      <w:lvlJc w:val="left"/>
      <w:pPr>
        <w:tabs>
          <w:tab w:val="left" w:pos="0"/>
        </w:tabs>
        <w:ind w:left="851" w:hanging="425"/>
      </w:pPr>
      <w:rPr>
        <w:rFonts w:cs="Times New Roman"/>
      </w:rPr>
    </w:lvl>
    <w:lvl w:ilvl="3" w:tentative="0">
      <w:start w:val="1"/>
      <w:numFmt w:val="lowerLetter"/>
      <w:pStyle w:val="7"/>
      <w:lvlText w:val="%4)"/>
      <w:legacy w:legacy="1" w:legacySpace="0" w:legacyIndent="425"/>
      <w:lvlJc w:val="left"/>
      <w:pPr>
        <w:ind w:left="1700" w:hanging="425"/>
      </w:pPr>
      <w:rPr>
        <w:rFonts w:cs="Times New Roman"/>
      </w:rPr>
    </w:lvl>
    <w:lvl w:ilvl="4" w:tentative="0">
      <w:start w:val="1"/>
      <w:numFmt w:val="decimal"/>
      <w:pStyle w:val="8"/>
      <w:lvlText w:val="(%5)"/>
      <w:legacy w:legacy="1" w:legacySpace="0" w:legacyIndent="425"/>
      <w:lvlJc w:val="left"/>
      <w:pPr>
        <w:ind w:left="2125" w:hanging="425"/>
      </w:pPr>
      <w:rPr>
        <w:rFonts w:cs="Times New Roman"/>
      </w:rPr>
    </w:lvl>
    <w:lvl w:ilvl="5" w:tentative="0">
      <w:start w:val="1"/>
      <w:numFmt w:val="lowerLetter"/>
      <w:pStyle w:val="9"/>
      <w:lvlText w:val="(%6)"/>
      <w:legacy w:legacy="1" w:legacySpace="0" w:legacyIndent="425"/>
      <w:lvlJc w:val="left"/>
      <w:pPr>
        <w:ind w:left="2550" w:hanging="425"/>
      </w:pPr>
      <w:rPr>
        <w:rFonts w:cs="Times New Roman"/>
      </w:rPr>
    </w:lvl>
    <w:lvl w:ilvl="6" w:tentative="0">
      <w:start w:val="1"/>
      <w:numFmt w:val="lowerRoman"/>
      <w:pStyle w:val="10"/>
      <w:lvlText w:val="(%7)"/>
      <w:legacy w:legacy="1" w:legacySpace="0" w:legacyIndent="425"/>
      <w:lvlJc w:val="left"/>
      <w:pPr>
        <w:ind w:left="2975" w:hanging="425"/>
      </w:pPr>
      <w:rPr>
        <w:rFonts w:cs="Times New Roman"/>
      </w:rPr>
    </w:lvl>
    <w:lvl w:ilvl="7" w:tentative="0">
      <w:start w:val="1"/>
      <w:numFmt w:val="lowerLetter"/>
      <w:pStyle w:val="11"/>
      <w:lvlText w:val="(%8)"/>
      <w:legacy w:legacy="1" w:legacySpace="0" w:legacyIndent="425"/>
      <w:lvlJc w:val="left"/>
      <w:pPr>
        <w:ind w:left="3400" w:hanging="425"/>
      </w:pPr>
      <w:rPr>
        <w:rFonts w:cs="Times New Roman"/>
      </w:rPr>
    </w:lvl>
    <w:lvl w:ilvl="8" w:tentative="0">
      <w:start w:val="1"/>
      <w:numFmt w:val="lowerRoman"/>
      <w:pStyle w:val="12"/>
      <w:lvlText w:val="(%9)"/>
      <w:legacy w:legacy="1" w:legacySpace="0" w:legacyIndent="425"/>
      <w:lvlJc w:val="left"/>
      <w:pPr>
        <w:ind w:left="3825" w:hanging="425"/>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24"/>
  <w:trackRevisions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lODRhNTY2YTliZmVkOWRlODI2MWVjNWFiZjEwN2I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3A10"/>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039E2"/>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237D"/>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088C"/>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17C55"/>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52291"/>
    <w:rsid w:val="085A5FF7"/>
    <w:rsid w:val="085E77F2"/>
    <w:rsid w:val="08601CA5"/>
    <w:rsid w:val="08607386"/>
    <w:rsid w:val="086A214F"/>
    <w:rsid w:val="087F48B1"/>
    <w:rsid w:val="088345DF"/>
    <w:rsid w:val="088E7D78"/>
    <w:rsid w:val="0893616A"/>
    <w:rsid w:val="08A301E0"/>
    <w:rsid w:val="08B1498F"/>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12C2E"/>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2F69AC"/>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A33C1C"/>
    <w:rsid w:val="10B309F0"/>
    <w:rsid w:val="10B6400D"/>
    <w:rsid w:val="10B93EAC"/>
    <w:rsid w:val="10C05D7B"/>
    <w:rsid w:val="10CA1347"/>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DE6045"/>
    <w:rsid w:val="16E01092"/>
    <w:rsid w:val="16F359DD"/>
    <w:rsid w:val="16FA3DEE"/>
    <w:rsid w:val="16FE5A71"/>
    <w:rsid w:val="17005FBC"/>
    <w:rsid w:val="170B5EA3"/>
    <w:rsid w:val="171320B4"/>
    <w:rsid w:val="173E6ABA"/>
    <w:rsid w:val="175B0F1E"/>
    <w:rsid w:val="177F092F"/>
    <w:rsid w:val="178F10EE"/>
    <w:rsid w:val="1792140E"/>
    <w:rsid w:val="17933799"/>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4E5290"/>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A33C4"/>
    <w:rsid w:val="1B1E4CC6"/>
    <w:rsid w:val="1B1F09DB"/>
    <w:rsid w:val="1B211756"/>
    <w:rsid w:val="1B291859"/>
    <w:rsid w:val="1B2A271F"/>
    <w:rsid w:val="1B542D7A"/>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506674"/>
    <w:rsid w:val="29524882"/>
    <w:rsid w:val="29542197"/>
    <w:rsid w:val="29581C87"/>
    <w:rsid w:val="296E3259"/>
    <w:rsid w:val="29724C94"/>
    <w:rsid w:val="29797D36"/>
    <w:rsid w:val="29A0362E"/>
    <w:rsid w:val="29BE6110"/>
    <w:rsid w:val="29C16D79"/>
    <w:rsid w:val="29FB0865"/>
    <w:rsid w:val="2A173A40"/>
    <w:rsid w:val="2A191932"/>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B66B69"/>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EA7182"/>
    <w:rsid w:val="2FF84086"/>
    <w:rsid w:val="30043826"/>
    <w:rsid w:val="300B5720"/>
    <w:rsid w:val="301B0190"/>
    <w:rsid w:val="301F550A"/>
    <w:rsid w:val="304765B2"/>
    <w:rsid w:val="304F5466"/>
    <w:rsid w:val="30543E98"/>
    <w:rsid w:val="30550CCF"/>
    <w:rsid w:val="305F5242"/>
    <w:rsid w:val="30633E8D"/>
    <w:rsid w:val="30717AD3"/>
    <w:rsid w:val="309108BC"/>
    <w:rsid w:val="30972709"/>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296443"/>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D63A5"/>
    <w:rsid w:val="364E6B57"/>
    <w:rsid w:val="36613E2D"/>
    <w:rsid w:val="36761704"/>
    <w:rsid w:val="36791FB9"/>
    <w:rsid w:val="368C2F70"/>
    <w:rsid w:val="36960A1A"/>
    <w:rsid w:val="369B046E"/>
    <w:rsid w:val="369D517D"/>
    <w:rsid w:val="36A4650C"/>
    <w:rsid w:val="36A77DAA"/>
    <w:rsid w:val="36AA41F5"/>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C74734"/>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1A2DCC"/>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A2799A"/>
    <w:rsid w:val="3FAF5BB6"/>
    <w:rsid w:val="3FC020EA"/>
    <w:rsid w:val="3FC13570"/>
    <w:rsid w:val="3FEB04B3"/>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687A77"/>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946129"/>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FC0584"/>
    <w:rsid w:val="4E054FA6"/>
    <w:rsid w:val="4E28352F"/>
    <w:rsid w:val="4E2C224E"/>
    <w:rsid w:val="4E3713AB"/>
    <w:rsid w:val="4E4F2DA9"/>
    <w:rsid w:val="4E5873A6"/>
    <w:rsid w:val="4E62626F"/>
    <w:rsid w:val="4E7A1B98"/>
    <w:rsid w:val="4E7B61FE"/>
    <w:rsid w:val="4E95627B"/>
    <w:rsid w:val="4EA50C1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9F00A9"/>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6796A"/>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D65703"/>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985AD8"/>
    <w:rsid w:val="5AA93841"/>
    <w:rsid w:val="5AAD49D1"/>
    <w:rsid w:val="5AB865E5"/>
    <w:rsid w:val="5ABF3065"/>
    <w:rsid w:val="5AC445F6"/>
    <w:rsid w:val="5AD122E5"/>
    <w:rsid w:val="5AD13B5A"/>
    <w:rsid w:val="5AD703AE"/>
    <w:rsid w:val="5AE453BD"/>
    <w:rsid w:val="5AF42EC6"/>
    <w:rsid w:val="5AFA040B"/>
    <w:rsid w:val="5B1B5005"/>
    <w:rsid w:val="5B1C0F1F"/>
    <w:rsid w:val="5B224E09"/>
    <w:rsid w:val="5B3927B9"/>
    <w:rsid w:val="5B4535FC"/>
    <w:rsid w:val="5B6A1223"/>
    <w:rsid w:val="5B6C7E29"/>
    <w:rsid w:val="5B7E082A"/>
    <w:rsid w:val="5BAD170D"/>
    <w:rsid w:val="5BF50512"/>
    <w:rsid w:val="5BFF6ACC"/>
    <w:rsid w:val="5C0A6562"/>
    <w:rsid w:val="5C0A6E8C"/>
    <w:rsid w:val="5C180DA3"/>
    <w:rsid w:val="5C2A6C04"/>
    <w:rsid w:val="5C2B1EBA"/>
    <w:rsid w:val="5C2C297C"/>
    <w:rsid w:val="5C337866"/>
    <w:rsid w:val="5C367357"/>
    <w:rsid w:val="5C3A0462"/>
    <w:rsid w:val="5C495E44"/>
    <w:rsid w:val="5C551969"/>
    <w:rsid w:val="5C552CBE"/>
    <w:rsid w:val="5C7D4F86"/>
    <w:rsid w:val="5C896D10"/>
    <w:rsid w:val="5C8E760E"/>
    <w:rsid w:val="5C91292C"/>
    <w:rsid w:val="5CA96CF6"/>
    <w:rsid w:val="5CB32A73"/>
    <w:rsid w:val="5CCC56F5"/>
    <w:rsid w:val="5CD050B5"/>
    <w:rsid w:val="5CFD7060"/>
    <w:rsid w:val="5D0123F2"/>
    <w:rsid w:val="5D072428"/>
    <w:rsid w:val="5D187049"/>
    <w:rsid w:val="5D23147E"/>
    <w:rsid w:val="5D235F07"/>
    <w:rsid w:val="5D2E6FEF"/>
    <w:rsid w:val="5D3B6409"/>
    <w:rsid w:val="5D444EF8"/>
    <w:rsid w:val="5D454A73"/>
    <w:rsid w:val="5D747B5B"/>
    <w:rsid w:val="5D752101"/>
    <w:rsid w:val="5D8B5480"/>
    <w:rsid w:val="5DD14A36"/>
    <w:rsid w:val="5DD92690"/>
    <w:rsid w:val="5DDC5E8E"/>
    <w:rsid w:val="5DDE6969"/>
    <w:rsid w:val="5DFC702A"/>
    <w:rsid w:val="5E005E6E"/>
    <w:rsid w:val="5E055233"/>
    <w:rsid w:val="5E0B78D6"/>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8B1EF3"/>
    <w:rsid w:val="619C3F0D"/>
    <w:rsid w:val="61A730E0"/>
    <w:rsid w:val="61B424C8"/>
    <w:rsid w:val="61B825BC"/>
    <w:rsid w:val="61C15914"/>
    <w:rsid w:val="61CD00AA"/>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A06EFE"/>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359F5"/>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F1C48"/>
    <w:rsid w:val="770372E4"/>
    <w:rsid w:val="770A68B1"/>
    <w:rsid w:val="772207AC"/>
    <w:rsid w:val="77281802"/>
    <w:rsid w:val="773F2A17"/>
    <w:rsid w:val="775237CF"/>
    <w:rsid w:val="77561351"/>
    <w:rsid w:val="775E513F"/>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26A40"/>
    <w:rsid w:val="78BD7DA6"/>
    <w:rsid w:val="78D6184E"/>
    <w:rsid w:val="78F22CE7"/>
    <w:rsid w:val="79256331"/>
    <w:rsid w:val="79265D8B"/>
    <w:rsid w:val="793D1463"/>
    <w:rsid w:val="794371E8"/>
    <w:rsid w:val="79444A09"/>
    <w:rsid w:val="79532E9E"/>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14D1D"/>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F1CF5"/>
    <w:rsid w:val="7ED82D3A"/>
    <w:rsid w:val="7EE24D87"/>
    <w:rsid w:val="7EEA095D"/>
    <w:rsid w:val="7EEC1626"/>
    <w:rsid w:val="7EF649F8"/>
    <w:rsid w:val="7F0B7248"/>
    <w:rsid w:val="7F140DB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360" w:lineRule="auto"/>
      <w:ind w:firstLine="480" w:firstLineChars="200"/>
      <w:jc w:val="both"/>
      <w:pPrChange w:id="0" w:author="8615701517582" w:date="2024-03-20T11:08:00Z">
        <w:pPr>
          <w:widowControl w:val="0"/>
          <w:jc w:val="both"/>
        </w:pPr>
      </w:pPrChange>
    </w:pPr>
    <w:rPr>
      <w:rFonts w:ascii="Calibri" w:hAnsi="Calibri" w:eastAsia="宋体" w:cs="Times New Roman"/>
      <w:kern w:val="2"/>
      <w:sz w:val="24"/>
      <w:szCs w:val="22"/>
      <w:lang w:val="en-US" w:eastAsia="zh-CN" w:bidi="ar-SA"/>
      <w:rPrChange w:id="1" w:author="8615701517582" w:date="2024-03-20T11:08:00Z">
        <w:rPr>
          <w:rFonts w:ascii="Calibri" w:hAnsi="Calibri" w:eastAsia="宋体"/>
          <w:kern w:val="2"/>
          <w:sz w:val="24"/>
          <w:szCs w:val="22"/>
          <w:lang w:val="en-US" w:eastAsia="zh-CN" w:bidi="ar-SA"/>
        </w:rPr>
      </w:rPrChange>
    </w:rPr>
  </w:style>
  <w:style w:type="paragraph" w:styleId="3">
    <w:name w:val="heading 1"/>
    <w:basedOn w:val="1"/>
    <w:next w:val="4"/>
    <w:link w:val="55"/>
    <w:autoRedefine/>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5">
    <w:name w:val="heading 2"/>
    <w:basedOn w:val="1"/>
    <w:next w:val="4"/>
    <w:link w:val="56"/>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6">
    <w:name w:val="heading 3"/>
    <w:basedOn w:val="1"/>
    <w:next w:val="4"/>
    <w:link w:val="57"/>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7">
    <w:name w:val="heading 4"/>
    <w:basedOn w:val="1"/>
    <w:next w:val="1"/>
    <w:link w:val="58"/>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59"/>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9">
    <w:name w:val="heading 6"/>
    <w:basedOn w:val="1"/>
    <w:next w:val="1"/>
    <w:link w:val="60"/>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0">
    <w:name w:val="heading 7"/>
    <w:basedOn w:val="1"/>
    <w:next w:val="1"/>
    <w:link w:val="61"/>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1">
    <w:name w:val="heading 8"/>
    <w:basedOn w:val="1"/>
    <w:next w:val="1"/>
    <w:link w:val="62"/>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2">
    <w:name w:val="heading 9"/>
    <w:basedOn w:val="1"/>
    <w:next w:val="1"/>
    <w:link w:val="63"/>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4">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3">
    <w:name w:val="List 3"/>
    <w:basedOn w:val="1"/>
    <w:autoRedefine/>
    <w:qFormat/>
    <w:uiPriority w:val="99"/>
    <w:pPr>
      <w:ind w:left="600" w:leftChars="400" w:hanging="200" w:hangingChars="200"/>
    </w:pPr>
    <w:rPr>
      <w:rFonts w:ascii="Times New Roman" w:hAnsi="Times New Roman"/>
      <w:szCs w:val="20"/>
    </w:rPr>
  </w:style>
  <w:style w:type="paragraph" w:styleId="14">
    <w:name w:val="Normal Indent"/>
    <w:basedOn w:val="1"/>
    <w:autoRedefine/>
    <w:qFormat/>
    <w:uiPriority w:val="0"/>
    <w:pPr>
      <w:ind w:firstLine="420"/>
    </w:pPr>
    <w:rPr>
      <w:rFonts w:ascii="Times New Roman" w:hAnsi="Times New Roman"/>
      <w:sz w:val="28"/>
      <w:szCs w:val="20"/>
    </w:rPr>
  </w:style>
  <w:style w:type="paragraph" w:styleId="15">
    <w:name w:val="caption"/>
    <w:basedOn w:val="1"/>
    <w:next w:val="1"/>
    <w:autoRedefine/>
    <w:qFormat/>
    <w:uiPriority w:val="99"/>
    <w:pPr>
      <w:spacing w:before="152" w:after="160"/>
    </w:pPr>
    <w:rPr>
      <w:rFonts w:ascii="Arial" w:hAnsi="Arial" w:eastAsia="黑体" w:cs="Arial"/>
      <w:sz w:val="20"/>
      <w:szCs w:val="20"/>
    </w:rPr>
  </w:style>
  <w:style w:type="paragraph" w:styleId="16">
    <w:name w:val="annotation text"/>
    <w:basedOn w:val="1"/>
    <w:link w:val="64"/>
    <w:autoRedefine/>
    <w:qFormat/>
    <w:uiPriority w:val="99"/>
    <w:pPr>
      <w:ind w:firstLine="420"/>
      <w:jc w:val="left"/>
      <w:pPrChange w:id="2" w:author="8615701517582" w:date="2024-03-20T11:09:00Z">
        <w:pPr>
          <w:widowControl w:val="0"/>
          <w:overflowPunct w:val="0"/>
          <w:spacing w:line="360" w:lineRule="auto"/>
          <w:ind w:firstLine="480" w:firstLineChars="200"/>
        </w:pPr>
      </w:pPrChange>
    </w:pPr>
    <w:rPr>
      <w:rPrChange w:id="3" w:author="8615701517582" w:date="2024-03-20T11:09:00Z">
        <w:rPr>
          <w:rFonts w:ascii="Calibri" w:hAnsi="Calibri" w:eastAsia="宋体"/>
          <w:kern w:val="2"/>
          <w:sz w:val="24"/>
          <w:szCs w:val="22"/>
          <w:lang w:val="en-US" w:eastAsia="zh-CN" w:bidi="ar-SA"/>
        </w:rPr>
      </w:rPrChange>
    </w:rPr>
  </w:style>
  <w:style w:type="paragraph" w:styleId="17">
    <w:name w:val="Body Text 3"/>
    <w:basedOn w:val="1"/>
    <w:link w:val="66"/>
    <w:autoRedefine/>
    <w:qFormat/>
    <w:uiPriority w:val="99"/>
    <w:pPr>
      <w:spacing w:after="120"/>
    </w:pPr>
    <w:rPr>
      <w:rFonts w:ascii="Times New Roman" w:hAnsi="Times New Roman"/>
      <w:sz w:val="16"/>
      <w:szCs w:val="16"/>
    </w:rPr>
  </w:style>
  <w:style w:type="paragraph" w:styleId="18">
    <w:name w:val="Body Text"/>
    <w:basedOn w:val="1"/>
    <w:next w:val="19"/>
    <w:link w:val="67"/>
    <w:autoRedefine/>
    <w:qFormat/>
    <w:uiPriority w:val="0"/>
    <w:rPr>
      <w:rFonts w:ascii="Times New Roman" w:hAnsi="Times New Roman"/>
      <w:szCs w:val="20"/>
    </w:rPr>
  </w:style>
  <w:style w:type="paragraph" w:customStyle="1" w:styleId="19">
    <w:name w:val="Default"/>
    <w:next w:val="20"/>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大标题"/>
    <w:basedOn w:val="1"/>
    <w:next w:val="21"/>
    <w:autoRedefine/>
    <w:qFormat/>
    <w:uiPriority w:val="0"/>
    <w:pPr>
      <w:jc w:val="center"/>
    </w:pPr>
    <w:rPr>
      <w:rFonts w:ascii="Arial" w:hAnsi="Arial"/>
      <w:b/>
      <w:sz w:val="28"/>
      <w:szCs w:val="24"/>
    </w:rPr>
  </w:style>
  <w:style w:type="paragraph" w:styleId="21">
    <w:name w:val="Body Text First Indent 2"/>
    <w:basedOn w:val="22"/>
    <w:next w:val="18"/>
    <w:link w:val="98"/>
    <w:autoRedefine/>
    <w:semiHidden/>
    <w:unhideWhenUsed/>
    <w:qFormat/>
    <w:locked/>
    <w:uiPriority w:val="99"/>
    <w:pPr>
      <w:spacing w:after="120"/>
      <w:ind w:left="420" w:leftChars="200" w:firstLine="420"/>
    </w:pPr>
    <w:rPr>
      <w:rFonts w:ascii="Calibri"/>
      <w:sz w:val="24"/>
      <w:szCs w:val="22"/>
    </w:rPr>
  </w:style>
  <w:style w:type="paragraph" w:styleId="22">
    <w:name w:val="Body Text Indent"/>
    <w:basedOn w:val="1"/>
    <w:next w:val="18"/>
    <w:link w:val="68"/>
    <w:autoRedefine/>
    <w:qFormat/>
    <w:uiPriority w:val="99"/>
    <w:pPr>
      <w:ind w:firstLine="645"/>
    </w:pPr>
    <w:rPr>
      <w:rFonts w:ascii="宋体"/>
      <w:sz w:val="32"/>
      <w:szCs w:val="20"/>
    </w:rPr>
  </w:style>
  <w:style w:type="paragraph" w:styleId="23">
    <w:name w:val="List 2"/>
    <w:basedOn w:val="1"/>
    <w:autoRedefine/>
    <w:qFormat/>
    <w:uiPriority w:val="99"/>
    <w:pPr>
      <w:ind w:left="400" w:leftChars="200" w:hanging="200" w:hangingChars="200"/>
    </w:pPr>
    <w:rPr>
      <w:rFonts w:ascii="Times New Roman" w:hAnsi="Times New Roman"/>
      <w:szCs w:val="20"/>
    </w:rPr>
  </w:style>
  <w:style w:type="paragraph" w:styleId="24">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5">
    <w:name w:val="toc 3"/>
    <w:basedOn w:val="1"/>
    <w:next w:val="1"/>
    <w:autoRedefine/>
    <w:qFormat/>
    <w:uiPriority w:val="99"/>
    <w:pPr>
      <w:tabs>
        <w:tab w:val="right" w:leader="dot" w:pos="8776"/>
      </w:tabs>
      <w:spacing w:line="400" w:lineRule="exact"/>
      <w:ind w:left="400" w:leftChars="400" w:firstLine="200"/>
    </w:pPr>
    <w:rPr>
      <w:rFonts w:ascii="宋体"/>
      <w:bCs/>
      <w:sz w:val="18"/>
      <w:szCs w:val="18"/>
    </w:rPr>
  </w:style>
  <w:style w:type="paragraph" w:styleId="26">
    <w:name w:val="Plain Text"/>
    <w:basedOn w:val="1"/>
    <w:link w:val="69"/>
    <w:autoRedefine/>
    <w:qFormat/>
    <w:uiPriority w:val="0"/>
    <w:pPr>
      <w:ind w:firstLine="200"/>
    </w:pPr>
    <w:rPr>
      <w:rFonts w:ascii="宋体" w:hAnsi="宋体" w:eastAsia="仿宋_GB2312" w:cs="Courier New"/>
      <w:szCs w:val="21"/>
    </w:rPr>
  </w:style>
  <w:style w:type="paragraph" w:styleId="27">
    <w:name w:val="Date"/>
    <w:basedOn w:val="1"/>
    <w:next w:val="1"/>
    <w:link w:val="70"/>
    <w:autoRedefine/>
    <w:qFormat/>
    <w:uiPriority w:val="99"/>
    <w:pPr>
      <w:ind w:left="2500" w:leftChars="2500"/>
    </w:pPr>
  </w:style>
  <w:style w:type="paragraph" w:styleId="28">
    <w:name w:val="Body Text Indent 2"/>
    <w:basedOn w:val="1"/>
    <w:link w:val="71"/>
    <w:autoRedefine/>
    <w:qFormat/>
    <w:uiPriority w:val="99"/>
    <w:pPr>
      <w:ind w:firstLine="630"/>
    </w:pPr>
    <w:rPr>
      <w:rFonts w:ascii="宋体"/>
      <w:sz w:val="32"/>
      <w:szCs w:val="20"/>
    </w:rPr>
  </w:style>
  <w:style w:type="paragraph" w:styleId="29">
    <w:name w:val="List Continue 5"/>
    <w:basedOn w:val="1"/>
    <w:autoRedefine/>
    <w:qFormat/>
    <w:uiPriority w:val="99"/>
    <w:pPr>
      <w:spacing w:after="120"/>
      <w:ind w:left="1000" w:leftChars="1000"/>
    </w:pPr>
    <w:rPr>
      <w:rFonts w:ascii="Times New Roman" w:hAnsi="Times New Roman"/>
      <w:szCs w:val="20"/>
    </w:rPr>
  </w:style>
  <w:style w:type="paragraph" w:styleId="30">
    <w:name w:val="Balloon Text"/>
    <w:basedOn w:val="1"/>
    <w:link w:val="72"/>
    <w:autoRedefine/>
    <w:qFormat/>
    <w:uiPriority w:val="99"/>
    <w:rPr>
      <w:sz w:val="18"/>
      <w:szCs w:val="18"/>
    </w:rPr>
  </w:style>
  <w:style w:type="paragraph" w:styleId="31">
    <w:name w:val="footer"/>
    <w:basedOn w:val="1"/>
    <w:link w:val="73"/>
    <w:autoRedefine/>
    <w:qFormat/>
    <w:uiPriority w:val="99"/>
    <w:pPr>
      <w:tabs>
        <w:tab w:val="center" w:pos="4153"/>
        <w:tab w:val="right" w:pos="8306"/>
      </w:tabs>
      <w:snapToGrid w:val="0"/>
      <w:jc w:val="left"/>
    </w:pPr>
    <w:rPr>
      <w:kern w:val="0"/>
      <w:sz w:val="18"/>
      <w:szCs w:val="18"/>
    </w:rPr>
  </w:style>
  <w:style w:type="paragraph" w:styleId="32">
    <w:name w:val="header"/>
    <w:basedOn w:val="1"/>
    <w:link w:val="74"/>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autoRedefine/>
    <w:qFormat/>
    <w:uiPriority w:val="39"/>
    <w:pPr>
      <w:tabs>
        <w:tab w:val="right" w:leader="dot" w:pos="8776"/>
      </w:tabs>
      <w:spacing w:line="360" w:lineRule="exact"/>
      <w:ind w:firstLine="200"/>
    </w:pPr>
    <w:rPr>
      <w:rFonts w:ascii="华文中宋" w:eastAsia="华文中宋"/>
      <w:b/>
      <w:szCs w:val="24"/>
    </w:rPr>
  </w:style>
  <w:style w:type="paragraph" w:styleId="34">
    <w:name w:val="List Continue 4"/>
    <w:basedOn w:val="1"/>
    <w:autoRedefine/>
    <w:qFormat/>
    <w:uiPriority w:val="99"/>
    <w:pPr>
      <w:spacing w:after="120"/>
      <w:ind w:left="800" w:leftChars="800"/>
    </w:pPr>
    <w:rPr>
      <w:rFonts w:ascii="Times New Roman" w:hAnsi="Times New Roman"/>
      <w:szCs w:val="20"/>
    </w:rPr>
  </w:style>
  <w:style w:type="paragraph" w:styleId="35">
    <w:name w:val="Subtitle"/>
    <w:basedOn w:val="1"/>
    <w:next w:val="1"/>
    <w:autoRedefine/>
    <w:qFormat/>
    <w:locked/>
    <w:uiPriority w:val="11"/>
    <w:pPr>
      <w:spacing w:before="60" w:after="60"/>
      <w:jc w:val="left"/>
      <w:outlineLvl w:val="1"/>
    </w:pPr>
    <w:rPr>
      <w:rFonts w:ascii="Calibri Light" w:hAnsi="Calibri Light"/>
      <w:b/>
      <w:bCs/>
      <w:kern w:val="28"/>
      <w:sz w:val="28"/>
      <w:szCs w:val="32"/>
    </w:rPr>
  </w:style>
  <w:style w:type="paragraph" w:styleId="36">
    <w:name w:val="List"/>
    <w:basedOn w:val="1"/>
    <w:autoRedefine/>
    <w:qFormat/>
    <w:uiPriority w:val="99"/>
    <w:pPr>
      <w:ind w:left="200" w:hanging="200" w:hangingChars="200"/>
    </w:pPr>
    <w:rPr>
      <w:rFonts w:ascii="Times New Roman" w:hAnsi="Times New Roman"/>
      <w:szCs w:val="20"/>
    </w:rPr>
  </w:style>
  <w:style w:type="paragraph" w:styleId="37">
    <w:name w:val="footnote text"/>
    <w:basedOn w:val="1"/>
    <w:link w:val="75"/>
    <w:autoRedefine/>
    <w:qFormat/>
    <w:uiPriority w:val="99"/>
    <w:pPr>
      <w:adjustRightInd w:val="0"/>
      <w:spacing w:line="312" w:lineRule="atLeast"/>
      <w:jc w:val="left"/>
    </w:pPr>
    <w:rPr>
      <w:rFonts w:ascii="Times New Roman" w:hAnsi="Times New Roman"/>
      <w:kern w:val="0"/>
      <w:sz w:val="18"/>
      <w:szCs w:val="20"/>
    </w:rPr>
  </w:style>
  <w:style w:type="paragraph" w:styleId="38">
    <w:name w:val="List 5"/>
    <w:basedOn w:val="1"/>
    <w:autoRedefine/>
    <w:qFormat/>
    <w:uiPriority w:val="99"/>
    <w:pPr>
      <w:ind w:left="1000" w:leftChars="800" w:hanging="200" w:hangingChars="200"/>
    </w:pPr>
    <w:rPr>
      <w:rFonts w:ascii="Times New Roman" w:hAnsi="Times New Roman"/>
      <w:szCs w:val="20"/>
    </w:rPr>
  </w:style>
  <w:style w:type="paragraph" w:styleId="39">
    <w:name w:val="Body Text Indent 3"/>
    <w:basedOn w:val="1"/>
    <w:link w:val="76"/>
    <w:autoRedefine/>
    <w:qFormat/>
    <w:uiPriority w:val="99"/>
    <w:pPr>
      <w:ind w:firstLine="468"/>
    </w:pPr>
    <w:rPr>
      <w:rFonts w:ascii="Times New Roman" w:hAnsi="Times New Roman"/>
      <w:szCs w:val="20"/>
    </w:rPr>
  </w:style>
  <w:style w:type="paragraph" w:styleId="40">
    <w:name w:val="toc 2"/>
    <w:basedOn w:val="1"/>
    <w:next w:val="1"/>
    <w:autoRedefine/>
    <w:qFormat/>
    <w:uiPriority w:val="39"/>
    <w:pPr>
      <w:tabs>
        <w:tab w:val="right" w:leader="dot" w:pos="8776"/>
      </w:tabs>
      <w:ind w:left="200" w:leftChars="200" w:firstLine="200"/>
      <w:jc w:val="distribute"/>
    </w:pPr>
    <w:rPr>
      <w:rFonts w:ascii="华文中宋" w:eastAsia="华文中宋"/>
      <w:szCs w:val="24"/>
    </w:rPr>
  </w:style>
  <w:style w:type="paragraph" w:styleId="41">
    <w:name w:val="Body Text 2"/>
    <w:basedOn w:val="1"/>
    <w:link w:val="77"/>
    <w:autoRedefine/>
    <w:qFormat/>
    <w:uiPriority w:val="99"/>
    <w:pPr>
      <w:spacing w:after="120" w:line="480" w:lineRule="auto"/>
    </w:pPr>
    <w:rPr>
      <w:rFonts w:ascii="Times New Roman" w:hAnsi="Times New Roman"/>
      <w:szCs w:val="20"/>
    </w:rPr>
  </w:style>
  <w:style w:type="paragraph" w:styleId="42">
    <w:name w:val="List 4"/>
    <w:basedOn w:val="1"/>
    <w:autoRedefine/>
    <w:qFormat/>
    <w:uiPriority w:val="99"/>
    <w:pPr>
      <w:ind w:left="800" w:leftChars="600" w:hanging="200" w:hangingChars="200"/>
    </w:pPr>
    <w:rPr>
      <w:rFonts w:ascii="Times New Roman" w:hAnsi="Times New Roman"/>
      <w:szCs w:val="20"/>
    </w:rPr>
  </w:style>
  <w:style w:type="paragraph" w:styleId="43">
    <w:name w:val="List Continue 2"/>
    <w:basedOn w:val="1"/>
    <w:autoRedefine/>
    <w:qFormat/>
    <w:uiPriority w:val="99"/>
    <w:pPr>
      <w:spacing w:after="120"/>
      <w:ind w:left="400" w:leftChars="400"/>
    </w:pPr>
    <w:rPr>
      <w:rFonts w:ascii="Times New Roman" w:hAnsi="Times New Roman"/>
      <w:szCs w:val="20"/>
    </w:rPr>
  </w:style>
  <w:style w:type="paragraph" w:styleId="44">
    <w:name w:val="Normal (Web)"/>
    <w:basedOn w:val="1"/>
    <w:autoRedefine/>
    <w:qFormat/>
    <w:uiPriority w:val="99"/>
    <w:pPr>
      <w:widowControl/>
      <w:spacing w:before="100" w:beforeAutospacing="1" w:after="100" w:afterAutospacing="1"/>
      <w:jc w:val="left"/>
    </w:pPr>
    <w:rPr>
      <w:rFonts w:ascii="宋体"/>
      <w:kern w:val="0"/>
      <w:szCs w:val="24"/>
    </w:rPr>
  </w:style>
  <w:style w:type="paragraph" w:styleId="45">
    <w:name w:val="List Continue 3"/>
    <w:basedOn w:val="1"/>
    <w:autoRedefine/>
    <w:qFormat/>
    <w:uiPriority w:val="99"/>
    <w:pPr>
      <w:spacing w:after="120"/>
      <w:ind w:left="600" w:leftChars="600"/>
    </w:pPr>
    <w:rPr>
      <w:rFonts w:ascii="Times New Roman" w:hAnsi="Times New Roman"/>
      <w:szCs w:val="20"/>
    </w:rPr>
  </w:style>
  <w:style w:type="paragraph" w:styleId="46">
    <w:name w:val="annotation subject"/>
    <w:basedOn w:val="16"/>
    <w:next w:val="16"/>
    <w:link w:val="65"/>
    <w:autoRedefine/>
    <w:qFormat/>
    <w:uiPriority w:val="99"/>
    <w:rPr>
      <w:b/>
      <w:bCs/>
    </w:rPr>
  </w:style>
  <w:style w:type="table" w:styleId="48">
    <w:name w:val="Table Grid"/>
    <w:basedOn w:val="4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autoRedefine/>
    <w:qFormat/>
    <w:uiPriority w:val="99"/>
    <w:rPr>
      <w:rFonts w:cs="Times New Roman"/>
      <w:color w:val="0000FF"/>
      <w:u w:val="single"/>
    </w:rPr>
  </w:style>
  <w:style w:type="character" w:styleId="53">
    <w:name w:val="annotation reference"/>
    <w:autoRedefine/>
    <w:qFormat/>
    <w:uiPriority w:val="99"/>
    <w:rPr>
      <w:rFonts w:cs="Times New Roman"/>
      <w:sz w:val="21"/>
      <w:szCs w:val="21"/>
    </w:rPr>
  </w:style>
  <w:style w:type="paragraph" w:customStyle="1" w:styleId="54">
    <w:name w:val="无间隔1"/>
    <w:basedOn w:val="1"/>
    <w:autoRedefine/>
    <w:qFormat/>
    <w:uiPriority w:val="1"/>
    <w:pPr>
      <w:spacing w:line="400" w:lineRule="exact"/>
    </w:pPr>
  </w:style>
  <w:style w:type="character" w:customStyle="1" w:styleId="55">
    <w:name w:val="标题 1 字符"/>
    <w:link w:val="3"/>
    <w:autoRedefine/>
    <w:qFormat/>
    <w:uiPriority w:val="9"/>
    <w:rPr>
      <w:rFonts w:ascii="Calibri" w:hAnsi="Calibri"/>
      <w:b/>
      <w:bCs/>
      <w:kern w:val="44"/>
      <w:sz w:val="44"/>
      <w:szCs w:val="44"/>
    </w:rPr>
  </w:style>
  <w:style w:type="character" w:customStyle="1" w:styleId="56">
    <w:name w:val="标题 2 字符"/>
    <w:link w:val="5"/>
    <w:autoRedefine/>
    <w:qFormat/>
    <w:uiPriority w:val="0"/>
    <w:rPr>
      <w:rFonts w:ascii="黑体" w:hAnsi="Calibri" w:eastAsia="黑体"/>
      <w:sz w:val="28"/>
    </w:rPr>
  </w:style>
  <w:style w:type="character" w:customStyle="1" w:styleId="57">
    <w:name w:val="标题 3 字符"/>
    <w:link w:val="6"/>
    <w:autoRedefine/>
    <w:semiHidden/>
    <w:qFormat/>
    <w:uiPriority w:val="9"/>
    <w:rPr>
      <w:rFonts w:ascii="Calibri" w:hAnsi="Calibri"/>
      <w:b/>
      <w:bCs/>
      <w:sz w:val="32"/>
      <w:szCs w:val="32"/>
    </w:rPr>
  </w:style>
  <w:style w:type="character" w:customStyle="1" w:styleId="58">
    <w:name w:val="标题 4 字符"/>
    <w:link w:val="7"/>
    <w:autoRedefine/>
    <w:semiHidden/>
    <w:qFormat/>
    <w:uiPriority w:val="9"/>
    <w:rPr>
      <w:rFonts w:ascii="Cambria" w:hAnsi="Cambria" w:eastAsia="宋体" w:cs="Times New Roman"/>
      <w:b/>
      <w:bCs/>
      <w:sz w:val="28"/>
      <w:szCs w:val="28"/>
    </w:rPr>
  </w:style>
  <w:style w:type="character" w:customStyle="1" w:styleId="59">
    <w:name w:val="标题 5 字符"/>
    <w:link w:val="8"/>
    <w:autoRedefine/>
    <w:semiHidden/>
    <w:qFormat/>
    <w:uiPriority w:val="9"/>
    <w:rPr>
      <w:rFonts w:ascii="Calibri" w:hAnsi="Calibri"/>
      <w:b/>
      <w:bCs/>
      <w:sz w:val="28"/>
      <w:szCs w:val="28"/>
    </w:rPr>
  </w:style>
  <w:style w:type="character" w:customStyle="1" w:styleId="60">
    <w:name w:val="标题 6 字符"/>
    <w:link w:val="9"/>
    <w:autoRedefine/>
    <w:semiHidden/>
    <w:qFormat/>
    <w:uiPriority w:val="9"/>
    <w:rPr>
      <w:rFonts w:ascii="Cambria" w:hAnsi="Cambria" w:eastAsia="宋体" w:cs="Times New Roman"/>
      <w:b/>
      <w:bCs/>
      <w:sz w:val="24"/>
      <w:szCs w:val="24"/>
    </w:rPr>
  </w:style>
  <w:style w:type="character" w:customStyle="1" w:styleId="61">
    <w:name w:val="标题 7 字符"/>
    <w:link w:val="10"/>
    <w:autoRedefine/>
    <w:semiHidden/>
    <w:qFormat/>
    <w:uiPriority w:val="9"/>
    <w:rPr>
      <w:rFonts w:ascii="Calibri" w:hAnsi="Calibri"/>
      <w:b/>
      <w:bCs/>
      <w:sz w:val="24"/>
      <w:szCs w:val="24"/>
    </w:rPr>
  </w:style>
  <w:style w:type="character" w:customStyle="1" w:styleId="62">
    <w:name w:val="标题 8 字符"/>
    <w:link w:val="11"/>
    <w:autoRedefine/>
    <w:semiHidden/>
    <w:qFormat/>
    <w:uiPriority w:val="9"/>
    <w:rPr>
      <w:rFonts w:ascii="Cambria" w:hAnsi="Cambria" w:eastAsia="宋体" w:cs="Times New Roman"/>
      <w:sz w:val="24"/>
      <w:szCs w:val="24"/>
    </w:rPr>
  </w:style>
  <w:style w:type="character" w:customStyle="1" w:styleId="63">
    <w:name w:val="标题 9 字符"/>
    <w:link w:val="12"/>
    <w:autoRedefine/>
    <w:semiHidden/>
    <w:qFormat/>
    <w:uiPriority w:val="9"/>
    <w:rPr>
      <w:rFonts w:ascii="Cambria" w:hAnsi="Cambria" w:eastAsia="宋体" w:cs="Times New Roman"/>
      <w:szCs w:val="21"/>
    </w:rPr>
  </w:style>
  <w:style w:type="character" w:customStyle="1" w:styleId="64">
    <w:name w:val="批注文字 字符"/>
    <w:link w:val="16"/>
    <w:autoRedefine/>
    <w:qFormat/>
    <w:uiPriority w:val="99"/>
    <w:rPr>
      <w:rFonts w:ascii="Calibri" w:hAnsi="Calibri"/>
      <w:kern w:val="2"/>
      <w:sz w:val="24"/>
      <w:szCs w:val="22"/>
    </w:rPr>
  </w:style>
  <w:style w:type="character" w:customStyle="1" w:styleId="65">
    <w:name w:val="批注主题 字符"/>
    <w:link w:val="46"/>
    <w:autoRedefine/>
    <w:semiHidden/>
    <w:qFormat/>
    <w:uiPriority w:val="99"/>
    <w:rPr>
      <w:rFonts w:ascii="Calibri" w:hAnsi="Calibri"/>
      <w:b/>
      <w:bCs/>
    </w:rPr>
  </w:style>
  <w:style w:type="character" w:customStyle="1" w:styleId="66">
    <w:name w:val="正文文本 3 字符"/>
    <w:link w:val="17"/>
    <w:autoRedefine/>
    <w:semiHidden/>
    <w:qFormat/>
    <w:uiPriority w:val="99"/>
    <w:rPr>
      <w:rFonts w:ascii="Calibri" w:hAnsi="Calibri"/>
      <w:sz w:val="16"/>
      <w:szCs w:val="16"/>
    </w:rPr>
  </w:style>
  <w:style w:type="character" w:customStyle="1" w:styleId="67">
    <w:name w:val="正文文本 字符"/>
    <w:link w:val="18"/>
    <w:autoRedefine/>
    <w:semiHidden/>
    <w:qFormat/>
    <w:uiPriority w:val="99"/>
    <w:rPr>
      <w:rFonts w:ascii="Calibri" w:hAnsi="Calibri"/>
    </w:rPr>
  </w:style>
  <w:style w:type="character" w:customStyle="1" w:styleId="68">
    <w:name w:val="正文文本缩进 字符"/>
    <w:link w:val="22"/>
    <w:autoRedefine/>
    <w:semiHidden/>
    <w:qFormat/>
    <w:uiPriority w:val="99"/>
    <w:rPr>
      <w:rFonts w:ascii="Calibri" w:hAnsi="Calibri"/>
    </w:rPr>
  </w:style>
  <w:style w:type="character" w:customStyle="1" w:styleId="69">
    <w:name w:val="纯文本 字符"/>
    <w:link w:val="26"/>
    <w:autoRedefine/>
    <w:semiHidden/>
    <w:qFormat/>
    <w:uiPriority w:val="99"/>
    <w:rPr>
      <w:rFonts w:ascii="宋体" w:hAnsi="Courier New" w:cs="Courier New"/>
      <w:szCs w:val="21"/>
    </w:rPr>
  </w:style>
  <w:style w:type="character" w:customStyle="1" w:styleId="70">
    <w:name w:val="日期 字符"/>
    <w:link w:val="27"/>
    <w:autoRedefine/>
    <w:semiHidden/>
    <w:qFormat/>
    <w:uiPriority w:val="99"/>
    <w:rPr>
      <w:rFonts w:ascii="Calibri" w:hAnsi="Calibri"/>
    </w:rPr>
  </w:style>
  <w:style w:type="character" w:customStyle="1" w:styleId="71">
    <w:name w:val="正文文本缩进 2 字符"/>
    <w:link w:val="28"/>
    <w:autoRedefine/>
    <w:semiHidden/>
    <w:qFormat/>
    <w:uiPriority w:val="99"/>
    <w:rPr>
      <w:rFonts w:ascii="Calibri" w:hAnsi="Calibri"/>
    </w:rPr>
  </w:style>
  <w:style w:type="character" w:customStyle="1" w:styleId="72">
    <w:name w:val="批注框文本 字符"/>
    <w:link w:val="30"/>
    <w:autoRedefine/>
    <w:semiHidden/>
    <w:qFormat/>
    <w:uiPriority w:val="99"/>
    <w:rPr>
      <w:rFonts w:ascii="Calibri" w:hAnsi="Calibri"/>
      <w:sz w:val="0"/>
      <w:szCs w:val="0"/>
    </w:rPr>
  </w:style>
  <w:style w:type="character" w:customStyle="1" w:styleId="73">
    <w:name w:val="页脚 字符"/>
    <w:link w:val="31"/>
    <w:autoRedefine/>
    <w:qFormat/>
    <w:uiPriority w:val="99"/>
    <w:rPr>
      <w:rFonts w:ascii="Calibri" w:hAnsi="Calibri"/>
      <w:sz w:val="18"/>
      <w:szCs w:val="18"/>
    </w:rPr>
  </w:style>
  <w:style w:type="character" w:customStyle="1" w:styleId="74">
    <w:name w:val="页眉 字符"/>
    <w:link w:val="32"/>
    <w:autoRedefine/>
    <w:semiHidden/>
    <w:qFormat/>
    <w:uiPriority w:val="99"/>
    <w:rPr>
      <w:rFonts w:ascii="Calibri" w:hAnsi="Calibri"/>
      <w:sz w:val="18"/>
      <w:szCs w:val="18"/>
    </w:rPr>
  </w:style>
  <w:style w:type="character" w:customStyle="1" w:styleId="75">
    <w:name w:val="脚注文本 字符"/>
    <w:link w:val="37"/>
    <w:autoRedefine/>
    <w:semiHidden/>
    <w:qFormat/>
    <w:uiPriority w:val="99"/>
    <w:rPr>
      <w:rFonts w:ascii="Calibri" w:hAnsi="Calibri"/>
      <w:sz w:val="18"/>
      <w:szCs w:val="18"/>
    </w:rPr>
  </w:style>
  <w:style w:type="character" w:customStyle="1" w:styleId="76">
    <w:name w:val="正文文本缩进 3 字符"/>
    <w:link w:val="39"/>
    <w:autoRedefine/>
    <w:semiHidden/>
    <w:qFormat/>
    <w:uiPriority w:val="99"/>
    <w:rPr>
      <w:rFonts w:ascii="Calibri" w:hAnsi="Calibri"/>
      <w:sz w:val="16"/>
      <w:szCs w:val="16"/>
    </w:rPr>
  </w:style>
  <w:style w:type="character" w:customStyle="1" w:styleId="77">
    <w:name w:val="正文文本 2 字符"/>
    <w:link w:val="41"/>
    <w:autoRedefine/>
    <w:semiHidden/>
    <w:qFormat/>
    <w:uiPriority w:val="99"/>
    <w:rPr>
      <w:rFonts w:ascii="Calibri" w:hAnsi="Calibri"/>
    </w:rPr>
  </w:style>
  <w:style w:type="paragraph" w:customStyle="1" w:styleId="78">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79">
    <w:name w:val="简单回函地址"/>
    <w:basedOn w:val="1"/>
    <w:autoRedefine/>
    <w:qFormat/>
    <w:uiPriority w:val="99"/>
    <w:rPr>
      <w:rFonts w:ascii="Times New Roman" w:hAnsi="Times New Roman"/>
      <w:szCs w:val="20"/>
    </w:rPr>
  </w:style>
  <w:style w:type="paragraph" w:customStyle="1" w:styleId="80">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1">
    <w:name w:val="font5"/>
    <w:basedOn w:val="1"/>
    <w:autoRedefine/>
    <w:qFormat/>
    <w:uiPriority w:val="99"/>
    <w:pPr>
      <w:widowControl/>
      <w:spacing w:before="100" w:beforeAutospacing="1" w:after="100" w:afterAutospacing="1"/>
      <w:ind w:firstLine="200"/>
      <w:jc w:val="left"/>
    </w:pPr>
    <w:rPr>
      <w:rFonts w:ascii="宋体" w:hAnsi="宋体" w:eastAsia="仿宋_GB2312" w:cs="Arial Unicode MS"/>
      <w:kern w:val="0"/>
      <w:szCs w:val="24"/>
    </w:rPr>
  </w:style>
  <w:style w:type="paragraph" w:customStyle="1" w:styleId="82">
    <w:name w:val="font6"/>
    <w:basedOn w:val="1"/>
    <w:autoRedefine/>
    <w:qFormat/>
    <w:uiPriority w:val="99"/>
    <w:pPr>
      <w:widowControl/>
      <w:spacing w:before="100" w:beforeAutospacing="1" w:after="100" w:afterAutospacing="1"/>
      <w:ind w:firstLine="200"/>
      <w:jc w:val="left"/>
    </w:pPr>
    <w:rPr>
      <w:rFonts w:ascii="宋体" w:hAnsi="宋体" w:eastAsia="仿宋_GB2312" w:cs="Arial Unicode MS"/>
      <w:kern w:val="0"/>
      <w:sz w:val="18"/>
      <w:szCs w:val="18"/>
    </w:rPr>
  </w:style>
  <w:style w:type="paragraph" w:customStyle="1" w:styleId="83">
    <w:name w:val="font7"/>
    <w:basedOn w:val="1"/>
    <w:autoRedefine/>
    <w:qFormat/>
    <w:uiPriority w:val="99"/>
    <w:pPr>
      <w:widowControl/>
      <w:spacing w:before="100" w:beforeAutospacing="1" w:after="100" w:afterAutospacing="1"/>
      <w:ind w:firstLine="200"/>
      <w:jc w:val="left"/>
    </w:pPr>
    <w:rPr>
      <w:rFonts w:ascii="仿宋_GB2312" w:hAnsi="Times New Roman" w:eastAsia="仿宋_GB2312"/>
      <w:kern w:val="0"/>
      <w:szCs w:val="24"/>
    </w:rPr>
  </w:style>
  <w:style w:type="paragraph" w:customStyle="1" w:styleId="84">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center"/>
    </w:pPr>
    <w:rPr>
      <w:rFonts w:ascii="Arial Unicode MS" w:eastAsia="Times New Roman" w:cs="Arial Unicode MS"/>
      <w:kern w:val="0"/>
      <w:szCs w:val="24"/>
    </w:rPr>
  </w:style>
  <w:style w:type="paragraph" w:customStyle="1" w:styleId="85">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jc w:val="left"/>
    </w:pPr>
    <w:rPr>
      <w:rFonts w:ascii="Arial Unicode MS" w:eastAsia="Times New Roman" w:cs="Arial Unicode MS"/>
      <w:kern w:val="0"/>
      <w:szCs w:val="24"/>
    </w:rPr>
  </w:style>
  <w:style w:type="paragraph" w:customStyle="1" w:styleId="86">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ind w:firstLine="200"/>
      <w:jc w:val="center"/>
    </w:pPr>
    <w:rPr>
      <w:rFonts w:ascii="Arial Unicode MS" w:eastAsia="Times New Roman" w:cs="Arial Unicode MS"/>
      <w:kern w:val="0"/>
      <w:sz w:val="18"/>
      <w:szCs w:val="18"/>
    </w:rPr>
  </w:style>
  <w:style w:type="paragraph" w:customStyle="1" w:styleId="87">
    <w:name w:val="正文内容"/>
    <w:basedOn w:val="1"/>
    <w:autoRedefine/>
    <w:qFormat/>
    <w:uiPriority w:val="99"/>
    <w:pPr>
      <w:widowControl/>
      <w:jc w:val="left"/>
    </w:pPr>
    <w:rPr>
      <w:rFonts w:ascii="宋体" w:cs="宋体"/>
      <w:kern w:val="0"/>
      <w:sz w:val="28"/>
      <w:szCs w:val="24"/>
    </w:rPr>
  </w:style>
  <w:style w:type="paragraph" w:customStyle="1" w:styleId="88">
    <w:name w:val="Default Text"/>
    <w:basedOn w:val="1"/>
    <w:autoRedefine/>
    <w:qFormat/>
    <w:uiPriority w:val="99"/>
    <w:pPr>
      <w:widowControl/>
      <w:autoSpaceDE w:val="0"/>
      <w:autoSpaceDN w:val="0"/>
      <w:adjustRightInd w:val="0"/>
      <w:jc w:val="left"/>
      <w:textAlignment w:val="baseline"/>
    </w:pPr>
    <w:rPr>
      <w:rFonts w:ascii="Times New Roman" w:hAnsi="Times New Roman"/>
      <w:kern w:val="0"/>
      <w:szCs w:val="24"/>
    </w:rPr>
  </w:style>
  <w:style w:type="paragraph" w:customStyle="1" w:styleId="89">
    <w:name w:val="_Style 6"/>
    <w:basedOn w:val="1"/>
    <w:autoRedefine/>
    <w:qFormat/>
    <w:uiPriority w:val="99"/>
    <w:pPr>
      <w:adjustRightInd w:val="0"/>
      <w:spacing w:line="360" w:lineRule="atLeast"/>
    </w:pPr>
    <w:rPr>
      <w:rFonts w:ascii="Times New Roman" w:hAnsi="Times New Roman"/>
      <w:szCs w:val="24"/>
    </w:rPr>
  </w:style>
  <w:style w:type="paragraph" w:customStyle="1" w:styleId="90">
    <w:name w:val="p0"/>
    <w:basedOn w:val="1"/>
    <w:autoRedefine/>
    <w:qFormat/>
    <w:uiPriority w:val="99"/>
    <w:pPr>
      <w:widowControl/>
    </w:pPr>
    <w:rPr>
      <w:rFonts w:ascii="Times New Roman" w:hAnsi="Times New Roman"/>
      <w:kern w:val="0"/>
      <w:szCs w:val="21"/>
    </w:rPr>
  </w:style>
  <w:style w:type="character" w:customStyle="1" w:styleId="91">
    <w:name w:val="1051"/>
    <w:autoRedefine/>
    <w:qFormat/>
    <w:uiPriority w:val="99"/>
    <w:rPr>
      <w:rFonts w:cs="Times New Roman"/>
      <w:sz w:val="21"/>
      <w:szCs w:val="21"/>
    </w:rPr>
  </w:style>
  <w:style w:type="character" w:customStyle="1" w:styleId="92">
    <w:name w:val="ca-10"/>
    <w:basedOn w:val="49"/>
    <w:autoRedefine/>
    <w:qFormat/>
    <w:uiPriority w:val="0"/>
  </w:style>
  <w:style w:type="character" w:customStyle="1" w:styleId="93">
    <w:name w:val="ca-12"/>
    <w:basedOn w:val="49"/>
    <w:autoRedefine/>
    <w:qFormat/>
    <w:uiPriority w:val="0"/>
  </w:style>
  <w:style w:type="character" w:customStyle="1" w:styleId="94">
    <w:name w:val="页眉 Char"/>
    <w:autoRedefine/>
    <w:qFormat/>
    <w:uiPriority w:val="0"/>
    <w:rPr>
      <w:sz w:val="18"/>
      <w:szCs w:val="18"/>
    </w:rPr>
  </w:style>
  <w:style w:type="character" w:customStyle="1" w:styleId="95">
    <w:name w:val="页脚 Char"/>
    <w:autoRedefine/>
    <w:qFormat/>
    <w:uiPriority w:val="0"/>
    <w:rPr>
      <w:sz w:val="18"/>
      <w:szCs w:val="18"/>
    </w:rPr>
  </w:style>
  <w:style w:type="paragraph" w:customStyle="1" w:styleId="9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7">
    <w:name w:val="List Paragraph"/>
    <w:basedOn w:val="1"/>
    <w:autoRedefine/>
    <w:qFormat/>
    <w:uiPriority w:val="99"/>
    <w:pPr>
      <w:ind w:firstLine="420"/>
    </w:pPr>
  </w:style>
  <w:style w:type="character" w:customStyle="1" w:styleId="98">
    <w:name w:val="正文文本首行缩进 2 字符"/>
    <w:basedOn w:val="68"/>
    <w:link w:val="21"/>
    <w:autoRedefine/>
    <w:semiHidden/>
    <w:qFormat/>
    <w:uiPriority w:val="99"/>
    <w:rPr>
      <w:rFonts w:ascii="Calibri" w:hAnsi="Calibri"/>
      <w:kern w:val="2"/>
      <w:sz w:val="24"/>
      <w:szCs w:val="22"/>
    </w:rPr>
  </w:style>
  <w:style w:type="paragraph" w:customStyle="1" w:styleId="99">
    <w:name w:val="样式3"/>
    <w:basedOn w:val="26"/>
    <w:autoRedefine/>
    <w:qFormat/>
    <w:uiPriority w:val="0"/>
    <w:pPr>
      <w:spacing w:line="0" w:lineRule="atLeast"/>
      <w:outlineLvl w:val="0"/>
    </w:pPr>
    <w:rPr>
      <w:sz w:val="28"/>
    </w:rPr>
  </w:style>
  <w:style w:type="paragraph" w:customStyle="1" w:styleId="100">
    <w:name w:val="Table Paragraph"/>
    <w:basedOn w:val="1"/>
    <w:autoRedefine/>
    <w:qFormat/>
    <w:uiPriority w:val="1"/>
    <w:rPr>
      <w:rFonts w:ascii="宋体" w:hAnsi="宋体" w:cs="宋体"/>
      <w:lang w:val="zh-CN" w:bidi="zh-CN"/>
    </w:rPr>
  </w:style>
  <w:style w:type="paragraph" w:customStyle="1" w:styleId="101">
    <w:name w:val="Revision"/>
    <w:autoRedefine/>
    <w:hidden/>
    <w:unhideWhenUsed/>
    <w:qFormat/>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22139</Words>
  <Characters>22920</Characters>
  <Lines>173</Lines>
  <Paragraphs>48</Paragraphs>
  <TotalTime>18</TotalTime>
  <ScaleCrop>false</ScaleCrop>
  <LinksUpToDate>false</LinksUpToDate>
  <CharactersWithSpaces>23263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ff</cp:lastModifiedBy>
  <cp:lastPrinted>2021-08-30T04:11:00Z</cp:lastPrinted>
  <dcterms:modified xsi:type="dcterms:W3CDTF">2024-04-01T03:13:46Z</dcterms:modified>
  <dc:title>洛</dc:title>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2C41DD667BDD43C181909E29D9CD4EC2_13</vt:lpwstr>
  </property>
  <property fmtid="{D5CDD505-2E9C-101B-9397-08002B2CF9AE}" pid="4" name="commondata">
    <vt:lpwstr>eyJoZGlkIjoiZDU5ODE0N2QzZTY2Y2Y3NjY0ZjQ3OTEzYmE5Njk3ZWUifQ==</vt:lpwstr>
  </property>
</Properties>
</file>