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default" w:ascii="宋体" w:hAnsi="宋体" w:eastAsia="宋体" w:cs="宋体"/>
          <w:kern w:val="28"/>
          <w:sz w:val="32"/>
          <w:szCs w:val="32"/>
        </w:rPr>
        <w:t>浩德伊河湾项目</w:t>
      </w: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优居优住</w:t>
      </w:r>
      <w:r>
        <w:rPr>
          <w:rFonts w:hint="default" w:ascii="宋体" w:hAnsi="宋体" w:eastAsia="宋体" w:cs="宋体"/>
          <w:kern w:val="28"/>
          <w:sz w:val="32"/>
          <w:szCs w:val="32"/>
        </w:rPr>
        <w:t>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宋体"/>
          <w:sz w:val="24"/>
          <w:szCs w:val="24"/>
          <w:u w:val="single"/>
        </w:rPr>
        <w:t>洛阳优居优住网络科技有限公司洛龙分公司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060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优居优住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2024年6月1日至2024年6月30日（均含当日）期间，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原合同第四条1中推介流程变更为：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报备：</w:t>
      </w:r>
      <w:r>
        <w:rPr>
          <w:rFonts w:hint="eastAsia" w:ascii="宋体" w:hAnsi="宋体" w:eastAsia="宋体" w:cs="宋体"/>
          <w:sz w:val="24"/>
          <w:szCs w:val="24"/>
        </w:rPr>
        <w:t>乙方通过浩客通将客户信息报备，报备时间应提前30分钟报备，否则视为无效带看客户，关联至明源系统由置业顾问跟踪记录。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甲方对接人应当在乙方报备后 30 分钟内将客户是否有效结果反馈给乙方，甲方客户（包含但不限于自然到访、老带新、全民经纪人、甲方自渠等）的到访保护期为：自最后一次到访当日起 15 日，凡过该保护期的客户，乙方再报备为有效可带访。甲方登记的其他渠道推介的客户自最后一次到访当日起 15 日，凡过该保护期的客户，乙方再报备为有效可带访。客户来访 15 天保护期内再次到访的，保护期自复访之日起顺延 15 天。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如后期发生撞客行为，以客户到访时间先后为准判定客户归属，若一方虽到访在先但已过保护期也不归属该方；若同天到访，则以经纪人带访时间先后为准。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二）2024年6月1日至2024年6月30日（均含当日）期间，原合同第四条第2项第（2）条销售佣金方案做出如下变更: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（2）销售佣金：</w:t>
      </w:r>
    </w:p>
    <w:p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佣金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周期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日（均含当日）：</w:t>
      </w:r>
    </w:p>
    <w:p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小高层：按照网签合同总房款的2%+5000元计提佣金；</w:t>
      </w:r>
    </w:p>
    <w:p>
      <w:pPr>
        <w:widowControl/>
        <w:numPr>
          <w:ilvl w:val="255"/>
          <w:numId w:val="0"/>
        </w:numPr>
        <w:spacing w:line="360" w:lineRule="auto"/>
        <w:ind w:left="0" w:firstLine="720" w:firstLineChars="3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高层：按照网签合同总房款的3.5%计提佣金。</w:t>
      </w:r>
      <w:bookmarkStart w:id="0" w:name="_GoBack"/>
      <w:bookmarkEnd w:id="0"/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440" w:lineRule="exact"/>
        <w:ind w:left="0" w:lef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方：河南浩德新澜置业限公司          乙 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洛阳优居优住网络科技有限公司洛龙分公司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2402B59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A136006"/>
    <w:rsid w:val="1F4F388C"/>
    <w:rsid w:val="259A1C3E"/>
    <w:rsid w:val="2A375D41"/>
    <w:rsid w:val="310A20DE"/>
    <w:rsid w:val="325B16EC"/>
    <w:rsid w:val="33303EE6"/>
    <w:rsid w:val="34BA50DA"/>
    <w:rsid w:val="34F66706"/>
    <w:rsid w:val="35663438"/>
    <w:rsid w:val="35823EE1"/>
    <w:rsid w:val="35E42408"/>
    <w:rsid w:val="36535AB3"/>
    <w:rsid w:val="36C46BAE"/>
    <w:rsid w:val="3710594F"/>
    <w:rsid w:val="38CF692D"/>
    <w:rsid w:val="3A182F3E"/>
    <w:rsid w:val="3F613B23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53E527E"/>
    <w:rsid w:val="56B45E9F"/>
    <w:rsid w:val="5A36661D"/>
    <w:rsid w:val="5B7A6F8C"/>
    <w:rsid w:val="5CB25C27"/>
    <w:rsid w:val="60714CFB"/>
    <w:rsid w:val="6142679E"/>
    <w:rsid w:val="61834DEC"/>
    <w:rsid w:val="63A90A88"/>
    <w:rsid w:val="69543A30"/>
    <w:rsid w:val="6FB2797C"/>
    <w:rsid w:val="718D136F"/>
    <w:rsid w:val="78054355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875</Words>
  <Characters>931</Characters>
  <Lines>6</Lines>
  <Paragraphs>1</Paragraphs>
  <TotalTime>0</TotalTime>
  <ScaleCrop>false</ScaleCrop>
  <LinksUpToDate>false</LinksUpToDate>
  <CharactersWithSpaces>1014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2024-06-10T08:00:48Z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4DDC058059EB4D6BB5A8D1CFCCAC1C68_13</vt:lpwstr>
  </property>
</Properties>
</file>