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99449">
      <w:pPr>
        <w:spacing w:line="800" w:lineRule="exact"/>
        <w:jc w:val="center"/>
        <w:rPr>
          <w:rFonts w:ascii="微软雅黑" w:hAnsi="微软雅黑" w:eastAsia="微软雅黑"/>
          <w:b/>
          <w:sz w:val="52"/>
          <w:szCs w:val="52"/>
        </w:rPr>
      </w:pPr>
    </w:p>
    <w:p w14:paraId="4ADFF385">
      <w:pPr>
        <w:spacing w:line="800" w:lineRule="exact"/>
        <w:jc w:val="center"/>
        <w:rPr>
          <w:rFonts w:ascii="微软雅黑" w:hAnsi="微软雅黑" w:eastAsia="微软雅黑"/>
          <w:b/>
          <w:sz w:val="52"/>
          <w:szCs w:val="52"/>
        </w:rPr>
      </w:pPr>
    </w:p>
    <w:p w14:paraId="6BBA088A">
      <w:pPr>
        <w:spacing w:line="800" w:lineRule="exact"/>
        <w:jc w:val="center"/>
        <w:rPr>
          <w:rFonts w:ascii="微软雅黑" w:hAnsi="微软雅黑" w:eastAsia="微软雅黑"/>
          <w:b/>
          <w:sz w:val="52"/>
          <w:szCs w:val="52"/>
        </w:rPr>
      </w:pPr>
    </w:p>
    <w:p w14:paraId="2DBCC7DE">
      <w:pPr>
        <w:spacing w:line="800" w:lineRule="exact"/>
        <w:jc w:val="center"/>
        <w:rPr>
          <w:rFonts w:ascii="微软雅黑" w:hAnsi="微软雅黑" w:eastAsia="微软雅黑"/>
          <w:b/>
          <w:sz w:val="52"/>
          <w:szCs w:val="52"/>
        </w:rPr>
      </w:pPr>
      <w:r>
        <w:rPr>
          <w:rFonts w:hint="eastAsia" w:ascii="微软雅黑" w:hAnsi="微软雅黑" w:eastAsia="微软雅黑"/>
          <w:b/>
          <w:sz w:val="52"/>
          <w:szCs w:val="52"/>
        </w:rPr>
        <w:t>明源云</w:t>
      </w:r>
    </w:p>
    <w:p w14:paraId="544CD3CD">
      <w:pPr>
        <w:spacing w:line="800" w:lineRule="exact"/>
        <w:jc w:val="center"/>
        <w:rPr>
          <w:rFonts w:hint="eastAsia" w:ascii="微软雅黑" w:hAnsi="微软雅黑" w:eastAsia="微软雅黑"/>
          <w:b/>
          <w:szCs w:val="21"/>
          <w:lang w:eastAsia="zh-CN"/>
        </w:rPr>
      </w:pPr>
      <w:r>
        <w:rPr>
          <w:rFonts w:hint="eastAsia" w:ascii="微软雅黑" w:hAnsi="微软雅黑" w:eastAsia="微软雅黑"/>
          <w:b/>
          <w:sz w:val="52"/>
          <w:szCs w:val="52"/>
        </w:rPr>
        <w:t>地产ERP运维服务合同</w:t>
      </w:r>
    </w:p>
    <w:p w14:paraId="6BE34AFC">
      <w:pPr>
        <w:spacing w:line="400" w:lineRule="exact"/>
        <w:rPr>
          <w:rFonts w:ascii="微软雅黑" w:hAnsi="微软雅黑" w:eastAsia="微软雅黑"/>
          <w:szCs w:val="21"/>
        </w:rPr>
      </w:pPr>
    </w:p>
    <w:p w14:paraId="39050F43">
      <w:pPr>
        <w:spacing w:line="400" w:lineRule="exact"/>
        <w:rPr>
          <w:rFonts w:ascii="微软雅黑" w:hAnsi="微软雅黑" w:eastAsia="微软雅黑"/>
          <w:szCs w:val="21"/>
        </w:rPr>
      </w:pPr>
    </w:p>
    <w:p w14:paraId="5250C1BA">
      <w:pPr>
        <w:spacing w:line="400" w:lineRule="exact"/>
        <w:rPr>
          <w:rFonts w:ascii="微软雅黑" w:hAnsi="微软雅黑" w:eastAsia="微软雅黑"/>
          <w:szCs w:val="21"/>
        </w:rPr>
      </w:pPr>
    </w:p>
    <w:p w14:paraId="51271F30">
      <w:pPr>
        <w:spacing w:line="360" w:lineRule="auto"/>
        <w:ind w:firstLine="2409" w:firstLineChars="800"/>
        <w:jc w:val="left"/>
        <w:outlineLvl w:val="0"/>
        <w:rPr>
          <w:rFonts w:ascii="宋体" w:hAnsi="宋体"/>
          <w:b/>
          <w:bCs/>
          <w:sz w:val="48"/>
          <w:szCs w:val="48"/>
        </w:rPr>
      </w:pPr>
      <w:r>
        <w:rPr>
          <w:rFonts w:hint="eastAsia" w:ascii="宋体" w:hAnsi="宋体"/>
          <w:b/>
          <w:bCs/>
          <w:sz w:val="30"/>
          <w:szCs w:val="30"/>
        </w:rPr>
        <w:t>合同编号：</w:t>
      </w:r>
    </w:p>
    <w:p w14:paraId="02ED9D83">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b/>
          <w:bCs/>
          <w:sz w:val="30"/>
          <w:szCs w:val="30"/>
          <w:u w:val="single"/>
          <w:lang w:eastAsia="zh-CN"/>
        </w:rPr>
        <w:t>河南</w:t>
      </w:r>
      <w:r>
        <w:rPr>
          <w:rFonts w:hint="eastAsia" w:ascii="宋体" w:hAnsi="宋体" w:cs="宋体"/>
          <w:b/>
          <w:sz w:val="30"/>
          <w:szCs w:val="30"/>
          <w:u w:val="single"/>
          <w:lang w:bidi="ar"/>
        </w:rPr>
        <w:t>浩德</w:t>
      </w:r>
      <w:r>
        <w:rPr>
          <w:rFonts w:hint="eastAsia" w:ascii="宋体" w:hAnsi="宋体" w:cs="宋体"/>
          <w:b/>
          <w:sz w:val="30"/>
          <w:szCs w:val="30"/>
          <w:u w:val="single"/>
          <w:lang w:eastAsia="zh-CN" w:bidi="ar"/>
        </w:rPr>
        <w:t>新澜</w:t>
      </w:r>
      <w:r>
        <w:rPr>
          <w:rFonts w:hint="eastAsia" w:ascii="宋体" w:hAnsi="宋体" w:cs="宋体"/>
          <w:b/>
          <w:sz w:val="30"/>
          <w:szCs w:val="30"/>
          <w:u w:val="single"/>
          <w:lang w:bidi="ar"/>
        </w:rPr>
        <w:t>置业有限公司</w:t>
      </w:r>
    </w:p>
    <w:p w14:paraId="0C1C50A7">
      <w:pPr>
        <w:spacing w:line="360" w:lineRule="auto"/>
        <w:ind w:firstLine="2409" w:firstLineChars="8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cs="宋体"/>
          <w:b/>
          <w:sz w:val="30"/>
          <w:szCs w:val="30"/>
          <w:u w:val="single"/>
          <w:lang w:bidi="ar"/>
        </w:rPr>
        <w:t>郑州市威源软件科技有限公司</w:t>
      </w:r>
    </w:p>
    <w:p w14:paraId="0D717131">
      <w:pPr>
        <w:ind w:firstLine="2409" w:firstLineChars="800"/>
        <w:rPr>
          <w:rFonts w:ascii="黑体" w:eastAsia="黑体"/>
          <w:b/>
          <w:sz w:val="36"/>
          <w:szCs w:val="36"/>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lang w:val="en-US" w:eastAsia="zh-CN"/>
        </w:rPr>
        <w:t>4</w:t>
      </w:r>
      <w:r>
        <w:rPr>
          <w:rFonts w:hint="eastAsia" w:ascii="宋体" w:hAnsi="宋体"/>
          <w:b/>
          <w:bCs/>
          <w:sz w:val="30"/>
          <w:szCs w:val="30"/>
        </w:rPr>
        <w:t xml:space="preserve">年 </w:t>
      </w:r>
      <w:r>
        <w:rPr>
          <w:rFonts w:hint="eastAsia" w:ascii="宋体" w:hAnsi="宋体"/>
          <w:b/>
          <w:bCs/>
          <w:sz w:val="30"/>
          <w:szCs w:val="30"/>
          <w:lang w:val="en-US" w:eastAsia="zh-CN"/>
        </w:rPr>
        <w:t>6</w:t>
      </w:r>
      <w:r>
        <w:rPr>
          <w:rFonts w:hint="eastAsia" w:ascii="宋体" w:hAnsi="宋体"/>
          <w:b/>
          <w:bCs/>
          <w:sz w:val="30"/>
          <w:szCs w:val="30"/>
        </w:rPr>
        <w:t xml:space="preserve"> 月  日</w:t>
      </w:r>
    </w:p>
    <w:p w14:paraId="0133C81E">
      <w:pPr>
        <w:spacing w:line="400" w:lineRule="exact"/>
        <w:rPr>
          <w:rFonts w:ascii="微软雅黑" w:hAnsi="微软雅黑" w:eastAsia="微软雅黑"/>
          <w:szCs w:val="21"/>
        </w:rPr>
      </w:pPr>
    </w:p>
    <w:p w14:paraId="39BEA49F">
      <w:pPr>
        <w:spacing w:line="400" w:lineRule="exact"/>
        <w:rPr>
          <w:rFonts w:ascii="微软雅黑" w:hAnsi="微软雅黑" w:eastAsia="微软雅黑"/>
          <w:szCs w:val="21"/>
        </w:rPr>
      </w:pPr>
    </w:p>
    <w:p w14:paraId="4EAFEFCD">
      <w:pPr>
        <w:spacing w:line="400" w:lineRule="exact"/>
        <w:rPr>
          <w:rFonts w:ascii="微软雅黑" w:hAnsi="微软雅黑" w:eastAsia="微软雅黑"/>
          <w:szCs w:val="21"/>
        </w:rPr>
      </w:pPr>
    </w:p>
    <w:p w14:paraId="47ED6800">
      <w:pPr>
        <w:spacing w:line="400" w:lineRule="exact"/>
        <w:rPr>
          <w:rFonts w:ascii="微软雅黑" w:hAnsi="微软雅黑" w:eastAsia="微软雅黑"/>
          <w:szCs w:val="21"/>
        </w:rPr>
      </w:pPr>
    </w:p>
    <w:p w14:paraId="13C3005D">
      <w:pPr>
        <w:spacing w:line="400" w:lineRule="exact"/>
        <w:rPr>
          <w:rFonts w:ascii="微软雅黑" w:hAnsi="微软雅黑" w:eastAsia="微软雅黑"/>
          <w:i/>
          <w:szCs w:val="21"/>
        </w:rPr>
      </w:pPr>
    </w:p>
    <w:p w14:paraId="1C595A42">
      <w:pPr>
        <w:spacing w:line="400" w:lineRule="exact"/>
        <w:rPr>
          <w:rFonts w:ascii="微软雅黑" w:hAnsi="微软雅黑" w:eastAsia="微软雅黑"/>
          <w:i/>
          <w:szCs w:val="21"/>
        </w:rPr>
      </w:pPr>
    </w:p>
    <w:p w14:paraId="4718BDAC">
      <w:pPr>
        <w:spacing w:line="400" w:lineRule="exact"/>
        <w:rPr>
          <w:rFonts w:ascii="微软雅黑" w:hAnsi="微软雅黑" w:eastAsia="微软雅黑"/>
          <w:i/>
          <w:szCs w:val="21"/>
        </w:rPr>
      </w:pPr>
    </w:p>
    <w:p w14:paraId="0597D4FC">
      <w:pPr>
        <w:spacing w:line="400" w:lineRule="exact"/>
        <w:rPr>
          <w:rFonts w:ascii="微软雅黑" w:hAnsi="微软雅黑" w:eastAsia="微软雅黑"/>
          <w:i/>
          <w:szCs w:val="21"/>
        </w:rPr>
      </w:pPr>
    </w:p>
    <w:p w14:paraId="01181D49">
      <w:pPr>
        <w:spacing w:line="400" w:lineRule="exact"/>
        <w:rPr>
          <w:rFonts w:ascii="微软雅黑" w:hAnsi="微软雅黑" w:eastAsia="微软雅黑"/>
          <w:i/>
          <w:szCs w:val="21"/>
        </w:rPr>
      </w:pPr>
    </w:p>
    <w:p w14:paraId="5E0D2AEE">
      <w:pPr>
        <w:spacing w:line="400" w:lineRule="exact"/>
        <w:rPr>
          <w:rFonts w:ascii="微软雅黑" w:hAnsi="微软雅黑" w:eastAsia="微软雅黑"/>
          <w:i/>
          <w:szCs w:val="21"/>
        </w:rPr>
      </w:pPr>
    </w:p>
    <w:p w14:paraId="49E50E62">
      <w:pPr>
        <w:spacing w:line="400" w:lineRule="exact"/>
        <w:rPr>
          <w:rFonts w:ascii="微软雅黑" w:hAnsi="微软雅黑" w:eastAsia="微软雅黑"/>
          <w:i/>
          <w:szCs w:val="21"/>
        </w:rPr>
      </w:pPr>
    </w:p>
    <w:p w14:paraId="33CF5D1F">
      <w:pPr>
        <w:jc w:val="center"/>
        <w:rPr>
          <w:rFonts w:ascii="微软雅黑" w:hAnsi="微软雅黑" w:eastAsia="微软雅黑"/>
          <w:i/>
          <w:szCs w:val="21"/>
        </w:rPr>
      </w:pPr>
      <w:r>
        <w:rPr>
          <w:rFonts w:cs="Calibri"/>
          <w:b/>
          <w:sz w:val="22"/>
          <w:szCs w:val="22"/>
        </w:rPr>
        <w:drawing>
          <wp:inline distT="0" distB="0" distL="0" distR="0">
            <wp:extent cx="1181100" cy="409575"/>
            <wp:effectExtent l="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p w14:paraId="5068127A">
      <w:pPr>
        <w:spacing w:line="400" w:lineRule="exact"/>
        <w:jc w:val="center"/>
        <w:rPr>
          <w:rFonts w:ascii="微软雅黑" w:hAnsi="微软雅黑" w:eastAsia="微软雅黑"/>
          <w:szCs w:val="21"/>
        </w:rPr>
      </w:pPr>
    </w:p>
    <w:p w14:paraId="2ED3757E">
      <w:pPr>
        <w:spacing w:line="400" w:lineRule="exact"/>
        <w:jc w:val="center"/>
        <w:rPr>
          <w:rFonts w:ascii="微软雅黑" w:hAnsi="微软雅黑" w:eastAsia="微软雅黑"/>
          <w:szCs w:val="21"/>
        </w:rPr>
      </w:pPr>
    </w:p>
    <w:p w14:paraId="65E959E4">
      <w:pPr>
        <w:spacing w:line="400" w:lineRule="exact"/>
        <w:jc w:val="center"/>
        <w:rPr>
          <w:rFonts w:ascii="微软雅黑" w:hAnsi="微软雅黑" w:eastAsia="微软雅黑"/>
          <w:b/>
          <w:szCs w:val="21"/>
          <w:u w:val="single"/>
        </w:rPr>
      </w:pPr>
      <w:r>
        <w:rPr>
          <w:rFonts w:hint="eastAsia" w:ascii="微软雅黑" w:hAnsi="微软雅黑" w:eastAsia="微软雅黑"/>
          <w:b/>
          <w:szCs w:val="21"/>
          <w:u w:val="single"/>
        </w:rPr>
        <w:t>202</w:t>
      </w:r>
      <w:r>
        <w:rPr>
          <w:rFonts w:hint="eastAsia" w:ascii="微软雅黑" w:hAnsi="微软雅黑" w:eastAsia="微软雅黑"/>
          <w:b/>
          <w:szCs w:val="21"/>
          <w:u w:val="single"/>
          <w:lang w:val="en-US" w:eastAsia="zh-CN"/>
        </w:rPr>
        <w:t>4</w:t>
      </w:r>
      <w:r>
        <w:rPr>
          <w:rFonts w:hint="eastAsia" w:ascii="微软雅黑" w:hAnsi="微软雅黑" w:eastAsia="微软雅黑"/>
          <w:b/>
          <w:szCs w:val="21"/>
        </w:rPr>
        <w:t>年</w:t>
      </w:r>
      <w:r>
        <w:rPr>
          <w:rFonts w:ascii="微软雅黑" w:hAnsi="微软雅黑" w:eastAsia="微软雅黑"/>
          <w:b/>
          <w:szCs w:val="21"/>
          <w:u w:val="single"/>
        </w:rPr>
        <w:t>0</w:t>
      </w:r>
      <w:r>
        <w:rPr>
          <w:rFonts w:hint="eastAsia" w:ascii="微软雅黑" w:hAnsi="微软雅黑" w:eastAsia="微软雅黑"/>
          <w:b/>
          <w:szCs w:val="21"/>
          <w:u w:val="single"/>
        </w:rPr>
        <w:t>6</w:t>
      </w:r>
      <w:r>
        <w:rPr>
          <w:rFonts w:hint="eastAsia" w:ascii="微软雅黑" w:hAnsi="微软雅黑" w:eastAsia="微软雅黑"/>
          <w:b/>
          <w:szCs w:val="21"/>
        </w:rPr>
        <w:t>月·郑州区域</w:t>
      </w:r>
    </w:p>
    <w:p w14:paraId="6C131E92">
      <w:pPr>
        <w:spacing w:line="400" w:lineRule="exact"/>
        <w:jc w:val="center"/>
        <w:rPr>
          <w:rFonts w:ascii="微软雅黑" w:hAnsi="微软雅黑" w:eastAsia="微软雅黑"/>
          <w:szCs w:val="21"/>
        </w:rPr>
      </w:pPr>
    </w:p>
    <w:p w14:paraId="5D6DF5DD">
      <w:pPr>
        <w:spacing w:line="400" w:lineRule="exact"/>
        <w:jc w:val="center"/>
        <w:rPr>
          <w:rFonts w:ascii="微软雅黑" w:hAnsi="微软雅黑" w:eastAsia="微软雅黑"/>
          <w:b/>
          <w:sz w:val="32"/>
          <w:szCs w:val="32"/>
        </w:rPr>
      </w:pPr>
      <w:r>
        <w:rPr>
          <w:rFonts w:ascii="微软雅黑" w:hAnsi="微软雅黑" w:eastAsia="微软雅黑"/>
          <w:szCs w:val="21"/>
        </w:rPr>
        <w:br w:type="page"/>
      </w:r>
      <w:r>
        <w:rPr>
          <w:rFonts w:hint="eastAsia" w:ascii="微软雅黑" w:hAnsi="微软雅黑" w:eastAsia="微软雅黑"/>
          <w:b/>
          <w:sz w:val="32"/>
          <w:szCs w:val="32"/>
        </w:rPr>
        <w:t>明源云地产ERP运维服务合同</w:t>
      </w:r>
    </w:p>
    <w:p w14:paraId="5C972BA3">
      <w:pPr>
        <w:spacing w:line="400" w:lineRule="exact"/>
        <w:rPr>
          <w:rFonts w:ascii="微软雅黑" w:hAnsi="微软雅黑" w:eastAsia="微软雅黑"/>
          <w:szCs w:val="21"/>
          <w:u w:val="single"/>
        </w:rPr>
      </w:pPr>
      <w:r>
        <w:rPr>
          <w:rFonts w:ascii="微软雅黑" w:hAnsi="微软雅黑" w:eastAsia="微软雅黑"/>
          <w:szCs w:val="21"/>
          <w:u w:val="single"/>
        </w:rPr>
        <w:pict>
          <v:line id="Line 2" o:spid="_x0000_s1026" o:spt="20" style="position:absolute;left:0pt;flip:y;margin-left:0pt;margin-top:12.3pt;height:0.05pt;width:484.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">
            <v:path arrowok="t"/>
            <v:fill focussize="0,0"/>
            <v:stroke/>
            <v:imagedata o:title=""/>
            <o:lock v:ext="edit"/>
          </v:line>
        </w:pict>
      </w:r>
    </w:p>
    <w:p w14:paraId="1F4B1306">
      <w:pPr>
        <w:spacing w:line="400" w:lineRule="exact"/>
        <w:rPr>
          <w:rFonts w:ascii="微软雅黑" w:hAnsi="微软雅黑" w:eastAsia="微软雅黑"/>
          <w:b/>
          <w:szCs w:val="21"/>
          <w:u w:val="single"/>
        </w:rPr>
      </w:pPr>
      <w:r>
        <w:rPr>
          <w:rFonts w:hint="eastAsia" w:ascii="微软雅黑" w:hAnsi="微软雅黑" w:eastAsia="微软雅黑"/>
          <w:b/>
          <w:szCs w:val="21"/>
        </w:rPr>
        <w:t>甲方：</w:t>
      </w:r>
      <w:r>
        <w:rPr>
          <w:rFonts w:hint="eastAsia" w:ascii="微软雅黑" w:hAnsi="微软雅黑" w:eastAsia="微软雅黑"/>
          <w:b/>
          <w:szCs w:val="21"/>
          <w:u w:val="single"/>
          <w:lang w:eastAsia="zh-CN"/>
        </w:rPr>
        <w:t>河南</w:t>
      </w:r>
      <w:r>
        <w:rPr>
          <w:rFonts w:hint="eastAsia" w:ascii="微软雅黑" w:hAnsi="微软雅黑" w:eastAsia="微软雅黑"/>
          <w:b/>
          <w:szCs w:val="21"/>
          <w:u w:val="single"/>
        </w:rPr>
        <w:t>浩德</w:t>
      </w:r>
      <w:r>
        <w:rPr>
          <w:rFonts w:hint="eastAsia" w:ascii="微软雅黑" w:hAnsi="微软雅黑" w:eastAsia="微软雅黑"/>
          <w:b/>
          <w:szCs w:val="21"/>
          <w:u w:val="single"/>
          <w:lang w:eastAsia="zh-CN"/>
        </w:rPr>
        <w:t>新澜</w:t>
      </w:r>
      <w:r>
        <w:rPr>
          <w:rFonts w:hint="eastAsia" w:ascii="微软雅黑" w:hAnsi="微软雅黑" w:eastAsia="微软雅黑"/>
          <w:b/>
          <w:szCs w:val="21"/>
          <w:u w:val="single"/>
        </w:rPr>
        <w:t>置业有限公司</w:t>
      </w:r>
    </w:p>
    <w:p w14:paraId="7153F391">
      <w:pPr>
        <w:spacing w:line="400" w:lineRule="exact"/>
        <w:rPr>
          <w:rFonts w:ascii="微软雅黑" w:hAnsi="微软雅黑" w:eastAsia="微软雅黑"/>
          <w:b/>
          <w:szCs w:val="21"/>
          <w:u w:val="single"/>
        </w:rPr>
      </w:pPr>
      <w:r>
        <w:rPr>
          <w:rFonts w:hint="eastAsia" w:ascii="微软雅黑" w:hAnsi="微软雅黑" w:eastAsia="微软雅黑"/>
          <w:b/>
          <w:szCs w:val="21"/>
        </w:rPr>
        <w:t>乙方：</w:t>
      </w:r>
      <w:r>
        <w:rPr>
          <w:rFonts w:hint="eastAsia" w:ascii="微软雅黑" w:hAnsi="微软雅黑" w:eastAsia="微软雅黑"/>
          <w:b/>
          <w:szCs w:val="21"/>
          <w:u w:val="single"/>
          <w:lang w:eastAsia="zh-CN"/>
        </w:rPr>
        <w:t>郑州市威源软件科技有限公司</w:t>
      </w:r>
    </w:p>
    <w:p w14:paraId="5F65415A">
      <w:pPr>
        <w:pStyle w:val="3"/>
        <w:tabs>
          <w:tab w:val="clear" w:pos="4440"/>
        </w:tabs>
        <w:spacing w:line="400" w:lineRule="exact"/>
        <w:ind w:right="12" w:firstLine="1"/>
        <w:rPr>
          <w:rFonts w:ascii="微软雅黑" w:hAnsi="微软雅黑" w:eastAsia="微软雅黑"/>
          <w:color w:val="auto"/>
          <w:sz w:val="21"/>
          <w:szCs w:val="21"/>
        </w:rPr>
      </w:pPr>
      <w:r>
        <w:rPr>
          <w:rFonts w:ascii="微软雅黑" w:hAnsi="微软雅黑" w:eastAsia="微软雅黑"/>
          <w:color w:val="auto"/>
          <w:sz w:val="21"/>
          <w:szCs w:val="21"/>
          <w:u w:val="single"/>
        </w:rPr>
        <w:pict>
          <v:line id="Line 3" o:spid="_x0000_s1027" o:spt="20" style="position:absolute;left:0pt;flip:y;margin-left:0pt;margin-top:11.05pt;height:0.05pt;width:484.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0wGw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">
            <v:path arrowok="t"/>
            <v:fill focussize="0,0"/>
            <v:stroke/>
            <v:imagedata o:title=""/>
            <o:lock v:ext="edit"/>
          </v:line>
        </w:pict>
      </w:r>
    </w:p>
    <w:p w14:paraId="66F40F79">
      <w:pPr>
        <w:pStyle w:val="3"/>
        <w:tabs>
          <w:tab w:val="left" w:pos="412"/>
          <w:tab w:val="clear" w:pos="4440"/>
        </w:tabs>
        <w:spacing w:before="156" w:beforeLines="50" w:after="156" w:afterLines="50" w:line="360" w:lineRule="exact"/>
        <w:ind w:right="12" w:firstLine="1"/>
        <w:rPr>
          <w:rFonts w:ascii="微软雅黑" w:hAnsi="微软雅黑" w:eastAsia="微软雅黑"/>
          <w:color w:val="auto"/>
          <w:kern w:val="24"/>
          <w:sz w:val="21"/>
          <w:szCs w:val="21"/>
        </w:rPr>
      </w:pPr>
      <w:r>
        <w:rPr>
          <w:rFonts w:hint="eastAsia" w:ascii="微软雅黑" w:hAnsi="微软雅黑" w:eastAsia="微软雅黑"/>
          <w:color w:val="auto"/>
          <w:kern w:val="24"/>
          <w:sz w:val="21"/>
          <w:szCs w:val="21"/>
        </w:rPr>
        <w:tab/>
      </w:r>
      <w:r>
        <w:rPr>
          <w:rFonts w:hint="eastAsia" w:ascii="微软雅黑" w:hAnsi="微软雅黑" w:eastAsia="微软雅黑"/>
          <w:color w:val="auto"/>
          <w:kern w:val="24"/>
          <w:sz w:val="21"/>
          <w:szCs w:val="21"/>
        </w:rPr>
        <w:t>甲乙</w:t>
      </w:r>
      <w:r>
        <w:rPr>
          <w:rFonts w:ascii="微软雅黑" w:hAnsi="微软雅黑" w:eastAsia="微软雅黑"/>
          <w:color w:val="auto"/>
          <w:kern w:val="24"/>
          <w:sz w:val="21"/>
          <w:szCs w:val="21"/>
        </w:rPr>
        <w:t>双方在平等</w:t>
      </w:r>
      <w:r>
        <w:rPr>
          <w:rFonts w:hint="eastAsia" w:ascii="微软雅黑" w:hAnsi="微软雅黑" w:eastAsia="微软雅黑"/>
          <w:color w:val="auto"/>
          <w:kern w:val="24"/>
          <w:sz w:val="21"/>
          <w:szCs w:val="21"/>
        </w:rPr>
        <w:t>、</w:t>
      </w:r>
      <w:r>
        <w:rPr>
          <w:rFonts w:ascii="微软雅黑" w:hAnsi="微软雅黑" w:eastAsia="微软雅黑"/>
          <w:color w:val="auto"/>
          <w:kern w:val="24"/>
          <w:sz w:val="21"/>
          <w:szCs w:val="21"/>
        </w:rPr>
        <w:t>互利的基础上，遵循自愿、公平和诚信的原则，依照《中华人民共和国</w:t>
      </w:r>
      <w:r>
        <w:rPr>
          <w:rFonts w:hint="eastAsia" w:ascii="微软雅黑" w:hAnsi="微软雅黑" w:eastAsia="微软雅黑"/>
          <w:color w:val="auto"/>
          <w:kern w:val="24"/>
          <w:sz w:val="21"/>
          <w:szCs w:val="21"/>
        </w:rPr>
        <w:t>民法典</w:t>
      </w:r>
      <w:r>
        <w:rPr>
          <w:rFonts w:ascii="微软雅黑" w:hAnsi="微软雅黑" w:eastAsia="微软雅黑"/>
          <w:color w:val="auto"/>
          <w:kern w:val="24"/>
          <w:sz w:val="21"/>
          <w:szCs w:val="21"/>
        </w:rPr>
        <w:t>》及其他有关法律、行政法规</w:t>
      </w:r>
      <w:r>
        <w:rPr>
          <w:rFonts w:hint="eastAsia" w:ascii="微软雅黑" w:hAnsi="微软雅黑" w:eastAsia="微软雅黑"/>
          <w:color w:val="auto"/>
          <w:kern w:val="24"/>
          <w:sz w:val="21"/>
          <w:szCs w:val="21"/>
        </w:rPr>
        <w:t>，经友好</w:t>
      </w:r>
      <w:r>
        <w:rPr>
          <w:rFonts w:ascii="微软雅黑" w:hAnsi="微软雅黑" w:eastAsia="微软雅黑"/>
          <w:color w:val="auto"/>
          <w:kern w:val="24"/>
          <w:sz w:val="21"/>
          <w:szCs w:val="21"/>
        </w:rPr>
        <w:t>协商</w:t>
      </w:r>
      <w:r>
        <w:rPr>
          <w:rFonts w:hint="eastAsia" w:ascii="微软雅黑" w:hAnsi="微软雅黑" w:eastAsia="微软雅黑"/>
          <w:color w:val="auto"/>
          <w:kern w:val="24"/>
          <w:sz w:val="21"/>
          <w:szCs w:val="21"/>
        </w:rPr>
        <w:t>，达成如下协议：</w:t>
      </w:r>
    </w:p>
    <w:p w14:paraId="1F99B66A">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0" w:name="_Toc241620181"/>
      <w:r>
        <w:rPr>
          <w:rFonts w:hint="eastAsia" w:ascii="微软雅黑" w:hAnsi="微软雅黑" w:eastAsia="微软雅黑"/>
          <w:b/>
          <w:szCs w:val="21"/>
        </w:rPr>
        <w:t>名词术语</w:t>
      </w:r>
      <w:r>
        <w:rPr>
          <w:rFonts w:ascii="微软雅黑" w:hAnsi="微软雅黑" w:eastAsia="微软雅黑"/>
          <w:b/>
          <w:szCs w:val="21"/>
        </w:rPr>
        <w:t>定义</w:t>
      </w:r>
      <w:bookmarkEnd w:id="0"/>
    </w:p>
    <w:p w14:paraId="636B02DC">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ascii="微软雅黑" w:hAnsi="微软雅黑" w:eastAsia="微软雅黑"/>
          <w:szCs w:val="21"/>
        </w:rPr>
        <w:t>软件</w:t>
      </w:r>
      <w:r>
        <w:rPr>
          <w:rFonts w:hint="eastAsia" w:ascii="微软雅黑" w:hAnsi="微软雅黑" w:eastAsia="微软雅黑"/>
          <w:szCs w:val="21"/>
        </w:rPr>
        <w:t>产品：乙方基于软件产品销售合同，向甲方授权使用的软件程序目标代码及</w:t>
      </w:r>
      <w:r>
        <w:rPr>
          <w:rFonts w:hint="eastAsia" w:ascii="微软雅黑" w:hAnsi="微软雅黑" w:eastAsia="微软雅黑" w:cs="Arial"/>
          <w:szCs w:val="21"/>
          <w:lang w:val="zh-CN"/>
        </w:rPr>
        <w:t>用户手册等电子文档</w:t>
      </w:r>
      <w:r>
        <w:rPr>
          <w:rFonts w:hint="eastAsia" w:ascii="微软雅黑" w:hAnsi="微软雅黑" w:eastAsia="微软雅黑"/>
          <w:szCs w:val="21"/>
        </w:rPr>
        <w:t>；软件产品由乙方独立开发并注册知识产权；甲方使用乙方授权软件产品所必须的</w:t>
      </w:r>
      <w:r>
        <w:rPr>
          <w:rFonts w:ascii="微软雅黑" w:hAnsi="微软雅黑" w:eastAsia="微软雅黑"/>
          <w:szCs w:val="21"/>
        </w:rPr>
        <w:t>第三方</w:t>
      </w:r>
      <w:r>
        <w:rPr>
          <w:rFonts w:hint="eastAsia" w:ascii="微软雅黑" w:hAnsi="微软雅黑" w:eastAsia="微软雅黑"/>
          <w:szCs w:val="21"/>
        </w:rPr>
        <w:t>软件/</w:t>
      </w:r>
      <w:r>
        <w:rPr>
          <w:rFonts w:ascii="微软雅黑" w:hAnsi="微软雅黑" w:eastAsia="微软雅黑"/>
          <w:szCs w:val="21"/>
        </w:rPr>
        <w:t>程序</w:t>
      </w:r>
      <w:r>
        <w:rPr>
          <w:rFonts w:hint="eastAsia" w:ascii="微软雅黑" w:hAnsi="微软雅黑" w:eastAsia="微软雅黑"/>
          <w:szCs w:val="21"/>
        </w:rPr>
        <w:t>，</w:t>
      </w:r>
      <w:r>
        <w:rPr>
          <w:rFonts w:ascii="微软雅黑" w:hAnsi="微软雅黑" w:eastAsia="微软雅黑"/>
          <w:szCs w:val="21"/>
        </w:rPr>
        <w:t>如计算机操作系统、数据库</w:t>
      </w:r>
      <w:r>
        <w:rPr>
          <w:rFonts w:hint="eastAsia" w:ascii="微软雅黑" w:hAnsi="微软雅黑" w:eastAsia="微软雅黑"/>
          <w:szCs w:val="21"/>
        </w:rPr>
        <w:t>，不属于乙方软件产品，甲方应从相应的开发商处获取授权。</w:t>
      </w:r>
    </w:p>
    <w:p w14:paraId="3E5A4FEE">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用户授权：乙方基于软件产品销售合同或用户授权许可销售协议，授予甲方若干用户合法操作和使用明源地产</w:t>
      </w:r>
      <w:r>
        <w:rPr>
          <w:rFonts w:ascii="微软雅黑" w:hAnsi="微软雅黑" w:eastAsia="微软雅黑"/>
          <w:szCs w:val="21"/>
        </w:rPr>
        <w:t>ERP</w:t>
      </w:r>
      <w:r>
        <w:rPr>
          <w:rFonts w:hint="eastAsia" w:ascii="微软雅黑" w:hAnsi="微软雅黑" w:eastAsia="微软雅黑"/>
          <w:szCs w:val="21"/>
        </w:rPr>
        <w:t>系统，用户授权数量参照相关合同约定，在明源地产ERP系统权限中的有效注册用户数中限定。</w:t>
      </w:r>
    </w:p>
    <w:p w14:paraId="4B297D91">
      <w:pPr>
        <w:pStyle w:val="13"/>
        <w:numPr>
          <w:ilvl w:val="0"/>
          <w:numId w:val="2"/>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定制功能：基于甲方需求，乙方在产品标准功能上做的定制修改，或者定制开发的超出乙方产品标准功能清单范围的新功能。</w:t>
      </w:r>
    </w:p>
    <w:p w14:paraId="3A5B4DED">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1" w:name="_Toc241620182"/>
      <w:r>
        <w:rPr>
          <w:rFonts w:hint="eastAsia" w:ascii="微软雅黑" w:hAnsi="微软雅黑" w:eastAsia="微软雅黑"/>
          <w:b/>
          <w:szCs w:val="21"/>
        </w:rPr>
        <w:t>服务对象内容和期限</w:t>
      </w:r>
      <w:bookmarkEnd w:id="1"/>
      <w:r>
        <w:rPr>
          <w:rFonts w:hint="eastAsia" w:ascii="微软雅黑" w:hAnsi="微软雅黑" w:eastAsia="微软雅黑"/>
          <w:b/>
          <w:szCs w:val="21"/>
        </w:rPr>
        <w:t>约定</w:t>
      </w:r>
    </w:p>
    <w:p w14:paraId="300829B7">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服务对象</w:t>
      </w:r>
    </w:p>
    <w:p w14:paraId="3D651A21">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szCs w:val="21"/>
        </w:rPr>
        <w:t>软件（含增值功能）及定制功能：基于甲乙双方前期软件产品销售合同的约定，运维服务围绕</w:t>
      </w:r>
      <w:r>
        <w:rPr>
          <w:rFonts w:hint="eastAsia" w:ascii="微软雅黑" w:hAnsi="微软雅黑" w:eastAsia="微软雅黑"/>
          <w:u w:val="single"/>
        </w:rPr>
        <w:t>售楼管理系统</w:t>
      </w:r>
      <w:r>
        <w:rPr>
          <w:rFonts w:hint="eastAsia" w:ascii="微软雅黑" w:hAnsi="微软雅黑" w:eastAsia="微软雅黑"/>
        </w:rPr>
        <w:t>展开；乙方为甲方定制的功能，也属于运维服务范围；非上述范围的任何软件，系统，硬件，接口等，均不是约定服务对象内容，乙方可提供建议，但不承担调试、维护等责任。</w:t>
      </w:r>
    </w:p>
    <w:p w14:paraId="378A0D83">
      <w:pPr>
        <w:numPr>
          <w:ilvl w:val="2"/>
          <w:numId w:val="3"/>
        </w:numPr>
        <w:autoSpaceDE w:val="0"/>
        <w:autoSpaceDN w:val="0"/>
        <w:adjustRightInd w:val="0"/>
        <w:spacing w:before="156" w:beforeLines="50" w:after="156" w:afterLines="50" w:line="360" w:lineRule="exact"/>
        <w:ind w:left="1701" w:hanging="708"/>
        <w:rPr>
          <w:rFonts w:ascii="微软雅黑" w:hAnsi="微软雅黑" w:eastAsia="微软雅黑"/>
          <w:szCs w:val="21"/>
          <w:u w:val="single"/>
        </w:rPr>
      </w:pPr>
      <w:r>
        <w:rPr>
          <w:rFonts w:hint="eastAsia" w:ascii="微软雅黑" w:hAnsi="微软雅黑" w:eastAsia="微软雅黑"/>
        </w:rPr>
        <w:t>软件授权用户：根据</w:t>
      </w:r>
      <w:r>
        <w:rPr>
          <w:rFonts w:hint="eastAsia" w:ascii="微软雅黑" w:hAnsi="微软雅黑" w:eastAsia="微软雅黑"/>
          <w:szCs w:val="21"/>
        </w:rPr>
        <w:t>甲方向乙方采购的用户授权，运维服务的支持对象是甲方内部分配后的软件合法使用者；</w:t>
      </w:r>
    </w:p>
    <w:p w14:paraId="3DEDA0D3">
      <w:pPr>
        <w:numPr>
          <w:ilvl w:val="1"/>
          <w:numId w:val="3"/>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服务期限：本合同约定的</w:t>
      </w:r>
      <w:r>
        <w:rPr>
          <w:rFonts w:hint="eastAsia" w:ascii="微软雅黑" w:hAnsi="微软雅黑" w:eastAsia="微软雅黑"/>
        </w:rPr>
        <w:t>服务有效期从</w:t>
      </w:r>
      <w:r>
        <w:rPr>
          <w:rFonts w:hint="eastAsia" w:ascii="微软雅黑" w:hAnsi="微软雅黑" w:eastAsia="微软雅黑"/>
          <w:u w:val="single"/>
        </w:rPr>
        <w:t xml:space="preserve"> 202</w:t>
      </w:r>
      <w:r>
        <w:rPr>
          <w:rFonts w:hint="eastAsia" w:ascii="微软雅黑" w:hAnsi="微软雅黑" w:eastAsia="微软雅黑"/>
          <w:u w:val="single"/>
          <w:lang w:val="en-US" w:eastAsia="zh-CN"/>
        </w:rPr>
        <w:t>4</w:t>
      </w:r>
      <w:r>
        <w:rPr>
          <w:rFonts w:hint="eastAsia" w:ascii="微软雅黑" w:hAnsi="微软雅黑" w:eastAsia="微软雅黑"/>
          <w:u w:val="single"/>
        </w:rPr>
        <w:t xml:space="preserve"> 年 </w:t>
      </w:r>
      <w:r>
        <w:rPr>
          <w:rFonts w:ascii="微软雅黑" w:hAnsi="微软雅黑" w:eastAsia="微软雅黑"/>
          <w:u w:val="single"/>
        </w:rPr>
        <w:t>06</w:t>
      </w:r>
      <w:r>
        <w:rPr>
          <w:rFonts w:hint="eastAsia" w:ascii="微软雅黑" w:hAnsi="微软雅黑" w:eastAsia="微软雅黑"/>
          <w:u w:val="single"/>
        </w:rPr>
        <w:t xml:space="preserve"> 月 </w:t>
      </w:r>
      <w:r>
        <w:rPr>
          <w:rFonts w:ascii="微软雅黑" w:hAnsi="微软雅黑" w:eastAsia="微软雅黑"/>
          <w:u w:val="single"/>
        </w:rPr>
        <w:t>17</w:t>
      </w:r>
      <w:r>
        <w:rPr>
          <w:rFonts w:hint="eastAsia" w:ascii="微软雅黑" w:hAnsi="微软雅黑" w:eastAsia="微软雅黑"/>
          <w:u w:val="single"/>
        </w:rPr>
        <w:t xml:space="preserve"> 日 </w:t>
      </w:r>
      <w:r>
        <w:rPr>
          <w:rFonts w:hint="eastAsia" w:ascii="微软雅黑" w:hAnsi="微软雅黑" w:eastAsia="微软雅黑"/>
        </w:rPr>
        <w:t>起至</w:t>
      </w:r>
      <w:r>
        <w:rPr>
          <w:rFonts w:hint="eastAsia" w:ascii="微软雅黑" w:hAnsi="微软雅黑" w:eastAsia="微软雅黑"/>
          <w:u w:val="single"/>
        </w:rPr>
        <w:t xml:space="preserve"> 202</w:t>
      </w:r>
      <w:r>
        <w:rPr>
          <w:rFonts w:hint="eastAsia" w:ascii="微软雅黑" w:hAnsi="微软雅黑" w:eastAsia="微软雅黑"/>
          <w:u w:val="single"/>
          <w:lang w:val="en-US" w:eastAsia="zh-CN"/>
        </w:rPr>
        <w:t>5</w:t>
      </w:r>
      <w:r>
        <w:rPr>
          <w:rFonts w:hint="eastAsia" w:ascii="微软雅黑" w:hAnsi="微软雅黑" w:eastAsia="微软雅黑"/>
          <w:u w:val="single"/>
        </w:rPr>
        <w:t xml:space="preserve"> 年 </w:t>
      </w:r>
      <w:r>
        <w:rPr>
          <w:rFonts w:ascii="微软雅黑" w:hAnsi="微软雅黑" w:eastAsia="微软雅黑"/>
          <w:u w:val="single"/>
        </w:rPr>
        <w:t xml:space="preserve">06 </w:t>
      </w:r>
      <w:r>
        <w:rPr>
          <w:rFonts w:hint="eastAsia" w:ascii="微软雅黑" w:hAnsi="微软雅黑" w:eastAsia="微软雅黑"/>
          <w:u w:val="single"/>
        </w:rPr>
        <w:t xml:space="preserve">月 </w:t>
      </w:r>
      <w:r>
        <w:rPr>
          <w:rFonts w:ascii="微软雅黑" w:hAnsi="微软雅黑" w:eastAsia="微软雅黑"/>
          <w:u w:val="single"/>
        </w:rPr>
        <w:t>16</w:t>
      </w:r>
      <w:r>
        <w:rPr>
          <w:rFonts w:hint="eastAsia" w:ascii="微软雅黑" w:hAnsi="微软雅黑" w:eastAsia="微软雅黑"/>
          <w:u w:val="single"/>
        </w:rPr>
        <w:t xml:space="preserve"> </w:t>
      </w:r>
      <w:r>
        <w:rPr>
          <w:rFonts w:hint="eastAsia" w:ascii="微软雅黑" w:hAnsi="微软雅黑" w:eastAsia="微软雅黑"/>
        </w:rPr>
        <w:t>日止，共计</w:t>
      </w:r>
      <w:r>
        <w:rPr>
          <w:rFonts w:hint="eastAsia" w:ascii="微软雅黑" w:hAnsi="微软雅黑" w:eastAsia="微软雅黑"/>
          <w:u w:val="single"/>
        </w:rPr>
        <w:t>12</w:t>
      </w:r>
      <w:r>
        <w:rPr>
          <w:rFonts w:hint="eastAsia" w:ascii="微软雅黑" w:hAnsi="微软雅黑" w:eastAsia="微软雅黑"/>
        </w:rPr>
        <w:t>个月。</w:t>
      </w:r>
    </w:p>
    <w:p w14:paraId="30E0B2AB">
      <w:pPr>
        <w:tabs>
          <w:tab w:val="left" w:pos="992"/>
        </w:tabs>
        <w:autoSpaceDE w:val="0"/>
        <w:autoSpaceDN w:val="0"/>
        <w:adjustRightInd w:val="0"/>
        <w:spacing w:line="40" w:lineRule="exact"/>
        <w:ind w:left="425"/>
        <w:rPr>
          <w:rFonts w:ascii="微软雅黑" w:hAnsi="微软雅黑" w:eastAsia="微软雅黑"/>
          <w:szCs w:val="21"/>
        </w:rPr>
      </w:pPr>
      <w:r>
        <w:rPr>
          <w:rFonts w:ascii="微软雅黑" w:hAnsi="微软雅黑" w:eastAsia="微软雅黑"/>
          <w:szCs w:val="21"/>
        </w:rPr>
        <w:br w:type="page"/>
      </w:r>
    </w:p>
    <w:p w14:paraId="4D6282C3">
      <w:pPr>
        <w:widowControl/>
        <w:numPr>
          <w:ilvl w:val="0"/>
          <w:numId w:val="1"/>
        </w:numPr>
        <w:tabs>
          <w:tab w:val="left" w:pos="993"/>
        </w:tabs>
        <w:autoSpaceDE w:val="0"/>
        <w:autoSpaceDN w:val="0"/>
        <w:spacing w:line="360" w:lineRule="exact"/>
        <w:ind w:left="992" w:hanging="992"/>
        <w:textAlignment w:val="bottom"/>
        <w:outlineLvl w:val="0"/>
        <w:rPr>
          <w:rFonts w:ascii="微软雅黑" w:hAnsi="微软雅黑" w:eastAsia="微软雅黑"/>
          <w:b/>
          <w:szCs w:val="21"/>
        </w:rPr>
      </w:pPr>
      <w:r>
        <w:rPr>
          <w:rFonts w:hint="eastAsia" w:ascii="微软雅黑" w:hAnsi="微软雅黑" w:eastAsia="微软雅黑"/>
          <w:b/>
          <w:szCs w:val="21"/>
        </w:rPr>
        <w:t>服务内容与费用</w:t>
      </w:r>
    </w:p>
    <w:p w14:paraId="526B10A4">
      <w:pPr>
        <w:numPr>
          <w:ilvl w:val="1"/>
          <w:numId w:val="4"/>
        </w:numPr>
        <w:rPr>
          <w:rFonts w:ascii="微软雅黑" w:hAnsi="微软雅黑" w:eastAsia="微软雅黑"/>
        </w:rPr>
      </w:pPr>
      <w:r>
        <w:rPr>
          <w:rFonts w:hint="eastAsia" w:ascii="微软雅黑" w:hAnsi="微软雅黑" w:eastAsia="微软雅黑"/>
        </w:rPr>
        <w:t>运维服务</w:t>
      </w:r>
    </w:p>
    <w:tbl>
      <w:tblPr>
        <w:tblStyle w:val="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582"/>
        <w:gridCol w:w="992"/>
        <w:gridCol w:w="5244"/>
        <w:gridCol w:w="1419"/>
        <w:gridCol w:w="1418"/>
      </w:tblGrid>
      <w:tr w14:paraId="3288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320" w:type="pct"/>
            <w:shd w:val="clear" w:color="auto" w:fill="DEEAF6"/>
            <w:vAlign w:val="center"/>
          </w:tcPr>
          <w:p w14:paraId="415B90E2">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r>
              <w:rPr>
                <w:rFonts w:ascii="微软雅黑" w:hAnsi="微软雅黑" w:eastAsia="微软雅黑" w:cs="宋体"/>
                <w:b/>
                <w:bCs/>
                <w:kern w:val="0"/>
                <w:sz w:val="18"/>
                <w:szCs w:val="18"/>
              </w:rPr>
              <w:t>分类</w:t>
            </w:r>
          </w:p>
        </w:tc>
        <w:tc>
          <w:tcPr>
            <w:tcW w:w="282" w:type="pct"/>
            <w:shd w:val="clear" w:color="auto" w:fill="DEEAF6"/>
            <w:vAlign w:val="center"/>
          </w:tcPr>
          <w:p w14:paraId="7122C97F">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产品</w:t>
            </w:r>
          </w:p>
          <w:p w14:paraId="16E1124E">
            <w:pPr>
              <w:widowControl/>
              <w:jc w:val="center"/>
              <w:rPr>
                <w:rFonts w:ascii="微软雅黑" w:hAnsi="微软雅黑" w:eastAsia="微软雅黑" w:cs="宋体"/>
                <w:b/>
                <w:bCs/>
                <w:kern w:val="0"/>
                <w:sz w:val="18"/>
                <w:szCs w:val="18"/>
              </w:rPr>
            </w:pPr>
            <w:r>
              <w:rPr>
                <w:rFonts w:ascii="微软雅黑" w:hAnsi="微软雅黑" w:eastAsia="微软雅黑" w:cs="宋体"/>
                <w:b/>
                <w:bCs/>
                <w:kern w:val="0"/>
                <w:sz w:val="18"/>
                <w:szCs w:val="18"/>
              </w:rPr>
              <w:t>名称</w:t>
            </w:r>
          </w:p>
        </w:tc>
        <w:tc>
          <w:tcPr>
            <w:tcW w:w="481" w:type="pct"/>
            <w:shd w:val="clear" w:color="auto" w:fill="DEEAF6"/>
            <w:vAlign w:val="center"/>
          </w:tcPr>
          <w:p w14:paraId="378B5577">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服务项</w:t>
            </w:r>
          </w:p>
        </w:tc>
        <w:tc>
          <w:tcPr>
            <w:tcW w:w="2542" w:type="pct"/>
            <w:shd w:val="clear" w:color="auto" w:fill="DEEAF6"/>
            <w:vAlign w:val="center"/>
          </w:tcPr>
          <w:p w14:paraId="0DA081FE">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服务内容说明</w:t>
            </w:r>
          </w:p>
        </w:tc>
        <w:tc>
          <w:tcPr>
            <w:tcW w:w="688" w:type="pct"/>
            <w:shd w:val="clear" w:color="auto" w:fill="DEEAF6"/>
          </w:tcPr>
          <w:p w14:paraId="26B23E8F">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交付标准</w:t>
            </w:r>
          </w:p>
        </w:tc>
        <w:tc>
          <w:tcPr>
            <w:tcW w:w="687" w:type="pct"/>
            <w:shd w:val="clear" w:color="auto" w:fill="DEEAF6"/>
          </w:tcPr>
          <w:p w14:paraId="7DB1A411">
            <w:pPr>
              <w:widowControl/>
              <w:jc w:val="center"/>
              <w:rPr>
                <w:rFonts w:ascii="微软雅黑" w:hAnsi="微软雅黑" w:eastAsia="微软雅黑" w:cs="宋体"/>
                <w:b/>
                <w:bCs/>
                <w:kern w:val="0"/>
                <w:sz w:val="18"/>
                <w:szCs w:val="18"/>
              </w:rPr>
            </w:pPr>
            <w:r>
              <w:rPr>
                <w:rFonts w:hint="eastAsia" w:ascii="微软雅黑" w:hAnsi="微软雅黑" w:eastAsia="微软雅黑" w:cs="宋体"/>
                <w:b/>
                <w:bCs/>
                <w:kern w:val="0"/>
                <w:sz w:val="18"/>
                <w:szCs w:val="18"/>
              </w:rPr>
              <w:t>交付成果</w:t>
            </w:r>
          </w:p>
        </w:tc>
      </w:tr>
      <w:tr w14:paraId="4E7F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14:paraId="2756C02F">
            <w:pPr>
              <w:jc w:val="center"/>
              <w:rPr>
                <w:rFonts w:ascii="微软雅黑" w:eastAsia="微软雅黑" w:cs="微软雅黑"/>
                <w:kern w:val="0"/>
                <w:sz w:val="18"/>
                <w:szCs w:val="18"/>
              </w:rPr>
            </w:pPr>
            <w:r>
              <w:rPr>
                <w:rFonts w:hint="eastAsia" w:ascii="微软雅黑" w:eastAsia="微软雅黑" w:cs="微软雅黑"/>
                <w:kern w:val="0"/>
                <w:sz w:val="18"/>
                <w:szCs w:val="18"/>
              </w:rPr>
              <w:t>01、产品支持</w:t>
            </w:r>
            <w:r>
              <w:rPr>
                <w:rFonts w:ascii="微软雅黑" w:eastAsia="微软雅黑" w:cs="微软雅黑"/>
                <w:kern w:val="0"/>
                <w:sz w:val="18"/>
                <w:szCs w:val="18"/>
              </w:rPr>
              <w:t>服务</w:t>
            </w:r>
          </w:p>
        </w:tc>
        <w:tc>
          <w:tcPr>
            <w:tcW w:w="282" w:type="pct"/>
            <w:vMerge w:val="restart"/>
            <w:shd w:val="clear" w:color="000000" w:fill="FFFFFF"/>
            <w:vAlign w:val="center"/>
          </w:tcPr>
          <w:p w14:paraId="6B69BCA1">
            <w:pPr>
              <w:jc w:val="center"/>
              <w:rPr>
                <w:rFonts w:ascii="微软雅黑" w:hAnsi="微软雅黑" w:eastAsia="微软雅黑" w:cs="宋体"/>
                <w:kern w:val="0"/>
                <w:sz w:val="18"/>
                <w:szCs w:val="18"/>
              </w:rPr>
            </w:pPr>
            <w:r>
              <w:rPr>
                <w:rFonts w:hint="eastAsia" w:ascii="微软雅黑" w:eastAsia="微软雅黑" w:cs="微软雅黑"/>
                <w:kern w:val="0"/>
                <w:sz w:val="18"/>
                <w:szCs w:val="18"/>
              </w:rPr>
              <w:t>ERP产品</w:t>
            </w:r>
            <w:r>
              <w:rPr>
                <w:rFonts w:ascii="微软雅黑" w:eastAsia="微软雅黑" w:cs="微软雅黑"/>
                <w:kern w:val="0"/>
                <w:sz w:val="18"/>
                <w:szCs w:val="18"/>
              </w:rPr>
              <w:t>支持服务</w:t>
            </w:r>
          </w:p>
        </w:tc>
        <w:tc>
          <w:tcPr>
            <w:tcW w:w="481" w:type="pct"/>
            <w:shd w:val="clear" w:color="000000" w:fill="FFFFFF"/>
            <w:vAlign w:val="center"/>
          </w:tcPr>
          <w:p w14:paraId="126B2D7C">
            <w:pPr>
              <w:widowControl/>
              <w:jc w:val="left"/>
              <w:rPr>
                <w:rFonts w:ascii="微软雅黑" w:eastAsia="微软雅黑" w:cs="微软雅黑"/>
                <w:bCs/>
                <w:kern w:val="0"/>
                <w:sz w:val="18"/>
                <w:szCs w:val="18"/>
              </w:rPr>
            </w:pPr>
            <w:r>
              <w:rPr>
                <w:rFonts w:hint="eastAsia" w:ascii="微软雅黑" w:eastAsia="微软雅黑" w:cs="微软雅黑" w:hAnsiTheme="minorHAnsi"/>
                <w:bCs/>
                <w:kern w:val="0"/>
                <w:sz w:val="18"/>
                <w:szCs w:val="18"/>
              </w:rPr>
              <w:t>故障分析与诊断</w:t>
            </w:r>
          </w:p>
        </w:tc>
        <w:tc>
          <w:tcPr>
            <w:tcW w:w="2542" w:type="pct"/>
            <w:shd w:val="clear" w:color="000000" w:fill="FFFFFF"/>
            <w:vAlign w:val="center"/>
          </w:tcPr>
          <w:p w14:paraId="12D41FBA">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用户在使用明源ERP软件过程中出现的异常，影响到用户正常使用和操作，可以通过在线、热线服务获得支持；</w:t>
            </w:r>
          </w:p>
          <w:p w14:paraId="66CC2351">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1、对于服务器环境故障，由产品支持团队提供分析、诊断、建议及配合进行远程修复；</w:t>
            </w:r>
          </w:p>
          <w:p w14:paraId="07142A56">
            <w:pPr>
              <w:widowControl/>
              <w:rPr>
                <w:rFonts w:ascii="微软雅黑" w:hAnsi="微软雅黑" w:eastAsia="微软雅黑" w:cs="宋体"/>
                <w:kern w:val="0"/>
                <w:sz w:val="18"/>
                <w:szCs w:val="18"/>
              </w:rPr>
            </w:pPr>
            <w:r>
              <w:rPr>
                <w:rFonts w:hint="eastAsia" w:ascii="微软雅黑" w:eastAsia="微软雅黑" w:cs="微软雅黑" w:hAnsiTheme="minorHAnsi"/>
                <w:kern w:val="0"/>
                <w:sz w:val="18"/>
                <w:szCs w:val="18"/>
              </w:rPr>
              <w:t>2、对于标准产品程序代码BUG，提供补丁包给予客户。</w:t>
            </w:r>
          </w:p>
        </w:tc>
        <w:tc>
          <w:tcPr>
            <w:tcW w:w="688" w:type="pct"/>
            <w:shd w:val="clear" w:color="000000" w:fill="FFFFFF"/>
          </w:tcPr>
          <w:p w14:paraId="09129041">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7FC289C8">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tc>
      </w:tr>
      <w:tr w14:paraId="7BD0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49F18DC1">
            <w:pPr>
              <w:jc w:val="center"/>
              <w:rPr>
                <w:rFonts w:ascii="微软雅黑" w:eastAsia="微软雅黑" w:cs="微软雅黑"/>
                <w:kern w:val="0"/>
                <w:sz w:val="18"/>
                <w:szCs w:val="18"/>
              </w:rPr>
            </w:pPr>
          </w:p>
        </w:tc>
        <w:tc>
          <w:tcPr>
            <w:tcW w:w="282" w:type="pct"/>
            <w:vMerge w:val="continue"/>
            <w:shd w:val="clear" w:color="000000" w:fill="FFFFFF"/>
            <w:vAlign w:val="center"/>
          </w:tcPr>
          <w:p w14:paraId="4A2B78E1">
            <w:pPr>
              <w:jc w:val="center"/>
              <w:rPr>
                <w:rFonts w:ascii="微软雅黑" w:eastAsia="微软雅黑" w:cs="微软雅黑"/>
                <w:kern w:val="0"/>
                <w:sz w:val="18"/>
                <w:szCs w:val="18"/>
              </w:rPr>
            </w:pPr>
          </w:p>
        </w:tc>
        <w:tc>
          <w:tcPr>
            <w:tcW w:w="481" w:type="pct"/>
            <w:shd w:val="clear" w:color="auto" w:fill="auto"/>
            <w:vAlign w:val="center"/>
          </w:tcPr>
          <w:p w14:paraId="5D8A2E5F">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智能监控服务</w:t>
            </w:r>
          </w:p>
        </w:tc>
        <w:tc>
          <w:tcPr>
            <w:tcW w:w="2542" w:type="pct"/>
            <w:shd w:val="clear" w:color="auto" w:fill="auto"/>
            <w:vAlign w:val="center"/>
          </w:tcPr>
          <w:p w14:paraId="11B3FEC8">
            <w:pPr>
              <w:widowControl/>
              <w:rPr>
                <w:rFonts w:ascii="微软雅黑" w:eastAsia="微软雅黑" w:cs="微软雅黑"/>
                <w:bCs/>
                <w:kern w:val="0"/>
                <w:sz w:val="18"/>
                <w:szCs w:val="18"/>
              </w:rPr>
            </w:pPr>
            <w:r>
              <w:rPr>
                <w:rFonts w:hint="eastAsia" w:ascii="微软雅黑" w:eastAsia="微软雅黑" w:cs="微软雅黑"/>
                <w:bCs/>
                <w:kern w:val="0"/>
                <w:sz w:val="18"/>
                <w:szCs w:val="18"/>
              </w:rPr>
              <w:t>1、提供针对于明源ERP系统环境的监控工具，且客户可对监控指标的告警阀值进行自定义；</w:t>
            </w:r>
          </w:p>
          <w:p w14:paraId="1F69669E">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2、提供智能告警、预警，问题精准定位、根因分析与智能推荐等服务，并针对客户服务器环境出现的故障、风险协助客户进行修复。</w:t>
            </w:r>
          </w:p>
        </w:tc>
        <w:tc>
          <w:tcPr>
            <w:tcW w:w="688" w:type="pct"/>
          </w:tcPr>
          <w:p w14:paraId="7F175873">
            <w:pPr>
              <w:widowControl/>
              <w:rPr>
                <w:rFonts w:ascii="微软雅黑" w:eastAsia="微软雅黑" w:cs="微软雅黑"/>
                <w:bCs/>
                <w:kern w:val="0"/>
                <w:sz w:val="18"/>
                <w:szCs w:val="18"/>
              </w:rPr>
            </w:pPr>
            <w:r>
              <w:rPr>
                <w:rFonts w:hint="eastAsia" w:ascii="微软雅黑" w:eastAsia="微软雅黑" w:cs="微软雅黑"/>
                <w:bCs/>
                <w:kern w:val="0"/>
                <w:sz w:val="18"/>
                <w:szCs w:val="18"/>
              </w:rPr>
              <w:t>7天*24小时监控自动告警服务</w:t>
            </w:r>
          </w:p>
        </w:tc>
        <w:tc>
          <w:tcPr>
            <w:tcW w:w="687" w:type="pct"/>
          </w:tcPr>
          <w:p w14:paraId="63B47CC9">
            <w:pPr>
              <w:widowControl/>
              <w:rPr>
                <w:rFonts w:ascii="微软雅黑" w:eastAsia="微软雅黑" w:cs="微软雅黑"/>
                <w:bCs/>
                <w:kern w:val="0"/>
                <w:sz w:val="18"/>
                <w:szCs w:val="18"/>
              </w:rPr>
            </w:pPr>
            <w:r>
              <w:rPr>
                <w:rFonts w:hint="eastAsia" w:ascii="微软雅黑" w:eastAsia="微软雅黑" w:cs="微软雅黑"/>
                <w:bCs/>
                <w:kern w:val="0"/>
                <w:sz w:val="18"/>
                <w:szCs w:val="18"/>
              </w:rPr>
              <w:t>1、云运维平台租户账号</w:t>
            </w:r>
          </w:p>
          <w:p w14:paraId="400A23B2">
            <w:pPr>
              <w:widowControl/>
              <w:rPr>
                <w:rFonts w:ascii="微软雅黑" w:eastAsia="微软雅黑" w:cs="微软雅黑"/>
                <w:bCs/>
                <w:kern w:val="0"/>
                <w:sz w:val="18"/>
                <w:szCs w:val="18"/>
              </w:rPr>
            </w:pPr>
            <w:r>
              <w:rPr>
                <w:rFonts w:hint="eastAsia" w:ascii="微软雅黑" w:eastAsia="微软雅黑" w:cs="微软雅黑"/>
                <w:bCs/>
                <w:kern w:val="0"/>
                <w:sz w:val="18"/>
                <w:szCs w:val="18"/>
              </w:rPr>
              <w:t>2、服务工单记录</w:t>
            </w:r>
          </w:p>
        </w:tc>
      </w:tr>
      <w:tr w14:paraId="3E2A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68A30FF6">
            <w:pPr>
              <w:jc w:val="center"/>
              <w:rPr>
                <w:rFonts w:ascii="微软雅黑" w:eastAsia="微软雅黑" w:cs="微软雅黑"/>
                <w:kern w:val="0"/>
                <w:sz w:val="18"/>
                <w:szCs w:val="18"/>
              </w:rPr>
            </w:pPr>
          </w:p>
        </w:tc>
        <w:tc>
          <w:tcPr>
            <w:tcW w:w="282" w:type="pct"/>
            <w:vMerge w:val="continue"/>
            <w:shd w:val="clear" w:color="000000" w:fill="FFFFFF"/>
            <w:vAlign w:val="center"/>
          </w:tcPr>
          <w:p w14:paraId="3338371B">
            <w:pPr>
              <w:jc w:val="center"/>
              <w:rPr>
                <w:rFonts w:ascii="微软雅黑" w:eastAsia="微软雅黑" w:cs="微软雅黑"/>
                <w:kern w:val="0"/>
                <w:sz w:val="18"/>
                <w:szCs w:val="18"/>
              </w:rPr>
            </w:pPr>
          </w:p>
        </w:tc>
        <w:tc>
          <w:tcPr>
            <w:tcW w:w="481" w:type="pct"/>
            <w:shd w:val="clear" w:color="auto" w:fill="auto"/>
            <w:vAlign w:val="center"/>
          </w:tcPr>
          <w:p w14:paraId="5EF6CC88">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产品补丁包</w:t>
            </w:r>
          </w:p>
        </w:tc>
        <w:tc>
          <w:tcPr>
            <w:tcW w:w="2542" w:type="pct"/>
            <w:shd w:val="clear" w:color="auto" w:fill="auto"/>
            <w:vAlign w:val="center"/>
          </w:tcPr>
          <w:p w14:paraId="281B1656">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1、提供当前产品版本适用的产品补丁包；</w:t>
            </w:r>
          </w:p>
          <w:p w14:paraId="13885290">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hAnsiTheme="minorHAnsi"/>
                <w:kern w:val="0"/>
                <w:sz w:val="18"/>
                <w:szCs w:val="18"/>
              </w:rPr>
              <w:t>2、确保必选的补丁包能够更新进系统中，保障系统稳定运行。</w:t>
            </w:r>
          </w:p>
          <w:p w14:paraId="510950C8">
            <w:pPr>
              <w:widowControl/>
              <w:rPr>
                <w:rFonts w:ascii="微软雅黑" w:eastAsia="微软雅黑" w:cs="微软雅黑"/>
                <w:bCs/>
                <w:kern w:val="0"/>
                <w:sz w:val="18"/>
                <w:szCs w:val="18"/>
              </w:rPr>
            </w:pPr>
            <w:r>
              <w:rPr>
                <w:rFonts w:hint="eastAsia" w:ascii="微软雅黑" w:eastAsia="微软雅黑" w:cs="微软雅黑" w:hAnsiTheme="minorHAnsi"/>
                <w:kern w:val="0"/>
                <w:sz w:val="18"/>
                <w:szCs w:val="18"/>
              </w:rPr>
              <w:t>说明：产品补丁包若由明源项目开发团队进行适配更新，过程中产生的二开适配费用，不在本服务内容里，需要另外收费。</w:t>
            </w:r>
          </w:p>
        </w:tc>
        <w:tc>
          <w:tcPr>
            <w:tcW w:w="688" w:type="pct"/>
          </w:tcPr>
          <w:p w14:paraId="5A2FF96B">
            <w:pPr>
              <w:widowControl/>
              <w:rPr>
                <w:rFonts w:ascii="微软雅黑" w:eastAsia="微软雅黑" w:cs="微软雅黑"/>
                <w:bCs/>
                <w:kern w:val="0"/>
                <w:sz w:val="18"/>
                <w:szCs w:val="18"/>
              </w:rPr>
            </w:pPr>
            <w:r>
              <w:rPr>
                <w:rFonts w:hint="eastAsia" w:ascii="微软雅黑" w:eastAsia="微软雅黑" w:cs="微软雅黑"/>
                <w:bCs/>
                <w:kern w:val="0"/>
                <w:sz w:val="18"/>
                <w:szCs w:val="18"/>
              </w:rPr>
              <w:t>按照明源补丁管理规范提供产品补丁包</w:t>
            </w:r>
          </w:p>
        </w:tc>
        <w:tc>
          <w:tcPr>
            <w:tcW w:w="687" w:type="pct"/>
          </w:tcPr>
          <w:p w14:paraId="29591C9B">
            <w:pPr>
              <w:widowControl/>
              <w:rPr>
                <w:rFonts w:ascii="微软雅黑" w:eastAsia="微软雅黑" w:cs="微软雅黑"/>
                <w:bCs/>
                <w:kern w:val="0"/>
                <w:sz w:val="18"/>
                <w:szCs w:val="18"/>
              </w:rPr>
            </w:pPr>
            <w:r>
              <w:rPr>
                <w:rFonts w:hint="eastAsia" w:ascii="微软雅黑" w:eastAsia="微软雅黑" w:cs="微软雅黑"/>
                <w:bCs/>
                <w:kern w:val="0"/>
                <w:sz w:val="18"/>
                <w:szCs w:val="18"/>
              </w:rPr>
              <w:t>1、产品补丁包更新通知</w:t>
            </w:r>
          </w:p>
          <w:p w14:paraId="2EAD7F46">
            <w:pPr>
              <w:widowControl/>
              <w:rPr>
                <w:rFonts w:ascii="微软雅黑" w:eastAsia="微软雅黑" w:cs="微软雅黑"/>
                <w:bCs/>
                <w:kern w:val="0"/>
                <w:sz w:val="18"/>
                <w:szCs w:val="18"/>
              </w:rPr>
            </w:pPr>
            <w:r>
              <w:rPr>
                <w:rFonts w:hint="eastAsia" w:ascii="微软雅黑" w:eastAsia="微软雅黑" w:cs="微软雅黑"/>
                <w:bCs/>
                <w:kern w:val="0"/>
                <w:sz w:val="18"/>
                <w:szCs w:val="18"/>
              </w:rPr>
              <w:t>2、产品补丁包清单</w:t>
            </w:r>
          </w:p>
        </w:tc>
      </w:tr>
      <w:tr w14:paraId="12A5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78FF9C4E">
            <w:pPr>
              <w:jc w:val="center"/>
              <w:rPr>
                <w:rFonts w:ascii="微软雅黑" w:eastAsia="微软雅黑" w:cs="微软雅黑"/>
                <w:kern w:val="0"/>
                <w:sz w:val="18"/>
                <w:szCs w:val="18"/>
              </w:rPr>
            </w:pPr>
          </w:p>
        </w:tc>
        <w:tc>
          <w:tcPr>
            <w:tcW w:w="282" w:type="pct"/>
            <w:vMerge w:val="continue"/>
            <w:shd w:val="clear" w:color="000000" w:fill="FFFFFF"/>
            <w:vAlign w:val="center"/>
          </w:tcPr>
          <w:p w14:paraId="3BB5B9FF">
            <w:pPr>
              <w:jc w:val="center"/>
              <w:rPr>
                <w:rFonts w:ascii="微软雅黑" w:eastAsia="微软雅黑" w:cs="微软雅黑"/>
                <w:kern w:val="0"/>
                <w:sz w:val="18"/>
                <w:szCs w:val="18"/>
              </w:rPr>
            </w:pPr>
          </w:p>
        </w:tc>
        <w:tc>
          <w:tcPr>
            <w:tcW w:w="481" w:type="pct"/>
            <w:shd w:val="clear" w:color="auto" w:fill="auto"/>
            <w:vAlign w:val="center"/>
          </w:tcPr>
          <w:p w14:paraId="0C8E2CF4">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智能体检</w:t>
            </w:r>
          </w:p>
          <w:p w14:paraId="691A0A76">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工具</w:t>
            </w:r>
          </w:p>
        </w:tc>
        <w:tc>
          <w:tcPr>
            <w:tcW w:w="2542" w:type="pct"/>
            <w:shd w:val="clear" w:color="auto" w:fill="auto"/>
            <w:vAlign w:val="center"/>
          </w:tcPr>
          <w:p w14:paraId="3C4711D6">
            <w:pPr>
              <w:widowControl/>
              <w:rPr>
                <w:rFonts w:ascii="微软雅黑" w:eastAsia="微软雅黑" w:cs="微软雅黑"/>
                <w:bCs/>
                <w:kern w:val="0"/>
                <w:sz w:val="18"/>
                <w:szCs w:val="18"/>
              </w:rPr>
            </w:pPr>
            <w:r>
              <w:rPr>
                <w:rFonts w:hint="eastAsia" w:ascii="微软雅黑" w:eastAsia="微软雅黑" w:cs="微软雅黑"/>
                <w:bCs/>
                <w:kern w:val="0"/>
                <w:sz w:val="18"/>
                <w:szCs w:val="18"/>
              </w:rPr>
              <w:t xml:space="preserve">1、提供系统自检工作台，并给出健康度初步评估。服务内容包含：系统健康度体检得分，数据质量健康度体检得分，应用质量健康度体检得分； </w:t>
            </w:r>
          </w:p>
          <w:p w14:paraId="10EF9503">
            <w:pPr>
              <w:autoSpaceDE w:val="0"/>
              <w:autoSpaceDN w:val="0"/>
              <w:adjustRightInd w:val="0"/>
              <w:jc w:val="left"/>
              <w:rPr>
                <w:rFonts w:ascii="微软雅黑" w:eastAsia="微软雅黑" w:cs="微软雅黑" w:hAnsiTheme="minorHAnsi"/>
                <w:kern w:val="0"/>
                <w:sz w:val="18"/>
                <w:szCs w:val="18"/>
              </w:rPr>
            </w:pPr>
            <w:r>
              <w:rPr>
                <w:rFonts w:hint="eastAsia" w:ascii="微软雅黑" w:eastAsia="微软雅黑" w:cs="微软雅黑"/>
                <w:bCs/>
                <w:kern w:val="0"/>
                <w:sz w:val="18"/>
                <w:szCs w:val="18"/>
              </w:rPr>
              <w:t>2、提供数字化大屏界面展示系统、数据质量、应用质量的健康状况。</w:t>
            </w:r>
          </w:p>
        </w:tc>
        <w:tc>
          <w:tcPr>
            <w:tcW w:w="688" w:type="pct"/>
          </w:tcPr>
          <w:p w14:paraId="0F240CCD">
            <w:pPr>
              <w:widowControl/>
              <w:rPr>
                <w:rFonts w:ascii="微软雅黑" w:eastAsia="微软雅黑" w:cs="微软雅黑"/>
                <w:bCs/>
                <w:kern w:val="0"/>
                <w:sz w:val="18"/>
                <w:szCs w:val="18"/>
              </w:rPr>
            </w:pPr>
            <w:r>
              <w:rPr>
                <w:rFonts w:hint="eastAsia" w:ascii="微软雅黑" w:eastAsia="微软雅黑" w:cs="微软雅黑"/>
                <w:bCs/>
                <w:kern w:val="0"/>
                <w:sz w:val="18"/>
                <w:szCs w:val="18"/>
              </w:rPr>
              <w:t>1、输出系统、数据、应用的健康度评估</w:t>
            </w:r>
          </w:p>
          <w:p w14:paraId="152A3359">
            <w:pPr>
              <w:widowControl/>
              <w:rPr>
                <w:rFonts w:ascii="微软雅黑" w:eastAsia="微软雅黑" w:cs="微软雅黑"/>
                <w:bCs/>
                <w:kern w:val="0"/>
                <w:sz w:val="18"/>
                <w:szCs w:val="18"/>
              </w:rPr>
            </w:pPr>
            <w:r>
              <w:rPr>
                <w:rFonts w:hint="eastAsia" w:ascii="微软雅黑" w:eastAsia="微软雅黑" w:cs="微软雅黑"/>
                <w:bCs/>
                <w:kern w:val="0"/>
                <w:sz w:val="18"/>
                <w:szCs w:val="18"/>
              </w:rPr>
              <w:t>2、提供系统、数据、应用维度的健康度数据</w:t>
            </w:r>
          </w:p>
        </w:tc>
        <w:tc>
          <w:tcPr>
            <w:tcW w:w="687" w:type="pct"/>
          </w:tcPr>
          <w:p w14:paraId="2FE1D30D">
            <w:pPr>
              <w:widowControl/>
              <w:rPr>
                <w:rFonts w:ascii="微软雅黑" w:eastAsia="微软雅黑" w:cs="微软雅黑"/>
                <w:bCs/>
                <w:kern w:val="0"/>
                <w:sz w:val="18"/>
                <w:szCs w:val="18"/>
              </w:rPr>
            </w:pPr>
            <w:r>
              <w:rPr>
                <w:rFonts w:hint="eastAsia" w:ascii="微软雅黑" w:eastAsia="微软雅黑" w:cs="微软雅黑"/>
                <w:bCs/>
                <w:kern w:val="0"/>
                <w:sz w:val="18"/>
                <w:szCs w:val="18"/>
              </w:rPr>
              <w:t>三大维度的健康度评估结果和数字化大屏界面</w:t>
            </w:r>
          </w:p>
        </w:tc>
      </w:tr>
      <w:tr w14:paraId="6BDD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24B3B657">
            <w:pPr>
              <w:jc w:val="center"/>
              <w:rPr>
                <w:rFonts w:ascii="微软雅黑" w:eastAsia="微软雅黑" w:cs="微软雅黑"/>
                <w:kern w:val="0"/>
                <w:sz w:val="18"/>
                <w:szCs w:val="18"/>
              </w:rPr>
            </w:pPr>
          </w:p>
        </w:tc>
        <w:tc>
          <w:tcPr>
            <w:tcW w:w="282" w:type="pct"/>
            <w:vMerge w:val="continue"/>
            <w:shd w:val="clear" w:color="000000" w:fill="FFFFFF"/>
            <w:vAlign w:val="center"/>
          </w:tcPr>
          <w:p w14:paraId="2D8C0453">
            <w:pPr>
              <w:jc w:val="center"/>
              <w:rPr>
                <w:rFonts w:ascii="微软雅黑" w:eastAsia="微软雅黑" w:cs="微软雅黑"/>
                <w:kern w:val="0"/>
                <w:sz w:val="18"/>
                <w:szCs w:val="18"/>
              </w:rPr>
            </w:pPr>
          </w:p>
        </w:tc>
        <w:tc>
          <w:tcPr>
            <w:tcW w:w="481" w:type="pct"/>
            <w:shd w:val="clear" w:color="auto" w:fill="auto"/>
            <w:vAlign w:val="center"/>
          </w:tcPr>
          <w:p w14:paraId="40B717FD">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产品知识在线服务</w:t>
            </w:r>
          </w:p>
        </w:tc>
        <w:tc>
          <w:tcPr>
            <w:tcW w:w="2542" w:type="pct"/>
            <w:shd w:val="clear" w:color="auto" w:fill="auto"/>
            <w:vAlign w:val="center"/>
          </w:tcPr>
          <w:p w14:paraId="2A11F8AC">
            <w:pPr>
              <w:widowControl/>
              <w:rPr>
                <w:rFonts w:ascii="微软雅黑" w:eastAsia="微软雅黑" w:cs="微软雅黑"/>
                <w:kern w:val="0"/>
                <w:sz w:val="18"/>
                <w:szCs w:val="18"/>
              </w:rPr>
            </w:pPr>
            <w:r>
              <w:rPr>
                <w:rFonts w:hint="eastAsia" w:ascii="微软雅黑" w:eastAsia="微软雅黑" w:cs="微软雅黑"/>
                <w:kern w:val="0"/>
                <w:sz w:val="18"/>
                <w:szCs w:val="18"/>
              </w:rPr>
              <w:t>1、用户可通过在线帮助在明源产品知识中心的文档中心、常见问题里查询典型问题的解决方案、业务流程、产品应用等多方面知识；</w:t>
            </w:r>
          </w:p>
          <w:p w14:paraId="0D7778BD">
            <w:pPr>
              <w:widowControl/>
              <w:rPr>
                <w:rFonts w:ascii="微软雅黑" w:eastAsia="微软雅黑" w:cs="微软雅黑"/>
                <w:kern w:val="0"/>
                <w:sz w:val="18"/>
                <w:szCs w:val="18"/>
              </w:rPr>
            </w:pPr>
            <w:r>
              <w:rPr>
                <w:rFonts w:hint="eastAsia" w:ascii="微软雅黑" w:eastAsia="微软雅黑" w:cs="微软雅黑"/>
                <w:kern w:val="0"/>
                <w:sz w:val="18"/>
                <w:szCs w:val="18"/>
              </w:rPr>
              <w:t>2、用户可通过明源在线服务官方渠道获取产品智能机器人在线问答，服务小工具。</w:t>
            </w:r>
          </w:p>
        </w:tc>
        <w:tc>
          <w:tcPr>
            <w:tcW w:w="688" w:type="pct"/>
          </w:tcPr>
          <w:p w14:paraId="561158C0">
            <w:pPr>
              <w:widowControl/>
              <w:rPr>
                <w:rFonts w:ascii="微软雅黑" w:eastAsia="微软雅黑" w:cs="微软雅黑"/>
                <w:kern w:val="0"/>
                <w:sz w:val="18"/>
                <w:szCs w:val="18"/>
              </w:rPr>
            </w:pPr>
            <w:r>
              <w:rPr>
                <w:rFonts w:hint="eastAsia" w:ascii="微软雅黑" w:eastAsia="微软雅黑" w:cs="微软雅黑"/>
                <w:kern w:val="0"/>
                <w:sz w:val="18"/>
                <w:szCs w:val="18"/>
              </w:rPr>
              <w:t>7天*24小时在线自助服务</w:t>
            </w:r>
          </w:p>
        </w:tc>
        <w:tc>
          <w:tcPr>
            <w:tcW w:w="687" w:type="pct"/>
          </w:tcPr>
          <w:p w14:paraId="39B781CF">
            <w:pPr>
              <w:widowControl/>
              <w:rPr>
                <w:rFonts w:ascii="微软雅黑" w:eastAsia="微软雅黑" w:cs="微软雅黑"/>
                <w:kern w:val="0"/>
                <w:sz w:val="18"/>
                <w:szCs w:val="18"/>
              </w:rPr>
            </w:pPr>
            <w:r>
              <w:rPr>
                <w:rFonts w:hint="eastAsia" w:ascii="微软雅黑" w:eastAsia="微软雅黑" w:cs="微软雅黑"/>
                <w:kern w:val="0"/>
                <w:sz w:val="18"/>
                <w:szCs w:val="18"/>
              </w:rPr>
              <w:t>1、明源产品知识中心管理平台</w:t>
            </w:r>
          </w:p>
          <w:p w14:paraId="6ED20B16">
            <w:pPr>
              <w:widowControl/>
              <w:rPr>
                <w:rFonts w:ascii="微软雅黑" w:eastAsia="微软雅黑" w:cs="微软雅黑"/>
                <w:kern w:val="0"/>
                <w:sz w:val="18"/>
                <w:szCs w:val="18"/>
              </w:rPr>
            </w:pPr>
            <w:r>
              <w:rPr>
                <w:rFonts w:hint="eastAsia" w:ascii="微软雅黑" w:eastAsia="微软雅黑" w:cs="微软雅黑"/>
                <w:kern w:val="0"/>
                <w:sz w:val="18"/>
                <w:szCs w:val="18"/>
              </w:rPr>
              <w:t>2、产品智能机器人在线问答</w:t>
            </w:r>
          </w:p>
        </w:tc>
      </w:tr>
      <w:tr w14:paraId="6E73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tcPr>
          <w:p w14:paraId="357D4D82">
            <w:pPr>
              <w:jc w:val="center"/>
              <w:rPr>
                <w:rFonts w:ascii="微软雅黑" w:eastAsia="微软雅黑" w:cs="微软雅黑"/>
                <w:kern w:val="0"/>
                <w:sz w:val="18"/>
                <w:szCs w:val="18"/>
              </w:rPr>
            </w:pPr>
          </w:p>
        </w:tc>
        <w:tc>
          <w:tcPr>
            <w:tcW w:w="282" w:type="pct"/>
            <w:vMerge w:val="continue"/>
            <w:shd w:val="clear" w:color="000000" w:fill="FFFFFF"/>
            <w:vAlign w:val="center"/>
          </w:tcPr>
          <w:p w14:paraId="7D64FF03">
            <w:pPr>
              <w:jc w:val="center"/>
              <w:rPr>
                <w:rFonts w:ascii="微软雅黑" w:eastAsia="微软雅黑" w:cs="微软雅黑"/>
                <w:kern w:val="0"/>
                <w:sz w:val="18"/>
                <w:szCs w:val="18"/>
              </w:rPr>
            </w:pPr>
          </w:p>
        </w:tc>
        <w:tc>
          <w:tcPr>
            <w:tcW w:w="481" w:type="pct"/>
            <w:shd w:val="clear" w:color="000000" w:fill="FFFFFF"/>
            <w:vAlign w:val="center"/>
          </w:tcPr>
          <w:p w14:paraId="05134BA2">
            <w:pPr>
              <w:widowControl/>
              <w:jc w:val="left"/>
              <w:rPr>
                <w:rFonts w:ascii="微软雅黑" w:eastAsia="微软雅黑" w:cs="微软雅黑"/>
                <w:bCs/>
                <w:kern w:val="0"/>
                <w:sz w:val="18"/>
                <w:szCs w:val="18"/>
              </w:rPr>
            </w:pPr>
            <w:r>
              <w:rPr>
                <w:rFonts w:hint="eastAsia" w:ascii="微软雅黑" w:eastAsia="微软雅黑" w:cs="微软雅黑"/>
                <w:bCs/>
                <w:kern w:val="0"/>
                <w:sz w:val="18"/>
                <w:szCs w:val="18"/>
              </w:rPr>
              <w:t>基础应用报告</w:t>
            </w:r>
          </w:p>
        </w:tc>
        <w:tc>
          <w:tcPr>
            <w:tcW w:w="2542" w:type="pct"/>
            <w:shd w:val="clear" w:color="000000" w:fill="FFFFFF"/>
            <w:vAlign w:val="center"/>
          </w:tcPr>
          <w:p w14:paraId="64D50303">
            <w:pPr>
              <w:widowControl/>
              <w:rPr>
                <w:rFonts w:ascii="微软雅黑" w:eastAsia="微软雅黑" w:cs="微软雅黑"/>
                <w:b/>
                <w:kern w:val="0"/>
                <w:sz w:val="18"/>
                <w:szCs w:val="18"/>
              </w:rPr>
            </w:pPr>
            <w:r>
              <w:rPr>
                <w:rFonts w:hint="eastAsia" w:ascii="微软雅黑" w:eastAsia="微软雅黑" w:cs="微软雅黑"/>
                <w:kern w:val="0"/>
                <w:sz w:val="18"/>
                <w:szCs w:val="18"/>
              </w:rPr>
              <w:t>向客户IT推送基础应用报告，帮助IT获知系统应用情况，掌握用户使用轨迹，包括功能应用情况、用户使用情况、报表应用情况。</w:t>
            </w:r>
          </w:p>
        </w:tc>
        <w:tc>
          <w:tcPr>
            <w:tcW w:w="688" w:type="pct"/>
            <w:shd w:val="clear" w:color="000000" w:fill="FFFFFF"/>
          </w:tcPr>
          <w:p w14:paraId="173F5C19">
            <w:pPr>
              <w:widowControl/>
              <w:rPr>
                <w:rFonts w:ascii="微软雅黑" w:eastAsia="微软雅黑" w:cs="微软雅黑"/>
                <w:kern w:val="0"/>
                <w:sz w:val="18"/>
                <w:szCs w:val="18"/>
              </w:rPr>
            </w:pPr>
            <w:r>
              <w:rPr>
                <w:rFonts w:hint="eastAsia" w:ascii="微软雅黑" w:eastAsia="微软雅黑" w:cs="微软雅黑"/>
                <w:kern w:val="0"/>
                <w:sz w:val="18"/>
                <w:szCs w:val="18"/>
              </w:rPr>
              <w:t>按照季度的频度提供基础应用报告</w:t>
            </w:r>
          </w:p>
        </w:tc>
        <w:tc>
          <w:tcPr>
            <w:tcW w:w="687" w:type="pct"/>
            <w:shd w:val="clear" w:color="000000" w:fill="FFFFFF"/>
          </w:tcPr>
          <w:p w14:paraId="3FBB929B">
            <w:pPr>
              <w:widowControl/>
              <w:rPr>
                <w:rFonts w:ascii="微软雅黑" w:eastAsia="微软雅黑" w:cs="微软雅黑"/>
                <w:kern w:val="0"/>
                <w:sz w:val="18"/>
                <w:szCs w:val="18"/>
              </w:rPr>
            </w:pPr>
            <w:r>
              <w:rPr>
                <w:rFonts w:hint="eastAsia" w:ascii="微软雅黑" w:eastAsia="微软雅黑" w:cs="微软雅黑"/>
                <w:kern w:val="0"/>
                <w:sz w:val="18"/>
                <w:szCs w:val="18"/>
              </w:rPr>
              <w:t>基础应用报告</w:t>
            </w:r>
          </w:p>
        </w:tc>
      </w:tr>
      <w:tr w14:paraId="46EC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restart"/>
            <w:shd w:val="clear" w:color="000000" w:fill="FFFFFF"/>
            <w:vAlign w:val="center"/>
          </w:tcPr>
          <w:p w14:paraId="7E82FD78">
            <w:pPr>
              <w:jc w:val="center"/>
              <w:rPr>
                <w:rFonts w:ascii="微软雅黑" w:eastAsia="微软雅黑" w:cs="微软雅黑"/>
                <w:kern w:val="0"/>
                <w:sz w:val="18"/>
                <w:szCs w:val="18"/>
              </w:rPr>
            </w:pPr>
            <w:r>
              <w:rPr>
                <w:rFonts w:ascii="微软雅黑" w:eastAsia="微软雅黑" w:cs="微软雅黑"/>
                <w:kern w:val="0"/>
                <w:sz w:val="18"/>
                <w:szCs w:val="18"/>
              </w:rPr>
              <w:t>02、</w:t>
            </w:r>
            <w:r>
              <w:rPr>
                <w:rFonts w:hint="eastAsia" w:ascii="微软雅黑" w:eastAsia="微软雅黑" w:cs="微软雅黑"/>
                <w:kern w:val="0"/>
                <w:sz w:val="18"/>
                <w:szCs w:val="18"/>
              </w:rPr>
              <w:t>应用支持服务</w:t>
            </w:r>
          </w:p>
        </w:tc>
        <w:tc>
          <w:tcPr>
            <w:tcW w:w="282" w:type="pct"/>
            <w:shd w:val="clear" w:color="000000" w:fill="FFFFFF"/>
            <w:vAlign w:val="center"/>
          </w:tcPr>
          <w:p w14:paraId="7003F1BE">
            <w:pPr>
              <w:jc w:val="center"/>
              <w:rPr>
                <w:rFonts w:ascii="微软雅黑" w:eastAsia="微软雅黑" w:cs="微软雅黑"/>
                <w:kern w:val="0"/>
                <w:sz w:val="18"/>
                <w:szCs w:val="18"/>
              </w:rPr>
            </w:pPr>
            <w:r>
              <w:rPr>
                <w:rFonts w:hint="eastAsia" w:ascii="微软雅黑" w:eastAsia="微软雅黑" w:cs="微软雅黑"/>
                <w:kern w:val="0"/>
                <w:sz w:val="18"/>
                <w:szCs w:val="18"/>
              </w:rPr>
              <w:t>系统操作咨询服务</w:t>
            </w:r>
          </w:p>
        </w:tc>
        <w:tc>
          <w:tcPr>
            <w:tcW w:w="481" w:type="pct"/>
            <w:shd w:val="clear" w:color="000000" w:fill="FFFFFF"/>
            <w:vAlign w:val="center"/>
          </w:tcPr>
          <w:p w14:paraId="1B5EDCAA">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系统操作咨询</w:t>
            </w:r>
          </w:p>
        </w:tc>
        <w:tc>
          <w:tcPr>
            <w:tcW w:w="2542" w:type="pct"/>
            <w:shd w:val="clear" w:color="000000" w:fill="FFFFFF"/>
            <w:vAlign w:val="center"/>
          </w:tcPr>
          <w:p w14:paraId="772A2240">
            <w:pPr>
              <w:widowControl/>
              <w:rPr>
                <w:rFonts w:ascii="微软雅黑" w:eastAsia="微软雅黑" w:cs="微软雅黑"/>
                <w:kern w:val="0"/>
                <w:sz w:val="18"/>
                <w:szCs w:val="18"/>
              </w:rPr>
            </w:pPr>
            <w:r>
              <w:rPr>
                <w:rFonts w:hint="eastAsia" w:ascii="微软雅黑" w:eastAsia="微软雅黑" w:cs="微软雅黑"/>
                <w:kern w:val="0"/>
                <w:sz w:val="18"/>
                <w:szCs w:val="18"/>
              </w:rPr>
              <w:t>通过在线服务、热线服务等方式，响应和解决客户使用系统过程中的疑问，确保用户会正确使用软件。</w:t>
            </w:r>
          </w:p>
        </w:tc>
        <w:tc>
          <w:tcPr>
            <w:tcW w:w="688" w:type="pct"/>
            <w:shd w:val="clear" w:color="000000" w:fill="FFFFFF"/>
          </w:tcPr>
          <w:p w14:paraId="01F6A28C">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52C3DFDF">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14:paraId="7EFBE1AB">
            <w:pPr>
              <w:widowControl/>
              <w:rPr>
                <w:rFonts w:ascii="微软雅黑" w:eastAsia="微软雅黑" w:cs="微软雅黑"/>
                <w:kern w:val="0"/>
                <w:sz w:val="18"/>
                <w:szCs w:val="18"/>
              </w:rPr>
            </w:pPr>
            <w:r>
              <w:rPr>
                <w:rFonts w:hint="eastAsia" w:ascii="微软雅黑" w:eastAsia="微软雅黑" w:cs="微软雅黑"/>
                <w:kern w:val="0"/>
                <w:sz w:val="18"/>
                <w:szCs w:val="18"/>
              </w:rPr>
              <w:t>2、《服务报告》</w:t>
            </w:r>
          </w:p>
        </w:tc>
      </w:tr>
      <w:tr w14:paraId="49250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55F31058">
            <w:pPr>
              <w:jc w:val="center"/>
              <w:rPr>
                <w:rFonts w:ascii="微软雅黑" w:eastAsia="微软雅黑" w:cs="微软雅黑"/>
                <w:kern w:val="0"/>
                <w:sz w:val="18"/>
                <w:szCs w:val="18"/>
              </w:rPr>
            </w:pPr>
          </w:p>
        </w:tc>
        <w:tc>
          <w:tcPr>
            <w:tcW w:w="282" w:type="pct"/>
            <w:shd w:val="clear" w:color="000000" w:fill="FFFFFF"/>
            <w:vAlign w:val="center"/>
          </w:tcPr>
          <w:p w14:paraId="6047F935">
            <w:pPr>
              <w:jc w:val="center"/>
              <w:rPr>
                <w:rFonts w:ascii="微软雅黑" w:eastAsia="微软雅黑" w:cs="微软雅黑"/>
                <w:kern w:val="0"/>
                <w:sz w:val="18"/>
                <w:szCs w:val="18"/>
              </w:rPr>
            </w:pPr>
            <w:r>
              <w:rPr>
                <w:rFonts w:hint="eastAsia" w:ascii="微软雅黑" w:eastAsia="微软雅黑" w:cs="微软雅黑"/>
                <w:kern w:val="0"/>
                <w:sz w:val="18"/>
                <w:szCs w:val="18"/>
              </w:rPr>
              <w:t>用户培训服务</w:t>
            </w:r>
          </w:p>
        </w:tc>
        <w:tc>
          <w:tcPr>
            <w:tcW w:w="481" w:type="pct"/>
            <w:shd w:val="clear" w:color="000000" w:fill="FFFFFF"/>
            <w:vAlign w:val="center"/>
          </w:tcPr>
          <w:p w14:paraId="0173848D">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用户系统操作培训</w:t>
            </w:r>
          </w:p>
        </w:tc>
        <w:tc>
          <w:tcPr>
            <w:tcW w:w="2542" w:type="pct"/>
            <w:shd w:val="clear" w:color="000000" w:fill="FFFFFF"/>
            <w:vAlign w:val="center"/>
          </w:tcPr>
          <w:p w14:paraId="5F4395B5">
            <w:pPr>
              <w:widowControl/>
              <w:rPr>
                <w:rFonts w:ascii="微软雅黑" w:eastAsia="微软雅黑" w:cs="微软雅黑"/>
                <w:kern w:val="0"/>
                <w:sz w:val="18"/>
                <w:szCs w:val="18"/>
              </w:rPr>
            </w:pPr>
            <w:r>
              <w:rPr>
                <w:rFonts w:hint="eastAsia" w:ascii="微软雅黑" w:eastAsia="微软雅黑" w:cs="微软雅黑"/>
                <w:kern w:val="0"/>
                <w:sz w:val="18"/>
                <w:szCs w:val="18"/>
              </w:rPr>
              <w:t>为企业新员工或现有员工强化学习安排，提供软件操作及使用规范的培训，包含课件培训，培训考核，培训总结等工作（服务周期内可提供2次）</w:t>
            </w:r>
          </w:p>
        </w:tc>
        <w:tc>
          <w:tcPr>
            <w:tcW w:w="688" w:type="pct"/>
            <w:shd w:val="clear" w:color="000000" w:fill="FFFFFF"/>
          </w:tcPr>
          <w:p w14:paraId="19C8CD0A">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5天*7小时人工服务，需提前3个工作日预约</w:t>
            </w:r>
          </w:p>
        </w:tc>
        <w:tc>
          <w:tcPr>
            <w:tcW w:w="687" w:type="pct"/>
            <w:shd w:val="clear" w:color="000000" w:fill="FFFFFF"/>
          </w:tcPr>
          <w:p w14:paraId="48C3E4B5">
            <w:pPr>
              <w:widowControl/>
              <w:rPr>
                <w:rFonts w:ascii="微软雅黑" w:eastAsia="微软雅黑" w:cs="微软雅黑"/>
                <w:kern w:val="0"/>
                <w:sz w:val="18"/>
                <w:szCs w:val="18"/>
              </w:rPr>
            </w:pPr>
            <w:r>
              <w:rPr>
                <w:rFonts w:hint="eastAsia" w:ascii="微软雅黑" w:eastAsia="微软雅黑" w:cs="微软雅黑"/>
                <w:kern w:val="0"/>
                <w:sz w:val="18"/>
                <w:szCs w:val="18"/>
              </w:rPr>
              <w:t>1、《培训目标与规划》</w:t>
            </w:r>
          </w:p>
          <w:p w14:paraId="3572743F">
            <w:pPr>
              <w:widowControl/>
              <w:rPr>
                <w:rFonts w:ascii="微软雅黑" w:eastAsia="微软雅黑" w:cs="微软雅黑"/>
                <w:kern w:val="0"/>
                <w:sz w:val="18"/>
                <w:szCs w:val="18"/>
              </w:rPr>
            </w:pPr>
            <w:r>
              <w:rPr>
                <w:rFonts w:hint="eastAsia" w:ascii="微软雅黑" w:eastAsia="微软雅黑" w:cs="微软雅黑"/>
                <w:kern w:val="0"/>
                <w:sz w:val="18"/>
                <w:szCs w:val="18"/>
              </w:rPr>
              <w:t>2、《培训PPT》</w:t>
            </w:r>
          </w:p>
          <w:p w14:paraId="2A8D80C8">
            <w:pPr>
              <w:widowControl/>
              <w:rPr>
                <w:rFonts w:ascii="微软雅黑" w:eastAsia="微软雅黑" w:cs="微软雅黑"/>
                <w:kern w:val="0"/>
                <w:sz w:val="18"/>
                <w:szCs w:val="18"/>
              </w:rPr>
            </w:pPr>
            <w:r>
              <w:rPr>
                <w:rFonts w:hint="eastAsia" w:ascii="微软雅黑" w:eastAsia="微软雅黑" w:cs="微软雅黑"/>
                <w:kern w:val="0"/>
                <w:sz w:val="18"/>
                <w:szCs w:val="18"/>
              </w:rPr>
              <w:t>3、《操作手册&amp;FAQ》</w:t>
            </w:r>
          </w:p>
          <w:p w14:paraId="181069F3">
            <w:pPr>
              <w:widowControl/>
              <w:rPr>
                <w:rFonts w:ascii="微软雅黑" w:eastAsia="微软雅黑" w:cs="微软雅黑"/>
                <w:kern w:val="0"/>
                <w:sz w:val="18"/>
                <w:szCs w:val="18"/>
              </w:rPr>
            </w:pPr>
            <w:r>
              <w:rPr>
                <w:rFonts w:hint="eastAsia" w:ascii="微软雅黑" w:eastAsia="微软雅黑" w:cs="微软雅黑"/>
                <w:kern w:val="0"/>
                <w:sz w:val="18"/>
                <w:szCs w:val="18"/>
              </w:rPr>
              <w:t>4、《培训视频》</w:t>
            </w:r>
          </w:p>
        </w:tc>
      </w:tr>
      <w:tr w14:paraId="476F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01E0BD6B">
            <w:pPr>
              <w:jc w:val="center"/>
              <w:rPr>
                <w:rFonts w:ascii="微软雅黑" w:eastAsia="微软雅黑" w:cs="微软雅黑"/>
                <w:kern w:val="0"/>
                <w:sz w:val="18"/>
                <w:szCs w:val="18"/>
              </w:rPr>
            </w:pPr>
          </w:p>
        </w:tc>
        <w:tc>
          <w:tcPr>
            <w:tcW w:w="282" w:type="pct"/>
            <w:vMerge w:val="restart"/>
            <w:shd w:val="clear" w:color="000000" w:fill="FFFFFF"/>
            <w:vAlign w:val="center"/>
          </w:tcPr>
          <w:p w14:paraId="113080DC">
            <w:pPr>
              <w:jc w:val="center"/>
              <w:rPr>
                <w:rFonts w:ascii="微软雅黑" w:eastAsia="微软雅黑" w:cs="微软雅黑"/>
                <w:kern w:val="0"/>
                <w:sz w:val="18"/>
                <w:szCs w:val="18"/>
              </w:rPr>
            </w:pPr>
          </w:p>
          <w:p w14:paraId="5FBE12D2">
            <w:pPr>
              <w:jc w:val="center"/>
              <w:rPr>
                <w:rFonts w:ascii="微软雅黑" w:eastAsia="微软雅黑" w:cs="微软雅黑"/>
                <w:kern w:val="0"/>
                <w:sz w:val="18"/>
                <w:szCs w:val="18"/>
              </w:rPr>
            </w:pPr>
            <w:r>
              <w:rPr>
                <w:rFonts w:hint="eastAsia" w:ascii="微软雅黑" w:eastAsia="微软雅黑" w:cs="微软雅黑"/>
                <w:kern w:val="0"/>
                <w:sz w:val="18"/>
                <w:szCs w:val="18"/>
              </w:rPr>
              <w:t>数据价值输出服务</w:t>
            </w:r>
          </w:p>
        </w:tc>
        <w:tc>
          <w:tcPr>
            <w:tcW w:w="481" w:type="pct"/>
            <w:shd w:val="clear" w:color="000000" w:fill="FFFFFF"/>
            <w:vAlign w:val="center"/>
          </w:tcPr>
          <w:p w14:paraId="6CD31B8B">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报表新增</w:t>
            </w:r>
          </w:p>
        </w:tc>
        <w:tc>
          <w:tcPr>
            <w:tcW w:w="2542" w:type="pct"/>
            <w:shd w:val="clear" w:color="000000" w:fill="FFFFFF"/>
            <w:vAlign w:val="center"/>
          </w:tcPr>
          <w:p w14:paraId="1FF21C26">
            <w:pPr>
              <w:pStyle w:val="14"/>
              <w:widowControl/>
              <w:numPr>
                <w:ilvl w:val="0"/>
                <w:numId w:val="5"/>
              </w:numPr>
              <w:ind w:firstLineChars="0"/>
              <w:rPr>
                <w:rFonts w:ascii="微软雅黑" w:eastAsia="微软雅黑" w:cs="微软雅黑"/>
                <w:kern w:val="0"/>
                <w:sz w:val="18"/>
                <w:szCs w:val="18"/>
              </w:rPr>
            </w:pPr>
            <w:r>
              <w:rPr>
                <w:rFonts w:hint="eastAsia" w:ascii="微软雅黑" w:eastAsia="微软雅黑" w:cs="微软雅黑"/>
                <w:kern w:val="0"/>
                <w:sz w:val="18"/>
                <w:szCs w:val="18"/>
              </w:rPr>
              <w:t>报表新增：为满足客户业务及管理数据需要，提供报表制作服务；</w:t>
            </w:r>
          </w:p>
          <w:p w14:paraId="3353511B">
            <w:pPr>
              <w:widowControl/>
              <w:rPr>
                <w:rFonts w:ascii="微软雅黑" w:eastAsia="微软雅黑" w:cs="微软雅黑"/>
                <w:kern w:val="0"/>
                <w:sz w:val="18"/>
                <w:szCs w:val="18"/>
              </w:rPr>
            </w:pPr>
            <w:r>
              <w:rPr>
                <w:rFonts w:hint="eastAsia" w:ascii="微软雅黑" w:eastAsia="微软雅黑" w:cs="微软雅黑"/>
                <w:kern w:val="0"/>
                <w:sz w:val="18"/>
                <w:szCs w:val="18"/>
              </w:rPr>
              <w:t>（服务期限内可提供5张报表新增，调整3次算做一次新增）</w:t>
            </w:r>
          </w:p>
        </w:tc>
        <w:tc>
          <w:tcPr>
            <w:tcW w:w="688" w:type="pct"/>
            <w:shd w:val="clear" w:color="000000" w:fill="FFFFFF"/>
          </w:tcPr>
          <w:p w14:paraId="79F7A7DD">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304404F9">
            <w:pPr>
              <w:widowControl/>
              <w:rPr>
                <w:rFonts w:ascii="微软雅黑" w:eastAsia="微软雅黑" w:cs="微软雅黑"/>
                <w:kern w:val="0"/>
                <w:sz w:val="18"/>
                <w:szCs w:val="18"/>
              </w:rPr>
            </w:pPr>
            <w:r>
              <w:rPr>
                <w:rFonts w:hint="eastAsia" w:ascii="微软雅黑" w:eastAsia="微软雅黑" w:cs="微软雅黑"/>
                <w:kern w:val="0"/>
                <w:sz w:val="18"/>
                <w:szCs w:val="18"/>
              </w:rPr>
              <w:t>1、《报表需求确认单》</w:t>
            </w:r>
          </w:p>
          <w:p w14:paraId="50E40743">
            <w:pPr>
              <w:widowControl/>
              <w:rPr>
                <w:rFonts w:ascii="微软雅黑" w:eastAsia="微软雅黑" w:cs="微软雅黑"/>
                <w:kern w:val="0"/>
                <w:sz w:val="18"/>
                <w:szCs w:val="18"/>
              </w:rPr>
            </w:pPr>
            <w:r>
              <w:rPr>
                <w:rFonts w:hint="eastAsia" w:ascii="微软雅黑" w:eastAsia="微软雅黑" w:cs="微软雅黑"/>
                <w:kern w:val="0"/>
                <w:sz w:val="18"/>
                <w:szCs w:val="18"/>
              </w:rPr>
              <w:t>2、《报表验证报告》</w:t>
            </w:r>
          </w:p>
        </w:tc>
      </w:tr>
      <w:tr w14:paraId="5C0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00D9EDA6">
            <w:pPr>
              <w:jc w:val="center"/>
              <w:rPr>
                <w:rFonts w:ascii="微软雅黑" w:eastAsia="微软雅黑" w:cs="微软雅黑"/>
                <w:kern w:val="0"/>
                <w:sz w:val="18"/>
                <w:szCs w:val="18"/>
              </w:rPr>
            </w:pPr>
          </w:p>
        </w:tc>
        <w:tc>
          <w:tcPr>
            <w:tcW w:w="282" w:type="pct"/>
            <w:vMerge w:val="continue"/>
            <w:shd w:val="clear" w:color="000000" w:fill="FFFFFF"/>
            <w:vAlign w:val="center"/>
          </w:tcPr>
          <w:p w14:paraId="401CDEBD">
            <w:pPr>
              <w:jc w:val="center"/>
              <w:rPr>
                <w:rFonts w:ascii="微软雅黑" w:eastAsia="微软雅黑" w:cs="微软雅黑"/>
                <w:kern w:val="0"/>
                <w:sz w:val="18"/>
                <w:szCs w:val="18"/>
              </w:rPr>
            </w:pPr>
          </w:p>
        </w:tc>
        <w:tc>
          <w:tcPr>
            <w:tcW w:w="481" w:type="pct"/>
            <w:shd w:val="clear" w:color="000000" w:fill="FFFFFF"/>
            <w:vAlign w:val="center"/>
          </w:tcPr>
          <w:p w14:paraId="3035CE5F">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报表调整&amp;套打新增、调整</w:t>
            </w:r>
          </w:p>
        </w:tc>
        <w:tc>
          <w:tcPr>
            <w:tcW w:w="2542" w:type="pct"/>
            <w:shd w:val="clear" w:color="000000" w:fill="FFFFFF"/>
            <w:vAlign w:val="center"/>
          </w:tcPr>
          <w:p w14:paraId="4E69D8DD">
            <w:pPr>
              <w:widowControl/>
              <w:rPr>
                <w:rFonts w:ascii="微软雅黑" w:eastAsia="微软雅黑" w:cs="微软雅黑"/>
                <w:kern w:val="0"/>
                <w:sz w:val="18"/>
                <w:szCs w:val="18"/>
              </w:rPr>
            </w:pPr>
            <w:r>
              <w:rPr>
                <w:rFonts w:hint="eastAsia" w:ascii="微软雅黑" w:eastAsia="微软雅黑" w:cs="微软雅黑"/>
                <w:kern w:val="0"/>
                <w:sz w:val="18"/>
                <w:szCs w:val="18"/>
              </w:rPr>
              <w:t>1、因客户的业务规则、报表口径、报表样式等变化，对现有报表进行调整；</w:t>
            </w:r>
          </w:p>
          <w:p w14:paraId="0CB66F34">
            <w:pPr>
              <w:widowControl/>
              <w:rPr>
                <w:rFonts w:ascii="微软雅黑" w:eastAsia="微软雅黑" w:cs="微软雅黑"/>
                <w:kern w:val="0"/>
                <w:sz w:val="18"/>
                <w:szCs w:val="18"/>
              </w:rPr>
            </w:pPr>
            <w:r>
              <w:rPr>
                <w:rFonts w:hint="eastAsia" w:ascii="微软雅黑" w:eastAsia="微软雅黑" w:cs="微软雅黑"/>
                <w:kern w:val="0"/>
                <w:sz w:val="18"/>
                <w:szCs w:val="18"/>
              </w:rPr>
              <w:t>2、套打新增：客户因新项目开售或其它业务原因，需要新增套打及单据模板；</w:t>
            </w:r>
          </w:p>
          <w:p w14:paraId="70AE319F">
            <w:pPr>
              <w:widowControl/>
              <w:rPr>
                <w:rFonts w:ascii="微软雅黑" w:eastAsia="微软雅黑" w:cs="微软雅黑"/>
                <w:kern w:val="0"/>
                <w:sz w:val="18"/>
                <w:szCs w:val="18"/>
              </w:rPr>
            </w:pPr>
            <w:r>
              <w:rPr>
                <w:rFonts w:hint="eastAsia" w:ascii="微软雅黑" w:eastAsia="微软雅黑" w:cs="微软雅黑"/>
                <w:kern w:val="0"/>
                <w:sz w:val="18"/>
                <w:szCs w:val="18"/>
              </w:rPr>
              <w:t>3、套打调整：对于ERP软件中频繁使用的表单类打印功能，如认购书、票据等的打印，如果出现功能异常，明源将及时安排技术人员解决，如果单据套打样式发生变化，且不涉及取值口径变化，明源将协助调整单据套打样式。</w:t>
            </w:r>
          </w:p>
        </w:tc>
        <w:tc>
          <w:tcPr>
            <w:tcW w:w="688" w:type="pct"/>
            <w:shd w:val="clear" w:color="000000" w:fill="FFFFFF"/>
          </w:tcPr>
          <w:p w14:paraId="0B6898B1">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68BC8130">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14:paraId="0B3507D0">
            <w:pPr>
              <w:widowControl/>
              <w:rPr>
                <w:rFonts w:ascii="微软雅黑" w:eastAsia="微软雅黑" w:cs="微软雅黑"/>
                <w:kern w:val="0"/>
                <w:sz w:val="18"/>
                <w:szCs w:val="18"/>
              </w:rPr>
            </w:pPr>
            <w:r>
              <w:rPr>
                <w:rFonts w:hint="eastAsia" w:ascii="微软雅黑" w:eastAsia="微软雅黑" w:cs="微软雅黑"/>
                <w:kern w:val="0"/>
                <w:sz w:val="18"/>
                <w:szCs w:val="18"/>
              </w:rPr>
              <w:t>2、《报表调整确认单》</w:t>
            </w:r>
          </w:p>
        </w:tc>
      </w:tr>
      <w:tr w14:paraId="5921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3DBAA73D">
            <w:pPr>
              <w:jc w:val="center"/>
              <w:rPr>
                <w:rFonts w:ascii="微软雅黑" w:eastAsia="微软雅黑" w:cs="微软雅黑"/>
                <w:kern w:val="0"/>
                <w:sz w:val="18"/>
                <w:szCs w:val="18"/>
              </w:rPr>
            </w:pPr>
          </w:p>
        </w:tc>
        <w:tc>
          <w:tcPr>
            <w:tcW w:w="282" w:type="pct"/>
            <w:vMerge w:val="continue"/>
            <w:shd w:val="clear" w:color="000000" w:fill="FFFFFF"/>
            <w:vAlign w:val="center"/>
          </w:tcPr>
          <w:p w14:paraId="5725D42E">
            <w:pPr>
              <w:jc w:val="center"/>
              <w:rPr>
                <w:rFonts w:ascii="微软雅黑" w:eastAsia="微软雅黑" w:cs="微软雅黑"/>
                <w:kern w:val="0"/>
                <w:sz w:val="18"/>
                <w:szCs w:val="18"/>
              </w:rPr>
            </w:pPr>
          </w:p>
        </w:tc>
        <w:tc>
          <w:tcPr>
            <w:tcW w:w="481" w:type="pct"/>
            <w:shd w:val="clear" w:color="000000" w:fill="FFFFFF"/>
            <w:vAlign w:val="center"/>
          </w:tcPr>
          <w:p w14:paraId="14A47B37">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数据类服务</w:t>
            </w:r>
          </w:p>
        </w:tc>
        <w:tc>
          <w:tcPr>
            <w:tcW w:w="2542" w:type="pct"/>
            <w:shd w:val="clear" w:color="000000" w:fill="FFFFFF"/>
            <w:vAlign w:val="center"/>
          </w:tcPr>
          <w:p w14:paraId="2B7853B6">
            <w:pPr>
              <w:widowControl/>
              <w:rPr>
                <w:rFonts w:ascii="微软雅黑" w:eastAsia="微软雅黑" w:cs="微软雅黑"/>
                <w:kern w:val="0"/>
                <w:sz w:val="18"/>
                <w:szCs w:val="18"/>
              </w:rPr>
            </w:pPr>
            <w:r>
              <w:rPr>
                <w:rFonts w:hint="eastAsia" w:ascii="微软雅黑" w:eastAsia="微软雅黑" w:cs="微软雅黑"/>
                <w:kern w:val="0"/>
                <w:sz w:val="18"/>
                <w:szCs w:val="18"/>
              </w:rPr>
              <w:t>1、数据调整：由于客户业务变化、历史数据、用户误操作等原因，在获得客户方授权后，明源通过后台数据库进行零星调整或修复；</w:t>
            </w:r>
          </w:p>
          <w:p w14:paraId="4E69B433">
            <w:pPr>
              <w:widowControl/>
              <w:rPr>
                <w:rFonts w:ascii="微软雅黑" w:eastAsia="微软雅黑" w:cs="微软雅黑"/>
                <w:kern w:val="0"/>
                <w:sz w:val="18"/>
                <w:szCs w:val="18"/>
              </w:rPr>
            </w:pPr>
            <w:r>
              <w:rPr>
                <w:rFonts w:hint="eastAsia" w:ascii="微软雅黑" w:eastAsia="微软雅黑" w:cs="微软雅黑"/>
                <w:kern w:val="0"/>
                <w:sz w:val="18"/>
                <w:szCs w:val="18"/>
              </w:rPr>
              <w:t>2、数据提取：针对用户个性化需求从后台数据库导出数据，并整理成excel文档。适用于：客户临时的统计需求，系统无相应报表可统计。不支持回溯统计、动态条件查询、不包含超链接。</w:t>
            </w:r>
          </w:p>
        </w:tc>
        <w:tc>
          <w:tcPr>
            <w:tcW w:w="688" w:type="pct"/>
            <w:shd w:val="clear" w:color="000000" w:fill="FFFFFF"/>
          </w:tcPr>
          <w:p w14:paraId="78A68450">
            <w:pPr>
              <w:widowControl/>
              <w:rPr>
                <w:rFonts w:ascii="微软雅黑" w:eastAsia="微软雅黑" w:cs="微软雅黑"/>
                <w:kern w:val="0"/>
                <w:sz w:val="18"/>
                <w:szCs w:val="18"/>
              </w:rPr>
            </w:pPr>
            <w:r>
              <w:rPr>
                <w:rFonts w:hint="eastAsia" w:ascii="微软雅黑" w:eastAsia="微软雅黑" w:cs="微软雅黑"/>
                <w:kern w:val="0"/>
                <w:sz w:val="18"/>
                <w:szCs w:val="18"/>
              </w:rPr>
              <w:t>5天*7小时人工服务</w:t>
            </w:r>
          </w:p>
        </w:tc>
        <w:tc>
          <w:tcPr>
            <w:tcW w:w="687" w:type="pct"/>
            <w:shd w:val="clear" w:color="000000" w:fill="FFFFFF"/>
          </w:tcPr>
          <w:p w14:paraId="2755DA8B">
            <w:pPr>
              <w:widowControl/>
              <w:rPr>
                <w:rFonts w:ascii="微软雅黑" w:eastAsia="微软雅黑" w:cs="微软雅黑"/>
                <w:kern w:val="0"/>
                <w:sz w:val="18"/>
                <w:szCs w:val="18"/>
              </w:rPr>
            </w:pPr>
            <w:r>
              <w:rPr>
                <w:rFonts w:hint="eastAsia" w:ascii="微软雅黑" w:eastAsia="微软雅黑" w:cs="微软雅黑"/>
                <w:kern w:val="0"/>
                <w:sz w:val="18"/>
                <w:szCs w:val="18"/>
              </w:rPr>
              <w:t>1、服务工单记录</w:t>
            </w:r>
          </w:p>
          <w:p w14:paraId="60F390F7">
            <w:pPr>
              <w:widowControl/>
              <w:rPr>
                <w:rFonts w:ascii="微软雅黑" w:eastAsia="微软雅黑" w:cs="微软雅黑"/>
                <w:kern w:val="0"/>
                <w:sz w:val="18"/>
                <w:szCs w:val="18"/>
              </w:rPr>
            </w:pPr>
            <w:r>
              <w:rPr>
                <w:rFonts w:ascii="微软雅黑" w:eastAsia="微软雅黑" w:cs="微软雅黑"/>
                <w:kern w:val="0"/>
                <w:sz w:val="18"/>
                <w:szCs w:val="18"/>
              </w:rPr>
              <w:t>2、</w:t>
            </w:r>
            <w:r>
              <w:rPr>
                <w:rFonts w:hint="eastAsia" w:ascii="微软雅黑" w:eastAsia="微软雅黑" w:cs="微软雅黑"/>
                <w:kern w:val="0"/>
                <w:sz w:val="18"/>
                <w:szCs w:val="18"/>
              </w:rPr>
              <w:t>数据调整确认单</w:t>
            </w:r>
          </w:p>
        </w:tc>
      </w:tr>
      <w:tr w14:paraId="11D8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2C172A22">
            <w:pPr>
              <w:jc w:val="center"/>
              <w:rPr>
                <w:rFonts w:ascii="微软雅黑" w:eastAsia="微软雅黑" w:cs="微软雅黑"/>
                <w:kern w:val="0"/>
                <w:sz w:val="18"/>
                <w:szCs w:val="18"/>
              </w:rPr>
            </w:pPr>
          </w:p>
        </w:tc>
        <w:tc>
          <w:tcPr>
            <w:tcW w:w="282" w:type="pct"/>
            <w:vMerge w:val="restart"/>
            <w:shd w:val="clear" w:color="000000" w:fill="FFFFFF"/>
            <w:vAlign w:val="center"/>
          </w:tcPr>
          <w:p w14:paraId="7829F855">
            <w:pPr>
              <w:jc w:val="center"/>
              <w:rPr>
                <w:rFonts w:ascii="微软雅黑" w:eastAsia="微软雅黑" w:cs="微软雅黑"/>
                <w:kern w:val="0"/>
                <w:sz w:val="18"/>
                <w:szCs w:val="18"/>
              </w:rPr>
            </w:pPr>
            <w:r>
              <w:rPr>
                <w:rFonts w:hint="eastAsia" w:ascii="微软雅黑" w:eastAsia="微软雅黑" w:cs="微软雅黑"/>
                <w:kern w:val="0"/>
                <w:sz w:val="18"/>
                <w:szCs w:val="18"/>
              </w:rPr>
              <w:t>主动巡检与诊断服务</w:t>
            </w:r>
          </w:p>
        </w:tc>
        <w:tc>
          <w:tcPr>
            <w:tcW w:w="481" w:type="pct"/>
            <w:vMerge w:val="restart"/>
            <w:shd w:val="clear" w:color="000000" w:fill="FFFFFF"/>
            <w:vAlign w:val="center"/>
          </w:tcPr>
          <w:p w14:paraId="28AE974E">
            <w:pPr>
              <w:widowControl/>
              <w:jc w:val="center"/>
              <w:rPr>
                <w:rFonts w:ascii="微软雅黑" w:eastAsia="微软雅黑" w:cs="微软雅黑"/>
                <w:bCs/>
                <w:kern w:val="0"/>
                <w:sz w:val="18"/>
                <w:szCs w:val="18"/>
              </w:rPr>
            </w:pPr>
            <w:r>
              <w:rPr>
                <w:rFonts w:hint="eastAsia" w:ascii="微软雅黑" w:eastAsia="微软雅黑" w:cs="微软雅黑"/>
                <w:bCs/>
                <w:kern w:val="0"/>
                <w:sz w:val="18"/>
                <w:szCs w:val="18"/>
              </w:rPr>
              <w:t>系统应用诊断报告</w:t>
            </w:r>
          </w:p>
        </w:tc>
        <w:tc>
          <w:tcPr>
            <w:tcW w:w="2542" w:type="pct"/>
            <w:shd w:val="clear" w:color="000000" w:fill="FFFFFF"/>
            <w:vAlign w:val="center"/>
          </w:tcPr>
          <w:p w14:paraId="669B9031">
            <w:pPr>
              <w:widowControl/>
              <w:rPr>
                <w:rFonts w:ascii="微软雅黑" w:eastAsia="微软雅黑" w:cs="微软雅黑"/>
                <w:kern w:val="0"/>
                <w:sz w:val="18"/>
                <w:szCs w:val="18"/>
              </w:rPr>
            </w:pPr>
            <w:r>
              <w:rPr>
                <w:rFonts w:hint="eastAsia" w:ascii="微软雅黑" w:eastAsia="微软雅黑" w:cs="微软雅黑"/>
                <w:kern w:val="0"/>
                <w:sz w:val="18"/>
                <w:szCs w:val="18"/>
              </w:rPr>
              <w:t>数据质量巡检：为确保数据输出的质量，保障高层查阅报表的及时准确，结合客户业务情况对系统数据进行质量巡检，可以分析系统的数据质量情况，确保系统数据完整、及时、准确，更好的指导业务决策。</w:t>
            </w:r>
          </w:p>
        </w:tc>
        <w:tc>
          <w:tcPr>
            <w:tcW w:w="688" w:type="pct"/>
            <w:shd w:val="clear" w:color="000000" w:fill="FFFFFF"/>
          </w:tcPr>
          <w:p w14:paraId="6BE37747">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14:paraId="14D05FB6">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14:paraId="01F0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320" w:type="pct"/>
            <w:vMerge w:val="continue"/>
            <w:shd w:val="clear" w:color="000000" w:fill="FFFFFF"/>
            <w:vAlign w:val="center"/>
          </w:tcPr>
          <w:p w14:paraId="7C0F8AEF">
            <w:pPr>
              <w:jc w:val="center"/>
              <w:rPr>
                <w:rFonts w:ascii="微软雅黑" w:eastAsia="微软雅黑" w:cs="微软雅黑"/>
                <w:kern w:val="0"/>
                <w:sz w:val="18"/>
                <w:szCs w:val="18"/>
              </w:rPr>
            </w:pPr>
          </w:p>
        </w:tc>
        <w:tc>
          <w:tcPr>
            <w:tcW w:w="282" w:type="pct"/>
            <w:vMerge w:val="continue"/>
            <w:shd w:val="clear" w:color="000000" w:fill="FFFFFF"/>
            <w:vAlign w:val="center"/>
          </w:tcPr>
          <w:p w14:paraId="6BFE6D01">
            <w:pPr>
              <w:jc w:val="center"/>
              <w:rPr>
                <w:rFonts w:ascii="微软雅黑" w:eastAsia="微软雅黑" w:cs="微软雅黑"/>
                <w:kern w:val="0"/>
                <w:sz w:val="18"/>
                <w:szCs w:val="18"/>
              </w:rPr>
            </w:pPr>
          </w:p>
        </w:tc>
        <w:tc>
          <w:tcPr>
            <w:tcW w:w="481" w:type="pct"/>
            <w:vMerge w:val="continue"/>
            <w:shd w:val="clear" w:color="000000" w:fill="FFFFFF"/>
            <w:vAlign w:val="center"/>
          </w:tcPr>
          <w:p w14:paraId="40266F39">
            <w:pPr>
              <w:widowControl/>
              <w:jc w:val="center"/>
              <w:rPr>
                <w:rFonts w:ascii="微软雅黑" w:eastAsia="微软雅黑" w:cs="微软雅黑"/>
                <w:bCs/>
                <w:kern w:val="0"/>
                <w:sz w:val="18"/>
                <w:szCs w:val="18"/>
              </w:rPr>
            </w:pPr>
          </w:p>
        </w:tc>
        <w:tc>
          <w:tcPr>
            <w:tcW w:w="2542" w:type="pct"/>
            <w:shd w:val="clear" w:color="000000" w:fill="FFFFFF"/>
            <w:vAlign w:val="center"/>
          </w:tcPr>
          <w:p w14:paraId="1C2665FF">
            <w:pPr>
              <w:widowControl/>
              <w:rPr>
                <w:rFonts w:ascii="微软雅黑" w:eastAsia="微软雅黑" w:cs="微软雅黑"/>
                <w:kern w:val="0"/>
                <w:sz w:val="18"/>
                <w:szCs w:val="18"/>
              </w:rPr>
            </w:pPr>
            <w:r>
              <w:rPr>
                <w:rFonts w:hint="eastAsia" w:ascii="微软雅黑" w:eastAsia="微软雅黑" w:cs="微软雅黑"/>
                <w:kern w:val="0"/>
                <w:sz w:val="18"/>
                <w:szCs w:val="18"/>
              </w:rPr>
              <w:t>系统应用巡检：结合客户管理要求，对关键场景在线化情况进行分析，及时发现应用问题，帮助客户实现数字化管理；</w:t>
            </w:r>
          </w:p>
        </w:tc>
        <w:tc>
          <w:tcPr>
            <w:tcW w:w="688" w:type="pct"/>
            <w:shd w:val="clear" w:color="000000" w:fill="FFFFFF"/>
          </w:tcPr>
          <w:p w14:paraId="750B3B86">
            <w:pPr>
              <w:widowControl/>
              <w:rPr>
                <w:rFonts w:ascii="微软雅黑" w:eastAsia="微软雅黑" w:cs="微软雅黑"/>
                <w:kern w:val="0"/>
                <w:sz w:val="18"/>
                <w:szCs w:val="18"/>
              </w:rPr>
            </w:pPr>
            <w:r>
              <w:rPr>
                <w:rFonts w:hint="eastAsia" w:ascii="微软雅黑" w:eastAsia="微软雅黑" w:cs="微软雅黑"/>
                <w:kern w:val="0"/>
                <w:sz w:val="18"/>
                <w:szCs w:val="18"/>
              </w:rPr>
              <w:t>按季度频率提供</w:t>
            </w:r>
          </w:p>
        </w:tc>
        <w:tc>
          <w:tcPr>
            <w:tcW w:w="687" w:type="pct"/>
            <w:shd w:val="clear" w:color="000000" w:fill="FFFFFF"/>
          </w:tcPr>
          <w:p w14:paraId="22E01B60">
            <w:pPr>
              <w:widowControl/>
              <w:rPr>
                <w:rFonts w:ascii="微软雅黑" w:eastAsia="微软雅黑" w:cs="微软雅黑"/>
                <w:kern w:val="0"/>
                <w:sz w:val="18"/>
                <w:szCs w:val="18"/>
              </w:rPr>
            </w:pPr>
            <w:r>
              <w:rPr>
                <w:rFonts w:hint="eastAsia" w:ascii="微软雅黑" w:eastAsia="微软雅黑" w:cs="微软雅黑"/>
                <w:kern w:val="0"/>
                <w:sz w:val="18"/>
                <w:szCs w:val="18"/>
              </w:rPr>
              <w:t>服务报告</w:t>
            </w:r>
          </w:p>
        </w:tc>
      </w:tr>
      <w:tr w14:paraId="7C64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000" w:type="pct"/>
            <w:gridSpan w:val="6"/>
            <w:shd w:val="clear" w:color="000000" w:fill="FFFFFF"/>
            <w:vAlign w:val="center"/>
          </w:tcPr>
          <w:p w14:paraId="59CE5CCF">
            <w:pPr>
              <w:widowControl/>
              <w:rPr>
                <w:rFonts w:ascii="微软雅黑" w:eastAsia="微软雅黑" w:cs="微软雅黑"/>
                <w:kern w:val="0"/>
                <w:sz w:val="18"/>
                <w:szCs w:val="18"/>
              </w:rPr>
            </w:pPr>
            <w:r>
              <w:rPr>
                <w:rFonts w:hint="eastAsia" w:ascii="微软雅黑" w:eastAsia="微软雅黑" w:cs="微软雅黑"/>
                <w:kern w:val="0"/>
                <w:sz w:val="18"/>
                <w:szCs w:val="18"/>
              </w:rPr>
              <w:t>合同约定金额：￥1</w:t>
            </w:r>
            <w:r>
              <w:rPr>
                <w:rFonts w:hint="eastAsia" w:ascii="微软雅黑" w:eastAsia="微软雅黑" w:cs="微软雅黑"/>
                <w:kern w:val="0"/>
                <w:sz w:val="18"/>
                <w:szCs w:val="18"/>
                <w:lang w:val="en-US" w:eastAsia="zh-CN"/>
              </w:rPr>
              <w:t>2</w:t>
            </w:r>
            <w:bookmarkStart w:id="10" w:name="_GoBack"/>
            <w:bookmarkEnd w:id="10"/>
            <w:r>
              <w:rPr>
                <w:rFonts w:hint="eastAsia" w:ascii="微软雅黑" w:eastAsia="微软雅黑" w:cs="微软雅黑"/>
                <w:kern w:val="0"/>
                <w:sz w:val="18"/>
                <w:szCs w:val="18"/>
              </w:rPr>
              <w:t>000</w:t>
            </w:r>
          </w:p>
        </w:tc>
      </w:tr>
    </w:tbl>
    <w:p w14:paraId="466B2779">
      <w:pPr>
        <w:widowControl/>
        <w:numPr>
          <w:ilvl w:val="0"/>
          <w:numId w:val="1"/>
        </w:numPr>
        <w:tabs>
          <w:tab w:val="left" w:pos="993"/>
        </w:tabs>
        <w:autoSpaceDE w:val="0"/>
        <w:autoSpaceDN w:val="0"/>
        <w:spacing w:before="156" w:beforeLines="50" w:line="360" w:lineRule="exact"/>
        <w:ind w:left="992" w:hanging="992"/>
        <w:textAlignment w:val="bottom"/>
        <w:outlineLvl w:val="0"/>
        <w:rPr>
          <w:rFonts w:ascii="微软雅黑" w:hAnsi="微软雅黑" w:eastAsia="微软雅黑"/>
          <w:b/>
          <w:szCs w:val="21"/>
        </w:rPr>
      </w:pPr>
      <w:bookmarkStart w:id="2" w:name="_Toc241620185"/>
      <w:bookmarkStart w:id="3" w:name="_Toc241620184"/>
      <w:r>
        <w:rPr>
          <w:rFonts w:hint="eastAsia" w:ascii="微软雅黑" w:hAnsi="微软雅黑" w:eastAsia="微软雅黑"/>
          <w:b/>
          <w:szCs w:val="21"/>
        </w:rPr>
        <w:t>付款方式</w:t>
      </w:r>
      <w:bookmarkEnd w:id="2"/>
    </w:p>
    <w:p w14:paraId="39DC0E9A">
      <w:pPr>
        <w:numPr>
          <w:ilvl w:val="1"/>
          <w:numId w:val="6"/>
        </w:numPr>
        <w:autoSpaceDE w:val="0"/>
        <w:autoSpaceDN w:val="0"/>
        <w:adjustRightInd w:val="0"/>
        <w:spacing w:after="156" w:afterLines="50" w:line="360" w:lineRule="exact"/>
        <w:rPr>
          <w:rFonts w:ascii="微软雅黑" w:hAnsi="微软雅黑" w:eastAsia="微软雅黑"/>
          <w:b/>
          <w:szCs w:val="21"/>
        </w:rPr>
      </w:pPr>
      <w:r>
        <w:rPr>
          <w:rFonts w:hint="eastAsia" w:ascii="微软雅黑" w:hAnsi="微软雅黑" w:eastAsia="微软雅黑"/>
          <w:szCs w:val="21"/>
        </w:rPr>
        <w:t>年度运维服务的付款方式约定如下：</w:t>
      </w:r>
    </w:p>
    <w:p w14:paraId="62147292">
      <w:pPr>
        <w:pStyle w:val="13"/>
        <w:numPr>
          <w:ilvl w:val="0"/>
          <w:numId w:val="7"/>
        </w:numPr>
        <w:autoSpaceDE w:val="0"/>
        <w:autoSpaceDN w:val="0"/>
        <w:adjustRightInd w:val="0"/>
        <w:spacing w:before="156" w:beforeLines="50" w:after="156" w:afterLines="50" w:line="360" w:lineRule="exact"/>
        <w:ind w:firstLineChars="0"/>
        <w:rPr>
          <w:rFonts w:hint="eastAsia" w:ascii="微软雅黑" w:hAnsi="微软雅黑" w:eastAsia="微软雅黑"/>
          <w:szCs w:val="21"/>
        </w:rPr>
      </w:pPr>
      <w:r>
        <w:rPr>
          <w:rFonts w:hint="eastAsia" w:ascii="微软雅黑" w:hAnsi="微软雅黑" w:eastAsia="微软雅黑"/>
          <w:szCs w:val="21"/>
        </w:rPr>
        <w:t>甲乙</w:t>
      </w:r>
      <w:r>
        <w:rPr>
          <w:rFonts w:ascii="微软雅黑" w:hAnsi="微软雅黑" w:eastAsia="微软雅黑"/>
          <w:szCs w:val="21"/>
        </w:rPr>
        <w:t>双方签署</w:t>
      </w:r>
      <w:r>
        <w:rPr>
          <w:rFonts w:hint="eastAsia" w:ascii="微软雅黑" w:hAnsi="微软雅黑" w:eastAsia="微软雅黑"/>
          <w:szCs w:val="21"/>
        </w:rPr>
        <w:t>《维护服务合同》</w:t>
      </w:r>
      <w:r>
        <w:rPr>
          <w:rFonts w:ascii="微软雅黑" w:hAnsi="微软雅黑" w:eastAsia="微软雅黑"/>
          <w:szCs w:val="21"/>
        </w:rPr>
        <w:t>之日起</w:t>
      </w:r>
      <w:r>
        <w:rPr>
          <w:rFonts w:hint="eastAsia" w:ascii="微软雅黑" w:hAnsi="微软雅黑" w:eastAsia="微软雅黑"/>
          <w:szCs w:val="21"/>
          <w:u w:val="single"/>
        </w:rPr>
        <w:t xml:space="preserve"> 五 </w:t>
      </w:r>
      <w:r>
        <w:rPr>
          <w:rFonts w:ascii="微软雅黑" w:hAnsi="微软雅黑" w:eastAsia="微软雅黑"/>
          <w:szCs w:val="21"/>
        </w:rPr>
        <w:t>个工作日内，</w:t>
      </w:r>
      <w:r>
        <w:rPr>
          <w:rFonts w:hint="eastAsia" w:ascii="微软雅黑" w:hAnsi="微软雅黑" w:eastAsia="微软雅黑"/>
          <w:szCs w:val="21"/>
        </w:rPr>
        <w:t>甲方需向</w:t>
      </w:r>
      <w:r>
        <w:rPr>
          <w:rFonts w:ascii="微软雅黑" w:hAnsi="微软雅黑" w:eastAsia="微软雅黑"/>
          <w:szCs w:val="21"/>
        </w:rPr>
        <w:t>乙方支付</w:t>
      </w:r>
      <w:r>
        <w:rPr>
          <w:rFonts w:hint="eastAsia" w:ascii="微软雅黑" w:hAnsi="微软雅黑" w:eastAsia="微软雅黑"/>
          <w:szCs w:val="21"/>
        </w:rPr>
        <w:t>本合同运维费用总额</w:t>
      </w:r>
      <w:r>
        <w:rPr>
          <w:rFonts w:hint="eastAsia" w:ascii="微软雅黑" w:hAnsi="微软雅黑" w:eastAsia="微软雅黑"/>
          <w:szCs w:val="21"/>
          <w:u w:val="single"/>
        </w:rPr>
        <w:t>100%</w:t>
      </w:r>
      <w:r>
        <w:rPr>
          <w:rFonts w:hint="eastAsia" w:ascii="微软雅黑" w:hAnsi="微软雅黑" w:eastAsia="微软雅黑"/>
          <w:szCs w:val="21"/>
        </w:rPr>
        <w:t>的款项</w:t>
      </w:r>
      <w:r>
        <w:rPr>
          <w:rFonts w:ascii="微软雅黑" w:hAnsi="微软雅黑" w:eastAsia="微软雅黑"/>
          <w:szCs w:val="21"/>
        </w:rPr>
        <w:t>，</w:t>
      </w:r>
      <w:r>
        <w:rPr>
          <w:rFonts w:hint="eastAsia" w:ascii="微软雅黑" w:hAnsi="微软雅黑" w:eastAsia="微软雅黑"/>
          <w:szCs w:val="21"/>
        </w:rPr>
        <w:t>即人民币1</w:t>
      </w:r>
      <w:r>
        <w:rPr>
          <w:rFonts w:hint="eastAsia" w:ascii="微软雅黑" w:hAnsi="微软雅黑" w:eastAsia="微软雅黑"/>
          <w:szCs w:val="21"/>
          <w:lang w:val="en-US" w:eastAsia="zh-CN"/>
        </w:rPr>
        <w:t>2</w:t>
      </w:r>
      <w:r>
        <w:rPr>
          <w:rFonts w:hint="eastAsia" w:ascii="微软雅黑" w:hAnsi="微软雅黑" w:eastAsia="微软雅黑"/>
          <w:szCs w:val="21"/>
        </w:rPr>
        <w:t>000</w:t>
      </w:r>
      <w:r>
        <w:rPr>
          <w:rFonts w:ascii="微软雅黑" w:hAnsi="微软雅黑" w:eastAsia="微软雅黑"/>
          <w:szCs w:val="21"/>
        </w:rPr>
        <w:t>元（大写</w:t>
      </w:r>
      <w:r>
        <w:rPr>
          <w:rFonts w:hint="eastAsia" w:ascii="微软雅黑" w:hAnsi="微软雅黑" w:eastAsia="微软雅黑"/>
          <w:szCs w:val="21"/>
        </w:rPr>
        <w:t>：</w:t>
      </w:r>
      <w:r>
        <w:rPr>
          <w:rFonts w:hint="eastAsia" w:ascii="微软雅黑" w:hAnsi="微软雅黑" w:eastAsia="微软雅黑"/>
          <w:szCs w:val="21"/>
          <w:u w:val="single"/>
        </w:rPr>
        <w:t>壹万</w:t>
      </w:r>
      <w:r>
        <w:rPr>
          <w:rFonts w:hint="eastAsia" w:ascii="微软雅黑" w:hAnsi="微软雅黑" w:eastAsia="微软雅黑"/>
          <w:szCs w:val="21"/>
          <w:u w:val="single"/>
          <w:lang w:val="en-US" w:eastAsia="zh-CN"/>
        </w:rPr>
        <w:t>贰</w:t>
      </w:r>
      <w:r>
        <w:rPr>
          <w:rFonts w:hint="eastAsia" w:ascii="微软雅黑" w:hAnsi="微软雅黑" w:eastAsia="微软雅黑"/>
          <w:szCs w:val="21"/>
          <w:u w:val="single"/>
        </w:rPr>
        <w:t>仟元</w:t>
      </w:r>
      <w:r>
        <w:rPr>
          <w:rFonts w:ascii="微软雅黑" w:hAnsi="微软雅黑" w:eastAsia="微软雅黑"/>
          <w:szCs w:val="21"/>
          <w:u w:val="single"/>
        </w:rPr>
        <w:t>整</w:t>
      </w:r>
      <w:r>
        <w:rPr>
          <w:rFonts w:ascii="微软雅黑" w:hAnsi="微软雅黑" w:eastAsia="微软雅黑"/>
          <w:szCs w:val="21"/>
        </w:rPr>
        <w:t>）</w:t>
      </w:r>
      <w:r>
        <w:rPr>
          <w:rFonts w:hint="eastAsia" w:ascii="微软雅黑" w:hAnsi="微软雅黑" w:eastAsia="微软雅黑"/>
          <w:szCs w:val="21"/>
        </w:rPr>
        <w:t>，其中不含税金额为：1</w:t>
      </w:r>
      <w:r>
        <w:rPr>
          <w:rFonts w:hint="eastAsia" w:ascii="微软雅黑" w:hAnsi="微软雅黑" w:eastAsia="微软雅黑"/>
          <w:szCs w:val="21"/>
          <w:lang w:val="en-US" w:eastAsia="zh-CN"/>
        </w:rPr>
        <w:t>1320.75</w:t>
      </w:r>
      <w:r>
        <w:rPr>
          <w:rFonts w:hint="eastAsia" w:ascii="微软雅黑" w:hAnsi="微软雅黑" w:eastAsia="微软雅黑"/>
          <w:szCs w:val="21"/>
        </w:rPr>
        <w:t>元，大写：壹万壹仟叁佰贰拾元柒角伍分，增值税率为6%，税额为：</w:t>
      </w:r>
      <w:r>
        <w:rPr>
          <w:rFonts w:hint="eastAsia" w:ascii="微软雅黑" w:hAnsi="微软雅黑" w:eastAsia="微软雅黑"/>
          <w:szCs w:val="21"/>
          <w:lang w:val="en-US" w:eastAsia="zh-CN"/>
        </w:rPr>
        <w:t>679.25</w:t>
      </w:r>
      <w:r>
        <w:rPr>
          <w:rFonts w:hint="eastAsia" w:ascii="微软雅黑" w:hAnsi="微软雅黑" w:eastAsia="微软雅黑"/>
          <w:szCs w:val="21"/>
        </w:rPr>
        <w:t>元，大写：陆佰柒拾玖元贰角伍分</w:t>
      </w:r>
      <w:r>
        <w:rPr>
          <w:rFonts w:hint="eastAsia" w:ascii="微软雅黑" w:hAnsi="微软雅黑" w:eastAsia="微软雅黑"/>
          <w:szCs w:val="21"/>
        </w:rPr>
        <w:t>；</w:t>
      </w:r>
    </w:p>
    <w:p w14:paraId="3ECC7B0B">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lang w:val="en-GB"/>
        </w:rPr>
        <w:t>以上款项请甲方以转账的方式支付，乙方不接受支票或现金等付款形式。支付以上款项的同时，</w:t>
      </w:r>
      <w:r>
        <w:rPr>
          <w:rFonts w:hint="eastAsia" w:ascii="微软雅黑" w:hAnsi="微软雅黑" w:eastAsia="微软雅黑"/>
          <w:bCs/>
          <w:shd w:val="clear" w:color="auto" w:fill="FFFFFF"/>
        </w:rPr>
        <w:t>乙方向甲方提供与付款金额等额的含增值税专用发票</w:t>
      </w:r>
      <w:r>
        <w:rPr>
          <w:rFonts w:hint="eastAsia" w:ascii="微软雅黑" w:hAnsi="微软雅黑" w:eastAsia="微软雅黑"/>
          <w:b/>
          <w:szCs w:val="21"/>
          <w:lang w:val="en-GB"/>
        </w:rPr>
        <w:t>（税点为6%，如遇国家税收政策调整，合同含税总价款维持不变，具体开票税点应为国家规定的最新税点），</w:t>
      </w:r>
      <w:r>
        <w:rPr>
          <w:rFonts w:hint="eastAsia" w:ascii="微软雅黑" w:hAnsi="微软雅黑" w:eastAsia="微软雅黑"/>
          <w:szCs w:val="21"/>
          <w:lang w:val="en-GB"/>
        </w:rPr>
        <w:t>如甲方已接收乙方发票，在发票开具的</w:t>
      </w:r>
      <w:r>
        <w:rPr>
          <w:rFonts w:ascii="微软雅黑" w:hAnsi="微软雅黑" w:eastAsia="微软雅黑"/>
          <w:szCs w:val="21"/>
          <w:lang w:val="en-GB"/>
        </w:rPr>
        <w:t>90</w:t>
      </w:r>
      <w:r>
        <w:rPr>
          <w:rFonts w:hint="eastAsia" w:ascii="微软雅黑" w:hAnsi="微软雅黑" w:eastAsia="微软雅黑"/>
          <w:szCs w:val="21"/>
          <w:lang w:val="en-GB"/>
        </w:rPr>
        <w:t>天内不能付款或不能退回乙方发票，给乙方造成的税金损失由甲方承担。</w:t>
      </w:r>
    </w:p>
    <w:p w14:paraId="5CCAA9CF">
      <w:pPr>
        <w:numPr>
          <w:ilvl w:val="1"/>
          <w:numId w:val="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乙方接受汇款的基本账户信息如下：</w:t>
      </w:r>
    </w:p>
    <w:p w14:paraId="7FDBB742">
      <w:pPr>
        <w:widowControl/>
        <w:ind w:left="573" w:firstLine="420"/>
        <w:jc w:val="left"/>
        <w:rPr>
          <w:rFonts w:ascii="微软雅黑" w:hAnsi="微软雅黑" w:eastAsia="微软雅黑"/>
          <w:szCs w:val="21"/>
        </w:rPr>
      </w:pPr>
      <w:r>
        <w:rPr>
          <w:rFonts w:hint="eastAsia" w:ascii="微软雅黑" w:hAnsi="微软雅黑" w:eastAsia="微软雅黑"/>
          <w:szCs w:val="21"/>
        </w:rPr>
        <w:t>开户名称：</w:t>
      </w:r>
      <w:r>
        <w:rPr>
          <w:rFonts w:ascii="微软雅黑" w:hAnsi="微软雅黑" w:eastAsia="微软雅黑"/>
          <w:szCs w:val="21"/>
          <w:u w:val="single"/>
        </w:rPr>
        <w:t>郑州市威源软件科技有限公司</w:t>
      </w:r>
    </w:p>
    <w:p w14:paraId="7CE19D90">
      <w:pPr>
        <w:widowControl/>
        <w:ind w:left="573" w:firstLine="420"/>
        <w:jc w:val="left"/>
        <w:rPr>
          <w:rFonts w:ascii="微软雅黑" w:hAnsi="微软雅黑" w:eastAsia="微软雅黑"/>
          <w:szCs w:val="21"/>
        </w:rPr>
      </w:pPr>
      <w:r>
        <w:rPr>
          <w:rFonts w:hint="eastAsia" w:ascii="微软雅黑" w:hAnsi="微软雅黑" w:eastAsia="微软雅黑"/>
          <w:szCs w:val="21"/>
        </w:rPr>
        <w:t>开户银行：</w:t>
      </w:r>
      <w:r>
        <w:rPr>
          <w:rFonts w:ascii="微软雅黑" w:hAnsi="微软雅黑" w:eastAsia="微软雅黑"/>
          <w:szCs w:val="21"/>
          <w:u w:val="single"/>
        </w:rPr>
        <w:t>招商银行郑州文化路支行</w:t>
      </w:r>
    </w:p>
    <w:p w14:paraId="654CCECE">
      <w:pPr>
        <w:widowControl/>
        <w:ind w:left="573" w:firstLine="420"/>
        <w:jc w:val="left"/>
        <w:rPr>
          <w:rFonts w:ascii="微软雅黑" w:hAnsi="微软雅黑" w:eastAsia="微软雅黑"/>
          <w:szCs w:val="21"/>
        </w:rPr>
      </w:pPr>
      <w:r>
        <w:rPr>
          <w:rFonts w:hint="eastAsia" w:ascii="微软雅黑" w:hAnsi="微软雅黑" w:eastAsia="微软雅黑"/>
          <w:szCs w:val="21"/>
        </w:rPr>
        <w:t>账    号：</w:t>
      </w:r>
      <w:r>
        <w:rPr>
          <w:rFonts w:ascii="微软雅黑" w:hAnsi="微软雅黑" w:eastAsia="微软雅黑"/>
          <w:szCs w:val="21"/>
          <w:u w:val="single"/>
        </w:rPr>
        <w:t>371910458710001</w:t>
      </w:r>
    </w:p>
    <w:bookmarkEnd w:id="3"/>
    <w:p w14:paraId="6207129E">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4" w:name="_Toc241620186"/>
      <w:r>
        <w:rPr>
          <w:rFonts w:hint="eastAsia" w:ascii="微软雅黑" w:hAnsi="微软雅黑" w:eastAsia="微软雅黑"/>
          <w:b/>
          <w:szCs w:val="21"/>
        </w:rPr>
        <w:t>甲方责任</w:t>
      </w:r>
      <w:bookmarkEnd w:id="4"/>
    </w:p>
    <w:p w14:paraId="19118C86">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甲方应积极协助乙方进行维护服务工作，具体表现在：</w:t>
      </w:r>
    </w:p>
    <w:p w14:paraId="3BDE4F07">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按照乙方建议，组建内部服务管理团队和管理机制，协调服务工作的开展；内部服务团队至少应包含服务管理对接人和系统管理员两个角色。</w:t>
      </w:r>
    </w:p>
    <w:p w14:paraId="2595031F">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甲方系统管理员确保软件运行环境的安全，定期做好系统数据异地备份；</w:t>
      </w:r>
    </w:p>
    <w:p w14:paraId="1DED73C7">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甲方服务管理对接人负责软件运维服务的整体管理，例如收集和管理企业内部系统应用需求，确认和评价乙方提供的各类服务报告，协调企业内部资源配合乙方的服务工作的开展等；</w:t>
      </w:r>
    </w:p>
    <w:p w14:paraId="3EB3C6CD">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乙方由于运维需要，必须访问业务服务器/数据库时，经过申请，甲方应当授权乙方访问，并提供必要的支持；</w:t>
      </w:r>
    </w:p>
    <w:p w14:paraId="625EF774">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为保障甲方软件、服务器环境的稳定性、可用性，甲方系统管理员应在服务器环境/配置发生变化时，及时向乙方提供服务器的配置、变更信息，配合调整云运维平台配置；</w:t>
      </w:r>
    </w:p>
    <w:p w14:paraId="132856BE">
      <w:pPr>
        <w:pStyle w:val="14"/>
        <w:numPr>
          <w:ilvl w:val="2"/>
          <w:numId w:val="9"/>
        </w:numPr>
        <w:autoSpaceDE w:val="0"/>
        <w:autoSpaceDN w:val="0"/>
        <w:adjustRightInd w:val="0"/>
        <w:spacing w:before="156" w:beforeLines="50" w:after="156" w:afterLines="50" w:line="360" w:lineRule="exact"/>
        <w:ind w:firstLineChars="0"/>
        <w:rPr>
          <w:rFonts w:ascii="微软雅黑" w:hAnsi="微软雅黑" w:eastAsia="微软雅黑"/>
          <w:szCs w:val="21"/>
        </w:rPr>
      </w:pPr>
      <w:r>
        <w:rPr>
          <w:rFonts w:hint="eastAsia" w:ascii="微软雅黑" w:hAnsi="微软雅黑" w:eastAsia="微软雅黑"/>
          <w:szCs w:val="21"/>
        </w:rPr>
        <w:t>甲方在未得到乙方同意确认的情况下，不允许私自或通过第三方人员，采用直接访问或通过接口的方式，对数据库进行直接查询、修改、删除操作，否则引起的程序及数据问题，由甲方自行承担责任，乙方将为修复问题的投入收取费用。</w:t>
      </w:r>
    </w:p>
    <w:p w14:paraId="159CEEB4">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乙方的服务人员在甲方现场工作期间，甲方应免费为乙方提供工作场所，并保证其可利用适当的甲方资源和办公环境（包括但不限于计算机、网络、电话、传真、会议室、投影仪等工作所必需的办公室设备和材料）；</w:t>
      </w:r>
    </w:p>
    <w:p w14:paraId="31439779">
      <w:pPr>
        <w:numPr>
          <w:ilvl w:val="1"/>
          <w:numId w:val="8"/>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如需现场服务，乙方须承担乙方顾问的食宿费用。</w:t>
      </w:r>
    </w:p>
    <w:p w14:paraId="555738C6">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5" w:name="_Toc241620187"/>
      <w:r>
        <w:rPr>
          <w:rFonts w:hint="eastAsia" w:ascii="微软雅黑" w:hAnsi="微软雅黑" w:eastAsia="微软雅黑"/>
          <w:b/>
          <w:szCs w:val="21"/>
        </w:rPr>
        <w:t>乙方责任</w:t>
      </w:r>
      <w:bookmarkEnd w:id="5"/>
    </w:p>
    <w:p w14:paraId="247ED4F5">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除非双方另行书面约定，乙方按照本合同约定范围进行服务工作；</w:t>
      </w:r>
    </w:p>
    <w:p w14:paraId="6298B8A7">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乙方提供运维巡检类服务时，应确保云运维平台的安全使用，不对甲方生产环境产生稳定性方面的影响；</w:t>
      </w:r>
    </w:p>
    <w:p w14:paraId="1DD36B7C">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乙方在服务期限内，应按照约定提供服务报告，并根据甲方需要向甲方进行汇报讲解；</w:t>
      </w:r>
    </w:p>
    <w:p w14:paraId="06DF942A">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乙方在服务期限内应向甲方转移知识、成果和项目档案，包括各类服务报告、变更记录、问题处理清单等内容。</w:t>
      </w:r>
    </w:p>
    <w:p w14:paraId="3A528943">
      <w:pPr>
        <w:numPr>
          <w:ilvl w:val="1"/>
          <w:numId w:val="10"/>
        </w:numPr>
        <w:tabs>
          <w:tab w:val="left" w:pos="993"/>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服务提供时间：工作日</w:t>
      </w:r>
      <w:r>
        <w:rPr>
          <w:rFonts w:ascii="微软雅黑" w:hAnsi="微软雅黑" w:eastAsia="微软雅黑"/>
          <w:szCs w:val="21"/>
        </w:rPr>
        <w:t>周一到</w:t>
      </w:r>
      <w:r>
        <w:rPr>
          <w:rFonts w:hint="eastAsia" w:ascii="微软雅黑" w:hAnsi="微软雅黑" w:eastAsia="微软雅黑"/>
          <w:szCs w:val="21"/>
        </w:rPr>
        <w:t>周五</w:t>
      </w:r>
      <w:r>
        <w:rPr>
          <w:rFonts w:ascii="微软雅黑" w:hAnsi="微软雅黑" w:eastAsia="微软雅黑"/>
          <w:szCs w:val="21"/>
        </w:rPr>
        <w:t>(北京时间)：上午：0</w:t>
      </w:r>
      <w:r>
        <w:rPr>
          <w:rFonts w:hint="eastAsia" w:ascii="微软雅黑" w:hAnsi="微软雅黑" w:eastAsia="微软雅黑"/>
          <w:szCs w:val="21"/>
        </w:rPr>
        <w:t>9</w:t>
      </w:r>
      <w:r>
        <w:rPr>
          <w:rFonts w:ascii="微软雅黑" w:hAnsi="微软雅黑" w:eastAsia="微软雅黑"/>
          <w:szCs w:val="21"/>
        </w:rPr>
        <w:t>:</w:t>
      </w:r>
      <w:r>
        <w:rPr>
          <w:rFonts w:hint="eastAsia" w:ascii="微软雅黑" w:hAnsi="微软雅黑" w:eastAsia="微软雅黑"/>
          <w:szCs w:val="21"/>
        </w:rPr>
        <w:t>0</w:t>
      </w:r>
      <w:r>
        <w:rPr>
          <w:rFonts w:ascii="微软雅黑" w:hAnsi="微软雅黑" w:eastAsia="微软雅黑"/>
          <w:szCs w:val="21"/>
        </w:rPr>
        <w:t>0—12:00  下午：1</w:t>
      </w:r>
      <w:r>
        <w:rPr>
          <w:rFonts w:hint="eastAsia" w:ascii="微软雅黑" w:hAnsi="微软雅黑" w:eastAsia="微软雅黑"/>
          <w:szCs w:val="21"/>
        </w:rPr>
        <w:t>4</w:t>
      </w:r>
      <w:r>
        <w:rPr>
          <w:rFonts w:ascii="微软雅黑" w:hAnsi="微软雅黑" w:eastAsia="微软雅黑"/>
          <w:szCs w:val="21"/>
        </w:rPr>
        <w:t>:00—18:00</w:t>
      </w:r>
      <w:r>
        <w:rPr>
          <w:rFonts w:hint="eastAsia" w:ascii="微软雅黑" w:hAnsi="微软雅黑" w:eastAsia="微软雅黑"/>
          <w:szCs w:val="21"/>
        </w:rPr>
        <w:t>；即5*7的服务；特定节假日在甲方有业务需求且提前告知的情况下，可视为工作日；紧急故障提供7*24小时的响应处理，所有问题乙方必须在工作日4小时内响应。</w:t>
      </w:r>
    </w:p>
    <w:p w14:paraId="441EF9AF">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6" w:name="_Toc241620189"/>
      <w:r>
        <w:rPr>
          <w:rFonts w:hint="eastAsia" w:ascii="微软雅黑" w:hAnsi="微软雅黑" w:eastAsia="微软雅黑"/>
          <w:b/>
          <w:szCs w:val="21"/>
        </w:rPr>
        <w:t>违约责任</w:t>
      </w:r>
    </w:p>
    <w:p w14:paraId="763BC16F">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乙方</w:t>
      </w:r>
      <w:r>
        <w:rPr>
          <w:rFonts w:hint="eastAsia" w:ascii="微软雅黑" w:hAnsi="微软雅黑" w:eastAsia="微软雅黑"/>
          <w:szCs w:val="21"/>
        </w:rPr>
        <w:t>由于自身原因，</w:t>
      </w:r>
      <w:r>
        <w:rPr>
          <w:rFonts w:ascii="微软雅黑" w:hAnsi="微软雅黑" w:eastAsia="微软雅黑"/>
          <w:szCs w:val="21"/>
        </w:rPr>
        <w:t>不能按本合同规定的</w:t>
      </w:r>
      <w:r>
        <w:rPr>
          <w:rFonts w:hint="eastAsia" w:ascii="微软雅黑" w:hAnsi="微软雅黑" w:eastAsia="微软雅黑"/>
          <w:szCs w:val="21"/>
        </w:rPr>
        <w:t>服务标准提供服务的</w:t>
      </w:r>
      <w:r>
        <w:rPr>
          <w:rFonts w:ascii="微软雅黑" w:hAnsi="微软雅黑" w:eastAsia="微软雅黑"/>
          <w:szCs w:val="21"/>
        </w:rPr>
        <w:t>，</w:t>
      </w:r>
      <w:r>
        <w:rPr>
          <w:rFonts w:hint="eastAsia" w:ascii="微软雅黑" w:hAnsi="微软雅黑" w:eastAsia="微软雅黑"/>
          <w:szCs w:val="21"/>
        </w:rPr>
        <w:t>甲方可书面要求乙方限期改善，乙方应自收到甲方书面通知之日起10个工作日内改善，如超过改善期限，乙方服务仍未能达到合同规定的服务标准，</w:t>
      </w:r>
      <w:r>
        <w:rPr>
          <w:rFonts w:ascii="微软雅黑" w:hAnsi="微软雅黑" w:eastAsia="微软雅黑"/>
          <w:szCs w:val="21"/>
        </w:rPr>
        <w:t>甲方有权解除本合同</w:t>
      </w:r>
      <w:r>
        <w:rPr>
          <w:rFonts w:hint="eastAsia" w:ascii="微软雅黑" w:hAnsi="微软雅黑" w:eastAsia="微软雅黑"/>
          <w:szCs w:val="21"/>
        </w:rPr>
        <w:t>，并要求乙方返</w:t>
      </w:r>
      <w:r>
        <w:rPr>
          <w:rFonts w:hint="eastAsia" w:ascii="微软雅黑" w:hAnsi="微软雅黑" w:eastAsia="微软雅黑"/>
          <w:color w:val="000000" w:themeColor="text1"/>
          <w:szCs w:val="21"/>
        </w:rPr>
        <w:t>还未达标服务对应</w:t>
      </w:r>
      <w:r>
        <w:rPr>
          <w:rFonts w:hint="eastAsia" w:ascii="微软雅黑" w:hAnsi="微软雅黑" w:eastAsia="微软雅黑"/>
          <w:szCs w:val="21"/>
        </w:rPr>
        <w:t>的费用，同时按合同总价款2</w:t>
      </w:r>
      <w:r>
        <w:rPr>
          <w:rFonts w:ascii="微软雅黑" w:hAnsi="微软雅黑" w:eastAsia="微软雅黑"/>
          <w:szCs w:val="21"/>
        </w:rPr>
        <w:t>%</w:t>
      </w:r>
      <w:r>
        <w:rPr>
          <w:rFonts w:hint="eastAsia" w:ascii="微软雅黑" w:hAnsi="微软雅黑" w:eastAsia="微软雅黑"/>
          <w:szCs w:val="21"/>
        </w:rPr>
        <w:t>承担违约金</w:t>
      </w:r>
      <w:r>
        <w:rPr>
          <w:rFonts w:ascii="微软雅黑" w:hAnsi="微软雅黑" w:eastAsia="微软雅黑"/>
          <w:szCs w:val="21"/>
        </w:rPr>
        <w:t>。</w:t>
      </w:r>
    </w:p>
    <w:p w14:paraId="4A413926">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ascii="微软雅黑" w:hAnsi="微软雅黑" w:eastAsia="微软雅黑"/>
          <w:szCs w:val="21"/>
        </w:rPr>
        <w:t>甲方不</w:t>
      </w:r>
      <w:r>
        <w:rPr>
          <w:rFonts w:hint="eastAsia" w:ascii="微软雅黑" w:hAnsi="微软雅黑" w:eastAsia="微软雅黑"/>
          <w:szCs w:val="21"/>
        </w:rPr>
        <w:t>按</w:t>
      </w:r>
      <w:r>
        <w:rPr>
          <w:rFonts w:ascii="微软雅黑" w:hAnsi="微软雅黑" w:eastAsia="微软雅黑"/>
          <w:szCs w:val="21"/>
        </w:rPr>
        <w:t>本合同</w:t>
      </w:r>
      <w:r>
        <w:rPr>
          <w:rFonts w:hint="eastAsia" w:ascii="微软雅黑" w:hAnsi="微软雅黑" w:eastAsia="微软雅黑"/>
          <w:szCs w:val="21"/>
        </w:rPr>
        <w:t>的</w:t>
      </w:r>
      <w:r>
        <w:rPr>
          <w:rFonts w:ascii="微软雅黑" w:hAnsi="微软雅黑" w:eastAsia="微软雅黑"/>
          <w:szCs w:val="21"/>
        </w:rPr>
        <w:t>规定向乙方支付软件</w:t>
      </w:r>
      <w:r>
        <w:rPr>
          <w:rFonts w:hint="eastAsia" w:ascii="微软雅黑" w:hAnsi="微软雅黑" w:eastAsia="微软雅黑"/>
          <w:szCs w:val="21"/>
        </w:rPr>
        <w:t>维护服务费用</w:t>
      </w:r>
      <w:r>
        <w:rPr>
          <w:rFonts w:ascii="微软雅黑" w:hAnsi="微软雅黑" w:eastAsia="微软雅黑"/>
          <w:szCs w:val="21"/>
        </w:rPr>
        <w:t>，</w:t>
      </w:r>
      <w:r>
        <w:rPr>
          <w:rFonts w:hint="eastAsia" w:ascii="微软雅黑" w:hAnsi="微软雅黑" w:eastAsia="微软雅黑"/>
          <w:szCs w:val="21"/>
        </w:rPr>
        <w:t>乙方有权停止履行相关合同义务。</w:t>
      </w:r>
      <w:r>
        <w:rPr>
          <w:rFonts w:ascii="微软雅黑" w:hAnsi="微软雅黑" w:eastAsia="微软雅黑"/>
          <w:szCs w:val="21"/>
        </w:rPr>
        <w:t>逾期超过</w:t>
      </w:r>
      <w:r>
        <w:rPr>
          <w:rFonts w:hint="eastAsia" w:ascii="微软雅黑" w:hAnsi="微软雅黑" w:eastAsia="微软雅黑"/>
          <w:szCs w:val="21"/>
        </w:rPr>
        <w:t>6</w:t>
      </w:r>
      <w:r>
        <w:rPr>
          <w:rFonts w:ascii="微软雅黑" w:hAnsi="微软雅黑" w:eastAsia="微软雅黑"/>
          <w:szCs w:val="21"/>
        </w:rPr>
        <w:t>0</w:t>
      </w:r>
      <w:r>
        <w:rPr>
          <w:rFonts w:ascii="微软雅黑" w:hAnsi="微软雅黑" w:eastAsia="微软雅黑"/>
          <w:color w:val="000000" w:themeColor="text1"/>
          <w:szCs w:val="21"/>
        </w:rPr>
        <w:t>日，乙方有权解除本合同，已收到的款项不退还甲方</w:t>
      </w:r>
      <w:r>
        <w:rPr>
          <w:rFonts w:ascii="微软雅黑" w:hAnsi="微软雅黑" w:eastAsia="微软雅黑"/>
          <w:szCs w:val="21"/>
        </w:rPr>
        <w:t>。</w:t>
      </w:r>
    </w:p>
    <w:p w14:paraId="177A2757">
      <w:pPr>
        <w:numPr>
          <w:ilvl w:val="1"/>
          <w:numId w:val="11"/>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color w:val="000000" w:themeColor="text1"/>
          <w:szCs w:val="21"/>
        </w:rPr>
      </w:pPr>
      <w:r>
        <w:rPr>
          <w:rFonts w:hint="eastAsia" w:ascii="微软雅黑" w:hAnsi="微软雅黑" w:eastAsia="微软雅黑"/>
          <w:color w:val="000000" w:themeColor="text1"/>
          <w:szCs w:val="21"/>
        </w:rPr>
        <w:t>乙方无须就下列情形承担责任：</w:t>
      </w:r>
    </w:p>
    <w:p w14:paraId="0D791156">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color w:val="000000" w:themeColor="text1"/>
          <w:szCs w:val="21"/>
        </w:rPr>
      </w:pPr>
      <w:r>
        <w:rPr>
          <w:rFonts w:ascii="微软雅黑" w:hAnsi="微软雅黑" w:eastAsia="微软雅黑"/>
          <w:color w:val="000000" w:themeColor="text1"/>
          <w:szCs w:val="21"/>
        </w:rPr>
        <w:t>软件使用者操作、使用不当或其他不可归责于乙方的原因所导致的损失</w:t>
      </w:r>
      <w:r>
        <w:rPr>
          <w:rFonts w:hint="eastAsia" w:ascii="微软雅黑" w:hAnsi="微软雅黑" w:eastAsia="微软雅黑"/>
          <w:color w:val="000000" w:themeColor="text1"/>
          <w:szCs w:val="21"/>
        </w:rPr>
        <w:t>；</w:t>
      </w:r>
    </w:p>
    <w:p w14:paraId="6E59B49E">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乙方以外的任何单位和个人修改或改动软件系统所引致的损害</w:t>
      </w:r>
      <w:r>
        <w:rPr>
          <w:rFonts w:hint="eastAsia" w:ascii="微软雅黑" w:hAnsi="微软雅黑" w:eastAsia="微软雅黑"/>
          <w:szCs w:val="21"/>
        </w:rPr>
        <w:t>；</w:t>
      </w:r>
    </w:p>
    <w:p w14:paraId="41006CC7">
      <w:pPr>
        <w:numPr>
          <w:ilvl w:val="2"/>
          <w:numId w:val="12"/>
        </w:numPr>
        <w:autoSpaceDE w:val="0"/>
        <w:autoSpaceDN w:val="0"/>
        <w:adjustRightInd w:val="0"/>
        <w:spacing w:before="156" w:beforeLines="50" w:after="156" w:afterLines="50" w:line="360" w:lineRule="exact"/>
        <w:ind w:left="1701" w:hanging="709"/>
        <w:rPr>
          <w:rFonts w:ascii="微软雅黑" w:hAnsi="微软雅黑" w:eastAsia="微软雅黑"/>
          <w:szCs w:val="21"/>
        </w:rPr>
      </w:pPr>
      <w:r>
        <w:rPr>
          <w:rFonts w:ascii="微软雅黑" w:hAnsi="微软雅黑" w:eastAsia="微软雅黑"/>
          <w:szCs w:val="21"/>
        </w:rPr>
        <w:t>第三方软件的故障、计算机设备故障、网络故障等使软件无法正常运行</w:t>
      </w:r>
      <w:r>
        <w:rPr>
          <w:rFonts w:hint="eastAsia" w:ascii="微软雅黑" w:hAnsi="微软雅黑" w:eastAsia="微软雅黑"/>
          <w:szCs w:val="21"/>
        </w:rPr>
        <w:t>；</w:t>
      </w:r>
    </w:p>
    <w:p w14:paraId="066319F6">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保密条款</w:t>
      </w:r>
      <w:bookmarkEnd w:id="6"/>
    </w:p>
    <w:p w14:paraId="3D22D7D4">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未经对方许可，任何一方不得将涉及对方的商业秘密信息透露给本合同之外的第三方及非参与本客户服务的员工，信息包括但不限于双方合同、企业管理文档、企业数据等。</w:t>
      </w:r>
    </w:p>
    <w:p w14:paraId="072F9CE2">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本次合作价格是基于甲乙双方长期战略合作的优惠价，为保证乙方市场利益不受影响，甲方承诺甲方之所有雇员不以任何形式向第三方透露本合同的相关信息，包括但不限于乙方系统的设计方案，使用说明，系统代码以及双方的成交价格等等。</w:t>
      </w:r>
    </w:p>
    <w:p w14:paraId="050D95BD">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未经甲方同意，乙方不得将甲方正在使用的系统提供给本合同之外的第三方进行展示、查看和使用等。</w:t>
      </w:r>
    </w:p>
    <w:p w14:paraId="6F1F5713">
      <w:pPr>
        <w:numPr>
          <w:ilvl w:val="1"/>
          <w:numId w:val="13"/>
        </w:numPr>
        <w:tabs>
          <w:tab w:val="left" w:pos="992"/>
        </w:tabs>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hint="eastAsia" w:ascii="微软雅黑" w:hAnsi="微软雅黑" w:eastAsia="微软雅黑"/>
          <w:szCs w:val="21"/>
        </w:rPr>
        <w:t>上述保密义务的期限为自合同签署之日起壹拾年，不受本合同期限结束的约束，任何一方违反保密协议并对对方造成损失，对方有权要求赔偿。</w:t>
      </w:r>
    </w:p>
    <w:p w14:paraId="052B651C">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7" w:name="_Toc241620191"/>
      <w:r>
        <w:rPr>
          <w:rFonts w:hint="eastAsia" w:ascii="微软雅黑" w:hAnsi="微软雅黑" w:eastAsia="微软雅黑"/>
          <w:b/>
          <w:szCs w:val="21"/>
        </w:rPr>
        <w:t>不可抗力</w:t>
      </w:r>
      <w:bookmarkEnd w:id="7"/>
    </w:p>
    <w:p w14:paraId="244B1FA5">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由于地震、台风、水灾、火灾、战争、法律法规、意外事故以及其他不可抗力事件，致使合同无法履行时，无法履行合同义务的一方应在3个工作日内将不能履行合同的事实通知另一方，并于10个工作日内提供不可抗力发生的详情及本合同不能履行、或者部分不能履行、或者需要延期履行的理由的有效证明文件，此文件应由不可抗力事由发生地区的处理机关出具。则上述无法履行应不被视为违约</w:t>
      </w:r>
      <w:r>
        <w:rPr>
          <w:rFonts w:hint="eastAsia" w:ascii="微软雅黑" w:hAnsi="微软雅黑" w:eastAsia="微软雅黑"/>
          <w:szCs w:val="21"/>
        </w:rPr>
        <w:t>；</w:t>
      </w:r>
    </w:p>
    <w:p w14:paraId="735ADF20">
      <w:pPr>
        <w:numPr>
          <w:ilvl w:val="1"/>
          <w:numId w:val="14"/>
        </w:numPr>
        <w:autoSpaceDE w:val="0"/>
        <w:autoSpaceDN w:val="0"/>
        <w:adjustRightInd w:val="0"/>
        <w:spacing w:before="156" w:beforeLines="50" w:after="156" w:afterLines="50" w:line="360" w:lineRule="exact"/>
        <w:ind w:left="993" w:hanging="567"/>
        <w:rPr>
          <w:rFonts w:ascii="微软雅黑" w:hAnsi="微软雅黑" w:eastAsia="微软雅黑"/>
          <w:szCs w:val="21"/>
        </w:rPr>
      </w:pPr>
      <w:r>
        <w:rPr>
          <w:rFonts w:ascii="微软雅黑" w:hAnsi="微软雅黑" w:eastAsia="微软雅黑"/>
          <w:szCs w:val="21"/>
        </w:rPr>
        <w:t>根据不可抗力事由对履行本合同影响的程度，由双方协商延长履行期，或者部分免除本合同的履行义务。如该影响持续超过60日，双方均有权以书面通知对方终止本合同。</w:t>
      </w:r>
    </w:p>
    <w:p w14:paraId="3A643275">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8" w:name="_Toc241620192"/>
      <w:r>
        <w:rPr>
          <w:rFonts w:hint="eastAsia" w:ascii="微软雅黑" w:hAnsi="微软雅黑" w:eastAsia="微软雅黑"/>
          <w:b/>
          <w:szCs w:val="21"/>
        </w:rPr>
        <w:t>合同的终止</w:t>
      </w:r>
      <w:bookmarkEnd w:id="8"/>
    </w:p>
    <w:p w14:paraId="5B630974">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合同</w:t>
      </w:r>
      <w:r>
        <w:rPr>
          <w:rFonts w:hint="eastAsia" w:ascii="微软雅黑" w:hAnsi="微软雅黑" w:eastAsia="微软雅黑"/>
          <w:szCs w:val="21"/>
        </w:rPr>
        <w:t>任何</w:t>
      </w:r>
      <w:r>
        <w:rPr>
          <w:rFonts w:ascii="微软雅黑" w:hAnsi="微软雅黑" w:eastAsia="微软雅黑"/>
          <w:szCs w:val="21"/>
        </w:rPr>
        <w:t>一方根本性</w:t>
      </w:r>
      <w:r>
        <w:rPr>
          <w:rFonts w:hint="eastAsia" w:ascii="微软雅黑" w:hAnsi="微软雅黑" w:eastAsia="微软雅黑"/>
          <w:szCs w:val="21"/>
        </w:rPr>
        <w:t>的</w:t>
      </w:r>
      <w:r>
        <w:rPr>
          <w:rFonts w:ascii="微软雅黑" w:hAnsi="微软雅黑" w:eastAsia="微软雅黑"/>
          <w:szCs w:val="21"/>
        </w:rPr>
        <w:t>或严重地违反本合同约定的主要义务，</w:t>
      </w:r>
      <w:r>
        <w:rPr>
          <w:rFonts w:hint="eastAsia" w:ascii="微软雅黑" w:hAnsi="微软雅黑" w:eastAsia="微软雅黑"/>
          <w:szCs w:val="21"/>
        </w:rPr>
        <w:t>另一方</w:t>
      </w:r>
      <w:r>
        <w:rPr>
          <w:rFonts w:ascii="微软雅黑" w:hAnsi="微软雅黑" w:eastAsia="微软雅黑"/>
          <w:szCs w:val="21"/>
        </w:rPr>
        <w:t>应给予其不少于60日的合理期限，以便违约方纠正其违约行为。若违约方在前述期限内仍未纠正其违约行为，则守约方可以书面通知违约方解除合同，合同在书面通知到达违约方之日解除</w:t>
      </w:r>
      <w:r>
        <w:rPr>
          <w:rFonts w:hint="eastAsia" w:ascii="微软雅黑" w:hAnsi="微软雅黑" w:eastAsia="微软雅黑"/>
          <w:szCs w:val="21"/>
        </w:rPr>
        <w:t>；</w:t>
      </w:r>
    </w:p>
    <w:p w14:paraId="64447041">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双方同意在</w:t>
      </w:r>
      <w:r>
        <w:rPr>
          <w:rFonts w:ascii="微软雅黑" w:hAnsi="微软雅黑" w:eastAsia="微软雅黑"/>
          <w:szCs w:val="21"/>
        </w:rPr>
        <w:t>双方协商</w:t>
      </w:r>
      <w:r>
        <w:rPr>
          <w:rFonts w:hint="eastAsia" w:ascii="微软雅黑" w:hAnsi="微软雅黑" w:eastAsia="微软雅黑"/>
          <w:szCs w:val="21"/>
        </w:rPr>
        <w:t>达成</w:t>
      </w:r>
      <w:r>
        <w:rPr>
          <w:rFonts w:ascii="微软雅黑" w:hAnsi="微软雅黑" w:eastAsia="微软雅黑"/>
          <w:szCs w:val="21"/>
        </w:rPr>
        <w:t>一致</w:t>
      </w:r>
      <w:r>
        <w:rPr>
          <w:rFonts w:hint="eastAsia" w:ascii="微软雅黑" w:hAnsi="微软雅黑" w:eastAsia="微软雅黑"/>
          <w:szCs w:val="21"/>
        </w:rPr>
        <w:t>的终止合同意见后，</w:t>
      </w:r>
      <w:r>
        <w:rPr>
          <w:rFonts w:ascii="微软雅黑" w:hAnsi="微软雅黑" w:eastAsia="微软雅黑"/>
          <w:szCs w:val="21"/>
        </w:rPr>
        <w:t>可以书面解除本合同</w:t>
      </w:r>
      <w:r>
        <w:rPr>
          <w:rFonts w:hint="eastAsia" w:ascii="微软雅黑" w:hAnsi="微软雅黑" w:eastAsia="微软雅黑"/>
          <w:szCs w:val="21"/>
        </w:rPr>
        <w:t>；</w:t>
      </w:r>
    </w:p>
    <w:p w14:paraId="17544C7C">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因不可抗力解除合同的，双方按照乙方已经完成的工作</w:t>
      </w:r>
      <w:r>
        <w:rPr>
          <w:rFonts w:hint="eastAsia" w:ascii="微软雅黑" w:hAnsi="微软雅黑" w:eastAsia="微软雅黑"/>
          <w:szCs w:val="21"/>
        </w:rPr>
        <w:t>日</w:t>
      </w:r>
      <w:r>
        <w:rPr>
          <w:rFonts w:ascii="微软雅黑" w:hAnsi="微软雅黑" w:eastAsia="微软雅黑"/>
          <w:szCs w:val="21"/>
        </w:rPr>
        <w:t>结算相应费用。双方形成书面补充协议的按补充协议进行结算</w:t>
      </w:r>
      <w:r>
        <w:rPr>
          <w:rFonts w:hint="eastAsia" w:ascii="微软雅黑" w:hAnsi="微软雅黑" w:eastAsia="微软雅黑"/>
          <w:szCs w:val="21"/>
        </w:rPr>
        <w:t>；</w:t>
      </w:r>
    </w:p>
    <w:p w14:paraId="00B9121E">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甲乙双方不得无故单方面解除合同，双方均无过错的，由双方具体协商解决</w:t>
      </w:r>
      <w:r>
        <w:rPr>
          <w:rFonts w:hint="eastAsia" w:ascii="微软雅黑" w:hAnsi="微软雅黑" w:eastAsia="微软雅黑"/>
          <w:szCs w:val="21"/>
        </w:rPr>
        <w:t>；</w:t>
      </w:r>
    </w:p>
    <w:p w14:paraId="1750422A">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hint="eastAsia" w:ascii="微软雅黑" w:hAnsi="微软雅黑" w:eastAsia="微软雅黑"/>
          <w:szCs w:val="21"/>
        </w:rPr>
        <w:t>甲乙双方的责任和义务履行完毕后合同自动终止。</w:t>
      </w:r>
    </w:p>
    <w:p w14:paraId="6CCDDAFC">
      <w:pPr>
        <w:numPr>
          <w:ilvl w:val="1"/>
          <w:numId w:val="15"/>
        </w:numPr>
        <w:autoSpaceDE w:val="0"/>
        <w:autoSpaceDN w:val="0"/>
        <w:adjustRightInd w:val="0"/>
        <w:spacing w:before="156" w:beforeLines="50" w:after="156" w:afterLines="50" w:line="360" w:lineRule="exact"/>
        <w:ind w:left="989" w:leftChars="201" w:hangingChars="270"/>
        <w:rPr>
          <w:rFonts w:ascii="微软雅黑" w:hAnsi="微软雅黑" w:eastAsia="微软雅黑"/>
          <w:szCs w:val="21"/>
        </w:rPr>
      </w:pPr>
      <w:r>
        <w:rPr>
          <w:rFonts w:ascii="微软雅黑" w:hAnsi="微软雅黑" w:eastAsia="微软雅黑"/>
          <w:szCs w:val="21"/>
        </w:rPr>
        <w:t>即使本合同终止，合同中的知识产权、保密及其他根据条款的法律性质应当延续的条款继续有效。</w:t>
      </w:r>
    </w:p>
    <w:p w14:paraId="7CB99718">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适用法律及</w:t>
      </w:r>
      <w:r>
        <w:rPr>
          <w:rFonts w:ascii="微软雅黑" w:hAnsi="微软雅黑" w:eastAsia="微软雅黑"/>
          <w:b/>
          <w:szCs w:val="21"/>
        </w:rPr>
        <w:t>争议解决</w:t>
      </w:r>
      <w:r>
        <w:rPr>
          <w:rFonts w:hint="eastAsia" w:ascii="微软雅黑" w:hAnsi="微软雅黑" w:eastAsia="微软雅黑"/>
          <w:b/>
          <w:szCs w:val="21"/>
        </w:rPr>
        <w:t>方式</w:t>
      </w:r>
    </w:p>
    <w:p w14:paraId="5FCB1EAD">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本合同的订立、效力、履行和解释均适用于中华人民共和国的法律、法规；</w:t>
      </w:r>
    </w:p>
    <w:p w14:paraId="71E44A44">
      <w:pPr>
        <w:numPr>
          <w:ilvl w:val="1"/>
          <w:numId w:val="16"/>
        </w:numPr>
        <w:autoSpaceDE w:val="0"/>
        <w:autoSpaceDN w:val="0"/>
        <w:adjustRightInd w:val="0"/>
        <w:spacing w:before="156" w:beforeLines="50" w:after="156" w:afterLines="50" w:line="360" w:lineRule="exact"/>
        <w:ind w:left="993"/>
        <w:rPr>
          <w:rFonts w:ascii="微软雅黑" w:hAnsi="微软雅黑" w:eastAsia="微软雅黑"/>
          <w:szCs w:val="21"/>
        </w:rPr>
      </w:pPr>
      <w:r>
        <w:rPr>
          <w:rFonts w:ascii="微软雅黑" w:hAnsi="微软雅黑" w:eastAsia="微软雅黑"/>
          <w:szCs w:val="21"/>
        </w:rPr>
        <w:t>双方应本着互谅互解的原则，协商解决因本合同引起的或与本合同有关的任何争议；协商解决不成的，双方均同意将前述争议提交</w:t>
      </w:r>
      <w:r>
        <w:rPr>
          <w:rFonts w:hint="eastAsia" w:ascii="微软雅黑" w:hAnsi="微软雅黑" w:eastAsia="微软雅黑"/>
          <w:szCs w:val="21"/>
        </w:rPr>
        <w:t>合同签订地有管辖权的人民法院</w:t>
      </w:r>
      <w:r>
        <w:rPr>
          <w:rFonts w:ascii="微软雅黑" w:hAnsi="微软雅黑" w:eastAsia="微软雅黑"/>
          <w:szCs w:val="21"/>
        </w:rPr>
        <w:t>裁决。</w:t>
      </w:r>
    </w:p>
    <w:p w14:paraId="7BC132F9">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bookmarkStart w:id="9" w:name="_Toc241620195"/>
      <w:r>
        <w:rPr>
          <w:rFonts w:hint="eastAsia" w:ascii="微软雅黑" w:hAnsi="微软雅黑" w:eastAsia="微软雅黑"/>
          <w:b/>
          <w:szCs w:val="21"/>
        </w:rPr>
        <w:t>合同生效</w:t>
      </w:r>
    </w:p>
    <w:p w14:paraId="210BA6FD">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若本合同中的任何条款或规定被认为无效或不具有强制执行力，则</w:t>
      </w:r>
      <w:r>
        <w:rPr>
          <w:rFonts w:ascii="微软雅黑" w:hAnsi="微软雅黑" w:eastAsia="微软雅黑"/>
          <w:szCs w:val="21"/>
        </w:rPr>
        <w:t>该条款的无效性或不可执行性不得影响其它条款的</w:t>
      </w:r>
      <w:r>
        <w:rPr>
          <w:rFonts w:hint="eastAsia" w:ascii="微软雅黑" w:hAnsi="微软雅黑" w:eastAsia="微软雅黑"/>
          <w:szCs w:val="21"/>
        </w:rPr>
        <w:t>效力和</w:t>
      </w:r>
      <w:r>
        <w:rPr>
          <w:rFonts w:ascii="微软雅黑" w:hAnsi="微软雅黑" w:eastAsia="微软雅黑"/>
          <w:szCs w:val="21"/>
        </w:rPr>
        <w:t>执行</w:t>
      </w:r>
      <w:r>
        <w:rPr>
          <w:rFonts w:hint="eastAsia" w:ascii="微软雅黑" w:hAnsi="微软雅黑" w:eastAsia="微软雅黑"/>
          <w:szCs w:val="21"/>
        </w:rPr>
        <w:t>；</w:t>
      </w:r>
    </w:p>
    <w:p w14:paraId="074CAA36">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本合同自双方授权代表签字并加盖公章或合同专用章之日起成立并生效；本合同壹式</w:t>
      </w:r>
      <w:r>
        <w:rPr>
          <w:rFonts w:hint="eastAsia" w:ascii="微软雅黑" w:hAnsi="微软雅黑" w:eastAsia="微软雅黑"/>
          <w:szCs w:val="21"/>
          <w:lang w:val="en-US" w:eastAsia="zh-CN"/>
        </w:rPr>
        <w:t>柒</w:t>
      </w:r>
      <w:r>
        <w:rPr>
          <w:rFonts w:hint="eastAsia" w:ascii="微软雅黑" w:hAnsi="微软雅黑" w:eastAsia="微软雅黑"/>
          <w:szCs w:val="21"/>
        </w:rPr>
        <w:t>份，</w:t>
      </w:r>
      <w:r>
        <w:rPr>
          <w:rFonts w:hint="eastAsia" w:ascii="微软雅黑" w:hAnsi="微软雅黑" w:eastAsia="微软雅黑"/>
          <w:szCs w:val="21"/>
          <w:lang w:val="en-US" w:eastAsia="zh-CN"/>
        </w:rPr>
        <w:t>甲方伍份，乙方</w:t>
      </w:r>
      <w:r>
        <w:rPr>
          <w:rFonts w:hint="eastAsia" w:ascii="微软雅黑" w:hAnsi="微软雅黑" w:eastAsia="微软雅黑"/>
          <w:szCs w:val="21"/>
        </w:rPr>
        <w:t>贰份，具有同等法律效力；</w:t>
      </w:r>
    </w:p>
    <w:p w14:paraId="02059AF8">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本合同生效后，无论甲方或乙方的名称、组织形式、企业性质、经营范围、注册资本、投资者等发生任何变更，甲方或乙方应继续或要求其权利义务的继承人恪守并履行其在本合同项下之相关义务；</w:t>
      </w:r>
    </w:p>
    <w:p w14:paraId="234E2F67">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双方承认并同意将本合同文本作为双方合同完整的和唯一的表述，以取代此前双方有关此项目内容的所有口头、书面、及其他通信方式中的表述；</w:t>
      </w:r>
    </w:p>
    <w:p w14:paraId="04EFFF1D">
      <w:pPr>
        <w:numPr>
          <w:ilvl w:val="1"/>
          <w:numId w:val="17"/>
        </w:numPr>
        <w:autoSpaceDE w:val="0"/>
        <w:autoSpaceDN w:val="0"/>
        <w:adjustRightInd w:val="0"/>
        <w:spacing w:before="156" w:beforeLines="50" w:after="156" w:afterLines="50" w:line="360" w:lineRule="exact"/>
        <w:ind w:left="993"/>
        <w:rPr>
          <w:rFonts w:ascii="微软雅黑" w:hAnsi="微软雅黑" w:eastAsia="微软雅黑"/>
          <w:szCs w:val="21"/>
        </w:rPr>
      </w:pPr>
      <w:r>
        <w:rPr>
          <w:rFonts w:hint="eastAsia" w:ascii="微软雅黑" w:hAnsi="微软雅黑" w:eastAsia="微软雅黑"/>
          <w:szCs w:val="21"/>
        </w:rPr>
        <w:t>对本合同进行的任何更改和补充，均应由双方授权代表签字并加盖公司公章或</w:t>
      </w:r>
      <w:r>
        <w:rPr>
          <w:rFonts w:hint="eastAsia" w:ascii="微软雅黑" w:hAnsi="微软雅黑" w:eastAsia="微软雅黑"/>
          <w:szCs w:val="21"/>
          <w:lang w:val="en-GB"/>
        </w:rPr>
        <w:t>合同专用章</w:t>
      </w:r>
      <w:r>
        <w:rPr>
          <w:rFonts w:hint="eastAsia" w:ascii="微软雅黑" w:hAnsi="微软雅黑" w:eastAsia="微软雅黑"/>
          <w:szCs w:val="21"/>
        </w:rPr>
        <w:t>方有效，所有更改、补充文件将成为合同不可分割的部分。</w:t>
      </w:r>
    </w:p>
    <w:p w14:paraId="161F8260">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其它约定</w:t>
      </w:r>
    </w:p>
    <w:p w14:paraId="0D6A82D2">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lang w:val="en-GB"/>
        </w:rPr>
        <w:t>基于双方属于长期合作的性质，双方合作期间，为保证各自无保留的投入优秀人员到合作项目的持续服务中，未经对方书面同意，任何一方不得聘用对方在职或离职不超过贰年的员工，也不得变相假借第三名义实施此操作</w:t>
      </w:r>
      <w:r>
        <w:rPr>
          <w:rFonts w:hint="eastAsia" w:ascii="微软雅黑" w:hAnsi="微软雅黑" w:eastAsia="微软雅黑"/>
          <w:szCs w:val="21"/>
        </w:rPr>
        <w:t>。</w:t>
      </w:r>
    </w:p>
    <w:p w14:paraId="6A9C9238">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任何不在本合同书面约定条款范围内的口头承诺对甲乙双方不具备约束力。</w:t>
      </w:r>
    </w:p>
    <w:p w14:paraId="2862EA38">
      <w:pPr>
        <w:numPr>
          <w:ilvl w:val="1"/>
          <w:numId w:val="18"/>
        </w:numPr>
        <w:autoSpaceDE w:val="0"/>
        <w:autoSpaceDN w:val="0"/>
        <w:adjustRightInd w:val="0"/>
        <w:spacing w:before="156" w:beforeLines="50" w:after="156" w:afterLines="50" w:line="360" w:lineRule="exact"/>
        <w:rPr>
          <w:rFonts w:ascii="微软雅黑" w:hAnsi="微软雅黑" w:eastAsia="微软雅黑"/>
          <w:szCs w:val="21"/>
        </w:rPr>
      </w:pPr>
      <w:r>
        <w:rPr>
          <w:rFonts w:hint="eastAsia" w:ascii="微软雅黑" w:hAnsi="微软雅黑" w:eastAsia="微软雅黑"/>
          <w:szCs w:val="21"/>
        </w:rPr>
        <w:t>合同签约地：洛阳洛龙区</w:t>
      </w:r>
    </w:p>
    <w:p w14:paraId="11D0F6AF">
      <w:pPr>
        <w:widowControl/>
        <w:numPr>
          <w:ilvl w:val="0"/>
          <w:numId w:val="1"/>
        </w:numPr>
        <w:tabs>
          <w:tab w:val="left" w:pos="993"/>
        </w:tabs>
        <w:autoSpaceDE w:val="0"/>
        <w:autoSpaceDN w:val="0"/>
        <w:spacing w:before="156" w:beforeLines="50" w:after="156" w:afterLines="50" w:line="360" w:lineRule="exact"/>
        <w:ind w:left="993" w:hanging="993"/>
        <w:textAlignment w:val="bottom"/>
        <w:outlineLvl w:val="0"/>
        <w:rPr>
          <w:rFonts w:ascii="微软雅黑" w:hAnsi="微软雅黑" w:eastAsia="微软雅黑"/>
          <w:b/>
          <w:szCs w:val="21"/>
        </w:rPr>
      </w:pPr>
      <w:r>
        <w:rPr>
          <w:rFonts w:hint="eastAsia" w:ascii="微软雅黑" w:hAnsi="微软雅黑" w:eastAsia="微软雅黑"/>
          <w:b/>
          <w:szCs w:val="21"/>
        </w:rPr>
        <w:t>附件</w:t>
      </w:r>
      <w:bookmarkEnd w:id="9"/>
    </w:p>
    <w:p w14:paraId="08C02019">
      <w:pPr>
        <w:autoSpaceDE w:val="0"/>
        <w:autoSpaceDN w:val="0"/>
        <w:adjustRightInd w:val="0"/>
        <w:spacing w:before="156" w:beforeLines="50" w:after="156" w:afterLines="50" w:line="360" w:lineRule="exact"/>
        <w:ind w:firstLine="525" w:firstLineChars="250"/>
        <w:rPr>
          <w:rFonts w:ascii="微软雅黑" w:hAnsi="微软雅黑" w:eastAsia="微软雅黑"/>
          <w:szCs w:val="21"/>
        </w:rPr>
      </w:pPr>
      <w:r>
        <w:rPr>
          <w:rFonts w:hint="eastAsia" w:ascii="微软雅黑" w:hAnsi="微软雅黑" w:eastAsia="微软雅黑"/>
          <w:szCs w:val="21"/>
        </w:rPr>
        <w:t>本合同附件、补充协议均为本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52F53F0C">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pPr>
      <w:r>
        <w:rPr>
          <w:rFonts w:hint="eastAsia" w:ascii="微软雅黑" w:hAnsi="微软雅黑" w:eastAsia="微软雅黑"/>
          <w:szCs w:val="21"/>
        </w:rPr>
        <w:t>------------------------------------</w:t>
      </w:r>
      <w:r>
        <w:rPr>
          <w:rFonts w:ascii="微软雅黑" w:hAnsi="微软雅黑" w:eastAsia="微软雅黑"/>
          <w:szCs w:val="21"/>
        </w:rPr>
        <w:t>[</w:t>
      </w:r>
      <w:r>
        <w:rPr>
          <w:rFonts w:ascii="微软雅黑" w:hAnsi="微软雅黑" w:eastAsia="微软雅黑"/>
          <w:szCs w:val="21"/>
          <w:lang w:val="zh-CN"/>
        </w:rPr>
        <w:t>以下无正文</w:t>
      </w:r>
      <w:r>
        <w:rPr>
          <w:rFonts w:ascii="微软雅黑" w:hAnsi="微软雅黑" w:eastAsia="微软雅黑"/>
          <w:szCs w:val="21"/>
        </w:rPr>
        <w:t>]</w:t>
      </w:r>
      <w:r>
        <w:rPr>
          <w:rFonts w:hint="eastAsia" w:ascii="微软雅黑" w:hAnsi="微软雅黑" w:eastAsia="微软雅黑"/>
          <w:szCs w:val="21"/>
        </w:rPr>
        <w:t>-------------------------------------------------</w:t>
      </w:r>
    </w:p>
    <w:p w14:paraId="35FA1F62">
      <w:pPr>
        <w:autoSpaceDE w:val="0"/>
        <w:autoSpaceDN w:val="0"/>
        <w:adjustRightInd w:val="0"/>
        <w:spacing w:line="400" w:lineRule="exact"/>
        <w:rPr>
          <w:rFonts w:ascii="微软雅黑" w:hAnsi="微软雅黑" w:eastAsia="微软雅黑"/>
          <w:b/>
          <w:szCs w:val="21"/>
          <w:lang w:val="zh-CN"/>
        </w:rPr>
        <w:sectPr>
          <w:footerReference r:id="rId6" w:type="first"/>
          <w:headerReference r:id="rId3" w:type="default"/>
          <w:footerReference r:id="rId4" w:type="default"/>
          <w:footerReference r:id="rId5" w:type="even"/>
          <w:pgSz w:w="11906" w:h="16838"/>
          <w:pgMar w:top="720" w:right="720" w:bottom="720" w:left="681" w:header="624" w:footer="397" w:gutter="170"/>
          <w:cols w:space="425" w:num="1"/>
          <w:titlePg/>
          <w:docGrid w:type="lines" w:linePitch="312" w:charSpace="0"/>
        </w:sectPr>
      </w:pPr>
    </w:p>
    <w:p w14:paraId="63AC17D8">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甲方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b/>
          <w:szCs w:val="21"/>
          <w:u w:val="single"/>
          <w:lang w:val="zh-CN"/>
        </w:rPr>
        <w:t>河南</w:t>
      </w:r>
      <w:r>
        <w:rPr>
          <w:rFonts w:hint="eastAsia" w:ascii="微软雅黑" w:hAnsi="微软雅黑" w:eastAsia="微软雅黑" w:cs="Arial"/>
          <w:b/>
          <w:szCs w:val="21"/>
          <w:u w:val="single"/>
        </w:rPr>
        <w:t>浩德</w:t>
      </w:r>
      <w:r>
        <w:rPr>
          <w:rFonts w:hint="eastAsia" w:ascii="微软雅黑" w:hAnsi="微软雅黑" w:eastAsia="微软雅黑" w:cs="Arial"/>
          <w:b/>
          <w:szCs w:val="21"/>
          <w:u w:val="single"/>
          <w:lang w:eastAsia="zh-CN"/>
        </w:rPr>
        <w:t>新澜</w:t>
      </w:r>
      <w:r>
        <w:rPr>
          <w:rFonts w:hint="eastAsia" w:ascii="微软雅黑" w:hAnsi="微软雅黑" w:eastAsia="微软雅黑" w:cs="Arial"/>
          <w:b/>
          <w:szCs w:val="21"/>
          <w:u w:val="single"/>
        </w:rPr>
        <w:t>置业有限公司</w:t>
      </w:r>
    </w:p>
    <w:p w14:paraId="089549FC">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14:paraId="58ECFEF5">
      <w:pPr>
        <w:autoSpaceDE w:val="0"/>
        <w:autoSpaceDN w:val="0"/>
        <w:adjustRightInd w:val="0"/>
        <w:spacing w:line="400" w:lineRule="exact"/>
        <w:rPr>
          <w:rFonts w:ascii="微软雅黑" w:hAnsi="微软雅黑" w:eastAsia="微软雅黑"/>
          <w:b/>
          <w:szCs w:val="21"/>
          <w:u w:val="single"/>
        </w:r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日</w:t>
      </w:r>
    </w:p>
    <w:p w14:paraId="4F091371">
      <w:pPr>
        <w:autoSpaceDE w:val="0"/>
        <w:autoSpaceDN w:val="0"/>
        <w:adjustRightInd w:val="0"/>
        <w:spacing w:line="400" w:lineRule="exact"/>
        <w:rPr>
          <w:rFonts w:ascii="微软雅黑" w:hAnsi="微软雅黑" w:eastAsia="微软雅黑"/>
          <w:b/>
          <w:bCs/>
          <w:szCs w:val="21"/>
        </w:rPr>
      </w:pPr>
      <w:r>
        <w:rPr>
          <w:rFonts w:ascii="微软雅黑" w:hAnsi="微软雅黑" w:eastAsia="微软雅黑"/>
          <w:b/>
          <w:szCs w:val="21"/>
          <w:lang w:val="zh-CN"/>
        </w:rPr>
        <w:t>乙方</w:t>
      </w:r>
      <w:r>
        <w:rPr>
          <w:rFonts w:hint="eastAsia" w:ascii="微软雅黑" w:hAnsi="微软雅黑" w:eastAsia="微软雅黑"/>
          <w:b/>
          <w:szCs w:val="21"/>
          <w:lang w:val="zh-CN"/>
        </w:rPr>
        <w:t>（盖章）</w:t>
      </w:r>
      <w:r>
        <w:rPr>
          <w:rFonts w:ascii="微软雅黑" w:hAnsi="微软雅黑" w:eastAsia="微软雅黑"/>
          <w:b/>
          <w:szCs w:val="21"/>
          <w:lang w:val="zh-CN"/>
        </w:rPr>
        <w:t>：</w:t>
      </w:r>
      <w:r>
        <w:rPr>
          <w:rFonts w:hint="eastAsia" w:ascii="微软雅黑" w:hAnsi="微软雅黑" w:eastAsia="微软雅黑" w:cs="Arial"/>
          <w:b/>
          <w:szCs w:val="21"/>
          <w:u w:val="single"/>
        </w:rPr>
        <w:t>郑州市威源软件科技有限公司</w:t>
      </w:r>
    </w:p>
    <w:p w14:paraId="3003818A">
      <w:pPr>
        <w:autoSpaceDE w:val="0"/>
        <w:autoSpaceDN w:val="0"/>
        <w:adjustRightInd w:val="0"/>
        <w:spacing w:line="400" w:lineRule="exact"/>
        <w:rPr>
          <w:rFonts w:ascii="微软雅黑" w:hAnsi="微软雅黑" w:eastAsia="微软雅黑"/>
          <w:b/>
          <w:szCs w:val="21"/>
          <w:u w:val="single"/>
          <w:lang w:val="zh-CN"/>
        </w:rPr>
      </w:pPr>
      <w:r>
        <w:rPr>
          <w:rFonts w:hint="eastAsia" w:ascii="微软雅黑" w:hAnsi="微软雅黑" w:eastAsia="微软雅黑"/>
          <w:b/>
          <w:szCs w:val="21"/>
          <w:lang w:val="zh-CN"/>
        </w:rPr>
        <w:t>法定代表或</w:t>
      </w:r>
      <w:r>
        <w:rPr>
          <w:rFonts w:ascii="微软雅黑" w:hAnsi="微软雅黑" w:eastAsia="微软雅黑"/>
          <w:b/>
          <w:szCs w:val="21"/>
          <w:lang w:val="zh-CN"/>
        </w:rPr>
        <w:t>授权</w:t>
      </w:r>
      <w:r>
        <w:rPr>
          <w:rFonts w:hint="eastAsia" w:ascii="微软雅黑" w:hAnsi="微软雅黑" w:eastAsia="微软雅黑"/>
          <w:b/>
          <w:szCs w:val="21"/>
          <w:lang w:val="zh-CN"/>
        </w:rPr>
        <w:t>人</w:t>
      </w:r>
      <w:r>
        <w:rPr>
          <w:rFonts w:ascii="微软雅黑" w:hAnsi="微软雅黑" w:eastAsia="微软雅黑"/>
          <w:b/>
          <w:szCs w:val="21"/>
          <w:lang w:val="zh-CN"/>
        </w:rPr>
        <w:t>：</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14:paraId="214D0202">
      <w:pPr>
        <w:autoSpaceDE w:val="0"/>
        <w:autoSpaceDN w:val="0"/>
        <w:adjustRightInd w:val="0"/>
        <w:spacing w:line="400" w:lineRule="exact"/>
        <w:rPr>
          <w:rFonts w:ascii="微软雅黑" w:hAnsi="微软雅黑" w:eastAsia="微软雅黑"/>
          <w:b/>
          <w:szCs w:val="21"/>
          <w:lang w:val="zh-CN"/>
        </w:rPr>
        <w:sectPr>
          <w:type w:val="continuous"/>
          <w:pgSz w:w="11906" w:h="16838"/>
          <w:pgMar w:top="720" w:right="720" w:bottom="720" w:left="681" w:header="624" w:footer="397" w:gutter="170"/>
          <w:cols w:space="425" w:num="2"/>
          <w:titlePg/>
          <w:docGrid w:type="lines" w:linePitch="312" w:charSpace="0"/>
        </w:sectPr>
      </w:pPr>
      <w:r>
        <w:rPr>
          <w:rFonts w:ascii="微软雅黑" w:hAnsi="微软雅黑" w:eastAsia="微软雅黑"/>
          <w:b/>
          <w:szCs w:val="21"/>
          <w:lang w:val="zh-CN"/>
        </w:rPr>
        <w:t>日</w:t>
      </w:r>
      <w:r>
        <w:rPr>
          <w:rFonts w:hint="eastAsia" w:ascii="微软雅黑" w:hAnsi="微软雅黑" w:eastAsia="微软雅黑"/>
          <w:b/>
          <w:szCs w:val="21"/>
          <w:lang w:val="zh-CN"/>
        </w:rPr>
        <w:t xml:space="preserve"> </w:t>
      </w:r>
      <w:r>
        <w:rPr>
          <w:rFonts w:ascii="微软雅黑" w:hAnsi="微软雅黑" w:eastAsia="微软雅黑"/>
          <w:b/>
          <w:szCs w:val="21"/>
          <w:lang w:val="zh-CN"/>
        </w:rPr>
        <w:t xml:space="preserve">      期：</w:t>
      </w:r>
      <w:r>
        <w:rPr>
          <w:rFonts w:ascii="微软雅黑" w:hAnsi="微软雅黑" w:eastAsia="微软雅黑"/>
          <w:b/>
          <w:szCs w:val="21"/>
          <w:u w:val="single"/>
          <w:lang w:val="zh-CN"/>
        </w:rPr>
        <w:t xml:space="preserve">        </w:t>
      </w:r>
      <w:r>
        <w:rPr>
          <w:rFonts w:hint="eastAsia" w:ascii="微软雅黑" w:hAnsi="微软雅黑" w:eastAsia="微软雅黑"/>
          <w:b/>
          <w:szCs w:val="21"/>
          <w:lang w:val="zh-CN"/>
        </w:rPr>
        <w:t>年</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r>
        <w:rPr>
          <w:rFonts w:hint="eastAsia" w:ascii="微软雅黑" w:hAnsi="微软雅黑" w:eastAsia="微软雅黑"/>
          <w:b/>
          <w:szCs w:val="21"/>
          <w:u w:val="single"/>
          <w:lang w:val="zh-CN"/>
        </w:rPr>
        <w:t xml:space="preserve"> </w:t>
      </w:r>
      <w:r>
        <w:rPr>
          <w:rFonts w:hint="eastAsia" w:ascii="微软雅黑" w:hAnsi="微软雅黑" w:eastAsia="微软雅黑"/>
          <w:b/>
          <w:szCs w:val="21"/>
          <w:lang w:val="zh-CN"/>
        </w:rPr>
        <w:t>月</w:t>
      </w:r>
      <w:r>
        <w:rPr>
          <w:rFonts w:hint="eastAsia" w:ascii="微软雅黑" w:hAnsi="微软雅黑" w:eastAsia="微软雅黑"/>
          <w:b/>
          <w:szCs w:val="21"/>
          <w:u w:val="single"/>
          <w:lang w:val="zh-CN"/>
        </w:rPr>
        <w:t xml:space="preserve">  </w:t>
      </w:r>
      <w:r>
        <w:rPr>
          <w:rFonts w:ascii="微软雅黑" w:hAnsi="微软雅黑" w:eastAsia="微软雅黑"/>
          <w:b/>
          <w:szCs w:val="21"/>
          <w:u w:val="single"/>
          <w:lang w:val="zh-CN"/>
        </w:rPr>
        <w:t xml:space="preserve">        </w:t>
      </w:r>
    </w:p>
    <w:p w14:paraId="75F5DB90">
      <w:pPr>
        <w:widowControl/>
        <w:tabs>
          <w:tab w:val="left" w:pos="4440"/>
        </w:tabs>
        <w:autoSpaceDE w:val="0"/>
        <w:autoSpaceDN w:val="0"/>
        <w:spacing w:before="156" w:beforeLines="50" w:after="156" w:afterLines="50" w:line="300" w:lineRule="exact"/>
        <w:textAlignment w:val="bottom"/>
        <w:rPr>
          <w:rFonts w:ascii="微软雅黑" w:hAnsi="微软雅黑" w:eastAsia="微软雅黑"/>
          <w:szCs w:val="21"/>
        </w:rPr>
        <w:sectPr>
          <w:type w:val="continuous"/>
          <w:pgSz w:w="11906" w:h="16838"/>
          <w:pgMar w:top="720" w:right="720" w:bottom="720" w:left="681" w:header="624" w:footer="397" w:gutter="170"/>
          <w:cols w:space="425" w:num="1"/>
          <w:titlePg/>
          <w:docGrid w:type="lines" w:linePitch="312" w:charSpace="0"/>
        </w:sectPr>
      </w:pPr>
    </w:p>
    <w:p w14:paraId="12092C84">
      <w:pPr>
        <w:spacing w:line="280" w:lineRule="exact"/>
        <w:rPr>
          <w:rFonts w:ascii="微软雅黑" w:hAnsi="微软雅黑" w:eastAsia="微软雅黑"/>
          <w:b/>
          <w:szCs w:val="21"/>
        </w:rPr>
      </w:pPr>
    </w:p>
    <w:sectPr>
      <w:type w:val="continuous"/>
      <w:pgSz w:w="11906" w:h="16838"/>
      <w:pgMar w:top="720" w:right="720" w:bottom="720" w:left="681" w:header="624" w:footer="397" w:gutter="17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7BFB5">
    <w:pPr>
      <w:pStyle w:val="5"/>
      <w:jc w:val="center"/>
    </w:pPr>
    <w:r>
      <w:rPr>
        <w:rFonts w:ascii="Arial" w:hAnsi="Arial" w:cs="Arial"/>
        <w:sz w:val="21"/>
        <w:szCs w:val="21"/>
      </w:rPr>
      <w:t>www.</w:t>
    </w:r>
    <w:r>
      <w:rPr>
        <w:rFonts w:hint="eastAsia" w:ascii="Arial" w:hAnsi="Arial" w:cs="Arial"/>
        <w:sz w:val="21"/>
        <w:szCs w:val="21"/>
      </w:rPr>
      <w:t>mingyuanyun</w:t>
    </w:r>
    <w:r>
      <w:rPr>
        <w:rFonts w:ascii="Arial" w:hAnsi="Arial" w:cs="Arial"/>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6E87">
    <w:pPr>
      <w:pStyle w:val="5"/>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691E487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B484">
    <w:pPr>
      <w:pStyle w:val="5"/>
      <w:jc w:val="center"/>
    </w:pPr>
    <w:r>
      <w:rPr>
        <w:rFonts w:ascii="Arial" w:hAnsi="Arial" w:cs="Arial"/>
        <w:b/>
        <w:sz w:val="21"/>
        <w:szCs w:val="21"/>
      </w:rPr>
      <w:t>www.</w:t>
    </w:r>
    <w:r>
      <w:rPr>
        <w:rFonts w:hint="eastAsia" w:ascii="Arial" w:hAnsi="Arial" w:cs="Arial"/>
        <w:b/>
        <w:sz w:val="21"/>
        <w:szCs w:val="21"/>
      </w:rPr>
      <w:t>mingyuanyun</w:t>
    </w:r>
    <w:r>
      <w:rPr>
        <w:rFonts w:ascii="Arial" w:hAnsi="Arial" w:cs="Arial"/>
        <w:b/>
        <w:sz w:val="21"/>
        <w:szCs w:val="21"/>
      </w:rPr>
      <w:t>.com</w:t>
    </w:r>
    <w:r>
      <w:rPr>
        <w:rFonts w:hint="eastAsia"/>
        <w:kern w:val="0"/>
        <w:sz w:val="21"/>
        <w:szCs w:val="21"/>
      </w:rPr>
      <w:t>第</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页共</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7</w:t>
    </w:r>
    <w:r>
      <w:rPr>
        <w:kern w:val="0"/>
        <w:sz w:val="21"/>
        <w:szCs w:val="21"/>
      </w:rPr>
      <w:fldChar w:fldCharType="end"/>
    </w:r>
    <w:r>
      <w:rPr>
        <w:rFonts w:hint="eastAsia"/>
        <w:kern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B1E9">
    <w:pPr>
      <w:pStyle w:val="6"/>
      <w:pBdr>
        <w:bottom w:val="single" w:color="auto" w:sz="6" w:space="0"/>
      </w:pBdr>
      <w:jc w:val="right"/>
    </w:pPr>
    <w:r>
      <w:rPr>
        <w:rFonts w:cs="Calibri"/>
        <w:b/>
        <w:color w:val="000000"/>
        <w:sz w:val="22"/>
        <w:szCs w:val="22"/>
      </w:rPr>
      <w:drawing>
        <wp:inline distT="0" distB="0" distL="0" distR="0">
          <wp:extent cx="1181100" cy="409575"/>
          <wp:effectExtent l="0" t="0" r="0" b="0"/>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D6383"/>
    <w:multiLevelType w:val="multilevel"/>
    <w:tmpl w:val="082D6383"/>
    <w:lvl w:ilvl="0" w:tentative="0">
      <w:start w:val="12"/>
      <w:numFmt w:val="decimal"/>
      <w:lvlText w:val="%1"/>
      <w:lvlJc w:val="left"/>
      <w:pPr>
        <w:ind w:left="480" w:hanging="480"/>
      </w:pPr>
      <w:rPr>
        <w:rFonts w:hint="default"/>
      </w:rPr>
    </w:lvl>
    <w:lvl w:ilvl="1" w:tentative="0">
      <w:start w:val="1"/>
      <w:numFmt w:val="decimal"/>
      <w:lvlText w:val="11.%2"/>
      <w:lvlJc w:val="left"/>
      <w:pPr>
        <w:tabs>
          <w:tab w:val="left" w:pos="992"/>
        </w:tabs>
        <w:ind w:left="992" w:hanging="567"/>
      </w:pPr>
      <w:rPr>
        <w:rFonts w:hint="eastAsia"/>
        <w:sz w:val="21"/>
        <w:szCs w:val="21"/>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1">
    <w:nsid w:val="19D36AFD"/>
    <w:multiLevelType w:val="multilevel"/>
    <w:tmpl w:val="19D36AFD"/>
    <w:lvl w:ilvl="0" w:tentative="0">
      <w:start w:val="7"/>
      <w:numFmt w:val="decimal"/>
      <w:lvlText w:val="%1"/>
      <w:lvlJc w:val="left"/>
      <w:pPr>
        <w:ind w:left="360" w:hanging="360"/>
      </w:pPr>
      <w:rPr>
        <w:rFonts w:hint="default"/>
      </w:rPr>
    </w:lvl>
    <w:lvl w:ilvl="1" w:tentative="0">
      <w:start w:val="1"/>
      <w:numFmt w:val="decimal"/>
      <w:lvlText w:val="6.%2"/>
      <w:lvlJc w:val="left"/>
      <w:pPr>
        <w:ind w:left="1494" w:hanging="36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2">
    <w:nsid w:val="234D7917"/>
    <w:multiLevelType w:val="multilevel"/>
    <w:tmpl w:val="234D7917"/>
    <w:lvl w:ilvl="0" w:tentative="0">
      <w:start w:val="1"/>
      <w:numFmt w:val="none"/>
      <w:lvlText w:val="2."/>
      <w:lvlJc w:val="left"/>
      <w:pPr>
        <w:ind w:left="425" w:hanging="425"/>
      </w:pPr>
      <w:rPr>
        <w:rFonts w:hint="eastAsia"/>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2.%3."/>
      <w:lvlJc w:val="left"/>
      <w:pPr>
        <w:ind w:left="2127"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4F20A19"/>
    <w:multiLevelType w:val="multilevel"/>
    <w:tmpl w:val="24F20A19"/>
    <w:lvl w:ilvl="0" w:tentative="0">
      <w:start w:val="5"/>
      <w:numFmt w:val="decimal"/>
      <w:lvlText w:val="%1"/>
      <w:lvlJc w:val="left"/>
      <w:pPr>
        <w:ind w:left="487" w:hanging="487"/>
      </w:pPr>
      <w:rPr>
        <w:rFonts w:hint="default"/>
      </w:rPr>
    </w:lvl>
    <w:lvl w:ilvl="1" w:tentative="0">
      <w:start w:val="1"/>
      <w:numFmt w:val="decimal"/>
      <w:lvlText w:val="%1.%2"/>
      <w:lvlJc w:val="left"/>
      <w:pPr>
        <w:ind w:left="983" w:hanging="487"/>
      </w:pPr>
      <w:rPr>
        <w:rFonts w:hint="default"/>
      </w:rPr>
    </w:lvl>
    <w:lvl w:ilvl="2" w:tentative="0">
      <w:start w:val="1"/>
      <w:numFmt w:val="decimal"/>
      <w:lvlText w:val="%1.%2.%3"/>
      <w:lvlJc w:val="left"/>
      <w:pPr>
        <w:ind w:left="1712" w:hanging="720"/>
      </w:pPr>
      <w:rPr>
        <w:rFonts w:hint="default"/>
      </w:rPr>
    </w:lvl>
    <w:lvl w:ilvl="3" w:tentative="0">
      <w:start w:val="1"/>
      <w:numFmt w:val="decimal"/>
      <w:lvlText w:val="%1.%2.%3.%4"/>
      <w:lvlJc w:val="left"/>
      <w:pPr>
        <w:ind w:left="2208" w:hanging="720"/>
      </w:pPr>
      <w:rPr>
        <w:rFonts w:hint="default"/>
      </w:rPr>
    </w:lvl>
    <w:lvl w:ilvl="4" w:tentative="0">
      <w:start w:val="1"/>
      <w:numFmt w:val="decimal"/>
      <w:lvlText w:val="%1.%2.%3.%4.%5"/>
      <w:lvlJc w:val="left"/>
      <w:pPr>
        <w:ind w:left="3064" w:hanging="1080"/>
      </w:pPr>
      <w:rPr>
        <w:rFonts w:hint="default"/>
      </w:rPr>
    </w:lvl>
    <w:lvl w:ilvl="5" w:tentative="0">
      <w:start w:val="1"/>
      <w:numFmt w:val="decimal"/>
      <w:lvlText w:val="%1.%2.%3.%4.%5.%6"/>
      <w:lvlJc w:val="left"/>
      <w:pPr>
        <w:ind w:left="3560" w:hanging="1080"/>
      </w:pPr>
      <w:rPr>
        <w:rFonts w:hint="default"/>
      </w:rPr>
    </w:lvl>
    <w:lvl w:ilvl="6" w:tentative="0">
      <w:start w:val="1"/>
      <w:numFmt w:val="decimal"/>
      <w:lvlText w:val="%1.%2.%3.%4.%5.%6.%7"/>
      <w:lvlJc w:val="left"/>
      <w:pPr>
        <w:ind w:left="4416" w:hanging="1440"/>
      </w:pPr>
      <w:rPr>
        <w:rFonts w:hint="default"/>
      </w:rPr>
    </w:lvl>
    <w:lvl w:ilvl="7" w:tentative="0">
      <w:start w:val="1"/>
      <w:numFmt w:val="decimal"/>
      <w:lvlText w:val="%1.%2.%3.%4.%5.%6.%7.%8"/>
      <w:lvlJc w:val="left"/>
      <w:pPr>
        <w:ind w:left="4912" w:hanging="1440"/>
      </w:pPr>
      <w:rPr>
        <w:rFonts w:hint="default"/>
      </w:rPr>
    </w:lvl>
    <w:lvl w:ilvl="8" w:tentative="0">
      <w:start w:val="1"/>
      <w:numFmt w:val="decimal"/>
      <w:lvlText w:val="%1.%2.%3.%4.%5.%6.%7.%8.%9"/>
      <w:lvlJc w:val="left"/>
      <w:pPr>
        <w:ind w:left="5768" w:hanging="1800"/>
      </w:pPr>
      <w:rPr>
        <w:rFonts w:hint="default"/>
      </w:rPr>
    </w:lvl>
  </w:abstractNum>
  <w:abstractNum w:abstractNumId="4">
    <w:nsid w:val="3262217B"/>
    <w:multiLevelType w:val="multilevel"/>
    <w:tmpl w:val="3262217B"/>
    <w:lvl w:ilvl="0" w:tentative="0">
      <w:start w:val="1"/>
      <w:numFmt w:val="decimal"/>
      <w:lvlText w:val="%1、"/>
      <w:lvlJc w:val="left"/>
      <w:pPr>
        <w:ind w:left="360" w:hanging="360"/>
      </w:pPr>
      <w:rPr>
        <w:rFonts w:hint="default"/>
      </w:rPr>
    </w:lvl>
    <w:lvl w:ilvl="1" w:tentative="0">
      <w:start w:val="1"/>
      <w:numFmt w:val="decimal"/>
      <w:lvlText w:val="13.%2"/>
      <w:lvlJc w:val="left"/>
      <w:pPr>
        <w:tabs>
          <w:tab w:val="left" w:pos="992"/>
        </w:tabs>
        <w:ind w:left="992" w:hanging="566"/>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5">
    <w:nsid w:val="35A4061F"/>
    <w:multiLevelType w:val="multilevel"/>
    <w:tmpl w:val="35A4061F"/>
    <w:lvl w:ilvl="0" w:tentative="0">
      <w:start w:val="1"/>
      <w:numFmt w:val="none"/>
      <w:lvlText w:val="6."/>
      <w:lvlJc w:val="left"/>
      <w:pPr>
        <w:ind w:left="425" w:hanging="425"/>
      </w:pPr>
      <w:rPr>
        <w:rFonts w:hint="eastAsia"/>
      </w:rPr>
    </w:lvl>
    <w:lvl w:ilvl="1" w:tentative="0">
      <w:start w:val="1"/>
      <w:numFmt w:val="decimal"/>
      <w:lvlText w:val="5.%2"/>
      <w:lvlJc w:val="left"/>
      <w:pPr>
        <w:ind w:left="567" w:hanging="567"/>
      </w:pPr>
      <w:rPr>
        <w:rFonts w:hint="eastAsia"/>
      </w:rPr>
    </w:lvl>
    <w:lvl w:ilvl="2" w:tentative="0">
      <w:start w:val="1"/>
      <w:numFmt w:val="decimal"/>
      <w:lvlText w:val="%16.%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3A93648A"/>
    <w:multiLevelType w:val="multilevel"/>
    <w:tmpl w:val="3A93648A"/>
    <w:lvl w:ilvl="0" w:tentative="0">
      <w:start w:val="13"/>
      <w:numFmt w:val="decimal"/>
      <w:lvlText w:val="%1"/>
      <w:lvlJc w:val="left"/>
      <w:pPr>
        <w:ind w:left="420" w:hanging="420"/>
      </w:pPr>
      <w:rPr>
        <w:rFonts w:hint="default"/>
      </w:rPr>
    </w:lvl>
    <w:lvl w:ilvl="1" w:tentative="0">
      <w:start w:val="1"/>
      <w:numFmt w:val="decimal"/>
      <w:lvlText w:val="12.%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7">
    <w:nsid w:val="3A9C25C7"/>
    <w:multiLevelType w:val="multilevel"/>
    <w:tmpl w:val="3A9C25C7"/>
    <w:lvl w:ilvl="0" w:tentative="0">
      <w:start w:val="9"/>
      <w:numFmt w:val="decimal"/>
      <w:lvlText w:val="%1"/>
      <w:lvlJc w:val="left"/>
      <w:pPr>
        <w:ind w:left="360" w:hanging="360"/>
      </w:pPr>
      <w:rPr>
        <w:rFonts w:hint="default"/>
      </w:rPr>
    </w:lvl>
    <w:lvl w:ilvl="1" w:tentative="0">
      <w:start w:val="1"/>
      <w:numFmt w:val="decimal"/>
      <w:lvlText w:val="8.%2"/>
      <w:lvlJc w:val="left"/>
      <w:pPr>
        <w:ind w:left="1494" w:hanging="360"/>
      </w:pPr>
      <w:rPr>
        <w:rFonts w:hint="default" w:ascii="微软雅黑" w:hAnsi="微软雅黑" w:eastAsia="微软雅黑" w:cs="Arial"/>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8">
    <w:nsid w:val="3B74240C"/>
    <w:multiLevelType w:val="multilevel"/>
    <w:tmpl w:val="3B74240C"/>
    <w:lvl w:ilvl="0" w:tentative="0">
      <w:start w:val="1"/>
      <w:numFmt w:val="none"/>
      <w:lvlText w:val="5."/>
      <w:lvlJc w:val="left"/>
      <w:pPr>
        <w:ind w:left="425" w:hanging="425"/>
      </w:pPr>
      <w:rPr>
        <w:rFonts w:hint="eastAsia"/>
      </w:rPr>
    </w:lvl>
    <w:lvl w:ilvl="1" w:tentative="0">
      <w:start w:val="1"/>
      <w:numFmt w:val="decimal"/>
      <w:lvlText w:val="4.%2"/>
      <w:lvlJc w:val="left"/>
      <w:pPr>
        <w:ind w:left="992" w:hanging="567"/>
      </w:pPr>
      <w:rPr>
        <w:rFonts w:hint="eastAsia"/>
        <w:b w:val="0"/>
        <w:color w:val="auto"/>
      </w:rPr>
    </w:lvl>
    <w:lvl w:ilvl="2" w:tentative="0">
      <w:start w:val="1"/>
      <w:numFmt w:val="decimal"/>
      <w:lvlText w:val="%15.%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3E2E2C74"/>
    <w:multiLevelType w:val="multilevel"/>
    <w:tmpl w:val="3E2E2C74"/>
    <w:lvl w:ilvl="0" w:tentative="0">
      <w:start w:val="8"/>
      <w:numFmt w:val="decimal"/>
      <w:lvlText w:val="%1"/>
      <w:lvlJc w:val="left"/>
      <w:pPr>
        <w:ind w:left="360" w:hanging="360"/>
      </w:pPr>
      <w:rPr>
        <w:rFonts w:hint="default"/>
      </w:rPr>
    </w:lvl>
    <w:lvl w:ilvl="1" w:tentative="0">
      <w:start w:val="4"/>
      <w:numFmt w:val="decimal"/>
      <w:lvlText w:val="7.%2"/>
      <w:lvlJc w:val="left"/>
      <w:pPr>
        <w:ind w:left="1494" w:hanging="360"/>
      </w:pPr>
      <w:rPr>
        <w:rFonts w:hint="eastAsia"/>
        <w:color w:val="auto"/>
      </w:rPr>
    </w:lvl>
    <w:lvl w:ilvl="2" w:tentative="0">
      <w:start w:val="1"/>
      <w:numFmt w:val="decimal"/>
      <w:lvlText w:val="7.3.%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0">
    <w:nsid w:val="43944942"/>
    <w:multiLevelType w:val="multilevel"/>
    <w:tmpl w:val="43944942"/>
    <w:lvl w:ilvl="0" w:tentative="0">
      <w:start w:val="8"/>
      <w:numFmt w:val="decimal"/>
      <w:lvlText w:val="%1"/>
      <w:lvlJc w:val="left"/>
      <w:pPr>
        <w:ind w:left="360" w:hanging="360"/>
      </w:pPr>
      <w:rPr>
        <w:rFonts w:hint="default"/>
      </w:rPr>
    </w:lvl>
    <w:lvl w:ilvl="1" w:tentative="0">
      <w:start w:val="1"/>
      <w:numFmt w:val="decimal"/>
      <w:lvlText w:val="7.%2"/>
      <w:lvlJc w:val="left"/>
      <w:pPr>
        <w:ind w:left="1494" w:hanging="360"/>
      </w:pPr>
      <w:rPr>
        <w:rFonts w:hint="eastAsia"/>
        <w:color w:val="auto"/>
      </w:rPr>
    </w:lvl>
    <w:lvl w:ilvl="2" w:tentative="0">
      <w:start w:val="8"/>
      <w:numFmt w:val="decimal"/>
      <w:lvlText w:val="7.4.%3"/>
      <w:lvlJc w:val="left"/>
      <w:pPr>
        <w:ind w:left="2988" w:hanging="720"/>
      </w:pPr>
      <w:rPr>
        <w:rFonts w:hint="eastAsia"/>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1">
    <w:nsid w:val="450F14E4"/>
    <w:multiLevelType w:val="multilevel"/>
    <w:tmpl w:val="450F14E4"/>
    <w:lvl w:ilvl="0" w:tentative="0">
      <w:start w:val="10"/>
      <w:numFmt w:val="decimal"/>
      <w:lvlText w:val="%1"/>
      <w:lvlJc w:val="left"/>
      <w:pPr>
        <w:ind w:left="420" w:hanging="420"/>
      </w:pPr>
      <w:rPr>
        <w:rFonts w:hint="default"/>
      </w:rPr>
    </w:lvl>
    <w:lvl w:ilvl="1" w:tentative="0">
      <w:start w:val="1"/>
      <w:numFmt w:val="decimal"/>
      <w:lvlText w:val="9.%2"/>
      <w:lvlJc w:val="left"/>
      <w:pPr>
        <w:ind w:left="1554" w:hanging="420"/>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2">
    <w:nsid w:val="456E6247"/>
    <w:multiLevelType w:val="multilevel"/>
    <w:tmpl w:val="456E6247"/>
    <w:lvl w:ilvl="0" w:tentative="0">
      <w:start w:val="1"/>
      <w:numFmt w:val="decimal"/>
      <w:lvlText w:val="4.1.%1"/>
      <w:lvlJc w:val="left"/>
      <w:pPr>
        <w:ind w:left="1678" w:hanging="685"/>
      </w:pPr>
      <w:rPr>
        <w:rFonts w:hint="eastAsia"/>
      </w:rPr>
    </w:lvl>
    <w:lvl w:ilvl="1" w:tentative="0">
      <w:start w:val="1"/>
      <w:numFmt w:val="lowerLetter"/>
      <w:lvlText w:val="%2)"/>
      <w:lvlJc w:val="left"/>
      <w:pPr>
        <w:ind w:left="1833" w:hanging="420"/>
      </w:pPr>
      <w:rPr>
        <w:rFonts w:hint="eastAsia"/>
      </w:rPr>
    </w:lvl>
    <w:lvl w:ilvl="2" w:tentative="0">
      <w:start w:val="1"/>
      <w:numFmt w:val="lowerRoman"/>
      <w:lvlText w:val="%3."/>
      <w:lvlJc w:val="right"/>
      <w:pPr>
        <w:ind w:left="2253" w:hanging="420"/>
      </w:pPr>
      <w:rPr>
        <w:rFonts w:hint="eastAsia"/>
      </w:rPr>
    </w:lvl>
    <w:lvl w:ilvl="3" w:tentative="0">
      <w:start w:val="1"/>
      <w:numFmt w:val="decimal"/>
      <w:lvlText w:val="%4."/>
      <w:lvlJc w:val="left"/>
      <w:pPr>
        <w:ind w:left="2673" w:hanging="420"/>
      </w:pPr>
      <w:rPr>
        <w:rFonts w:hint="eastAsia"/>
      </w:rPr>
    </w:lvl>
    <w:lvl w:ilvl="4" w:tentative="0">
      <w:start w:val="1"/>
      <w:numFmt w:val="lowerLetter"/>
      <w:lvlText w:val="%5)"/>
      <w:lvlJc w:val="left"/>
      <w:pPr>
        <w:ind w:left="3093" w:hanging="420"/>
      </w:pPr>
      <w:rPr>
        <w:rFonts w:hint="eastAsia"/>
      </w:rPr>
    </w:lvl>
    <w:lvl w:ilvl="5" w:tentative="0">
      <w:start w:val="1"/>
      <w:numFmt w:val="lowerRoman"/>
      <w:lvlText w:val="%6."/>
      <w:lvlJc w:val="right"/>
      <w:pPr>
        <w:ind w:left="3513" w:hanging="420"/>
      </w:pPr>
      <w:rPr>
        <w:rFonts w:hint="eastAsia"/>
      </w:rPr>
    </w:lvl>
    <w:lvl w:ilvl="6" w:tentative="0">
      <w:start w:val="1"/>
      <w:numFmt w:val="decimal"/>
      <w:lvlText w:val="%7."/>
      <w:lvlJc w:val="left"/>
      <w:pPr>
        <w:ind w:left="3933" w:hanging="420"/>
      </w:pPr>
      <w:rPr>
        <w:rFonts w:hint="eastAsia"/>
      </w:rPr>
    </w:lvl>
    <w:lvl w:ilvl="7" w:tentative="0">
      <w:start w:val="1"/>
      <w:numFmt w:val="lowerLetter"/>
      <w:lvlText w:val="%8)"/>
      <w:lvlJc w:val="left"/>
      <w:pPr>
        <w:ind w:left="4353" w:hanging="420"/>
      </w:pPr>
      <w:rPr>
        <w:rFonts w:hint="eastAsia"/>
      </w:rPr>
    </w:lvl>
    <w:lvl w:ilvl="8" w:tentative="0">
      <w:start w:val="1"/>
      <w:numFmt w:val="lowerRoman"/>
      <w:lvlText w:val="%9."/>
      <w:lvlJc w:val="right"/>
      <w:pPr>
        <w:ind w:left="4773" w:hanging="420"/>
      </w:pPr>
      <w:rPr>
        <w:rFonts w:hint="eastAsia"/>
      </w:rPr>
    </w:lvl>
  </w:abstractNum>
  <w:abstractNum w:abstractNumId="13">
    <w:nsid w:val="54312B1A"/>
    <w:multiLevelType w:val="multilevel"/>
    <w:tmpl w:val="54312B1A"/>
    <w:lvl w:ilvl="0" w:tentative="0">
      <w:start w:val="1"/>
      <w:numFmt w:val="decimal"/>
      <w:lvlText w:val="1.%1"/>
      <w:lvlJc w:val="left"/>
      <w:pPr>
        <w:tabs>
          <w:tab w:val="left" w:pos="992"/>
        </w:tabs>
        <w:ind w:left="992" w:hanging="567"/>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FCB4529"/>
    <w:multiLevelType w:val="multilevel"/>
    <w:tmpl w:val="5FCB4529"/>
    <w:lvl w:ilvl="0" w:tentative="0">
      <w:start w:val="1"/>
      <w:numFmt w:val="decimal"/>
      <w:lvlText w:val="3.%1"/>
      <w:lvlJc w:val="left"/>
      <w:pPr>
        <w:tabs>
          <w:tab w:val="left" w:pos="2103"/>
        </w:tabs>
        <w:ind w:left="2103" w:hanging="686"/>
      </w:pPr>
      <w:rPr>
        <w:rFonts w:hint="eastAsia"/>
      </w:rPr>
    </w:lvl>
    <w:lvl w:ilvl="1" w:tentative="0">
      <w:start w:val="1"/>
      <w:numFmt w:val="decimal"/>
      <w:lvlText w:val="3.%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4E6196B"/>
    <w:multiLevelType w:val="multilevel"/>
    <w:tmpl w:val="64E6196B"/>
    <w:lvl w:ilvl="0" w:tentative="0">
      <w:start w:val="1"/>
      <w:numFmt w:val="japaneseCounting"/>
      <w:lvlText w:val="第%1条"/>
      <w:lvlJc w:val="left"/>
      <w:pPr>
        <w:tabs>
          <w:tab w:val="left" w:pos="8106"/>
        </w:tabs>
        <w:ind w:left="8106" w:hanging="735"/>
      </w:pPr>
      <w:rPr>
        <w:rFonts w:hint="default"/>
        <w:b/>
        <w:sz w:val="21"/>
        <w:szCs w:val="21"/>
      </w:rPr>
    </w:lvl>
    <w:lvl w:ilvl="1" w:tentative="0">
      <w:start w:val="1"/>
      <w:numFmt w:val="decimal"/>
      <w:lvlText w:val="3.%2."/>
      <w:lvlJc w:val="left"/>
      <w:pPr>
        <w:tabs>
          <w:tab w:val="left" w:pos="420"/>
        </w:tabs>
        <w:ind w:left="6" w:hanging="720"/>
      </w:pPr>
      <w:rPr>
        <w:rFonts w:hint="default" w:ascii="新宋体" w:hAnsi="新宋体" w:eastAsia="新宋体" w:cs="Arial"/>
        <w:lang w:val="en-US"/>
      </w:rPr>
    </w:lvl>
    <w:lvl w:ilvl="2" w:tentative="0">
      <w:start w:val="1"/>
      <w:numFmt w:val="lowerRoman"/>
      <w:lvlText w:val="%3."/>
      <w:lvlJc w:val="right"/>
      <w:pPr>
        <w:tabs>
          <w:tab w:val="left" w:pos="126"/>
        </w:tabs>
        <w:ind w:left="126" w:hanging="420"/>
      </w:pPr>
    </w:lvl>
    <w:lvl w:ilvl="3" w:tentative="0">
      <w:start w:val="1"/>
      <w:numFmt w:val="decimal"/>
      <w:lvlText w:val="%4."/>
      <w:lvlJc w:val="left"/>
      <w:pPr>
        <w:tabs>
          <w:tab w:val="left" w:pos="546"/>
        </w:tabs>
        <w:ind w:left="546" w:hanging="420"/>
      </w:pPr>
    </w:lvl>
    <w:lvl w:ilvl="4" w:tentative="0">
      <w:start w:val="1"/>
      <w:numFmt w:val="lowerLetter"/>
      <w:lvlText w:val="%5)"/>
      <w:lvlJc w:val="left"/>
      <w:pPr>
        <w:tabs>
          <w:tab w:val="left" w:pos="966"/>
        </w:tabs>
        <w:ind w:left="966" w:hanging="420"/>
      </w:pPr>
    </w:lvl>
    <w:lvl w:ilvl="5" w:tentative="0">
      <w:start w:val="1"/>
      <w:numFmt w:val="lowerRoman"/>
      <w:lvlText w:val="%6."/>
      <w:lvlJc w:val="right"/>
      <w:pPr>
        <w:tabs>
          <w:tab w:val="left" w:pos="1386"/>
        </w:tabs>
        <w:ind w:left="1386" w:hanging="420"/>
      </w:pPr>
    </w:lvl>
    <w:lvl w:ilvl="6" w:tentative="0">
      <w:start w:val="1"/>
      <w:numFmt w:val="decimal"/>
      <w:lvlText w:val="%7."/>
      <w:lvlJc w:val="left"/>
      <w:pPr>
        <w:tabs>
          <w:tab w:val="left" w:pos="1806"/>
        </w:tabs>
        <w:ind w:left="1806" w:hanging="420"/>
      </w:pPr>
    </w:lvl>
    <w:lvl w:ilvl="7" w:tentative="0">
      <w:start w:val="1"/>
      <w:numFmt w:val="lowerLetter"/>
      <w:lvlText w:val="%8)"/>
      <w:lvlJc w:val="left"/>
      <w:pPr>
        <w:tabs>
          <w:tab w:val="left" w:pos="2226"/>
        </w:tabs>
        <w:ind w:left="2226" w:hanging="420"/>
      </w:pPr>
    </w:lvl>
    <w:lvl w:ilvl="8" w:tentative="0">
      <w:start w:val="1"/>
      <w:numFmt w:val="lowerRoman"/>
      <w:lvlText w:val="%9."/>
      <w:lvlJc w:val="right"/>
      <w:pPr>
        <w:tabs>
          <w:tab w:val="left" w:pos="2646"/>
        </w:tabs>
        <w:ind w:left="2646" w:hanging="420"/>
      </w:pPr>
    </w:lvl>
  </w:abstractNum>
  <w:abstractNum w:abstractNumId="16">
    <w:nsid w:val="663432A3"/>
    <w:multiLevelType w:val="multilevel"/>
    <w:tmpl w:val="663432A3"/>
    <w:lvl w:ilvl="0" w:tentative="0">
      <w:start w:val="11"/>
      <w:numFmt w:val="decimal"/>
      <w:lvlText w:val="%1"/>
      <w:lvlJc w:val="left"/>
      <w:pPr>
        <w:ind w:left="420" w:hanging="420"/>
      </w:pPr>
      <w:rPr>
        <w:rFonts w:hint="default"/>
      </w:rPr>
    </w:lvl>
    <w:lvl w:ilvl="1" w:tentative="0">
      <w:start w:val="1"/>
      <w:numFmt w:val="decimal"/>
      <w:lvlText w:val="10.%2"/>
      <w:lvlJc w:val="left"/>
      <w:pPr>
        <w:tabs>
          <w:tab w:val="left" w:pos="992"/>
        </w:tabs>
        <w:ind w:left="992" w:hanging="567"/>
      </w:pPr>
      <w:rPr>
        <w:rFonts w:hint="eastAsia"/>
      </w:rPr>
    </w:lvl>
    <w:lvl w:ilvl="2" w:tentative="0">
      <w:start w:val="1"/>
      <w:numFmt w:val="decimal"/>
      <w:lvlText w:val="%1.%2.%3"/>
      <w:lvlJc w:val="left"/>
      <w:pPr>
        <w:ind w:left="2988" w:hanging="720"/>
      </w:pPr>
      <w:rPr>
        <w:rFonts w:hint="default"/>
      </w:rPr>
    </w:lvl>
    <w:lvl w:ilvl="3" w:tentative="0">
      <w:start w:val="1"/>
      <w:numFmt w:val="decimal"/>
      <w:lvlText w:val="%1.%2.%3.%4"/>
      <w:lvlJc w:val="left"/>
      <w:pPr>
        <w:ind w:left="4482" w:hanging="1080"/>
      </w:pPr>
      <w:rPr>
        <w:rFonts w:hint="default"/>
      </w:rPr>
    </w:lvl>
    <w:lvl w:ilvl="4" w:tentative="0">
      <w:start w:val="1"/>
      <w:numFmt w:val="decimal"/>
      <w:lvlText w:val="%1.%2.%3.%4.%5"/>
      <w:lvlJc w:val="left"/>
      <w:pPr>
        <w:ind w:left="5616" w:hanging="1080"/>
      </w:pPr>
      <w:rPr>
        <w:rFonts w:hint="default"/>
      </w:rPr>
    </w:lvl>
    <w:lvl w:ilvl="5" w:tentative="0">
      <w:start w:val="1"/>
      <w:numFmt w:val="decimal"/>
      <w:lvlText w:val="%1.%2.%3.%4.%5.%6"/>
      <w:lvlJc w:val="left"/>
      <w:pPr>
        <w:ind w:left="7110" w:hanging="1440"/>
      </w:pPr>
      <w:rPr>
        <w:rFonts w:hint="default"/>
      </w:rPr>
    </w:lvl>
    <w:lvl w:ilvl="6" w:tentative="0">
      <w:start w:val="1"/>
      <w:numFmt w:val="decimal"/>
      <w:lvlText w:val="%1.%2.%3.%4.%5.%6.%7"/>
      <w:lvlJc w:val="left"/>
      <w:pPr>
        <w:ind w:left="8244" w:hanging="1440"/>
      </w:pPr>
      <w:rPr>
        <w:rFonts w:hint="default"/>
      </w:rPr>
    </w:lvl>
    <w:lvl w:ilvl="7" w:tentative="0">
      <w:start w:val="1"/>
      <w:numFmt w:val="decimal"/>
      <w:lvlText w:val="%1.%2.%3.%4.%5.%6.%7.%8"/>
      <w:lvlJc w:val="left"/>
      <w:pPr>
        <w:ind w:left="9738" w:hanging="1800"/>
      </w:pPr>
      <w:rPr>
        <w:rFonts w:hint="default"/>
      </w:rPr>
    </w:lvl>
    <w:lvl w:ilvl="8" w:tentative="0">
      <w:start w:val="1"/>
      <w:numFmt w:val="decimal"/>
      <w:lvlText w:val="%1.%2.%3.%4.%5.%6.%7.%8.%9"/>
      <w:lvlJc w:val="left"/>
      <w:pPr>
        <w:ind w:left="10872" w:hanging="1800"/>
      </w:pPr>
      <w:rPr>
        <w:rFonts w:hint="default"/>
      </w:rPr>
    </w:lvl>
  </w:abstractNum>
  <w:abstractNum w:abstractNumId="17">
    <w:nsid w:val="72742694"/>
    <w:multiLevelType w:val="multilevel"/>
    <w:tmpl w:val="7274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2"/>
  </w:num>
  <w:num w:numId="4">
    <w:abstractNumId w:val="14"/>
  </w:num>
  <w:num w:numId="5">
    <w:abstractNumId w:val="17"/>
  </w:num>
  <w:num w:numId="6">
    <w:abstractNumId w:val="8"/>
  </w:num>
  <w:num w:numId="7">
    <w:abstractNumId w:val="12"/>
  </w:num>
  <w:num w:numId="8">
    <w:abstractNumId w:val="5"/>
  </w:num>
  <w:num w:numId="9">
    <w:abstractNumId w:val="3"/>
  </w:num>
  <w:num w:numId="10">
    <w:abstractNumId w:val="1"/>
  </w:num>
  <w:num w:numId="11">
    <w:abstractNumId w:val="10"/>
  </w:num>
  <w:num w:numId="12">
    <w:abstractNumId w:val="9"/>
  </w:num>
  <w:num w:numId="13">
    <w:abstractNumId w:val="7"/>
  </w:num>
  <w:num w:numId="14">
    <w:abstractNumId w:val="11"/>
  </w:num>
  <w:num w:numId="15">
    <w:abstractNumId w:val="16"/>
  </w:num>
  <w:num w:numId="16">
    <w:abstractNumId w:val="0"/>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kNmJkNzIxYzdkZmYyODI3OTM1Y2QzZGY0YjgzMmMifQ=="/>
  </w:docVars>
  <w:rsids>
    <w:rsidRoot w:val="00104EE8"/>
    <w:rsid w:val="00007663"/>
    <w:rsid w:val="00032F2D"/>
    <w:rsid w:val="00041CDB"/>
    <w:rsid w:val="00050AD6"/>
    <w:rsid w:val="00050D62"/>
    <w:rsid w:val="00051244"/>
    <w:rsid w:val="000569D1"/>
    <w:rsid w:val="00060459"/>
    <w:rsid w:val="00063571"/>
    <w:rsid w:val="00086A58"/>
    <w:rsid w:val="00086C51"/>
    <w:rsid w:val="00091206"/>
    <w:rsid w:val="00097437"/>
    <w:rsid w:val="000C116F"/>
    <w:rsid w:val="000D0123"/>
    <w:rsid w:val="000D7FF7"/>
    <w:rsid w:val="000E0187"/>
    <w:rsid w:val="000E1967"/>
    <w:rsid w:val="000E77B6"/>
    <w:rsid w:val="000F10AB"/>
    <w:rsid w:val="000F378A"/>
    <w:rsid w:val="00104EE8"/>
    <w:rsid w:val="001428B8"/>
    <w:rsid w:val="00160B36"/>
    <w:rsid w:val="00167FF8"/>
    <w:rsid w:val="00172F9A"/>
    <w:rsid w:val="00175C2A"/>
    <w:rsid w:val="0019155C"/>
    <w:rsid w:val="001A148C"/>
    <w:rsid w:val="001B40F2"/>
    <w:rsid w:val="001C32CD"/>
    <w:rsid w:val="001D0219"/>
    <w:rsid w:val="001D33CD"/>
    <w:rsid w:val="001E7083"/>
    <w:rsid w:val="00200BA8"/>
    <w:rsid w:val="00210686"/>
    <w:rsid w:val="00211010"/>
    <w:rsid w:val="00214FA5"/>
    <w:rsid w:val="00215B71"/>
    <w:rsid w:val="0022198C"/>
    <w:rsid w:val="00242D71"/>
    <w:rsid w:val="00261A92"/>
    <w:rsid w:val="0026334E"/>
    <w:rsid w:val="00266C23"/>
    <w:rsid w:val="00267785"/>
    <w:rsid w:val="00267B91"/>
    <w:rsid w:val="00285DB7"/>
    <w:rsid w:val="002916C9"/>
    <w:rsid w:val="00292D0D"/>
    <w:rsid w:val="00295E55"/>
    <w:rsid w:val="002A24D2"/>
    <w:rsid w:val="002A5135"/>
    <w:rsid w:val="002B0231"/>
    <w:rsid w:val="002C25BE"/>
    <w:rsid w:val="002C6E70"/>
    <w:rsid w:val="00300807"/>
    <w:rsid w:val="00330212"/>
    <w:rsid w:val="0033582F"/>
    <w:rsid w:val="0033764D"/>
    <w:rsid w:val="00337D40"/>
    <w:rsid w:val="0034000C"/>
    <w:rsid w:val="00342F05"/>
    <w:rsid w:val="003510D4"/>
    <w:rsid w:val="00352C9B"/>
    <w:rsid w:val="003544FD"/>
    <w:rsid w:val="00380FA6"/>
    <w:rsid w:val="00390FD2"/>
    <w:rsid w:val="003B153F"/>
    <w:rsid w:val="003D6F3A"/>
    <w:rsid w:val="004208E9"/>
    <w:rsid w:val="00434F57"/>
    <w:rsid w:val="004679F9"/>
    <w:rsid w:val="00492CC8"/>
    <w:rsid w:val="00496012"/>
    <w:rsid w:val="0049788A"/>
    <w:rsid w:val="004A4AFD"/>
    <w:rsid w:val="004A6C66"/>
    <w:rsid w:val="004C3AED"/>
    <w:rsid w:val="004E2EF8"/>
    <w:rsid w:val="00501676"/>
    <w:rsid w:val="005049E0"/>
    <w:rsid w:val="005135DF"/>
    <w:rsid w:val="00524E87"/>
    <w:rsid w:val="00525A8C"/>
    <w:rsid w:val="005449CB"/>
    <w:rsid w:val="00545F99"/>
    <w:rsid w:val="005520A5"/>
    <w:rsid w:val="00556067"/>
    <w:rsid w:val="00567846"/>
    <w:rsid w:val="005A4D96"/>
    <w:rsid w:val="005B12DA"/>
    <w:rsid w:val="005D277F"/>
    <w:rsid w:val="005E4E19"/>
    <w:rsid w:val="005F6CFA"/>
    <w:rsid w:val="0062644F"/>
    <w:rsid w:val="0067153A"/>
    <w:rsid w:val="006734C2"/>
    <w:rsid w:val="00690190"/>
    <w:rsid w:val="006922E4"/>
    <w:rsid w:val="006A0885"/>
    <w:rsid w:val="006A25FF"/>
    <w:rsid w:val="006B033E"/>
    <w:rsid w:val="006B1D97"/>
    <w:rsid w:val="006C3E2E"/>
    <w:rsid w:val="006D344F"/>
    <w:rsid w:val="00710124"/>
    <w:rsid w:val="00711F51"/>
    <w:rsid w:val="00715963"/>
    <w:rsid w:val="00726928"/>
    <w:rsid w:val="00745042"/>
    <w:rsid w:val="007572C1"/>
    <w:rsid w:val="0076032F"/>
    <w:rsid w:val="007730DC"/>
    <w:rsid w:val="00774E25"/>
    <w:rsid w:val="00775187"/>
    <w:rsid w:val="00792624"/>
    <w:rsid w:val="00797F73"/>
    <w:rsid w:val="007A1044"/>
    <w:rsid w:val="007A11CF"/>
    <w:rsid w:val="007B06A7"/>
    <w:rsid w:val="007B773D"/>
    <w:rsid w:val="007E5479"/>
    <w:rsid w:val="007F0FD2"/>
    <w:rsid w:val="007F72E3"/>
    <w:rsid w:val="0082246D"/>
    <w:rsid w:val="00825F8E"/>
    <w:rsid w:val="008260C6"/>
    <w:rsid w:val="00830FD9"/>
    <w:rsid w:val="00835F90"/>
    <w:rsid w:val="00836CEC"/>
    <w:rsid w:val="00843472"/>
    <w:rsid w:val="00847DA3"/>
    <w:rsid w:val="00851D0A"/>
    <w:rsid w:val="00865466"/>
    <w:rsid w:val="0088134F"/>
    <w:rsid w:val="00886E6A"/>
    <w:rsid w:val="008C5642"/>
    <w:rsid w:val="008D0879"/>
    <w:rsid w:val="008D3F2D"/>
    <w:rsid w:val="008F6389"/>
    <w:rsid w:val="0090713D"/>
    <w:rsid w:val="00914332"/>
    <w:rsid w:val="00933B0F"/>
    <w:rsid w:val="00956F04"/>
    <w:rsid w:val="00982C73"/>
    <w:rsid w:val="00986AE3"/>
    <w:rsid w:val="009901C2"/>
    <w:rsid w:val="009A19BD"/>
    <w:rsid w:val="009A7CE1"/>
    <w:rsid w:val="009B6BD9"/>
    <w:rsid w:val="009D1716"/>
    <w:rsid w:val="009D4941"/>
    <w:rsid w:val="009F69B5"/>
    <w:rsid w:val="00A0267B"/>
    <w:rsid w:val="00A06EFD"/>
    <w:rsid w:val="00A212CA"/>
    <w:rsid w:val="00A44614"/>
    <w:rsid w:val="00A451A5"/>
    <w:rsid w:val="00A4629E"/>
    <w:rsid w:val="00A6301D"/>
    <w:rsid w:val="00A64EA8"/>
    <w:rsid w:val="00A80DC2"/>
    <w:rsid w:val="00A839AF"/>
    <w:rsid w:val="00A84433"/>
    <w:rsid w:val="00A91AB0"/>
    <w:rsid w:val="00AA01B7"/>
    <w:rsid w:val="00AC3E58"/>
    <w:rsid w:val="00AC6904"/>
    <w:rsid w:val="00AD357B"/>
    <w:rsid w:val="00AD734E"/>
    <w:rsid w:val="00AE2DDD"/>
    <w:rsid w:val="00AE2FF9"/>
    <w:rsid w:val="00AF253A"/>
    <w:rsid w:val="00B23C59"/>
    <w:rsid w:val="00B35843"/>
    <w:rsid w:val="00B56138"/>
    <w:rsid w:val="00B60626"/>
    <w:rsid w:val="00B771ED"/>
    <w:rsid w:val="00B8208C"/>
    <w:rsid w:val="00B955E8"/>
    <w:rsid w:val="00BA605E"/>
    <w:rsid w:val="00BD1651"/>
    <w:rsid w:val="00BF0B1A"/>
    <w:rsid w:val="00C31DD6"/>
    <w:rsid w:val="00C355AF"/>
    <w:rsid w:val="00C35C59"/>
    <w:rsid w:val="00C74510"/>
    <w:rsid w:val="00C81912"/>
    <w:rsid w:val="00C85D3F"/>
    <w:rsid w:val="00C87512"/>
    <w:rsid w:val="00C9094C"/>
    <w:rsid w:val="00C91D8A"/>
    <w:rsid w:val="00CA0493"/>
    <w:rsid w:val="00CB2F58"/>
    <w:rsid w:val="00CB384B"/>
    <w:rsid w:val="00CB721E"/>
    <w:rsid w:val="00CC6971"/>
    <w:rsid w:val="00CD2497"/>
    <w:rsid w:val="00CD45A2"/>
    <w:rsid w:val="00CE2B33"/>
    <w:rsid w:val="00D130BE"/>
    <w:rsid w:val="00D2496C"/>
    <w:rsid w:val="00D41218"/>
    <w:rsid w:val="00D45BAD"/>
    <w:rsid w:val="00D73627"/>
    <w:rsid w:val="00D81616"/>
    <w:rsid w:val="00D87B2D"/>
    <w:rsid w:val="00DA5DD6"/>
    <w:rsid w:val="00DC063B"/>
    <w:rsid w:val="00DF2B34"/>
    <w:rsid w:val="00DF3C54"/>
    <w:rsid w:val="00DF4F27"/>
    <w:rsid w:val="00E16852"/>
    <w:rsid w:val="00E31CEF"/>
    <w:rsid w:val="00E474AB"/>
    <w:rsid w:val="00E50CCA"/>
    <w:rsid w:val="00E60DA4"/>
    <w:rsid w:val="00E665E8"/>
    <w:rsid w:val="00E8120D"/>
    <w:rsid w:val="00E8557A"/>
    <w:rsid w:val="00E903F7"/>
    <w:rsid w:val="00EA0FE0"/>
    <w:rsid w:val="00EC4300"/>
    <w:rsid w:val="00EC67F3"/>
    <w:rsid w:val="00ED07D2"/>
    <w:rsid w:val="00F04A4E"/>
    <w:rsid w:val="00F47BBD"/>
    <w:rsid w:val="00F54712"/>
    <w:rsid w:val="00F54A66"/>
    <w:rsid w:val="00F62749"/>
    <w:rsid w:val="00F66038"/>
    <w:rsid w:val="00F92954"/>
    <w:rsid w:val="00F96BD1"/>
    <w:rsid w:val="00FB2FB4"/>
    <w:rsid w:val="00FC377F"/>
    <w:rsid w:val="00FD760F"/>
    <w:rsid w:val="04DC643E"/>
    <w:rsid w:val="068472F9"/>
    <w:rsid w:val="0BFB5CC3"/>
    <w:rsid w:val="0DB735A4"/>
    <w:rsid w:val="14A73FF1"/>
    <w:rsid w:val="150A66AF"/>
    <w:rsid w:val="16651DE7"/>
    <w:rsid w:val="16E71056"/>
    <w:rsid w:val="19A075E2"/>
    <w:rsid w:val="1DB43BD1"/>
    <w:rsid w:val="1FD80FDF"/>
    <w:rsid w:val="208F0A3E"/>
    <w:rsid w:val="26371F9D"/>
    <w:rsid w:val="2AC70FEB"/>
    <w:rsid w:val="2CA23219"/>
    <w:rsid w:val="2F3A598B"/>
    <w:rsid w:val="304050A9"/>
    <w:rsid w:val="36142D07"/>
    <w:rsid w:val="3A5D70B4"/>
    <w:rsid w:val="3BD33E2F"/>
    <w:rsid w:val="3C533DA8"/>
    <w:rsid w:val="3E612F34"/>
    <w:rsid w:val="40183AC7"/>
    <w:rsid w:val="433E55F2"/>
    <w:rsid w:val="44427364"/>
    <w:rsid w:val="49D6350D"/>
    <w:rsid w:val="4B842F48"/>
    <w:rsid w:val="4D586240"/>
    <w:rsid w:val="525F6BDF"/>
    <w:rsid w:val="54F17EA3"/>
    <w:rsid w:val="584645C5"/>
    <w:rsid w:val="59486D73"/>
    <w:rsid w:val="5B8878FB"/>
    <w:rsid w:val="5DEB5F1F"/>
    <w:rsid w:val="5E3B3219"/>
    <w:rsid w:val="6005776C"/>
    <w:rsid w:val="60C51F26"/>
    <w:rsid w:val="618E3791"/>
    <w:rsid w:val="635540C4"/>
    <w:rsid w:val="66AD46B9"/>
    <w:rsid w:val="68570199"/>
    <w:rsid w:val="688737E7"/>
    <w:rsid w:val="6894168D"/>
    <w:rsid w:val="6FB70357"/>
    <w:rsid w:val="72444124"/>
    <w:rsid w:val="743010C6"/>
    <w:rsid w:val="74D6127F"/>
    <w:rsid w:val="7AB355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Body Text"/>
    <w:basedOn w:val="1"/>
    <w:link w:val="12"/>
    <w:qFormat/>
    <w:uiPriority w:val="0"/>
    <w:pPr>
      <w:widowControl/>
      <w:tabs>
        <w:tab w:val="left" w:pos="4440"/>
      </w:tabs>
      <w:autoSpaceDE w:val="0"/>
      <w:autoSpaceDN w:val="0"/>
      <w:spacing w:line="440" w:lineRule="exact"/>
      <w:ind w:right="-240"/>
      <w:textAlignment w:val="bottom"/>
    </w:pPr>
    <w:rPr>
      <w:rFonts w:ascii="宋体" w:hAnsi="Courier New"/>
      <w:color w:val="000000"/>
      <w:sz w:val="24"/>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正文文本 字符"/>
    <w:basedOn w:val="8"/>
    <w:link w:val="3"/>
    <w:qFormat/>
    <w:uiPriority w:val="0"/>
    <w:rPr>
      <w:rFonts w:ascii="宋体" w:hAnsi="Courier New" w:eastAsia="宋体" w:cs="Times New Roman"/>
      <w:color w:val="000000"/>
      <w:sz w:val="24"/>
      <w:szCs w:val="2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34"/>
    <w:pPr>
      <w:ind w:firstLine="420" w:firstLineChars="200"/>
    </w:pPr>
  </w:style>
  <w:style w:type="character" w:customStyle="1" w:styleId="15">
    <w:name w:val="批注框文本 字符"/>
    <w:basedOn w:val="8"/>
    <w:link w:val="4"/>
    <w:semiHidden/>
    <w:qFormat/>
    <w:uiPriority w:val="99"/>
    <w:rPr>
      <w:rFonts w:ascii="Times New Roman" w:hAnsi="Times New Roman" w:eastAsia="宋体" w:cs="Times New Roman"/>
      <w:sz w:val="18"/>
      <w:szCs w:val="18"/>
    </w:rPr>
  </w:style>
  <w:style w:type="character" w:customStyle="1" w:styleId="16">
    <w:name w:val="文档结构图 字符"/>
    <w:basedOn w:val="8"/>
    <w:link w:val="2"/>
    <w:semiHidden/>
    <w:qFormat/>
    <w:uiPriority w:val="99"/>
    <w:rPr>
      <w:rFonts w:ascii="宋体" w:hAnsi="Times New Roman" w:eastAsia="宋体" w:cs="Times New Roman"/>
      <w:sz w:val="18"/>
      <w:szCs w:val="18"/>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5573</Words>
  <Characters>5797</Characters>
  <Lines>44</Lines>
  <Paragraphs>12</Paragraphs>
  <TotalTime>24</TotalTime>
  <ScaleCrop>false</ScaleCrop>
  <LinksUpToDate>false</LinksUpToDate>
  <CharactersWithSpaces>5942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2019-09-10T07:39:00Z</dcterms:created>
  <dc:creator>张嘉丽</dc:creator>
  <cp:lastModifiedBy>刘文华</cp:lastModifiedBy>
  <dcterms:modified xsi:type="dcterms:W3CDTF">2024-06-14T02:08:09Z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A3E4D2DF3A6D472AA7FDA01B4F7957F7</vt:lpwstr>
  </property>
</Properties>
</file>