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28D794">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14:paraId="3E063AD3">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14:paraId="28A234F0">
      <w:pPr>
        <w:spacing w:before="156" w:beforeLines="50" w:after="156" w:afterLines="50" w:line="360" w:lineRule="auto"/>
        <w:ind w:right="120" w:rightChars="50"/>
        <w:jc w:val="center"/>
        <w:rPr>
          <w:rFonts w:hint="eastAsia" w:ascii="宋体" w:hAnsi="宋体"/>
          <w:b/>
          <w:bCs/>
          <w:color w:val="auto"/>
          <w:sz w:val="48"/>
          <w:szCs w:val="48"/>
          <w:highlight w:val="none"/>
          <w:u w:val="none"/>
          <w:lang w:eastAsia="zh-CN"/>
        </w:rPr>
      </w:pPr>
    </w:p>
    <w:p w14:paraId="4E5B5E07">
      <w:pPr>
        <w:autoSpaceDN w:val="0"/>
        <w:spacing w:line="360" w:lineRule="auto"/>
        <w:jc w:val="center"/>
        <w:rPr>
          <w:rFonts w:hint="eastAsia" w:ascii="宋体" w:hAnsi="宋体"/>
          <w:b/>
          <w:bCs/>
          <w:color w:val="auto"/>
          <w:sz w:val="44"/>
          <w:szCs w:val="44"/>
          <w:highlight w:val="none"/>
          <w:u w:val="none"/>
          <w:lang w:eastAsia="zh-CN"/>
        </w:rPr>
      </w:pPr>
      <w:r>
        <w:rPr>
          <w:rFonts w:hint="eastAsia" w:ascii="宋体" w:hAnsi="宋体"/>
          <w:b/>
          <w:bCs/>
          <w:color w:val="auto"/>
          <w:sz w:val="44"/>
          <w:szCs w:val="44"/>
          <w:highlight w:val="none"/>
          <w:u w:val="none"/>
          <w:lang w:eastAsia="zh-CN"/>
        </w:rPr>
        <w:t>洛宁山水文苑项目</w:t>
      </w:r>
      <w:r>
        <w:rPr>
          <w:rFonts w:hint="eastAsia" w:ascii="宋体" w:hAnsi="宋体"/>
          <w:b/>
          <w:bCs/>
          <w:color w:val="auto"/>
          <w:sz w:val="44"/>
          <w:szCs w:val="44"/>
          <w:highlight w:val="none"/>
          <w:u w:val="none"/>
          <w:lang w:val="en-US" w:eastAsia="zh-CN"/>
        </w:rPr>
        <w:t>一批次</w:t>
      </w:r>
      <w:r>
        <w:rPr>
          <w:rFonts w:hint="eastAsia" w:ascii="宋体" w:hAnsi="宋体"/>
          <w:b/>
          <w:bCs/>
          <w:color w:val="auto"/>
          <w:sz w:val="44"/>
          <w:szCs w:val="44"/>
          <w:highlight w:val="none"/>
          <w:u w:val="none"/>
          <w:lang w:eastAsia="zh-CN"/>
        </w:rPr>
        <w:t>车库</w:t>
      </w:r>
    </w:p>
    <w:p w14:paraId="4BD2C7C8">
      <w:pPr>
        <w:autoSpaceDN w:val="0"/>
        <w:spacing w:line="360" w:lineRule="auto"/>
        <w:jc w:val="center"/>
        <w:rPr>
          <w:rFonts w:ascii="宋体" w:hAnsi="宋体"/>
          <w:color w:val="auto"/>
          <w:sz w:val="44"/>
          <w:szCs w:val="44"/>
          <w:highlight w:val="none"/>
        </w:rPr>
      </w:pPr>
      <w:r>
        <w:rPr>
          <w:rFonts w:hint="eastAsia" w:ascii="宋体" w:hAnsi="宋体"/>
          <w:b/>
          <w:bCs/>
          <w:color w:val="auto"/>
          <w:sz w:val="44"/>
          <w:szCs w:val="44"/>
          <w:highlight w:val="none"/>
          <w:u w:val="none"/>
          <w:lang w:eastAsia="zh-CN"/>
        </w:rPr>
        <w:t>地坪漆及交通设施施工合同</w:t>
      </w:r>
    </w:p>
    <w:p w14:paraId="332782F4">
      <w:pPr>
        <w:autoSpaceDN w:val="0"/>
        <w:spacing w:line="360" w:lineRule="auto"/>
        <w:ind w:firstLine="720" w:firstLineChars="300"/>
        <w:rPr>
          <w:rFonts w:ascii="宋体" w:hAnsi="宋体"/>
          <w:color w:val="auto"/>
          <w:szCs w:val="24"/>
          <w:highlight w:val="none"/>
        </w:rPr>
      </w:pPr>
    </w:p>
    <w:p w14:paraId="04F08EC6">
      <w:pPr>
        <w:autoSpaceDN w:val="0"/>
        <w:spacing w:line="360" w:lineRule="auto"/>
        <w:ind w:firstLine="720" w:firstLineChars="300"/>
        <w:rPr>
          <w:rFonts w:ascii="宋体" w:hAnsi="宋体"/>
          <w:color w:val="auto"/>
          <w:szCs w:val="24"/>
          <w:highlight w:val="none"/>
        </w:rPr>
      </w:pPr>
    </w:p>
    <w:p w14:paraId="3260AABB">
      <w:pPr>
        <w:autoSpaceDN w:val="0"/>
        <w:spacing w:line="360" w:lineRule="auto"/>
        <w:ind w:firstLine="720" w:firstLineChars="300"/>
        <w:rPr>
          <w:rFonts w:ascii="宋体" w:hAnsi="宋体"/>
          <w:color w:val="auto"/>
          <w:szCs w:val="24"/>
          <w:highlight w:val="none"/>
        </w:rPr>
      </w:pPr>
    </w:p>
    <w:p w14:paraId="0E96A19A">
      <w:pPr>
        <w:pStyle w:val="2"/>
        <w:autoSpaceDN w:val="0"/>
        <w:spacing w:line="360" w:lineRule="auto"/>
        <w:ind w:firstLine="723" w:firstLineChars="300"/>
        <w:rPr>
          <w:rFonts w:hAnsi="宋体"/>
          <w:color w:val="auto"/>
          <w:szCs w:val="24"/>
          <w:highlight w:val="none"/>
        </w:rPr>
      </w:pPr>
    </w:p>
    <w:p w14:paraId="656F8A15">
      <w:pPr>
        <w:autoSpaceDN w:val="0"/>
        <w:spacing w:line="360" w:lineRule="auto"/>
        <w:ind w:firstLine="720" w:firstLineChars="300"/>
        <w:rPr>
          <w:rFonts w:ascii="宋体" w:hAnsi="宋体"/>
          <w:color w:val="auto"/>
          <w:szCs w:val="24"/>
          <w:highlight w:val="none"/>
        </w:rPr>
      </w:pPr>
    </w:p>
    <w:p w14:paraId="08F41532">
      <w:pPr>
        <w:autoSpaceDN w:val="0"/>
        <w:spacing w:line="360" w:lineRule="auto"/>
        <w:rPr>
          <w:rFonts w:ascii="宋体" w:hAnsi="宋体"/>
          <w:b/>
          <w:bCs/>
          <w:color w:val="auto"/>
          <w:szCs w:val="24"/>
          <w:highlight w:val="none"/>
        </w:rPr>
      </w:pPr>
    </w:p>
    <w:p w14:paraId="37A29F92">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成本代码：</w:t>
      </w:r>
      <w:r>
        <w:rPr>
          <w:rFonts w:hint="eastAsia" w:ascii="宋体" w:hAnsi="宋体" w:cs="宋体"/>
          <w:color w:val="auto"/>
          <w:sz w:val="30"/>
          <w:szCs w:val="30"/>
          <w:highlight w:val="none"/>
          <w:u w:val="single"/>
          <w:lang w:val="en-US" w:eastAsia="zh-CN"/>
        </w:rPr>
        <w:t xml:space="preserve"> 5.2.4      </w:t>
      </w:r>
      <w:r>
        <w:rPr>
          <w:rFonts w:hint="eastAsia" w:ascii="宋体" w:hAnsi="宋体" w:cs="宋体"/>
          <w:color w:val="auto"/>
          <w:sz w:val="30"/>
          <w:szCs w:val="30"/>
          <w:highlight w:val="none"/>
          <w:u w:val="single"/>
        </w:rPr>
        <w:t xml:space="preserve">  </w:t>
      </w:r>
    </w:p>
    <w:p w14:paraId="71949108">
      <w:pPr>
        <w:autoSpaceDN w:val="0"/>
        <w:spacing w:line="360" w:lineRule="auto"/>
        <w:ind w:firstLine="840" w:firstLineChars="280"/>
        <w:rPr>
          <w:rFonts w:hint="default" w:ascii="宋体" w:hAnsi="宋体" w:eastAsia="宋体"/>
          <w:color w:val="auto"/>
          <w:sz w:val="30"/>
          <w:szCs w:val="30"/>
          <w:highlight w:val="none"/>
          <w:lang w:val="en-US" w:eastAsia="zh-CN"/>
        </w:rPr>
      </w:pPr>
      <w:r>
        <w:rPr>
          <w:rFonts w:hint="eastAsia" w:ascii="宋体" w:hAnsi="宋体"/>
          <w:color w:val="auto"/>
          <w:sz w:val="30"/>
          <w:szCs w:val="30"/>
          <w:highlight w:val="none"/>
        </w:rPr>
        <w:t xml:space="preserve">           合同编号：</w:t>
      </w:r>
      <w:r>
        <w:rPr>
          <w:rFonts w:hint="eastAsia" w:ascii="宋体" w:hAnsi="宋体"/>
          <w:color w:val="auto"/>
          <w:sz w:val="30"/>
          <w:szCs w:val="30"/>
          <w:highlight w:val="none"/>
          <w:u w:val="single"/>
          <w:lang w:val="en-US" w:eastAsia="zh-CN"/>
        </w:rPr>
        <w:t xml:space="preserve"> LNSSWY-GP-074 </w:t>
      </w:r>
      <w:r>
        <w:rPr>
          <w:rFonts w:hint="eastAsia" w:ascii="宋体" w:hAnsi="宋体"/>
          <w:color w:val="auto"/>
          <w:sz w:val="30"/>
          <w:szCs w:val="30"/>
          <w:highlight w:val="none"/>
          <w:u w:val="none"/>
          <w:lang w:val="en-US" w:eastAsia="zh-CN"/>
        </w:rPr>
        <w:t xml:space="preserve">         </w:t>
      </w:r>
    </w:p>
    <w:p w14:paraId="70E1AB42">
      <w:pPr>
        <w:pStyle w:val="2"/>
        <w:autoSpaceDN w:val="0"/>
        <w:spacing w:line="360" w:lineRule="auto"/>
        <w:ind w:firstLine="843" w:firstLineChars="280"/>
        <w:rPr>
          <w:rFonts w:hAnsi="宋体"/>
          <w:color w:val="auto"/>
          <w:sz w:val="30"/>
          <w:szCs w:val="30"/>
          <w:highlight w:val="none"/>
        </w:rPr>
      </w:pPr>
    </w:p>
    <w:p w14:paraId="3DCEDD8F">
      <w:pPr>
        <w:pStyle w:val="2"/>
        <w:autoSpaceDN w:val="0"/>
        <w:spacing w:line="360" w:lineRule="auto"/>
        <w:ind w:firstLine="843" w:firstLineChars="280"/>
        <w:rPr>
          <w:rFonts w:hAnsi="宋体"/>
          <w:color w:val="auto"/>
          <w:sz w:val="30"/>
          <w:szCs w:val="30"/>
          <w:highlight w:val="none"/>
        </w:rPr>
      </w:pPr>
    </w:p>
    <w:p w14:paraId="381FF0D5">
      <w:pPr>
        <w:pStyle w:val="19"/>
        <w:spacing w:line="360" w:lineRule="auto"/>
        <w:rPr>
          <w:color w:val="auto"/>
          <w:highlight w:val="none"/>
        </w:rPr>
      </w:pPr>
    </w:p>
    <w:p w14:paraId="6ACC094D">
      <w:pPr>
        <w:pStyle w:val="20"/>
        <w:rPr>
          <w:color w:val="auto"/>
          <w:highlight w:val="none"/>
        </w:rPr>
      </w:pPr>
    </w:p>
    <w:p w14:paraId="462D03ED">
      <w:pPr>
        <w:ind w:firstLine="1506" w:firstLineChars="500"/>
        <w:jc w:val="left"/>
        <w:rPr>
          <w:rFonts w:hint="eastAsia" w:ascii="宋体" w:hAnsi="宋体" w:eastAsia="宋体"/>
          <w:color w:val="auto"/>
          <w:kern w:val="0"/>
          <w:sz w:val="30"/>
          <w:szCs w:val="30"/>
          <w:highlight w:val="none"/>
          <w:lang w:eastAsia="zh-CN"/>
        </w:rPr>
      </w:pPr>
      <w:r>
        <w:rPr>
          <w:rFonts w:hint="eastAsia" w:ascii="宋体" w:hAnsi="宋体"/>
          <w:b/>
          <w:color w:val="auto"/>
          <w:kern w:val="0"/>
          <w:sz w:val="30"/>
          <w:szCs w:val="30"/>
          <w:highlight w:val="none"/>
        </w:rPr>
        <w:t>发 包 人：</w:t>
      </w:r>
      <w:r>
        <w:rPr>
          <w:rFonts w:hint="eastAsia" w:ascii="宋体" w:hAnsi="宋体"/>
          <w:b/>
          <w:color w:val="auto"/>
          <w:kern w:val="0"/>
          <w:sz w:val="30"/>
          <w:szCs w:val="30"/>
          <w:highlight w:val="none"/>
          <w:u w:val="single"/>
        </w:rPr>
        <w:t>洛阳浩德浩康置业有限公司</w:t>
      </w:r>
    </w:p>
    <w:p w14:paraId="75AEA2E9">
      <w:pPr>
        <w:keepNext w:val="0"/>
        <w:keepLines w:val="0"/>
        <w:widowControl/>
        <w:suppressLineNumbers w:val="0"/>
        <w:ind w:firstLine="1506" w:firstLineChars="500"/>
        <w:jc w:val="left"/>
      </w:pPr>
      <w:r>
        <w:rPr>
          <w:rFonts w:hint="eastAsia" w:ascii="宋体" w:hAnsi="宋体"/>
          <w:b/>
          <w:color w:val="auto"/>
          <w:kern w:val="0"/>
          <w:sz w:val="30"/>
          <w:szCs w:val="30"/>
          <w:highlight w:val="none"/>
        </w:rPr>
        <w:t>承 包 人：</w:t>
      </w:r>
      <w:r>
        <w:rPr>
          <w:rFonts w:hint="eastAsia" w:ascii="宋体" w:hAnsi="宋体" w:eastAsia="宋体" w:cs="宋体"/>
          <w:b/>
          <w:bCs/>
          <w:color w:val="000000"/>
          <w:kern w:val="0"/>
          <w:sz w:val="30"/>
          <w:szCs w:val="30"/>
          <w:u w:val="single"/>
          <w:lang w:val="en-US" w:eastAsia="zh-CN" w:bidi="ar"/>
        </w:rPr>
        <w:t>河南瑞卿实业有限公司</w:t>
      </w:r>
    </w:p>
    <w:p w14:paraId="189C58BD">
      <w:pPr>
        <w:ind w:firstLine="1506" w:firstLineChars="500"/>
        <w:jc w:val="left"/>
        <w:rPr>
          <w:rFonts w:ascii="宋体" w:hAnsi="宋体"/>
          <w:b/>
          <w:color w:val="auto"/>
          <w:kern w:val="0"/>
          <w:sz w:val="30"/>
          <w:szCs w:val="30"/>
          <w:highlight w:val="none"/>
        </w:rPr>
      </w:pPr>
      <w:r>
        <w:rPr>
          <w:rFonts w:hint="eastAsia" w:ascii="宋体" w:hAnsi="宋体"/>
          <w:b/>
          <w:color w:val="auto"/>
          <w:kern w:val="0"/>
          <w:sz w:val="30"/>
          <w:szCs w:val="30"/>
          <w:highlight w:val="none"/>
        </w:rPr>
        <w:t>签订时间：</w:t>
      </w:r>
      <w:r>
        <w:rPr>
          <w:rFonts w:hint="eastAsia" w:ascii="宋体" w:hAnsi="宋体"/>
          <w:b/>
          <w:color w:val="auto"/>
          <w:kern w:val="0"/>
          <w:sz w:val="30"/>
          <w:szCs w:val="30"/>
          <w:highlight w:val="none"/>
          <w:u w:val="single"/>
          <w:lang w:val="en-US" w:eastAsia="zh-CN"/>
        </w:rPr>
        <w:t xml:space="preserve"> 2024 </w:t>
      </w:r>
      <w:r>
        <w:rPr>
          <w:rFonts w:hint="eastAsia" w:ascii="宋体" w:hAnsi="宋体"/>
          <w:b/>
          <w:color w:val="auto"/>
          <w:kern w:val="0"/>
          <w:sz w:val="30"/>
          <w:szCs w:val="30"/>
          <w:highlight w:val="none"/>
        </w:rPr>
        <w:t>年</w:t>
      </w:r>
      <w:r>
        <w:rPr>
          <w:rFonts w:hint="eastAsia" w:ascii="宋体" w:hAnsi="宋体"/>
          <w:b/>
          <w:color w:val="auto"/>
          <w:kern w:val="0"/>
          <w:sz w:val="30"/>
          <w:szCs w:val="30"/>
          <w:highlight w:val="none"/>
          <w:u w:val="single"/>
          <w:lang w:val="en-US" w:eastAsia="zh-CN"/>
        </w:rPr>
        <w:t xml:space="preserve"> 07 </w:t>
      </w:r>
      <w:r>
        <w:rPr>
          <w:rFonts w:hint="eastAsia" w:ascii="宋体" w:hAnsi="宋体"/>
          <w:b/>
          <w:color w:val="auto"/>
          <w:kern w:val="0"/>
          <w:sz w:val="30"/>
          <w:szCs w:val="30"/>
          <w:highlight w:val="none"/>
        </w:rPr>
        <w:t>月</w:t>
      </w:r>
      <w:r>
        <w:rPr>
          <w:rFonts w:hint="eastAsia" w:ascii="宋体" w:hAnsi="宋体"/>
          <w:b/>
          <w:color w:val="auto"/>
          <w:kern w:val="0"/>
          <w:sz w:val="30"/>
          <w:szCs w:val="30"/>
          <w:highlight w:val="none"/>
          <w:u w:val="single"/>
        </w:rPr>
        <w:t xml:space="preserve">  </w:t>
      </w:r>
      <w:r>
        <w:rPr>
          <w:rFonts w:hint="eastAsia" w:ascii="宋体" w:hAnsi="宋体"/>
          <w:b/>
          <w:color w:val="auto"/>
          <w:kern w:val="0"/>
          <w:sz w:val="30"/>
          <w:szCs w:val="30"/>
          <w:highlight w:val="none"/>
        </w:rPr>
        <w:t>日</w:t>
      </w:r>
    </w:p>
    <w:p w14:paraId="702E4020">
      <w:pPr>
        <w:autoSpaceDN w:val="0"/>
        <w:spacing w:line="360" w:lineRule="auto"/>
        <w:ind w:firstLine="480" w:firstLineChars="200"/>
        <w:rPr>
          <w:rFonts w:ascii="宋体" w:hAnsi="宋体"/>
          <w:color w:val="auto"/>
          <w:szCs w:val="24"/>
          <w:highlight w:val="none"/>
        </w:rPr>
      </w:pPr>
    </w:p>
    <w:p w14:paraId="6E66D19E">
      <w:pPr>
        <w:autoSpaceDN w:val="0"/>
        <w:spacing w:line="360" w:lineRule="auto"/>
        <w:rPr>
          <w:rFonts w:ascii="宋体" w:hAnsi="宋体" w:cs="宋体"/>
          <w:color w:val="auto"/>
          <w:szCs w:val="24"/>
          <w:highlight w:val="none"/>
        </w:rPr>
      </w:pPr>
    </w:p>
    <w:p w14:paraId="5786EE2F">
      <w:pPr>
        <w:pStyle w:val="18"/>
      </w:pPr>
    </w:p>
    <w:p w14:paraId="44F8F74D">
      <w:pPr>
        <w:autoSpaceDN w:val="0"/>
        <w:spacing w:line="360" w:lineRule="auto"/>
        <w:rPr>
          <w:rFonts w:ascii="宋体" w:hAnsi="宋体" w:cs="宋体"/>
          <w:color w:val="auto"/>
          <w:szCs w:val="24"/>
          <w:highlight w:val="none"/>
        </w:rPr>
      </w:pPr>
    </w:p>
    <w:p w14:paraId="61582677">
      <w:pPr>
        <w:keepNext w:val="0"/>
        <w:keepLines w:val="0"/>
        <w:pageBreakBefore w:val="0"/>
        <w:overflowPunct/>
        <w:autoSpaceDN w:val="0"/>
        <w:bidi w:val="0"/>
        <w:spacing w:line="360" w:lineRule="auto"/>
        <w:jc w:val="center"/>
        <w:textAlignment w:val="auto"/>
        <w:rPr>
          <w:rFonts w:hint="eastAsia" w:ascii="宋体" w:hAnsi="宋体" w:cs="宋体"/>
          <w:b/>
          <w:bCs/>
          <w:color w:val="auto"/>
          <w:szCs w:val="24"/>
          <w:highlight w:val="none"/>
        </w:rPr>
      </w:pPr>
      <w:r>
        <w:rPr>
          <w:rFonts w:hint="eastAsia" w:ascii="宋体" w:hAnsi="宋体" w:cs="宋体"/>
          <w:b/>
          <w:bCs/>
          <w:color w:val="auto"/>
          <w:szCs w:val="24"/>
          <w:highlight w:val="none"/>
        </w:rPr>
        <w:t>洛宁山水文苑项目一批次车库地坪漆及交通设施施工合同</w:t>
      </w:r>
    </w:p>
    <w:p w14:paraId="1265BD54">
      <w:pPr>
        <w:autoSpaceDN w:val="0"/>
        <w:spacing w:line="360" w:lineRule="auto"/>
        <w:rPr>
          <w:rFonts w:hint="eastAsia" w:ascii="宋体" w:hAnsi="宋体" w:eastAsia="宋体" w:cs="宋体"/>
          <w:color w:val="auto"/>
          <w:szCs w:val="24"/>
          <w:highlight w:val="none"/>
          <w:u w:val="single"/>
          <w:lang w:eastAsia="zh-CN"/>
        </w:rPr>
      </w:pPr>
      <w:r>
        <w:rPr>
          <w:rFonts w:hint="eastAsia" w:ascii="宋体" w:hAnsi="宋体" w:cs="宋体"/>
          <w:b/>
          <w:bCs/>
          <w:color w:val="auto"/>
          <w:szCs w:val="24"/>
          <w:highlight w:val="none"/>
        </w:rPr>
        <w:t>发包人</w:t>
      </w:r>
      <w:r>
        <w:rPr>
          <w:rFonts w:hint="eastAsia" w:ascii="宋体" w:hAnsi="宋体" w:cs="宋体"/>
          <w:color w:val="auto"/>
          <w:szCs w:val="24"/>
          <w:highlight w:val="none"/>
        </w:rPr>
        <w:t>（以下简称甲方）：</w:t>
      </w:r>
      <w:r>
        <w:rPr>
          <w:rFonts w:hint="eastAsia" w:ascii="宋体" w:hAnsi="宋体" w:cs="宋体"/>
          <w:color w:val="auto"/>
          <w:szCs w:val="24"/>
          <w:highlight w:val="none"/>
          <w:u w:val="single"/>
        </w:rPr>
        <w:t>洛阳浩德浩康置业有限公司</w:t>
      </w:r>
    </w:p>
    <w:p w14:paraId="0526D90A">
      <w:pPr>
        <w:pStyle w:val="2"/>
        <w:rPr>
          <w:rFonts w:hint="eastAsia" w:eastAsia="宋体"/>
          <w:b w:val="0"/>
          <w:bCs/>
          <w:color w:val="auto"/>
          <w:highlight w:val="none"/>
          <w:lang w:eastAsia="zh-CN"/>
        </w:rPr>
      </w:pPr>
      <w:r>
        <w:rPr>
          <w:rFonts w:hint="eastAsia" w:hAnsi="宋体" w:cs="宋体"/>
          <w:color w:val="auto"/>
          <w:highlight w:val="none"/>
        </w:rPr>
        <w:t>统一社会信用代码：</w:t>
      </w:r>
      <w:r>
        <w:rPr>
          <w:rFonts w:hint="eastAsia" w:hAnsi="宋体" w:cs="宋体"/>
          <w:b w:val="0"/>
          <w:bCs/>
          <w:color w:val="auto"/>
          <w:highlight w:val="none"/>
          <w:u w:val="single"/>
        </w:rPr>
        <w:t>91410328MA9K9J8A5F</w:t>
      </w:r>
    </w:p>
    <w:p w14:paraId="691F1E52">
      <w:pPr>
        <w:keepNext w:val="0"/>
        <w:keepLines w:val="0"/>
        <w:widowControl/>
        <w:suppressLineNumbers w:val="0"/>
        <w:jc w:val="left"/>
      </w:pPr>
      <w:r>
        <w:rPr>
          <w:rFonts w:hint="eastAsia" w:ascii="宋体" w:hAnsi="宋体" w:cs="宋体"/>
          <w:b/>
          <w:bCs/>
          <w:color w:val="auto"/>
          <w:szCs w:val="24"/>
          <w:highlight w:val="none"/>
        </w:rPr>
        <w:t>承包人</w:t>
      </w:r>
      <w:r>
        <w:rPr>
          <w:rFonts w:hint="eastAsia" w:ascii="宋体" w:hAnsi="宋体" w:cs="宋体"/>
          <w:color w:val="auto"/>
          <w:szCs w:val="24"/>
          <w:highlight w:val="none"/>
        </w:rPr>
        <w:t>（以下简称乙方）：</w:t>
      </w:r>
      <w:r>
        <w:rPr>
          <w:rFonts w:hint="eastAsia" w:ascii="宋体" w:hAnsi="宋体" w:eastAsia="宋体" w:cs="宋体"/>
          <w:color w:val="000000"/>
          <w:kern w:val="0"/>
          <w:sz w:val="24"/>
          <w:szCs w:val="24"/>
          <w:u w:val="single"/>
          <w:lang w:val="en-US" w:eastAsia="zh-CN" w:bidi="ar"/>
        </w:rPr>
        <w:t>河南瑞卿实业有限公司</w:t>
      </w:r>
    </w:p>
    <w:p w14:paraId="57CE4C28">
      <w:pPr>
        <w:pStyle w:val="2"/>
        <w:rPr>
          <w:rFonts w:hint="default" w:eastAsia="宋体"/>
          <w:color w:val="auto"/>
          <w:highlight w:val="none"/>
          <w:lang w:val="en-US" w:eastAsia="zh-CN"/>
        </w:rPr>
      </w:pPr>
      <w:r>
        <w:rPr>
          <w:rFonts w:hint="eastAsia" w:hAnsi="宋体" w:cs="宋体"/>
          <w:color w:val="auto"/>
          <w:highlight w:val="none"/>
        </w:rPr>
        <w:t>统一社会信用代码：</w:t>
      </w:r>
      <w:r>
        <w:rPr>
          <w:rFonts w:hint="eastAsia" w:hAnsi="宋体" w:cs="宋体"/>
          <w:b w:val="0"/>
          <w:bCs/>
          <w:color w:val="auto"/>
          <w:highlight w:val="none"/>
          <w:u w:val="single"/>
          <w:lang w:val="en-US" w:eastAsia="zh-CN"/>
        </w:rPr>
        <w:t xml:space="preserve"> 91410105MA40M42C6M  </w:t>
      </w:r>
    </w:p>
    <w:p w14:paraId="793F8EC6">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依照《中华人民共和国民法典》、《中华人民共和国建筑法》及其他有关法律、行政法规，遵循平等、自愿、公平和诚实信用的原则，双方就</w:t>
      </w:r>
      <w:r>
        <w:rPr>
          <w:rFonts w:hint="eastAsia" w:ascii="宋体" w:hAnsi="宋体" w:cs="宋体"/>
          <w:color w:val="auto"/>
          <w:szCs w:val="24"/>
          <w:highlight w:val="none"/>
          <w:u w:val="single"/>
          <w:lang w:val="en-US" w:eastAsia="zh-CN"/>
        </w:rPr>
        <w:t>洛宁山水文苑一批次车库地坪漆及交通设施施工</w:t>
      </w:r>
      <w:r>
        <w:rPr>
          <w:rFonts w:hint="eastAsia" w:ascii="宋体" w:hAnsi="宋体" w:cs="宋体"/>
          <w:color w:val="auto"/>
          <w:szCs w:val="24"/>
          <w:highlight w:val="none"/>
        </w:rPr>
        <w:t>事项协商一致，订立本合同。</w:t>
      </w:r>
    </w:p>
    <w:p w14:paraId="2F4F4AAC">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一、工程概况</w:t>
      </w:r>
    </w:p>
    <w:p w14:paraId="3F529B17">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rPr>
        <w:t>1、工程</w:t>
      </w:r>
      <w:r>
        <w:rPr>
          <w:rFonts w:hint="eastAsia" w:ascii="宋体" w:hAnsi="宋体" w:cs="宋体"/>
          <w:color w:val="auto"/>
          <w:szCs w:val="24"/>
          <w:highlight w:val="none"/>
          <w:u w:val="none"/>
        </w:rPr>
        <w:t>名称：</w:t>
      </w:r>
      <w:r>
        <w:rPr>
          <w:rFonts w:hint="eastAsia" w:ascii="宋体" w:hAnsi="宋体" w:cs="宋体"/>
          <w:color w:val="auto"/>
          <w:szCs w:val="24"/>
          <w:highlight w:val="none"/>
          <w:u w:val="none"/>
          <w:lang w:val="en-US" w:eastAsia="zh-CN"/>
        </w:rPr>
        <w:t>洛宁山水文苑一批次车库地坪漆及交通设施施工工程</w:t>
      </w:r>
      <w:r>
        <w:rPr>
          <w:rFonts w:hint="eastAsia" w:ascii="宋体" w:hAnsi="宋体" w:cs="宋体"/>
          <w:color w:val="auto"/>
          <w:szCs w:val="24"/>
          <w:highlight w:val="none"/>
          <w:u w:val="none"/>
        </w:rPr>
        <w:t>。</w:t>
      </w:r>
    </w:p>
    <w:p w14:paraId="669B8798">
      <w:pPr>
        <w:kinsoku w:val="0"/>
        <w:wordWrap w:val="0"/>
        <w:topLinePunct/>
        <w:autoSpaceDE w:val="0"/>
        <w:spacing w:line="360" w:lineRule="auto"/>
        <w:ind w:firstLine="480" w:firstLineChars="200"/>
        <w:rPr>
          <w:rFonts w:ascii="宋体" w:hAnsi="宋体" w:cs="宋体"/>
          <w:color w:val="auto"/>
          <w:szCs w:val="24"/>
          <w:highlight w:val="none"/>
          <w:u w:val="none"/>
        </w:rPr>
      </w:pPr>
      <w:r>
        <w:rPr>
          <w:rFonts w:hint="eastAsia" w:ascii="宋体" w:hAnsi="宋体" w:cs="宋体"/>
          <w:color w:val="auto"/>
          <w:szCs w:val="24"/>
          <w:highlight w:val="none"/>
          <w:u w:val="none"/>
        </w:rPr>
        <w:t>2、工程地点：</w:t>
      </w:r>
      <w:r>
        <w:rPr>
          <w:rFonts w:hint="eastAsia"/>
          <w:lang w:eastAsia="zh-CN"/>
        </w:rPr>
        <w:t>洛阳市洛宁县陈吴乡新宁大道与姑洗路交叉口西北角山水文苑项目</w:t>
      </w:r>
      <w:r>
        <w:rPr>
          <w:rFonts w:hint="eastAsia" w:ascii="宋体" w:hAnsi="宋体" w:cs="宋体"/>
          <w:color w:val="auto"/>
          <w:szCs w:val="24"/>
          <w:highlight w:val="none"/>
          <w:u w:val="none"/>
        </w:rPr>
        <w:t>。</w:t>
      </w:r>
    </w:p>
    <w:p w14:paraId="12A16428">
      <w:pPr>
        <w:numPr>
          <w:ilvl w:val="255"/>
          <w:numId w:val="0"/>
        </w:numPr>
        <w:tabs>
          <w:tab w:val="left" w:pos="0"/>
        </w:tabs>
        <w:kinsoku w:val="0"/>
        <w:wordWrap w:val="0"/>
        <w:topLinePunct/>
        <w:autoSpaceDE w:val="0"/>
        <w:spacing w:line="360" w:lineRule="auto"/>
        <w:rPr>
          <w:rFonts w:ascii="宋体" w:hAnsi="宋体" w:cs="宋体"/>
          <w:color w:val="auto"/>
          <w:szCs w:val="24"/>
          <w:highlight w:val="none"/>
        </w:rPr>
      </w:pPr>
      <w:r>
        <w:rPr>
          <w:rFonts w:hint="eastAsia" w:ascii="宋体" w:hAnsi="宋体" w:cs="宋体"/>
          <w:b/>
          <w:bCs/>
          <w:color w:val="auto"/>
          <w:szCs w:val="24"/>
          <w:highlight w:val="none"/>
        </w:rPr>
        <w:t>二、工程承包范围</w:t>
      </w:r>
    </w:p>
    <w:p w14:paraId="6BAAC84F">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《图纸（</w:t>
      </w:r>
      <w:r>
        <w:rPr>
          <w:rFonts w:hint="eastAsia" w:ascii="宋体" w:hAnsi="宋体" w:cs="宋体"/>
          <w:color w:val="auto"/>
          <w:szCs w:val="24"/>
          <w:highlight w:val="none"/>
          <w:u w:val="single"/>
          <w:lang w:val="en-US" w:eastAsia="zh-CN"/>
        </w:rPr>
        <w:t>洛宁山水文苑项目一批次车库地坪漆及交通设施施工</w:t>
      </w:r>
      <w:r>
        <w:rPr>
          <w:rFonts w:hint="eastAsia" w:ascii="宋体" w:hAnsi="宋体" w:cs="宋体"/>
          <w:color w:val="auto"/>
          <w:sz w:val="24"/>
          <w:szCs w:val="24"/>
          <w:highlight w:val="none"/>
          <w:lang w:eastAsia="zh-CN"/>
        </w:rPr>
        <w:t>）》所示范围内</w:t>
      </w:r>
      <w:r>
        <w:rPr>
          <w:rFonts w:hint="eastAsia" w:ascii="宋体" w:hAnsi="宋体" w:cs="宋体"/>
          <w:color w:val="auto"/>
          <w:sz w:val="24"/>
          <w:szCs w:val="24"/>
          <w:highlight w:val="none"/>
        </w:rPr>
        <w:t>：</w:t>
      </w:r>
    </w:p>
    <w:p w14:paraId="44AC3BF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1、标线部分；</w:t>
      </w:r>
    </w:p>
    <w:p w14:paraId="6A36C5A6">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2、反光标牌部分；</w:t>
      </w:r>
    </w:p>
    <w:p w14:paraId="54698650">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3、</w:t>
      </w:r>
      <w:r>
        <w:rPr>
          <w:rFonts w:hint="eastAsia" w:ascii="宋体" w:hAnsi="宋体" w:cs="宋体"/>
          <w:color w:val="auto"/>
          <w:sz w:val="24"/>
          <w:szCs w:val="24"/>
          <w:highlight w:val="none"/>
          <w:lang w:eastAsia="zh-CN"/>
        </w:rPr>
        <w:t>交通设施部分</w:t>
      </w:r>
      <w:r>
        <w:rPr>
          <w:rFonts w:hint="eastAsia" w:ascii="宋体" w:hAnsi="宋体" w:cs="宋体"/>
          <w:color w:val="auto"/>
          <w:sz w:val="24"/>
          <w:szCs w:val="24"/>
          <w:highlight w:val="none"/>
        </w:rPr>
        <w:t>；</w:t>
      </w:r>
    </w:p>
    <w:p w14:paraId="297D2616">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4、</w:t>
      </w:r>
      <w:r>
        <w:rPr>
          <w:rFonts w:hint="eastAsia" w:ascii="宋体" w:hAnsi="宋体" w:cs="宋体"/>
          <w:color w:val="auto"/>
          <w:sz w:val="24"/>
          <w:szCs w:val="24"/>
          <w:highlight w:val="none"/>
          <w:lang w:eastAsia="zh-CN"/>
        </w:rPr>
        <w:t>地坪部分（包含混凝土垫层及</w:t>
      </w:r>
      <w:r>
        <w:rPr>
          <w:rFonts w:hint="eastAsia" w:ascii="Times New Roman" w:hAnsi="Times New Roman"/>
          <w:bCs/>
          <w:color w:val="auto"/>
          <w:highlight w:val="none"/>
        </w:rPr>
        <w:t>地面切割伸缩缝、缝隙吹洗、灌缝密封</w:t>
      </w:r>
      <w:r>
        <w:rPr>
          <w:rFonts w:hint="eastAsia" w:ascii="Times New Roman" w:hAnsi="Times New Roman"/>
          <w:bCs/>
          <w:color w:val="auto"/>
          <w:highlight w:val="none"/>
          <w:lang w:eastAsia="zh-CN"/>
        </w:rPr>
        <w:t>）</w:t>
      </w:r>
      <w:r>
        <w:rPr>
          <w:rFonts w:hint="eastAsia" w:ascii="宋体" w:hAnsi="宋体" w:cs="宋体"/>
          <w:color w:val="auto"/>
          <w:sz w:val="24"/>
          <w:szCs w:val="24"/>
          <w:highlight w:val="none"/>
        </w:rPr>
        <w:t>；</w:t>
      </w:r>
    </w:p>
    <w:p w14:paraId="4EE67E5E">
      <w:pPr>
        <w:spacing w:line="360" w:lineRule="auto"/>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5、</w:t>
      </w:r>
      <w:r>
        <w:rPr>
          <w:rFonts w:hint="eastAsia" w:ascii="宋体" w:hAnsi="宋体" w:cs="宋体"/>
          <w:color w:val="auto"/>
          <w:sz w:val="24"/>
          <w:szCs w:val="24"/>
          <w:highlight w:val="none"/>
          <w:lang w:eastAsia="zh-CN"/>
        </w:rPr>
        <w:t>墙柱面喷涂部分</w:t>
      </w:r>
      <w:r>
        <w:rPr>
          <w:rFonts w:hint="eastAsia" w:ascii="宋体" w:hAnsi="宋体" w:cs="宋体"/>
          <w:color w:val="auto"/>
          <w:sz w:val="24"/>
          <w:szCs w:val="24"/>
          <w:highlight w:val="none"/>
        </w:rPr>
        <w:t>；</w:t>
      </w:r>
    </w:p>
    <w:p w14:paraId="18045054">
      <w:pPr>
        <w:spacing w:line="360" w:lineRule="auto"/>
        <w:ind w:firstLine="470" w:firstLineChars="196"/>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1.6、排水沟部分。</w:t>
      </w:r>
    </w:p>
    <w:p w14:paraId="5CB8D40B">
      <w:pPr>
        <w:spacing w:before="4" w:line="360" w:lineRule="auto"/>
        <w:ind w:firstLine="528" w:firstLineChars="200"/>
        <w:rPr>
          <w:rFonts w:ascii="宋体" w:hAnsi="宋体" w:cs="宋体"/>
          <w:color w:val="auto"/>
          <w:spacing w:val="12"/>
          <w:sz w:val="24"/>
          <w:szCs w:val="24"/>
          <w:highlight w:val="none"/>
          <w:shd w:val="clear" w:color="auto" w:fill="FFFFFF"/>
        </w:rPr>
      </w:pPr>
      <w:r>
        <w:rPr>
          <w:rFonts w:hint="eastAsia" w:ascii="宋体" w:hAnsi="宋体" w:cs="宋体"/>
          <w:color w:val="auto"/>
          <w:spacing w:val="12"/>
          <w:sz w:val="24"/>
          <w:szCs w:val="24"/>
          <w:highlight w:val="none"/>
          <w:shd w:val="clear" w:color="auto" w:fill="FFFFFF"/>
          <w:lang w:val="en-US" w:eastAsia="zh-CN"/>
        </w:rPr>
        <w:t>2、</w:t>
      </w:r>
      <w:r>
        <w:rPr>
          <w:rFonts w:hint="eastAsia" w:ascii="宋体" w:hAnsi="宋体" w:cs="宋体"/>
          <w:color w:val="auto"/>
          <w:spacing w:val="12"/>
          <w:sz w:val="24"/>
          <w:szCs w:val="24"/>
          <w:highlight w:val="none"/>
          <w:shd w:val="clear" w:color="auto" w:fill="FFFFFF"/>
        </w:rPr>
        <w:t>承包各部分的工程的施工、调试、报验并通过</w:t>
      </w:r>
      <w:r>
        <w:rPr>
          <w:rFonts w:hint="eastAsia" w:ascii="宋体" w:hAnsi="宋体" w:cs="宋体"/>
          <w:color w:val="auto"/>
          <w:sz w:val="24"/>
          <w:szCs w:val="24"/>
          <w:highlight w:val="none"/>
        </w:rPr>
        <w:t>甲方、监理、物业</w:t>
      </w:r>
      <w:r>
        <w:rPr>
          <w:rFonts w:hint="eastAsia" w:ascii="宋体" w:hAnsi="宋体" w:cs="宋体"/>
          <w:color w:val="auto"/>
          <w:sz w:val="24"/>
          <w:szCs w:val="24"/>
          <w:highlight w:val="none"/>
          <w:lang w:eastAsia="zh-CN"/>
        </w:rPr>
        <w:t>的</w:t>
      </w:r>
      <w:r>
        <w:rPr>
          <w:rFonts w:hint="eastAsia" w:ascii="宋体" w:hAnsi="宋体" w:cs="宋体"/>
          <w:color w:val="auto"/>
          <w:spacing w:val="12"/>
          <w:sz w:val="24"/>
          <w:szCs w:val="24"/>
          <w:highlight w:val="none"/>
          <w:shd w:val="clear" w:color="auto" w:fill="FFFFFF"/>
        </w:rPr>
        <w:t>验收，</w:t>
      </w:r>
      <w:r>
        <w:rPr>
          <w:rFonts w:hint="eastAsia" w:ascii="宋体" w:hAnsi="宋体" w:cs="宋体"/>
          <w:color w:val="auto"/>
          <w:sz w:val="24"/>
          <w:szCs w:val="24"/>
          <w:highlight w:val="none"/>
        </w:rPr>
        <w:t>检测、验收等相关费用均已包括在</w:t>
      </w:r>
      <w:r>
        <w:rPr>
          <w:rFonts w:hint="eastAsia" w:ascii="宋体" w:hAnsi="宋体" w:cs="宋体"/>
          <w:color w:val="auto"/>
          <w:sz w:val="24"/>
          <w:szCs w:val="24"/>
          <w:highlight w:val="none"/>
          <w:lang w:val="en-US" w:eastAsia="zh-CN"/>
        </w:rPr>
        <w:t>合同各项含税固定综合单价</w:t>
      </w:r>
      <w:r>
        <w:rPr>
          <w:rFonts w:hint="eastAsia" w:ascii="宋体" w:hAnsi="宋体" w:cs="宋体"/>
          <w:color w:val="auto"/>
          <w:sz w:val="24"/>
          <w:szCs w:val="24"/>
          <w:highlight w:val="none"/>
        </w:rPr>
        <w:t>内。</w:t>
      </w:r>
    </w:p>
    <w:p w14:paraId="095948FD">
      <w:pPr>
        <w:pStyle w:val="2"/>
        <w:numPr>
          <w:ilvl w:val="255"/>
          <w:numId w:val="0"/>
        </w:numPr>
        <w:kinsoku w:val="0"/>
        <w:wordWrap w:val="0"/>
        <w:topLinePunct/>
        <w:autoSpaceDE w:val="0"/>
        <w:spacing w:line="360" w:lineRule="auto"/>
        <w:rPr>
          <w:rFonts w:hAnsi="宋体" w:cs="宋体"/>
          <w:b w:val="0"/>
          <w:color w:val="auto"/>
          <w:szCs w:val="24"/>
          <w:highlight w:val="none"/>
        </w:rPr>
      </w:pPr>
      <w:r>
        <w:rPr>
          <w:rFonts w:hint="eastAsia" w:hAnsi="宋体" w:cs="宋体"/>
          <w:color w:val="auto"/>
          <w:szCs w:val="24"/>
          <w:highlight w:val="none"/>
        </w:rPr>
        <w:t>三、承包方式</w:t>
      </w:r>
    </w:p>
    <w:p w14:paraId="0B6FABA1">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 w:val="24"/>
          <w:szCs w:val="24"/>
          <w:highlight w:val="none"/>
          <w:lang w:val="en-US" w:eastAsia="zh-CN"/>
        </w:rPr>
        <w:t>本工程为含税固定综合单价</w:t>
      </w:r>
      <w:r>
        <w:rPr>
          <w:rFonts w:hint="eastAsia" w:ascii="宋体" w:hAnsi="宋体" w:cs="宋体"/>
          <w:color w:val="auto"/>
          <w:sz w:val="24"/>
          <w:szCs w:val="24"/>
          <w:highlight w:val="none"/>
        </w:rPr>
        <w:t>包干</w:t>
      </w:r>
      <w:r>
        <w:rPr>
          <w:rFonts w:hint="eastAsia" w:ascii="宋体" w:hAnsi="宋体" w:cs="宋体"/>
          <w:color w:val="auto"/>
          <w:sz w:val="24"/>
          <w:szCs w:val="24"/>
          <w:highlight w:val="none"/>
          <w:lang w:val="en-US" w:eastAsia="zh-CN"/>
        </w:rPr>
        <w:t>的承包方式</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即：含税固定综合单价</w:t>
      </w:r>
      <w:r>
        <w:rPr>
          <w:rFonts w:hint="eastAsia" w:ascii="宋体" w:hAnsi="宋体" w:cs="宋体"/>
          <w:color w:val="auto"/>
          <w:sz w:val="24"/>
          <w:szCs w:val="24"/>
          <w:highlight w:val="none"/>
        </w:rPr>
        <w:t>包干</w:t>
      </w:r>
      <w:r>
        <w:rPr>
          <w:rFonts w:hint="eastAsia" w:ascii="宋体" w:hAnsi="宋体" w:cs="宋体"/>
          <w:color w:val="auto"/>
          <w:sz w:val="24"/>
          <w:szCs w:val="24"/>
          <w:highlight w:val="none"/>
          <w:lang w:eastAsia="zh-CN"/>
        </w:rPr>
        <w:t>，</w:t>
      </w:r>
      <w:r>
        <w:rPr>
          <w:rFonts w:hint="eastAsia" w:ascii="宋体" w:hAnsi="宋体" w:cs="宋体"/>
          <w:color w:val="auto"/>
          <w:szCs w:val="24"/>
          <w:highlight w:val="none"/>
        </w:rPr>
        <w:t>包工包料、包质量、包工期、包安全、包验收</w:t>
      </w:r>
      <w:r>
        <w:rPr>
          <w:rFonts w:hint="eastAsia" w:ascii="宋体" w:hAnsi="宋体" w:cs="宋体"/>
          <w:color w:val="auto"/>
          <w:szCs w:val="24"/>
          <w:highlight w:val="none"/>
          <w:lang w:eastAsia="zh-CN"/>
        </w:rPr>
        <w:t>、</w:t>
      </w:r>
      <w:r>
        <w:rPr>
          <w:rFonts w:hint="eastAsia" w:ascii="宋体" w:hAnsi="宋体" w:cs="宋体"/>
          <w:color w:val="auto"/>
          <w:szCs w:val="24"/>
          <w:highlight w:val="none"/>
          <w:lang w:val="en-US" w:eastAsia="zh-CN"/>
        </w:rPr>
        <w:t>包维修</w:t>
      </w:r>
      <w:r>
        <w:rPr>
          <w:rFonts w:hint="eastAsia" w:ascii="宋体" w:hAnsi="宋体" w:cs="宋体"/>
          <w:color w:val="auto"/>
          <w:szCs w:val="24"/>
          <w:highlight w:val="none"/>
          <w:lang w:eastAsia="zh-CN"/>
        </w:rPr>
        <w:t>通过</w:t>
      </w:r>
      <w:r>
        <w:rPr>
          <w:rFonts w:hint="eastAsia" w:ascii="宋体" w:hAnsi="宋体" w:cs="宋体"/>
          <w:color w:val="auto"/>
          <w:szCs w:val="24"/>
          <w:highlight w:val="none"/>
        </w:rPr>
        <w:t>直至交付使用。</w:t>
      </w:r>
    </w:p>
    <w:p w14:paraId="45029148">
      <w:pPr>
        <w:numPr>
          <w:ilvl w:val="255"/>
          <w:numId w:val="0"/>
        </w:numPr>
        <w:kinsoku w:val="0"/>
        <w:wordWrap w:val="0"/>
        <w:topLinePunct/>
        <w:autoSpaceDE w:val="0"/>
        <w:spacing w:line="360" w:lineRule="auto"/>
        <w:rPr>
          <w:rFonts w:hAnsi="宋体" w:cs="宋体"/>
          <w:bCs/>
          <w:color w:val="auto"/>
          <w:szCs w:val="24"/>
          <w:highlight w:val="none"/>
        </w:rPr>
      </w:pPr>
      <w:r>
        <w:rPr>
          <w:rFonts w:hint="eastAsia" w:ascii="宋体" w:hAnsi="宋体" w:cs="宋体"/>
          <w:b/>
          <w:bCs/>
          <w:color w:val="auto"/>
          <w:szCs w:val="24"/>
          <w:highlight w:val="none"/>
        </w:rPr>
        <w:t>四、工期要求</w:t>
      </w:r>
    </w:p>
    <w:p w14:paraId="229F1BBE">
      <w:pPr>
        <w:spacing w:line="360" w:lineRule="auto"/>
        <w:ind w:firstLine="480" w:firstLineChars="200"/>
        <w:rPr>
          <w:rFonts w:hint="eastAsia" w:ascii="宋体" w:hAnsi="宋体" w:cs="宋体"/>
          <w:color w:val="auto"/>
          <w:highlight w:val="none"/>
        </w:rPr>
      </w:pPr>
      <w:r>
        <w:rPr>
          <w:rFonts w:hint="eastAsia" w:ascii="宋体" w:hAnsi="宋体"/>
          <w:color w:val="auto"/>
          <w:highlight w:val="none"/>
          <w:lang w:val="en-US" w:eastAsia="zh-CN"/>
        </w:rPr>
        <w:t>1、工期</w:t>
      </w:r>
      <w:r>
        <w:rPr>
          <w:rFonts w:hint="eastAsia" w:ascii="宋体" w:hAnsi="宋体"/>
          <w:color w:val="auto"/>
          <w:highlight w:val="none"/>
        </w:rPr>
        <w:t>：</w:t>
      </w:r>
      <w:r>
        <w:rPr>
          <w:rFonts w:hint="eastAsia" w:ascii="宋体" w:hAnsi="宋体"/>
          <w:color w:val="auto"/>
          <w:highlight w:val="none"/>
          <w:u w:val="single"/>
          <w:lang w:val="en-US" w:eastAsia="zh-CN"/>
        </w:rPr>
        <w:t>60</w:t>
      </w:r>
      <w:r>
        <w:rPr>
          <w:rFonts w:hint="eastAsia" w:ascii="宋体" w:hAnsi="宋体"/>
          <w:color w:val="auto"/>
          <w:highlight w:val="none"/>
        </w:rPr>
        <w:t>日历天</w:t>
      </w:r>
      <w:r>
        <w:rPr>
          <w:rFonts w:hint="eastAsia" w:ascii="宋体" w:hAnsi="宋体"/>
          <w:color w:val="auto"/>
          <w:highlight w:val="none"/>
          <w:lang w:eastAsia="zh-CN"/>
        </w:rPr>
        <w:t>（</w:t>
      </w:r>
      <w:r>
        <w:rPr>
          <w:rFonts w:hint="eastAsia" w:asciiTheme="minorEastAsia" w:hAnsiTheme="minorEastAsia" w:eastAsiaTheme="minorEastAsia"/>
          <w:color w:val="auto"/>
          <w:highlight w:val="none"/>
          <w:u w:val="none"/>
          <w:lang w:val="en-US" w:eastAsia="zh-CN"/>
        </w:rPr>
        <w:t>不含混凝土垫层冷却时间</w:t>
      </w:r>
      <w:r>
        <w:rPr>
          <w:rFonts w:hint="eastAsia" w:ascii="宋体" w:hAnsi="宋体"/>
          <w:color w:val="auto"/>
          <w:highlight w:val="none"/>
          <w:lang w:eastAsia="zh-CN"/>
        </w:rPr>
        <w:t>）。</w:t>
      </w:r>
      <w:r>
        <w:rPr>
          <w:rFonts w:hint="eastAsia" w:ascii="宋体" w:hAnsi="宋体"/>
          <w:color w:val="auto"/>
          <w:highlight w:val="none"/>
        </w:rPr>
        <w:t>具体开工时间以甲方发出的书面通知为准</w:t>
      </w:r>
      <w:r>
        <w:rPr>
          <w:rFonts w:hint="eastAsia" w:ascii="宋体" w:hAnsi="宋体" w:cs="宋体"/>
          <w:color w:val="auto"/>
          <w:highlight w:val="none"/>
        </w:rPr>
        <w:t>，</w:t>
      </w:r>
      <w:r>
        <w:rPr>
          <w:rFonts w:hint="eastAsia" w:ascii="宋体" w:hAnsi="宋体" w:cs="宋体"/>
        </w:rPr>
        <w:t>乙方承诺满足甲方需求并不因此要求工期补偿/赔偿</w:t>
      </w:r>
      <w:r>
        <w:rPr>
          <w:rFonts w:hint="eastAsia" w:ascii="宋体" w:hAnsi="宋体" w:cs="宋体"/>
          <w:color w:val="auto"/>
          <w:highlight w:val="none"/>
        </w:rPr>
        <w:t>。</w:t>
      </w:r>
    </w:p>
    <w:p w14:paraId="02504FC4">
      <w:pPr>
        <w:spacing w:line="360" w:lineRule="auto"/>
        <w:ind w:firstLine="480" w:firstLineChars="200"/>
        <w:rPr>
          <w:rFonts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施工过程中如遇甲方责任或不可抗力等因素所延误的工期，经甲、乙双方签证认可后予以调整，并在此基础上确定完工日期。</w:t>
      </w:r>
    </w:p>
    <w:p w14:paraId="0A831E57">
      <w:pPr>
        <w:numPr>
          <w:ilvl w:val="255"/>
          <w:numId w:val="0"/>
        </w:numPr>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五、合同价格</w:t>
      </w:r>
    </w:p>
    <w:p w14:paraId="70DEC5FA">
      <w:pPr>
        <w:kinsoku w:val="0"/>
        <w:wordWrap w:val="0"/>
        <w:topLinePunct/>
        <w:autoSpaceDE w:val="0"/>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1、合同</w:t>
      </w:r>
      <w:r>
        <w:rPr>
          <w:rFonts w:hint="eastAsia" w:ascii="宋体" w:hAnsi="宋体" w:cs="宋体"/>
          <w:color w:val="auto"/>
          <w:szCs w:val="24"/>
          <w:highlight w:val="none"/>
          <w:lang w:eastAsia="zh-CN"/>
        </w:rPr>
        <w:t>含税暂定总价</w:t>
      </w:r>
      <w:r>
        <w:rPr>
          <w:rFonts w:hint="eastAsia" w:ascii="宋体" w:hAnsi="宋体" w:cs="宋体"/>
          <w:color w:val="auto"/>
          <w:szCs w:val="24"/>
          <w:highlight w:val="none"/>
        </w:rPr>
        <w:t>为¥</w:t>
      </w:r>
      <w:r>
        <w:rPr>
          <w:rFonts w:hint="eastAsia" w:ascii="宋体" w:hAnsi="宋体" w:cs="宋体"/>
          <w:color w:val="auto"/>
          <w:szCs w:val="24"/>
          <w:highlight w:val="none"/>
          <w:u w:val="single"/>
        </w:rPr>
        <w:t xml:space="preserve"> 617954.89</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陆拾壹万柒仟玖佰伍拾肆元捌角玖分</w:t>
      </w:r>
      <w:r>
        <w:rPr>
          <w:rFonts w:hint="eastAsia" w:ascii="宋体" w:hAnsi="宋体" w:cs="宋体"/>
          <w:color w:val="auto"/>
          <w:szCs w:val="24"/>
          <w:highlight w:val="none"/>
          <w:u w:val="single"/>
        </w:rPr>
        <w:t>，（以下简称“合同总价”</w:t>
      </w:r>
      <w:r>
        <w:rPr>
          <w:rFonts w:hint="eastAsia" w:ascii="宋体" w:hAnsi="宋体" w:cs="宋体"/>
          <w:color w:val="auto"/>
          <w:szCs w:val="24"/>
          <w:highlight w:val="none"/>
        </w:rPr>
        <w:t>）。其中不含税金额为¥</w:t>
      </w:r>
      <w:r>
        <w:rPr>
          <w:rFonts w:hint="eastAsia" w:ascii="宋体" w:hAnsi="宋体" w:cs="宋体"/>
          <w:color w:val="auto"/>
          <w:szCs w:val="24"/>
          <w:highlight w:val="none"/>
          <w:u w:val="single"/>
          <w:lang w:val="en-US" w:eastAsia="zh-CN"/>
        </w:rPr>
        <w:t>566931.09</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伍拾陆万陆仟玖佰叁拾壹元零玖分</w:t>
      </w:r>
      <w:r>
        <w:rPr>
          <w:rFonts w:hint="eastAsia" w:ascii="宋体" w:hAnsi="宋体" w:cs="宋体"/>
          <w:color w:val="auto"/>
          <w:szCs w:val="24"/>
          <w:highlight w:val="none"/>
        </w:rPr>
        <w:t>），增值税</w:t>
      </w:r>
      <w:r>
        <w:rPr>
          <w:rFonts w:hint="eastAsia" w:ascii="宋体" w:hAnsi="宋体" w:cs="宋体"/>
          <w:color w:val="auto"/>
          <w:szCs w:val="24"/>
          <w:highlight w:val="none"/>
          <w:lang w:val="en-US" w:eastAsia="zh-CN"/>
        </w:rPr>
        <w:t>专用发票</w:t>
      </w:r>
      <w:r>
        <w:rPr>
          <w:rFonts w:hint="eastAsia" w:ascii="宋体" w:hAnsi="宋体" w:cs="宋体"/>
          <w:color w:val="auto"/>
          <w:szCs w:val="24"/>
          <w:highlight w:val="none"/>
        </w:rPr>
        <w:t>税金为¥</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51023.80</w:t>
      </w:r>
      <w:r>
        <w:rPr>
          <w:rFonts w:hint="eastAsia" w:ascii="宋体" w:hAnsi="宋体" w:cs="宋体"/>
          <w:color w:val="auto"/>
          <w:szCs w:val="24"/>
          <w:highlight w:val="none"/>
        </w:rPr>
        <w:t>元（大写人民币</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伍万壹仟零贰拾叁元捌角整</w:t>
      </w:r>
      <w:r>
        <w:rPr>
          <w:rFonts w:hint="eastAsia" w:ascii="宋体" w:hAnsi="宋体" w:cs="宋体"/>
          <w:color w:val="auto"/>
          <w:szCs w:val="24"/>
          <w:highlight w:val="none"/>
        </w:rPr>
        <w:t>），</w:t>
      </w:r>
      <w:r>
        <w:rPr>
          <w:rFonts w:hint="eastAsia" w:ascii="宋体" w:hAnsi="宋体" w:cs="宋体"/>
          <w:color w:val="auto"/>
          <w:szCs w:val="24"/>
          <w:highlight w:val="none"/>
          <w:lang w:val="en-US" w:eastAsia="zh-CN"/>
        </w:rPr>
        <w:t>增值税专用发票</w:t>
      </w:r>
      <w:r>
        <w:rPr>
          <w:rFonts w:hint="eastAsia" w:ascii="宋体" w:hAnsi="宋体" w:cs="宋体"/>
          <w:color w:val="auto"/>
          <w:szCs w:val="24"/>
          <w:highlight w:val="none"/>
        </w:rPr>
        <w:t>税率</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9</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rPr>
        <w:t>%。详见附件</w:t>
      </w:r>
      <w:r>
        <w:rPr>
          <w:rFonts w:hint="eastAsia" w:ascii="宋体" w:hAnsi="宋体" w:cs="宋体"/>
          <w:color w:val="auto"/>
          <w:szCs w:val="24"/>
          <w:highlight w:val="none"/>
          <w:lang w:eastAsia="zh-CN"/>
        </w:rPr>
        <w:t>三</w:t>
      </w:r>
      <w:r>
        <w:rPr>
          <w:rFonts w:hint="eastAsia" w:ascii="宋体" w:hAnsi="宋体" w:cs="宋体"/>
          <w:color w:val="auto"/>
          <w:szCs w:val="24"/>
          <w:highlight w:val="none"/>
        </w:rPr>
        <w:t>《</w:t>
      </w:r>
      <w:r>
        <w:rPr>
          <w:rFonts w:hint="eastAsia" w:ascii="宋体" w:hAnsi="宋体" w:cs="宋体"/>
          <w:color w:val="auto"/>
          <w:szCs w:val="24"/>
          <w:highlight w:val="none"/>
          <w:lang w:eastAsia="zh-CN"/>
        </w:rPr>
        <w:t>价格清单</w:t>
      </w:r>
      <w:r>
        <w:rPr>
          <w:rFonts w:hint="eastAsia" w:ascii="宋体" w:hAnsi="宋体" w:cs="宋体"/>
          <w:color w:val="auto"/>
          <w:szCs w:val="24"/>
          <w:highlight w:val="none"/>
        </w:rPr>
        <w:t>》。</w:t>
      </w:r>
    </w:p>
    <w:p w14:paraId="62699D7C">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rPr>
        <w:t>2、本工程采用</w:t>
      </w:r>
      <w:r>
        <w:rPr>
          <w:rFonts w:hint="eastAsia" w:hAnsi="宋体" w:cs="宋体"/>
          <w:b w:val="0"/>
          <w:bCs/>
          <w:color w:val="auto"/>
          <w:kern w:val="2"/>
          <w:position w:val="0"/>
          <w:szCs w:val="24"/>
          <w:highlight w:val="none"/>
          <w:lang w:eastAsia="zh-CN"/>
        </w:rPr>
        <w:t>含税固定综合单价</w:t>
      </w:r>
      <w:r>
        <w:rPr>
          <w:rFonts w:hint="eastAsia" w:hAnsi="宋体" w:cs="宋体"/>
          <w:b w:val="0"/>
          <w:bCs/>
          <w:color w:val="auto"/>
          <w:kern w:val="2"/>
          <w:position w:val="0"/>
          <w:szCs w:val="24"/>
          <w:highlight w:val="none"/>
        </w:rPr>
        <w:t>包干，</w:t>
      </w:r>
      <w:r>
        <w:rPr>
          <w:rFonts w:hint="eastAsia" w:hAnsi="宋体" w:cs="宋体"/>
          <w:b w:val="0"/>
          <w:bCs/>
          <w:color w:val="auto"/>
          <w:kern w:val="2"/>
          <w:position w:val="0"/>
          <w:szCs w:val="24"/>
          <w:highlight w:val="none"/>
          <w:lang w:eastAsia="zh-CN"/>
        </w:rPr>
        <w:t>各分项含税固定综合单价</w:t>
      </w:r>
      <w:r>
        <w:rPr>
          <w:rFonts w:hint="eastAsia" w:hAnsi="宋体" w:cs="宋体"/>
          <w:b w:val="0"/>
          <w:bCs/>
          <w:color w:val="auto"/>
          <w:kern w:val="2"/>
          <w:position w:val="0"/>
          <w:szCs w:val="24"/>
          <w:highlight w:val="none"/>
        </w:rPr>
        <w:t>应包括但不限于人工费、材料费、机械费</w:t>
      </w:r>
      <w:r>
        <w:rPr>
          <w:rFonts w:hint="eastAsia" w:hAnsi="宋体" w:cs="宋体"/>
          <w:b w:val="0"/>
          <w:bCs/>
          <w:color w:val="auto"/>
          <w:kern w:val="2"/>
          <w:position w:val="0"/>
          <w:szCs w:val="24"/>
          <w:highlight w:val="none"/>
          <w:lang w:val="en-US" w:eastAsia="zh-CN"/>
        </w:rPr>
        <w:t>及进出场费</w:t>
      </w:r>
      <w:r>
        <w:rPr>
          <w:rFonts w:hint="eastAsia" w:hAnsi="宋体" w:cs="宋体"/>
          <w:b w:val="0"/>
          <w:bCs/>
          <w:color w:val="auto"/>
          <w:kern w:val="2"/>
          <w:position w:val="0"/>
          <w:szCs w:val="24"/>
          <w:highlight w:val="none"/>
        </w:rPr>
        <w:t>、安装费、措施费、窝工费、按合同工期的赶工费、水电费、垃圾清运费、材料检测检验费、规费、安全文明施工费、扬尘治理增加费、成品保护、管理费、利润、税金（增值税专用发票）、垫资利息、检查验收、质保期服务等所需全部费用。</w:t>
      </w:r>
      <w:r>
        <w:rPr>
          <w:rFonts w:hint="eastAsia" w:hAnsi="宋体" w:cs="宋体"/>
          <w:b w:val="0"/>
          <w:bCs/>
          <w:color w:val="auto"/>
          <w:kern w:val="2"/>
          <w:position w:val="0"/>
          <w:szCs w:val="24"/>
          <w:highlight w:val="none"/>
          <w:lang w:eastAsia="zh-CN"/>
        </w:rPr>
        <w:t>各分项</w:t>
      </w:r>
      <w:r>
        <w:rPr>
          <w:rFonts w:hint="eastAsia" w:hAnsi="宋体" w:cs="宋体"/>
          <w:b w:val="0"/>
          <w:bCs/>
          <w:color w:val="auto"/>
          <w:kern w:val="2"/>
          <w:position w:val="0"/>
          <w:szCs w:val="24"/>
          <w:highlight w:val="none"/>
          <w:lang w:val="en-US" w:eastAsia="zh-CN"/>
        </w:rPr>
        <w:t>详细价格</w:t>
      </w:r>
      <w:r>
        <w:rPr>
          <w:rFonts w:hint="eastAsia" w:hAnsi="宋体" w:cs="宋体"/>
          <w:b w:val="0"/>
          <w:bCs/>
          <w:color w:val="auto"/>
          <w:kern w:val="2"/>
          <w:position w:val="0"/>
          <w:szCs w:val="24"/>
          <w:highlight w:val="none"/>
        </w:rPr>
        <w:t>详见附件</w:t>
      </w:r>
      <w:r>
        <w:rPr>
          <w:rFonts w:hint="eastAsia" w:hAnsi="宋体" w:cs="宋体"/>
          <w:b w:val="0"/>
          <w:bCs/>
          <w:color w:val="auto"/>
          <w:kern w:val="2"/>
          <w:position w:val="0"/>
          <w:szCs w:val="24"/>
          <w:highlight w:val="none"/>
          <w:lang w:eastAsia="zh-CN"/>
        </w:rPr>
        <w:t>三</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价格清单</w:t>
      </w:r>
      <w:r>
        <w:rPr>
          <w:rFonts w:hint="eastAsia" w:hAnsi="宋体" w:cs="宋体"/>
          <w:b w:val="0"/>
          <w:bCs/>
          <w:color w:val="auto"/>
          <w:kern w:val="2"/>
          <w:position w:val="0"/>
          <w:szCs w:val="24"/>
          <w:highlight w:val="none"/>
        </w:rPr>
        <w:t>》。</w:t>
      </w:r>
    </w:p>
    <w:p w14:paraId="20E7A960">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hint="eastAsia" w:ascii="宋体" w:hAnsi="宋体" w:cs="宋体"/>
          <w:color w:val="auto"/>
          <w:szCs w:val="24"/>
          <w:highlight w:val="none"/>
        </w:rPr>
        <w:t>、增值税税率说明：</w:t>
      </w:r>
    </w:p>
    <w:p w14:paraId="663B6A08">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ascii="宋体" w:hAnsi="宋体" w:cs="宋体"/>
          <w:color w:val="auto"/>
          <w:szCs w:val="24"/>
          <w:highlight w:val="none"/>
        </w:rPr>
        <w:t>.1</w:t>
      </w:r>
      <w:r>
        <w:rPr>
          <w:rFonts w:hint="eastAsia" w:ascii="宋体" w:hAnsi="宋体" w:cs="宋体"/>
          <w:color w:val="auto"/>
          <w:szCs w:val="24"/>
          <w:highlight w:val="none"/>
        </w:rPr>
        <w:t>、合同价增值税</w:t>
      </w:r>
      <w:r>
        <w:rPr>
          <w:rFonts w:hint="eastAsia" w:ascii="宋体" w:hAnsi="宋体" w:cs="宋体"/>
          <w:color w:val="auto"/>
          <w:szCs w:val="24"/>
          <w:highlight w:val="none"/>
          <w:lang w:val="en-US" w:eastAsia="zh-CN"/>
        </w:rPr>
        <w:t>专用发票，</w:t>
      </w:r>
      <w:r>
        <w:rPr>
          <w:rFonts w:hint="eastAsia" w:ascii="宋体" w:hAnsi="宋体" w:cs="宋体"/>
          <w:color w:val="auto"/>
          <w:szCs w:val="24"/>
          <w:highlight w:val="none"/>
        </w:rPr>
        <w:t>税率按</w:t>
      </w:r>
      <w:r>
        <w:rPr>
          <w:rFonts w:hint="eastAsia" w:ascii="宋体" w:hAnsi="宋体" w:cs="宋体"/>
          <w:color w:val="auto"/>
          <w:szCs w:val="24"/>
          <w:highlight w:val="none"/>
          <w:u w:val="single"/>
          <w:lang w:val="en-US" w:eastAsia="zh-CN"/>
        </w:rPr>
        <w:t xml:space="preserve"> 9 </w:t>
      </w:r>
      <w:r>
        <w:rPr>
          <w:rFonts w:ascii="宋体" w:hAnsi="宋体" w:cs="宋体"/>
          <w:color w:val="auto"/>
          <w:szCs w:val="24"/>
          <w:highlight w:val="none"/>
        </w:rPr>
        <w:t>%</w:t>
      </w:r>
      <w:r>
        <w:rPr>
          <w:rFonts w:hint="eastAsia" w:ascii="宋体" w:hAnsi="宋体" w:cs="宋体"/>
          <w:color w:val="auto"/>
          <w:szCs w:val="24"/>
          <w:highlight w:val="none"/>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25265946">
      <w:pPr>
        <w:spacing w:line="360" w:lineRule="auto"/>
        <w:ind w:firstLine="420" w:firstLineChars="175"/>
        <w:rPr>
          <w:rFonts w:ascii="宋体" w:hAnsi="宋体" w:cs="宋体"/>
          <w:color w:val="auto"/>
          <w:szCs w:val="24"/>
          <w:highlight w:val="none"/>
        </w:rPr>
      </w:pPr>
      <w:r>
        <w:rPr>
          <w:rFonts w:hint="eastAsia" w:ascii="宋体" w:hAnsi="宋体" w:cs="宋体"/>
          <w:color w:val="auto"/>
          <w:szCs w:val="24"/>
          <w:highlight w:val="none"/>
          <w:lang w:val="en-US" w:eastAsia="zh-CN"/>
        </w:rPr>
        <w:t>3</w:t>
      </w:r>
      <w:r>
        <w:rPr>
          <w:rFonts w:ascii="宋体" w:hAnsi="宋体" w:cs="宋体"/>
          <w:color w:val="auto"/>
          <w:szCs w:val="24"/>
          <w:highlight w:val="none"/>
        </w:rPr>
        <w:t>.2</w:t>
      </w:r>
      <w:r>
        <w:rPr>
          <w:rFonts w:hint="eastAsia" w:ascii="宋体" w:hAnsi="宋体" w:cs="宋体"/>
          <w:color w:val="auto"/>
          <w:szCs w:val="24"/>
          <w:highlight w:val="none"/>
        </w:rPr>
        <w:t>、如因乙方纳税资格变更引起增值税税率变化，风险由乙方自行承担（税率增加的，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仍按原税率支付税金；税率减小的，</w:t>
      </w:r>
      <w:r>
        <w:rPr>
          <w:rFonts w:hint="eastAsia" w:ascii="宋体" w:hAnsi="宋体" w:cs="宋体"/>
          <w:color w:val="auto"/>
          <w:szCs w:val="24"/>
          <w:highlight w:val="none"/>
          <w:lang w:eastAsia="zh-CN"/>
        </w:rPr>
        <w:t>甲方</w:t>
      </w:r>
      <w:r>
        <w:rPr>
          <w:rFonts w:hint="eastAsia" w:ascii="宋体" w:hAnsi="宋体" w:cs="宋体"/>
          <w:color w:val="auto"/>
          <w:szCs w:val="24"/>
          <w:highlight w:val="none"/>
        </w:rPr>
        <w:t>按减小后的税率支付税金）。</w:t>
      </w:r>
    </w:p>
    <w:p w14:paraId="63B5DC2B">
      <w:pPr>
        <w:pStyle w:val="2"/>
        <w:tabs>
          <w:tab w:val="left" w:pos="0"/>
        </w:tabs>
        <w:kinsoku w:val="0"/>
        <w:wordWrap w:val="0"/>
        <w:topLinePunct/>
        <w:autoSpaceDE w:val="0"/>
        <w:spacing w:line="360" w:lineRule="auto"/>
        <w:rPr>
          <w:rFonts w:hAnsi="宋体" w:cs="宋体"/>
          <w:color w:val="auto"/>
          <w:szCs w:val="24"/>
          <w:highlight w:val="none"/>
        </w:rPr>
      </w:pPr>
      <w:r>
        <w:rPr>
          <w:rFonts w:hint="eastAsia" w:hAnsi="宋体" w:cs="宋体"/>
          <w:color w:val="auto"/>
          <w:szCs w:val="24"/>
          <w:highlight w:val="none"/>
        </w:rPr>
        <w:t>六、工程价款支付</w:t>
      </w:r>
      <w:r>
        <w:rPr>
          <w:rFonts w:hAnsi="宋体" w:cs="宋体"/>
          <w:color w:val="auto"/>
          <w:szCs w:val="24"/>
          <w:highlight w:val="none"/>
        </w:rPr>
        <w:t xml:space="preserve"> </w:t>
      </w:r>
    </w:p>
    <w:p w14:paraId="2B33BDDB">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1、</w:t>
      </w:r>
      <w:r>
        <w:rPr>
          <w:rFonts w:hint="eastAsia" w:hAnsi="宋体" w:cs="宋体"/>
          <w:b w:val="0"/>
          <w:bCs/>
          <w:color w:val="auto"/>
          <w:kern w:val="2"/>
          <w:position w:val="0"/>
          <w:szCs w:val="24"/>
          <w:highlight w:val="none"/>
          <w:lang w:eastAsia="zh-CN"/>
        </w:rPr>
        <w:t>本区域混凝土垫层施工完成（</w:t>
      </w:r>
      <w:r>
        <w:rPr>
          <w:rFonts w:hint="eastAsia" w:hAnsi="宋体" w:cs="宋体"/>
          <w:b w:val="0"/>
          <w:bCs/>
          <w:color w:val="auto"/>
          <w:kern w:val="2"/>
          <w:position w:val="0"/>
          <w:szCs w:val="24"/>
          <w:highlight w:val="none"/>
          <w:lang w:val="en-US" w:eastAsia="zh-CN"/>
        </w:rPr>
        <w:t>汽车坡道除外，设备间包含在内</w:t>
      </w:r>
      <w:r>
        <w:rPr>
          <w:rFonts w:hint="eastAsia" w:hAnsi="宋体" w:cs="宋体"/>
          <w:b w:val="0"/>
          <w:bCs/>
          <w:color w:val="auto"/>
          <w:kern w:val="2"/>
          <w:position w:val="0"/>
          <w:szCs w:val="24"/>
          <w:highlight w:val="none"/>
          <w:lang w:eastAsia="zh-CN"/>
        </w:rPr>
        <w:t>）并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、监理验收合格后，付至该项已完工程量价款的80%；</w:t>
      </w:r>
    </w:p>
    <w:p w14:paraId="09DC3A4A">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2</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本区域地坪（</w:t>
      </w:r>
      <w:r>
        <w:rPr>
          <w:rFonts w:hint="eastAsia" w:hAnsi="宋体" w:cs="宋体"/>
          <w:b w:val="0"/>
          <w:bCs/>
          <w:color w:val="auto"/>
          <w:kern w:val="2"/>
          <w:position w:val="0"/>
          <w:szCs w:val="24"/>
          <w:highlight w:val="none"/>
          <w:lang w:val="en-US" w:eastAsia="zh-CN"/>
        </w:rPr>
        <w:t>含固化剂</w:t>
      </w:r>
      <w:r>
        <w:rPr>
          <w:rFonts w:hint="eastAsia" w:hAnsi="宋体" w:cs="宋体"/>
          <w:b w:val="0"/>
          <w:bCs/>
          <w:color w:val="auto"/>
          <w:kern w:val="2"/>
          <w:position w:val="0"/>
          <w:szCs w:val="24"/>
          <w:highlight w:val="none"/>
          <w:lang w:eastAsia="zh-CN"/>
        </w:rPr>
        <w:t>）施工完成并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、监理验收合格后，付至该项已完工程量价款的80%；</w:t>
      </w:r>
    </w:p>
    <w:p w14:paraId="7BCC4DA9">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3</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本区域标线、</w:t>
      </w:r>
      <w:r>
        <w:rPr>
          <w:rFonts w:hint="eastAsia" w:hAnsi="宋体" w:cs="宋体"/>
          <w:b w:val="0"/>
          <w:bCs/>
          <w:color w:val="auto"/>
          <w:kern w:val="2"/>
          <w:position w:val="0"/>
          <w:szCs w:val="24"/>
          <w:highlight w:val="none"/>
          <w:lang w:val="en-US" w:eastAsia="zh-CN"/>
        </w:rPr>
        <w:t>反光标</w:t>
      </w:r>
      <w:r>
        <w:rPr>
          <w:rFonts w:hint="eastAsia" w:hAnsi="宋体" w:cs="宋体"/>
          <w:b w:val="0"/>
          <w:bCs/>
          <w:color w:val="auto"/>
          <w:kern w:val="2"/>
          <w:position w:val="0"/>
          <w:szCs w:val="24"/>
          <w:highlight w:val="none"/>
          <w:lang w:eastAsia="zh-CN"/>
        </w:rPr>
        <w:t>牌、交通设施、墙柱面喷涂</w:t>
      </w:r>
      <w:r>
        <w:rPr>
          <w:rFonts w:hint="eastAsia" w:hAnsi="宋体" w:cs="宋体"/>
          <w:b w:val="0"/>
          <w:bCs/>
          <w:color w:val="auto"/>
          <w:kern w:val="2"/>
          <w:position w:val="0"/>
          <w:szCs w:val="24"/>
          <w:highlight w:val="none"/>
          <w:lang w:val="en-US" w:eastAsia="zh-CN"/>
        </w:rPr>
        <w:t>等所有合同内工作均</w:t>
      </w:r>
      <w:r>
        <w:rPr>
          <w:rFonts w:hint="eastAsia" w:hAnsi="宋体" w:cs="宋体"/>
          <w:b w:val="0"/>
          <w:bCs/>
          <w:color w:val="auto"/>
          <w:kern w:val="2"/>
          <w:position w:val="0"/>
          <w:szCs w:val="24"/>
          <w:highlight w:val="none"/>
          <w:lang w:eastAsia="zh-CN"/>
        </w:rPr>
        <w:t>完成并</w:t>
      </w:r>
      <w:r>
        <w:rPr>
          <w:rFonts w:hint="eastAsia" w:hAnsi="宋体" w:cs="宋体"/>
          <w:b w:val="0"/>
          <w:bCs/>
          <w:color w:val="auto"/>
          <w:kern w:val="2"/>
          <w:position w:val="0"/>
          <w:szCs w:val="24"/>
          <w:highlight w:val="none"/>
        </w:rPr>
        <w:t>经</w:t>
      </w:r>
      <w:r>
        <w:rPr>
          <w:rFonts w:hint="eastAsia" w:hAnsi="宋体" w:cs="宋体"/>
          <w:b w:val="0"/>
          <w:bCs/>
          <w:color w:val="auto"/>
          <w:kern w:val="2"/>
          <w:position w:val="0"/>
          <w:szCs w:val="24"/>
          <w:highlight w:val="none"/>
          <w:lang w:eastAsia="zh-CN"/>
        </w:rPr>
        <w:t>甲方</w:t>
      </w:r>
      <w:r>
        <w:rPr>
          <w:rFonts w:hint="eastAsia" w:hAnsi="宋体" w:cs="宋体"/>
          <w:b w:val="0"/>
          <w:bCs/>
          <w:color w:val="auto"/>
          <w:kern w:val="2"/>
          <w:position w:val="0"/>
          <w:szCs w:val="24"/>
          <w:highlight w:val="none"/>
        </w:rPr>
        <w:t>、监理验收合格后，</w:t>
      </w:r>
      <w:r>
        <w:rPr>
          <w:rFonts w:hint="eastAsia" w:hAnsi="宋体" w:cs="宋体"/>
          <w:b w:val="0"/>
          <w:bCs/>
          <w:color w:val="auto"/>
          <w:kern w:val="2"/>
          <w:position w:val="0"/>
          <w:szCs w:val="24"/>
          <w:highlight w:val="none"/>
          <w:lang w:eastAsia="zh-CN"/>
        </w:rPr>
        <w:t>付至</w:t>
      </w:r>
      <w:r>
        <w:rPr>
          <w:rFonts w:hint="eastAsia" w:hAnsi="宋体" w:cs="宋体"/>
          <w:b w:val="0"/>
          <w:bCs/>
          <w:color w:val="auto"/>
          <w:kern w:val="2"/>
          <w:position w:val="0"/>
          <w:szCs w:val="24"/>
          <w:highlight w:val="none"/>
        </w:rPr>
        <w:t>该项已完工程量价款的80%；</w:t>
      </w:r>
    </w:p>
    <w:p w14:paraId="086A1A16">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4</w:t>
      </w:r>
      <w:r>
        <w:rPr>
          <w:rFonts w:hint="eastAsia" w:hAnsi="宋体" w:cs="宋体"/>
          <w:b w:val="0"/>
          <w:bCs/>
          <w:color w:val="auto"/>
          <w:kern w:val="2"/>
          <w:position w:val="0"/>
          <w:szCs w:val="24"/>
          <w:highlight w:val="none"/>
        </w:rPr>
        <w:t>、</w:t>
      </w:r>
      <w:r>
        <w:rPr>
          <w:rFonts w:hint="eastAsia" w:hAnsi="宋体" w:cs="宋体"/>
          <w:b w:val="0"/>
          <w:bCs/>
          <w:color w:val="auto"/>
          <w:kern w:val="2"/>
          <w:position w:val="0"/>
          <w:szCs w:val="24"/>
          <w:highlight w:val="none"/>
          <w:lang w:eastAsia="zh-CN"/>
        </w:rPr>
        <w:t>所有区域全部工程施工完成，</w:t>
      </w:r>
      <w:r>
        <w:rPr>
          <w:rFonts w:hint="eastAsia" w:hAnsi="宋体" w:cs="宋体"/>
          <w:b w:val="0"/>
          <w:bCs/>
          <w:color w:val="auto"/>
          <w:kern w:val="2"/>
          <w:position w:val="0"/>
          <w:szCs w:val="24"/>
          <w:highlight w:val="none"/>
          <w:lang w:val="en-US" w:eastAsia="zh-CN"/>
        </w:rPr>
        <w:t>配合甲方</w:t>
      </w:r>
      <w:r>
        <w:rPr>
          <w:rFonts w:hint="eastAsia" w:hAnsi="宋体" w:cs="宋体"/>
          <w:b w:val="0"/>
          <w:bCs/>
          <w:color w:val="auto"/>
          <w:kern w:val="2"/>
          <w:position w:val="0"/>
          <w:szCs w:val="24"/>
          <w:highlight w:val="none"/>
        </w:rPr>
        <w:t>结算完成</w:t>
      </w:r>
      <w:r>
        <w:rPr>
          <w:rFonts w:hint="eastAsia" w:hAnsi="宋体" w:cs="宋体"/>
          <w:b w:val="0"/>
          <w:bCs/>
          <w:color w:val="auto"/>
          <w:kern w:val="2"/>
          <w:position w:val="0"/>
          <w:szCs w:val="24"/>
          <w:highlight w:val="none"/>
          <w:lang w:eastAsia="zh-CN"/>
        </w:rPr>
        <w:t>后</w:t>
      </w:r>
      <w:r>
        <w:rPr>
          <w:rFonts w:hint="eastAsia" w:hAnsi="宋体" w:cs="宋体"/>
          <w:b w:val="0"/>
          <w:bCs/>
          <w:color w:val="auto"/>
          <w:kern w:val="2"/>
          <w:position w:val="0"/>
          <w:szCs w:val="24"/>
          <w:highlight w:val="none"/>
        </w:rPr>
        <w:t>，付至结算</w:t>
      </w:r>
      <w:r>
        <w:rPr>
          <w:rFonts w:hint="eastAsia" w:hAnsi="宋体" w:cs="宋体"/>
          <w:b w:val="0"/>
          <w:bCs/>
          <w:color w:val="auto"/>
          <w:kern w:val="2"/>
          <w:position w:val="0"/>
          <w:szCs w:val="24"/>
          <w:highlight w:val="none"/>
          <w:lang w:eastAsia="zh-CN"/>
        </w:rPr>
        <w:t>金额</w:t>
      </w:r>
      <w:r>
        <w:rPr>
          <w:rFonts w:hint="eastAsia" w:hAnsi="宋体" w:cs="宋体"/>
          <w:b w:val="0"/>
          <w:bCs/>
          <w:color w:val="auto"/>
          <w:kern w:val="2"/>
          <w:position w:val="0"/>
          <w:szCs w:val="24"/>
          <w:highlight w:val="none"/>
        </w:rPr>
        <w:t>的9</w:t>
      </w:r>
      <w:r>
        <w:rPr>
          <w:rFonts w:hint="eastAsia" w:hAnsi="宋体" w:cs="宋体"/>
          <w:b w:val="0"/>
          <w:bCs/>
          <w:color w:val="auto"/>
          <w:kern w:val="2"/>
          <w:position w:val="0"/>
          <w:szCs w:val="24"/>
          <w:highlight w:val="none"/>
          <w:lang w:val="en-US" w:eastAsia="zh-CN"/>
        </w:rPr>
        <w:t>7</w:t>
      </w:r>
      <w:r>
        <w:rPr>
          <w:rFonts w:hint="eastAsia" w:hAnsi="宋体" w:cs="宋体"/>
          <w:b w:val="0"/>
          <w:bCs/>
          <w:color w:val="auto"/>
          <w:kern w:val="2"/>
          <w:position w:val="0"/>
          <w:szCs w:val="24"/>
          <w:highlight w:val="none"/>
        </w:rPr>
        <w:t>%；</w:t>
      </w:r>
    </w:p>
    <w:p w14:paraId="314939A0">
      <w:pPr>
        <w:pStyle w:val="2"/>
        <w:kinsoku w:val="0"/>
        <w:wordWrap w:val="0"/>
        <w:topLinePunct/>
        <w:autoSpaceDE w:val="0"/>
        <w:adjustRightInd/>
        <w:spacing w:line="360" w:lineRule="auto"/>
        <w:ind w:firstLine="480" w:firstLineChars="200"/>
        <w:jc w:val="both"/>
        <w:rPr>
          <w:rFonts w:hint="eastAsia" w:hAnsi="宋体" w:cs="宋体"/>
          <w:b w:val="0"/>
          <w:bCs/>
          <w:color w:val="auto"/>
          <w:kern w:val="2"/>
          <w:position w:val="0"/>
          <w:szCs w:val="24"/>
          <w:highlight w:val="none"/>
        </w:rPr>
      </w:pPr>
      <w:r>
        <w:rPr>
          <w:rFonts w:hint="eastAsia" w:hAnsi="宋体" w:cs="宋体"/>
          <w:b w:val="0"/>
          <w:bCs/>
          <w:color w:val="auto"/>
          <w:kern w:val="2"/>
          <w:position w:val="0"/>
          <w:szCs w:val="24"/>
          <w:highlight w:val="none"/>
          <w:lang w:val="en-US" w:eastAsia="zh-CN"/>
        </w:rPr>
        <w:t>5</w:t>
      </w:r>
      <w:r>
        <w:rPr>
          <w:rFonts w:hint="eastAsia" w:hAnsi="宋体" w:cs="宋体"/>
          <w:b w:val="0"/>
          <w:bCs/>
          <w:color w:val="auto"/>
          <w:kern w:val="2"/>
          <w:position w:val="0"/>
          <w:szCs w:val="24"/>
          <w:highlight w:val="none"/>
        </w:rPr>
        <w:t>、剩余金额（即结算金额的</w:t>
      </w:r>
      <w:r>
        <w:rPr>
          <w:rFonts w:hint="eastAsia" w:hAnsi="宋体" w:cs="宋体"/>
          <w:b w:val="0"/>
          <w:bCs/>
          <w:color w:val="auto"/>
          <w:kern w:val="2"/>
          <w:position w:val="0"/>
          <w:szCs w:val="24"/>
          <w:highlight w:val="none"/>
          <w:lang w:val="en-US" w:eastAsia="zh-CN"/>
        </w:rPr>
        <w:t>3</w:t>
      </w:r>
      <w:r>
        <w:rPr>
          <w:rFonts w:hint="eastAsia" w:hAnsi="宋体" w:cs="宋体"/>
          <w:b w:val="0"/>
          <w:bCs/>
          <w:color w:val="auto"/>
          <w:kern w:val="2"/>
          <w:position w:val="0"/>
          <w:szCs w:val="24"/>
          <w:highlight w:val="none"/>
        </w:rPr>
        <w:t>%）留为质保金，质保期为2年，自</w:t>
      </w:r>
      <w:r>
        <w:rPr>
          <w:rFonts w:hint="eastAsia" w:hAnsi="宋体" w:cs="宋体"/>
          <w:b w:val="0"/>
          <w:bCs/>
          <w:color w:val="auto"/>
          <w:kern w:val="2"/>
          <w:position w:val="0"/>
          <w:szCs w:val="24"/>
          <w:highlight w:val="none"/>
          <w:lang w:eastAsia="zh-CN"/>
        </w:rPr>
        <w:t>工程全部施工完成并经甲方、监理验收合格之日</w:t>
      </w:r>
      <w:r>
        <w:rPr>
          <w:rFonts w:hint="eastAsia" w:hAnsi="宋体" w:cs="宋体"/>
          <w:b w:val="0"/>
          <w:bCs/>
          <w:color w:val="auto"/>
          <w:kern w:val="2"/>
          <w:position w:val="0"/>
          <w:szCs w:val="24"/>
          <w:highlight w:val="none"/>
        </w:rPr>
        <w:t>起开始计算。</w:t>
      </w:r>
      <w:r>
        <w:rPr>
          <w:rFonts w:hint="eastAsia" w:hAnsi="宋体" w:cs="宋体"/>
          <w:b w:val="0"/>
          <w:bCs/>
          <w:color w:val="auto"/>
          <w:kern w:val="2"/>
          <w:position w:val="0"/>
          <w:szCs w:val="24"/>
          <w:highlight w:val="none"/>
          <w:lang w:val="en-US" w:eastAsia="zh-CN"/>
        </w:rPr>
        <w:t>质保期内，如因工程质量问题、用料质量问题、维修或乙方其他违约行为等导致乙方存在应支付未支付款项或甲方代乙方支出的款项的，甲方有权在质保金中直接扣除，质保金不足以弥补甲方损失的，乙方应负责赔偿，因此导致工程质保金低于3%，乙方应在收到甲方补足通知之日起3日内予以补足。在质保期满后，并且乙方已提供齐全的付款资料（付款资料包括但不限于：乙方的付款申请、甲方或甲方的项目物业出具的保修满意证明）之次日起15个工作日内，在扣除质保期间发生的由甲方代乙方或应由乙方支付/承担的有关维修费用（如有）后，将剩余款项（若有）支付给乙方，</w:t>
      </w:r>
      <w:r>
        <w:rPr>
          <w:rFonts w:hint="eastAsia" w:hAnsi="宋体" w:cs="宋体"/>
          <w:b w:val="0"/>
          <w:bCs/>
          <w:kern w:val="2"/>
          <w:position w:val="0"/>
          <w:szCs w:val="24"/>
        </w:rPr>
        <w:t>质保金无论任何情形均不计利息</w:t>
      </w:r>
      <w:r>
        <w:rPr>
          <w:rFonts w:hint="eastAsia" w:hAnsi="宋体" w:cs="宋体"/>
          <w:b w:val="0"/>
          <w:bCs/>
          <w:color w:val="auto"/>
          <w:kern w:val="2"/>
          <w:position w:val="0"/>
          <w:szCs w:val="24"/>
          <w:highlight w:val="none"/>
          <w:lang w:val="en-US" w:eastAsia="zh-CN"/>
        </w:rPr>
        <w:t>。质保金不足以支付有关维修费用的，乙方须继续赔偿甲方因此受到的损失</w:t>
      </w:r>
      <w:r>
        <w:rPr>
          <w:rFonts w:hint="eastAsia" w:hAnsi="宋体" w:cs="宋体"/>
          <w:b w:val="0"/>
          <w:bCs/>
          <w:color w:val="auto"/>
          <w:kern w:val="2"/>
          <w:position w:val="0"/>
          <w:szCs w:val="24"/>
          <w:highlight w:val="none"/>
        </w:rPr>
        <w:t>。</w:t>
      </w:r>
    </w:p>
    <w:p w14:paraId="6C0B8BE6">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6</w:t>
      </w:r>
      <w:r>
        <w:rPr>
          <w:rFonts w:hint="eastAsia" w:ascii="宋体" w:hAnsi="宋体" w:cs="宋体"/>
          <w:bCs/>
          <w:color w:val="auto"/>
          <w:szCs w:val="24"/>
          <w:highlight w:val="none"/>
        </w:rPr>
        <w:t>、每次付款前，</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应按</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要求出具</w:t>
      </w:r>
      <w:r>
        <w:rPr>
          <w:rFonts w:hint="eastAsia" w:ascii="宋体" w:hAnsi="宋体" w:cs="宋体"/>
          <w:bCs/>
          <w:color w:val="auto"/>
          <w:szCs w:val="24"/>
          <w:highlight w:val="none"/>
          <w:lang w:val="en-US" w:eastAsia="zh-CN"/>
        </w:rPr>
        <w:t>等额</w:t>
      </w:r>
      <w:r>
        <w:rPr>
          <w:rFonts w:hint="eastAsia" w:ascii="宋体" w:hAnsi="宋体" w:cs="宋体"/>
          <w:bCs/>
          <w:color w:val="auto"/>
          <w:szCs w:val="24"/>
          <w:highlight w:val="none"/>
        </w:rPr>
        <w:t>合法有效的增值税专用发票。当</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向</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累计支付款项至本合同结算值的9</w:t>
      </w:r>
      <w:r>
        <w:rPr>
          <w:rFonts w:hint="eastAsia" w:ascii="宋体" w:hAnsi="宋体" w:cs="宋体"/>
          <w:bCs/>
          <w:color w:val="auto"/>
          <w:szCs w:val="24"/>
          <w:highlight w:val="none"/>
          <w:lang w:val="en-US" w:eastAsia="zh-CN"/>
        </w:rPr>
        <w:t>7</w:t>
      </w:r>
      <w:r>
        <w:rPr>
          <w:rFonts w:hint="eastAsia" w:ascii="宋体" w:hAnsi="宋体" w:cs="宋体"/>
          <w:bCs/>
          <w:color w:val="auto"/>
          <w:szCs w:val="24"/>
          <w:highlight w:val="none"/>
        </w:rPr>
        <w:t>％时，</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须向</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开具结算金额100％的合法有效的</w:t>
      </w:r>
      <w:r>
        <w:rPr>
          <w:rFonts w:hint="eastAsia" w:ascii="宋体" w:hAnsi="宋体" w:cs="宋体"/>
          <w:bCs/>
          <w:color w:val="auto"/>
          <w:szCs w:val="24"/>
          <w:highlight w:val="none"/>
          <w:lang w:eastAsia="zh-CN"/>
        </w:rPr>
        <w:t>增值税专用发票</w:t>
      </w:r>
      <w:r>
        <w:rPr>
          <w:rFonts w:hint="eastAsia" w:ascii="宋体" w:hAnsi="宋体" w:cs="宋体"/>
          <w:bCs/>
          <w:color w:val="auto"/>
          <w:szCs w:val="24"/>
          <w:highlight w:val="none"/>
        </w:rPr>
        <w:t>，否则</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除扣留质保金外，还有权拒绝支付</w:t>
      </w:r>
      <w:r>
        <w:rPr>
          <w:rFonts w:hint="eastAsia" w:ascii="宋体" w:hAnsi="宋体" w:cs="宋体"/>
          <w:bCs/>
          <w:color w:val="auto"/>
          <w:szCs w:val="24"/>
          <w:highlight w:val="none"/>
          <w:lang w:val="en-US" w:eastAsia="zh-CN"/>
        </w:rPr>
        <w:t>该批次</w:t>
      </w:r>
      <w:r>
        <w:rPr>
          <w:rFonts w:hint="eastAsia" w:ascii="宋体" w:hAnsi="宋体" w:cs="宋体"/>
          <w:bCs/>
          <w:color w:val="auto"/>
          <w:szCs w:val="24"/>
          <w:highlight w:val="none"/>
        </w:rPr>
        <w:t>工程款。</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应在开票之后5个工作日内将发票送达</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甲方</w:t>
      </w:r>
      <w:r>
        <w:rPr>
          <w:rFonts w:hint="eastAsia" w:ascii="宋体" w:hAnsi="宋体" w:cs="宋体"/>
          <w:bCs/>
          <w:color w:val="auto"/>
          <w:szCs w:val="24"/>
          <w:highlight w:val="none"/>
        </w:rPr>
        <w:t>签收发票的日期为发票的送达日期。</w:t>
      </w:r>
    </w:p>
    <w:p w14:paraId="214715B5">
      <w:pPr>
        <w:pStyle w:val="18"/>
        <w:rPr>
          <w:rFonts w:hint="default"/>
          <w:color w:val="auto"/>
          <w:highlight w:val="none"/>
          <w:lang w:val="en-US" w:eastAsia="zh-CN"/>
        </w:rPr>
      </w:pPr>
      <w:r>
        <w:rPr>
          <w:rFonts w:hint="eastAsia" w:ascii="宋体" w:hAnsi="宋体" w:cs="宋体"/>
          <w:bCs/>
          <w:color w:val="auto"/>
          <w:szCs w:val="24"/>
          <w:highlight w:val="none"/>
          <w:lang w:val="en-US" w:eastAsia="zh-CN"/>
        </w:rPr>
        <w:t xml:space="preserve">    </w:t>
      </w:r>
      <w:r>
        <w:rPr>
          <w:rFonts w:hint="eastAsia" w:ascii="宋体" w:hAnsi="宋体" w:cs="宋体"/>
          <w:bCs/>
          <w:color w:val="auto"/>
          <w:kern w:val="2"/>
          <w:sz w:val="24"/>
          <w:szCs w:val="24"/>
          <w:highlight w:val="none"/>
          <w:lang w:val="en-US" w:eastAsia="zh-CN" w:bidi="ar-SA"/>
        </w:rPr>
        <w:t>7</w:t>
      </w:r>
      <w:r>
        <w:rPr>
          <w:rFonts w:hint="eastAsia" w:ascii="宋体" w:hAnsi="宋体" w:eastAsia="宋体" w:cs="宋体"/>
          <w:bCs/>
          <w:color w:val="auto"/>
          <w:kern w:val="2"/>
          <w:sz w:val="24"/>
          <w:szCs w:val="24"/>
          <w:highlight w:val="none"/>
          <w:lang w:val="en-US" w:eastAsia="zh-CN" w:bidi="ar-SA"/>
        </w:rPr>
        <w:t>、乙方应提供合规发票，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14:paraId="4F50A753">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、对发票不合规的约定</w:t>
      </w:r>
      <w:r>
        <w:rPr>
          <w:rFonts w:hint="eastAsia" w:ascii="宋体" w:hAnsi="宋体" w:cs="宋体"/>
          <w:bCs/>
          <w:color w:val="auto"/>
          <w:szCs w:val="24"/>
          <w:highlight w:val="none"/>
          <w:lang w:eastAsia="zh-CN"/>
        </w:rPr>
        <w:t>：</w:t>
      </w:r>
    </w:p>
    <w:p w14:paraId="7CED8FA6">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.1、乙方提供的发票为增值税专用发票的，因乙方迟延送达、开具错误等原因导致其提供的增值税专用发票没有通过税务部门认证，造成甲方不能抵扣的，甲方有权拒绝接收。</w:t>
      </w:r>
    </w:p>
    <w:p w14:paraId="26A84BC3">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8</w:t>
      </w:r>
      <w:r>
        <w:rPr>
          <w:rFonts w:hint="eastAsia" w:ascii="宋体" w:hAnsi="宋体" w:cs="宋体"/>
          <w:bCs/>
          <w:color w:val="auto"/>
          <w:szCs w:val="24"/>
          <w:highlight w:val="none"/>
        </w:rPr>
        <w:t>.2、乙方开具虚假、作废等无效发票或者违反国家法律法规开具、提供发票的，乙方应自行承担相应法律责任，</w:t>
      </w:r>
      <w:r>
        <w:rPr>
          <w:rFonts w:ascii="宋体" w:hAnsi="宋体" w:eastAsia="宋体" w:cs="宋体"/>
          <w:sz w:val="24"/>
          <w:szCs w:val="24"/>
        </w:rPr>
        <w:t>赔偿由此给甲方造成的全部损失</w:t>
      </w:r>
      <w:r>
        <w:rPr>
          <w:rFonts w:hint="eastAsia" w:ascii="宋体" w:hAnsi="宋体" w:cs="宋体"/>
          <w:bCs/>
          <w:color w:val="auto"/>
          <w:szCs w:val="24"/>
          <w:highlight w:val="none"/>
        </w:rPr>
        <w:t>并应向甲方支付合同总价20%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178746CA">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w:t>
      </w:r>
      <w:r>
        <w:rPr>
          <w:rFonts w:hint="eastAsia" w:ascii="宋体" w:hAnsi="宋体" w:cs="宋体"/>
          <w:bCs/>
          <w:color w:val="auto"/>
          <w:szCs w:val="24"/>
          <w:highlight w:val="none"/>
          <w:lang w:eastAsia="zh-CN"/>
        </w:rPr>
        <w:t>其他</w:t>
      </w:r>
      <w:r>
        <w:rPr>
          <w:rFonts w:hint="eastAsia" w:ascii="宋体" w:hAnsi="宋体" w:cs="宋体"/>
          <w:bCs/>
          <w:color w:val="auto"/>
          <w:szCs w:val="24"/>
          <w:highlight w:val="none"/>
        </w:rPr>
        <w:t>税务风险的合同约定</w:t>
      </w:r>
      <w:r>
        <w:rPr>
          <w:rFonts w:hint="eastAsia" w:ascii="宋体" w:hAnsi="宋体" w:cs="宋体"/>
          <w:bCs/>
          <w:color w:val="auto"/>
          <w:szCs w:val="24"/>
          <w:highlight w:val="none"/>
          <w:lang w:eastAsia="zh-CN"/>
        </w:rPr>
        <w:t>：</w:t>
      </w:r>
    </w:p>
    <w:p w14:paraId="6A6597F7">
      <w:pPr>
        <w:kinsoku w:val="0"/>
        <w:wordWrap w:val="0"/>
        <w:topLinePunct/>
        <w:autoSpaceDE w:val="0"/>
        <w:spacing w:line="360" w:lineRule="auto"/>
        <w:ind w:firstLine="480" w:firstLineChars="200"/>
        <w:rPr>
          <w:rFonts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ascii="宋体" w:hAnsi="宋体" w:cs="宋体"/>
          <w:bCs/>
          <w:color w:val="auto"/>
          <w:szCs w:val="24"/>
          <w:highlight w:val="none"/>
        </w:rPr>
        <w:t>1、</w:t>
      </w:r>
      <w:r>
        <w:rPr>
          <w:rFonts w:hint="eastAsia" w:ascii="宋体" w:hAnsi="宋体" w:cs="宋体"/>
          <w:bCs/>
          <w:color w:val="auto"/>
          <w:szCs w:val="24"/>
          <w:highlight w:val="none"/>
        </w:rPr>
        <w:t>如果甲方丢失增值税专用发票联和抵扣联，乙方应向甲方提供专用发票记账联复印件，并加盖乙方发票专用章。</w:t>
      </w:r>
    </w:p>
    <w:p w14:paraId="473EFC09">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9</w:t>
      </w:r>
      <w:r>
        <w:rPr>
          <w:rFonts w:hint="eastAsia" w:ascii="宋体" w:hAnsi="宋体" w:cs="宋体"/>
          <w:bCs/>
          <w:color w:val="auto"/>
          <w:szCs w:val="24"/>
          <w:highlight w:val="none"/>
        </w:rPr>
        <w:t>.2、如果获得开具的汇总专用发票，则乙方应提供其防伪税控系统开具的《销售货物或者提供应税劳务清单》，并加盖发票专用章。</w:t>
      </w:r>
    </w:p>
    <w:p w14:paraId="797E1D5C">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10、</w:t>
      </w:r>
      <w:r>
        <w:rPr>
          <w:rFonts w:hint="eastAsia" w:ascii="宋体" w:hAnsi="宋体" w:cs="宋体"/>
          <w:bCs/>
          <w:color w:val="auto"/>
          <w:szCs w:val="24"/>
          <w:highlight w:val="none"/>
        </w:rPr>
        <w:t>真实发生且合理合规的设计变更、现场签证事项，在按</w:t>
      </w:r>
      <w:r>
        <w:rPr>
          <w:rFonts w:hint="eastAsia" w:ascii="宋体" w:hAnsi="宋体" w:cs="宋体"/>
          <w:bCs/>
          <w:color w:val="auto"/>
          <w:szCs w:val="24"/>
          <w:highlight w:val="none"/>
          <w:lang w:val="en-US" w:eastAsia="zh-CN"/>
        </w:rPr>
        <w:t>甲方</w:t>
      </w:r>
      <w:r>
        <w:rPr>
          <w:rFonts w:hint="eastAsia" w:ascii="宋体" w:hAnsi="宋体" w:cs="宋体"/>
          <w:bCs/>
          <w:color w:val="auto"/>
          <w:szCs w:val="24"/>
          <w:highlight w:val="none"/>
        </w:rPr>
        <w:t>制度审批完成后的次月随节点进度款进行付款（每次具备支付条件的签证变更金额累计金额需超过3万元，累计已审批变更签证金额不足3万元时依次滚动到下节点，</w:t>
      </w:r>
      <w:r>
        <w:rPr>
          <w:rFonts w:hint="eastAsia" w:ascii="宋体" w:hAnsi="宋体" w:cs="宋体"/>
          <w:bCs/>
          <w:color w:val="auto"/>
          <w:szCs w:val="24"/>
          <w:highlight w:val="none"/>
          <w:lang w:val="en-US" w:eastAsia="zh-CN"/>
        </w:rPr>
        <w:t>甲方内部</w:t>
      </w:r>
      <w:r>
        <w:rPr>
          <w:rFonts w:hint="eastAsia" w:ascii="宋体" w:hAnsi="宋体" w:cs="宋体"/>
          <w:bCs/>
          <w:color w:val="auto"/>
          <w:szCs w:val="24"/>
          <w:highlight w:val="none"/>
        </w:rPr>
        <w:t>流程审批中或未发起审批的金额不具备支付条件）；支付比例为流程已审批完成且已确认金额的80%，剩余20%于竣工结算后支付</w:t>
      </w:r>
      <w:r>
        <w:rPr>
          <w:rFonts w:hint="eastAsia" w:ascii="宋体" w:hAnsi="宋体" w:cs="宋体"/>
          <w:bCs/>
          <w:color w:val="auto"/>
          <w:szCs w:val="24"/>
          <w:highlight w:val="none"/>
          <w:lang w:val="en-US" w:eastAsia="zh-CN"/>
        </w:rPr>
        <w:t>。</w:t>
      </w:r>
    </w:p>
    <w:p w14:paraId="27847EA6">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七、技术规范及质量要求</w:t>
      </w:r>
    </w:p>
    <w:p w14:paraId="69CC1ADA">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 技术标准：本次工程内容执行国家现行相关工程建设法律、法规、强制性标准及相关技术规范。</w:t>
      </w:r>
    </w:p>
    <w:p w14:paraId="7DF67444">
      <w:pPr>
        <w:kinsoku w:val="0"/>
        <w:wordWrap w:val="0"/>
        <w:topLinePunct/>
        <w:autoSpaceDE w:val="0"/>
        <w:spacing w:line="360" w:lineRule="auto"/>
        <w:ind w:firstLine="480" w:firstLineChars="200"/>
        <w:rPr>
          <w:rFonts w:hint="default"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《建筑工程施工质量验收统一标准》GB50300-2013</w:t>
      </w:r>
    </w:p>
    <w:p w14:paraId="539A3EFB">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《建筑装饰装修工程质量验收规范》GB50210-2001</w:t>
      </w:r>
    </w:p>
    <w:p w14:paraId="1C1691EA">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《建筑室内装修设计防火规范》GB50222-95</w:t>
      </w:r>
    </w:p>
    <w:p w14:paraId="34CD8E55">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与本工程有关的技术规范和验收标准</w:t>
      </w:r>
    </w:p>
    <w:p w14:paraId="2BFFAF00">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其他施工及验收规范、质量检验评定标准：按国家相应的标准、规范</w:t>
      </w:r>
    </w:p>
    <w:p w14:paraId="38048163">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说明：</w:t>
      </w:r>
    </w:p>
    <w:p w14:paraId="6AF6D1AF">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1.1、以上引用标准，如果已有更新标准，则执行新标准。</w:t>
      </w:r>
    </w:p>
    <w:p w14:paraId="5D3F50EA">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1.2、以上只列出一些主要规范、标准，本项目涉及的有关内容按相应规范、标准执行。</w:t>
      </w:r>
    </w:p>
    <w:p w14:paraId="30543FA3">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1.3、以上所列的主要技术标准和规范，如未能达到国际或国内最新标准时，</w:t>
      </w:r>
      <w:r>
        <w:rPr>
          <w:rFonts w:hint="eastAsia" w:ascii="宋体" w:hAnsi="宋体" w:cs="宋体"/>
          <w:bCs/>
          <w:szCs w:val="24"/>
        </w:rPr>
        <w:t>乙方</w:t>
      </w:r>
      <w:r>
        <w:rPr>
          <w:rFonts w:hint="eastAsia" w:ascii="宋体" w:hAnsi="宋体" w:cs="宋体"/>
          <w:bCs/>
          <w:color w:val="auto"/>
          <w:szCs w:val="24"/>
          <w:highlight w:val="none"/>
          <w:lang w:val="en-US" w:eastAsia="zh-CN"/>
        </w:rPr>
        <w:t>应在设计、施工及选用设备和材料时按最近的国际或国内标准执行，并提供采用的国际或国内标准、规范和所应用的最新版本的有关技术依据资料。</w:t>
      </w:r>
    </w:p>
    <w:p w14:paraId="1AA231E6">
      <w:pPr>
        <w:pStyle w:val="18"/>
        <w:rPr>
          <w:rFonts w:hint="default"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 xml:space="preserve">    1.4</w:t>
      </w:r>
      <w:r>
        <w:rPr>
          <w:rFonts w:hint="eastAsia" w:ascii="宋体" w:hAnsi="宋体" w:cs="宋体"/>
          <w:bCs/>
          <w:color w:val="auto"/>
          <w:kern w:val="2"/>
          <w:sz w:val="24"/>
          <w:szCs w:val="24"/>
          <w:highlight w:val="none"/>
          <w:lang w:val="en-US" w:eastAsia="zh-CN" w:bidi="ar-SA"/>
        </w:rPr>
        <w:t>、符合《中浩德地产集团工程精细化手册1.0工艺标准DCGC-01》的相关要求</w:t>
      </w:r>
    </w:p>
    <w:p w14:paraId="4D30160E">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2、标线、反光标牌（均为单面）、交通设施、地坪漆（含混凝土垫层）、墙柱面喷涂、排水沟施工技术要求详见图纸。</w:t>
      </w:r>
    </w:p>
    <w:p w14:paraId="17E9066B">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3、工程质量达到合格标准，符合图纸设计要求</w:t>
      </w:r>
    </w:p>
    <w:p w14:paraId="6EA0E307">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4、适用标准、规范：国家、河南省现行的环氧地坪和交通设施工程相关施工验收规范、标准。</w:t>
      </w:r>
    </w:p>
    <w:p w14:paraId="49442080">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5、本工程要求一次验收合格率100%，同时满足图纸设计和甲方的要求。因乙方原因导致工程质量达不到工程质量目标，乙方应无条件返工直至达到合格标准，并承担由此造成的一切损失。同时，不予工期顺延。</w:t>
      </w:r>
    </w:p>
    <w:p w14:paraId="4DCB283A">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6、施工中，凡出现质量不合格的分部分项工程经甲方、监理或政府相关部门提出进行返工的，乙方必须认真执行，并承担由此发生的全部费用，乙方并不能因此而获得工期顺延。</w:t>
      </w:r>
    </w:p>
    <w:p w14:paraId="3170911A">
      <w:pPr>
        <w:kinsoku w:val="0"/>
        <w:wordWrap w:val="0"/>
        <w:topLinePunct/>
        <w:autoSpaceDE w:val="0"/>
        <w:spacing w:line="360" w:lineRule="auto"/>
        <w:ind w:firstLine="48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7、施工期间，乙方必须认真执行甲方及监理单位对工程施工的管理要求。如乙方不能认真完成相关的管理要求，监理将根据情况对乙方下发《整改通知书》，乙方在接到《整改通知书》后须按要求整改，否则，监理将继续下达《整改通知书》直至乙方整改至合格为止。除第一次外，后续每下发一次《整改通知书》，乙方应支付甲方违约金500元，该款项甲方可直接从应付工程款中扣除。</w:t>
      </w:r>
    </w:p>
    <w:p w14:paraId="11A6C875">
      <w:pPr>
        <w:kinsoku w:val="0"/>
        <w:wordWrap w:val="0"/>
        <w:topLinePunct/>
        <w:autoSpaceDE w:val="0"/>
        <w:spacing w:line="360" w:lineRule="auto"/>
        <w:ind w:firstLine="480" w:firstLineChars="200"/>
        <w:rPr>
          <w:rFonts w:hint="eastAsia" w:ascii="宋体" w:hAnsi="宋体"/>
          <w:color w:val="auto"/>
          <w:highlight w:val="none"/>
        </w:rPr>
      </w:pPr>
      <w:r>
        <w:rPr>
          <w:rFonts w:hint="eastAsia" w:ascii="宋体" w:hAnsi="宋体" w:cs="宋体"/>
          <w:bCs/>
          <w:color w:val="auto"/>
          <w:szCs w:val="24"/>
          <w:highlight w:val="none"/>
          <w:lang w:val="en-US" w:eastAsia="zh-CN"/>
        </w:rPr>
        <w:t>8、乙方负责在施工过程中与甲方和监理公司进行接洽沟通，并负责施工过程中的政府部门检查与项目资料申报。</w:t>
      </w:r>
    </w:p>
    <w:p w14:paraId="15593F0A">
      <w:pPr>
        <w:pStyle w:val="2"/>
        <w:tabs>
          <w:tab w:val="left" w:pos="0"/>
        </w:tabs>
        <w:kinsoku w:val="0"/>
        <w:wordWrap w:val="0"/>
        <w:topLinePunct/>
        <w:autoSpaceDE w:val="0"/>
        <w:spacing w:line="360" w:lineRule="auto"/>
        <w:rPr>
          <w:rFonts w:hint="eastAsia" w:hAnsi="宋体" w:eastAsia="宋体" w:cs="宋体"/>
          <w:color w:val="auto"/>
          <w:szCs w:val="24"/>
          <w:highlight w:val="none"/>
          <w:lang w:eastAsia="zh-CN"/>
        </w:rPr>
      </w:pPr>
      <w:r>
        <w:rPr>
          <w:rFonts w:hint="eastAsia" w:hAnsi="宋体" w:cs="宋体"/>
          <w:color w:val="auto"/>
          <w:szCs w:val="24"/>
          <w:highlight w:val="none"/>
        </w:rPr>
        <w:t>八、</w:t>
      </w:r>
      <w:r>
        <w:rPr>
          <w:rFonts w:hint="eastAsia" w:hAnsi="宋体" w:cs="宋体"/>
          <w:color w:val="auto"/>
          <w:szCs w:val="24"/>
          <w:highlight w:val="none"/>
          <w:lang w:bidi="ar"/>
        </w:rPr>
        <w:t>验收</w:t>
      </w:r>
      <w:r>
        <w:rPr>
          <w:rFonts w:hint="eastAsia" w:hAnsi="宋体" w:cs="宋体"/>
          <w:color w:val="auto"/>
          <w:szCs w:val="24"/>
          <w:highlight w:val="none"/>
          <w:lang w:eastAsia="zh-CN" w:bidi="ar"/>
        </w:rPr>
        <w:t>要求</w:t>
      </w:r>
    </w:p>
    <w:p w14:paraId="4B451AC5">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1</w:t>
      </w:r>
      <w:r>
        <w:rPr>
          <w:rFonts w:hint="eastAsia" w:ascii="宋体" w:hAnsi="宋体" w:cs="宋体"/>
          <w:bCs/>
          <w:color w:val="auto"/>
          <w:szCs w:val="24"/>
          <w:highlight w:val="none"/>
        </w:rPr>
        <w:t>、隐蔽工程由乙方书面通知甲方、监理，由甲方、监理相关工程技术人员到现场检查验收，经验收合格后并履行隐蔽工程签证手续，乙方可将该部位隐蔽。</w:t>
      </w:r>
    </w:p>
    <w:p w14:paraId="08C279FF">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2</w:t>
      </w:r>
      <w:r>
        <w:rPr>
          <w:rFonts w:hint="eastAsia" w:ascii="宋体" w:hAnsi="宋体" w:cs="宋体"/>
          <w:bCs/>
          <w:color w:val="auto"/>
          <w:szCs w:val="24"/>
          <w:highlight w:val="none"/>
        </w:rPr>
        <w:t>、分项工程安装完毕，乙方应通过自查自检，认为合格后，通知甲方、监理验收，验收合格后，甲方、监理应及时给予办理验收签证手续。</w:t>
      </w:r>
    </w:p>
    <w:p w14:paraId="56D9F798">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3</w:t>
      </w:r>
      <w:r>
        <w:rPr>
          <w:rFonts w:hint="eastAsia" w:ascii="宋体" w:hAnsi="宋体" w:cs="宋体"/>
          <w:bCs/>
          <w:color w:val="auto"/>
          <w:szCs w:val="24"/>
          <w:highlight w:val="none"/>
        </w:rPr>
        <w:t>、工程竣工后，乙方通过自检、自查，并进行调试、开通、试运行正常后，认为具备条件时，乙方应以书面的方式向甲方、监理方提出验收申请，甲方自收到申请之日起3个工作日内给出正式回复，并在回复之日起3个工作日内组织相关人员验收，并提出验收意见，甲方认为不具备验收条件的除外</w:t>
      </w:r>
      <w:r>
        <w:rPr>
          <w:rFonts w:hint="eastAsia" w:ascii="宋体" w:hAnsi="宋体" w:cs="宋体"/>
          <w:bCs/>
          <w:color w:val="auto"/>
          <w:szCs w:val="24"/>
          <w:highlight w:val="none"/>
          <w:lang w:eastAsia="zh-CN"/>
        </w:rPr>
        <w:t>。乙方</w:t>
      </w:r>
      <w:r>
        <w:rPr>
          <w:rFonts w:hint="eastAsia" w:ascii="宋体" w:hAnsi="宋体" w:cs="宋体"/>
          <w:bCs/>
          <w:color w:val="auto"/>
          <w:szCs w:val="24"/>
          <w:highlight w:val="none"/>
        </w:rPr>
        <w:t>向甲方及监理单位提交竣工验收报告和完整的竣工资料（含竣工图、变更资料、验收报告、产品使用说明书、联系单、测试报告等）一式</w:t>
      </w:r>
      <w:r>
        <w:rPr>
          <w:rFonts w:hint="eastAsia" w:ascii="宋体" w:hAnsi="宋体" w:cs="宋体"/>
          <w:bCs/>
          <w:color w:val="auto"/>
          <w:szCs w:val="24"/>
          <w:highlight w:val="none"/>
          <w:lang w:val="en-US" w:eastAsia="zh-CN"/>
        </w:rPr>
        <w:t>2</w:t>
      </w:r>
      <w:r>
        <w:rPr>
          <w:rFonts w:hint="eastAsia" w:ascii="宋体" w:hAnsi="宋体" w:cs="宋体"/>
          <w:bCs/>
          <w:color w:val="auto"/>
          <w:szCs w:val="24"/>
          <w:highlight w:val="none"/>
          <w:lang w:eastAsia="zh-CN"/>
        </w:rPr>
        <w:t>套</w:t>
      </w:r>
      <w:r>
        <w:rPr>
          <w:rFonts w:hint="eastAsia" w:ascii="宋体" w:hAnsi="宋体" w:cs="宋体"/>
          <w:bCs/>
          <w:color w:val="auto"/>
          <w:szCs w:val="24"/>
          <w:highlight w:val="none"/>
        </w:rPr>
        <w:t>。</w:t>
      </w:r>
    </w:p>
    <w:p w14:paraId="5AFB56D9">
      <w:pPr>
        <w:kinsoku w:val="0"/>
        <w:wordWrap w:val="0"/>
        <w:topLinePunct/>
        <w:autoSpaceDE w:val="0"/>
        <w:spacing w:line="360" w:lineRule="auto"/>
        <w:ind w:firstLine="480" w:firstLineChars="200"/>
        <w:rPr>
          <w:rFonts w:hint="eastAsia" w:ascii="宋体" w:hAnsi="宋体" w:cs="宋体"/>
          <w:bCs/>
          <w:color w:val="auto"/>
          <w:szCs w:val="24"/>
          <w:highlight w:val="none"/>
        </w:rPr>
      </w:pPr>
      <w:r>
        <w:rPr>
          <w:rFonts w:hint="eastAsia" w:ascii="宋体" w:hAnsi="宋体" w:cs="宋体"/>
          <w:bCs/>
          <w:color w:val="auto"/>
          <w:szCs w:val="24"/>
          <w:highlight w:val="none"/>
          <w:lang w:val="en-US" w:eastAsia="zh-CN"/>
        </w:rPr>
        <w:t>4</w:t>
      </w:r>
      <w:r>
        <w:rPr>
          <w:rFonts w:hint="eastAsia" w:ascii="宋体" w:hAnsi="宋体" w:cs="宋体"/>
          <w:bCs/>
          <w:color w:val="auto"/>
          <w:szCs w:val="24"/>
          <w:highlight w:val="none"/>
        </w:rPr>
        <w:t>、乙方负责办理向甲方和监理公司验收手续及负担有关费用，验收合格后，乙方应向甲方提供工程验收合格证书。对于验收中存在的施工问题乙方应无条件进行整改，涉及不同标段相连结的施工问题，乙方应主动进行协调并解决问题。</w:t>
      </w:r>
    </w:p>
    <w:p w14:paraId="1B7660F5">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lang w:eastAsia="zh-CN"/>
        </w:rPr>
        <w:t>九</w:t>
      </w:r>
      <w:r>
        <w:rPr>
          <w:rFonts w:hint="eastAsia" w:ascii="宋体" w:hAnsi="宋体" w:cs="宋体"/>
          <w:b/>
          <w:bCs/>
          <w:color w:val="auto"/>
          <w:szCs w:val="24"/>
          <w:highlight w:val="none"/>
        </w:rPr>
        <w:t>、设备、材料采购及试验</w:t>
      </w:r>
    </w:p>
    <w:p w14:paraId="15FD2925">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1、本招标工程所有材料及设备均由乙方采购，乙方必须保证所采用的材料符合国家和地方现行规范标准，符合本合同要求的材料品牌、规格、质量标准及其他技术要求。</w:t>
      </w:r>
    </w:p>
    <w:p w14:paraId="61AB621C">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2、乙方必须对采购的材料、设备质量进行检测、检验，确保符合质量要求，否则视为乙方采购、使用的材料设备不符合合同约定要求，甲方或监理单位有权要求乙方负责更换、拆除并重新采购，由此产生的责任及损失由乙方承担。因材料不合格造成费用等损失均由乙方承担。</w:t>
      </w:r>
    </w:p>
    <w:p w14:paraId="1105AABC">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3、乙方在购置设备及材料前必须经甲方、监理书面认可后方可采购。乙方采购的设备、材料等在进场前要先向甲方和监理方填报《材料、设备进场报验单》，经甲方和监理验收合格并书面签字认可后方能进场，且使用前应按有关规定进行自检或按甲方要求进行检验或试验，不合格的不得使用，检验或试验费用由乙方承担。甲方的认可及/或签证并不视为对乙方供应设备及材料的质量合格的认可，也不因此免除乙方对设备及材料的质量瑕疵担保的责任。未经甲方和监理工程师检查认可的设备、材料不得进场；已进场但自检或甲方检验不合格的设备、材料应清退出场，由此造成的责任及损失由乙方负责。</w:t>
      </w:r>
    </w:p>
    <w:p w14:paraId="6261E24C">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4、甲方对施工过程中的工程质量问题实行零容忍，若乙方采购的材料设备不符合合同约定的品牌、厂家、产地、材质、工艺、规格、型号等标准或者存在“假冒伪劣”等情形（包含提供虚假或者过期无效的合格证、检测报告等情形），则甲方有权要求乙方将该部分材料设备清退出场，对已施工使用的材料设备，有权要求乙方全部拆除并重新施工，直至符合合同约定的各项质量标准，工期不予顺延，由此导致乙方工期及材料费用等损失由乙方自行承担，同时甲方还有权根据本合同相关条款追究乙方的违约责任，并向乙方主张包括但不限于因索赔产生的诉讼费、保全费、保全担保费、律师费等损失。为保障建设工程品质、强化施工质量，无论工程是否已经验收合格，无论甲方是否未经验收即已投入使用，乙方均承诺：不论何时，只要甲方发现乙方施工的工程存在前述约定的情形，乙方除按照本条款承担相应责任外，还应当按照该部分材料设备对应的合同价款的5倍金额另行向甲方支付惩罚性赔偿（该惩罚性赔偿不足伍万元的，按伍万元计）。</w:t>
      </w:r>
    </w:p>
    <w:p w14:paraId="476BA0A6">
      <w:pPr>
        <w:keepNext w:val="0"/>
        <w:keepLines w:val="0"/>
        <w:pageBreakBefore w:val="0"/>
        <w:widowControl w:val="0"/>
        <w:numPr>
          <w:ilvl w:val="255"/>
          <w:numId w:val="0"/>
        </w:numPr>
        <w:tabs>
          <w:tab w:val="left" w:pos="0"/>
        </w:tabs>
        <w:kinsoku w:val="0"/>
        <w:wordWrap w:val="0"/>
        <w:overflowPunct/>
        <w:topLinePunct/>
        <w:autoSpaceDE w:val="0"/>
        <w:autoSpaceDN/>
        <w:bidi w:val="0"/>
        <w:adjustRightInd/>
        <w:snapToGrid/>
        <w:spacing w:line="360" w:lineRule="auto"/>
        <w:ind w:firstLine="480" w:firstLineChars="200"/>
        <w:textAlignment w:val="auto"/>
        <w:rPr>
          <w:rFonts w:hint="eastAsia" w:ascii="宋体" w:hAnsi="宋体"/>
          <w:color w:val="auto"/>
          <w:highlight w:val="none"/>
        </w:rPr>
      </w:pPr>
      <w:r>
        <w:rPr>
          <w:rFonts w:hint="eastAsia" w:ascii="宋体" w:hAnsi="宋体"/>
          <w:color w:val="auto"/>
          <w:highlight w:val="none"/>
        </w:rPr>
        <w:t>5、主要材料品牌约定详见附件二《主要材料品牌表》中约定的品牌，定制材料以现场封样确认的品牌为准。</w:t>
      </w:r>
    </w:p>
    <w:p w14:paraId="3D9FCDA2">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lang w:eastAsia="zh-CN"/>
        </w:rPr>
        <w:t>十</w:t>
      </w:r>
      <w:r>
        <w:rPr>
          <w:rFonts w:hint="eastAsia" w:ascii="宋体" w:hAnsi="宋体" w:cs="宋体"/>
          <w:b/>
          <w:bCs/>
          <w:color w:val="auto"/>
          <w:szCs w:val="24"/>
          <w:highlight w:val="none"/>
        </w:rPr>
        <w:t>、现场安全文明施工及管理要求</w:t>
      </w:r>
    </w:p>
    <w:p w14:paraId="10DD3234">
      <w:pPr>
        <w:spacing w:line="360" w:lineRule="auto"/>
        <w:ind w:firstLine="480" w:firstLineChars="200"/>
        <w:rPr>
          <w:rFonts w:hint="eastAsia" w:ascii="宋体" w:hAnsi="宋体"/>
          <w:color w:val="auto"/>
          <w:highlight w:val="none"/>
        </w:rPr>
      </w:pPr>
      <w:r>
        <w:rPr>
          <w:rFonts w:hint="eastAsia" w:ascii="宋体" w:hAnsi="宋体"/>
          <w:color w:val="auto"/>
          <w:highlight w:val="none"/>
        </w:rPr>
        <w:t>1、乙方对施工期间的安全承担全部责任，派专人负责具体的安全工作，并经常性地做好安全宣传教育，严防安全隐患，杜绝伤亡事故和火灾的发生。如发生事故，责任由乙方负责，与甲方无关，乙方同时保护现场并及时上报有关部门。</w:t>
      </w:r>
    </w:p>
    <w:p w14:paraId="6CADEADE">
      <w:pPr>
        <w:spacing w:line="360" w:lineRule="auto"/>
        <w:ind w:firstLine="48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rPr>
        <w:t>乙方及乙方施工人员在现场包括但不限于因用水、用电、高空作业、使用机器发生伤亡事故的，其经济责任、法律责任和其他民事责任均由乙方负责。</w:t>
      </w:r>
    </w:p>
    <w:p w14:paraId="37D21980">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、乙方及乙方派驻施工现场的</w:t>
      </w:r>
      <w:r>
        <w:rPr>
          <w:rFonts w:hint="eastAsia" w:ascii="宋体" w:hAnsi="宋体"/>
          <w:color w:val="auto"/>
          <w:highlight w:val="none"/>
          <w:lang w:eastAsia="zh-CN"/>
        </w:rPr>
        <w:t>现场代表</w:t>
      </w:r>
      <w:r>
        <w:rPr>
          <w:rFonts w:hint="eastAsia" w:ascii="宋体" w:hAnsi="宋体"/>
          <w:color w:val="auto"/>
          <w:highlight w:val="none"/>
        </w:rPr>
        <w:t>须向甲方签订安全责任书，对工程质量、安全作出相应承诺和确定目标值。若上述目标不能达到，应向甲方支付违约金2000元并向甲方给予经济补偿和承担相应的法律责任。</w:t>
      </w:r>
    </w:p>
    <w:p w14:paraId="5B063073">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4</w:t>
      </w:r>
      <w:r>
        <w:rPr>
          <w:rFonts w:hint="eastAsia" w:ascii="宋体" w:hAnsi="宋体"/>
          <w:color w:val="auto"/>
          <w:highlight w:val="none"/>
        </w:rPr>
        <w:t>、施工现场用电器具应有接地、接零装置和线路布置规范化，安全防护措施到位。乙方自身职工、与甲方有关的第三方人员在现场发生伤亡事故，其经济责任、法律责任和其他民事责任均由乙方负责。</w:t>
      </w:r>
    </w:p>
    <w:p w14:paraId="61CA8473">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5</w:t>
      </w:r>
      <w:r>
        <w:rPr>
          <w:rFonts w:hint="eastAsia" w:ascii="宋体" w:hAnsi="宋体"/>
          <w:color w:val="auto"/>
          <w:highlight w:val="none"/>
        </w:rPr>
        <w:t>、乙方应加强对现场施工人员的教育。施工现场严禁酗酒、打架斗殴、赌博和其他违法违章现象，每发现一次，乙方按2000元/次向甲方支付违约金。</w:t>
      </w:r>
    </w:p>
    <w:p w14:paraId="03BF61D6">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6</w:t>
      </w:r>
      <w:r>
        <w:rPr>
          <w:rFonts w:hint="eastAsia" w:ascii="宋体" w:hAnsi="宋体"/>
          <w:color w:val="auto"/>
          <w:highlight w:val="none"/>
        </w:rPr>
        <w:t>、乙方严禁对现场甲方工作人员、与甲方有关第三方人员、监理人员等，进行请客、行贿等。甲方发现一次无论何原因将对各方参与人员给予发生数额10倍以上的经济处罚，达到刑事责任时，将依据有关法律追究当事人的刑事责任。</w:t>
      </w:r>
    </w:p>
    <w:p w14:paraId="318AC77C">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、乙方需遵守甲方、监理及总包单位的相关安全规程制度，否则按相关制度进行处罚。</w:t>
      </w:r>
    </w:p>
    <w:p w14:paraId="38C58401">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8</w:t>
      </w:r>
      <w:r>
        <w:rPr>
          <w:rFonts w:hint="eastAsia" w:ascii="宋体" w:hAnsi="宋体"/>
          <w:color w:val="auto"/>
          <w:highlight w:val="none"/>
        </w:rPr>
        <w:t>、乙方在施工中要服从甲方及监理人员的统一指挥，做好防尘防噪措施，各项措施和管理达到洛阳市文明建设的有关规定。现场施工实行工完场清制度，垃圾及时清运出场。</w:t>
      </w:r>
    </w:p>
    <w:p w14:paraId="5440CAC7">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9</w:t>
      </w:r>
      <w:r>
        <w:rPr>
          <w:rFonts w:hint="eastAsia" w:ascii="宋体" w:hAnsi="宋体"/>
          <w:color w:val="auto"/>
          <w:highlight w:val="none"/>
        </w:rPr>
        <w:t>、乙方应保证施工现场的卫生标准、噪声标准等指标满足国家、地方的有关规定。施工中因乙方违反规定造成的损失和发生的费用（若主管部门罚款）均由乙方承担。</w:t>
      </w:r>
    </w:p>
    <w:p w14:paraId="5407A66A">
      <w:pPr>
        <w:spacing w:line="360" w:lineRule="auto"/>
        <w:ind w:firstLine="480" w:firstLineChars="200"/>
        <w:rPr>
          <w:rFonts w:hint="eastAsia" w:ascii="宋体" w:hAnsi="宋体"/>
          <w:color w:val="auto"/>
          <w:highlight w:val="none"/>
        </w:rPr>
      </w:pPr>
      <w:r>
        <w:rPr>
          <w:rFonts w:hint="eastAsia" w:ascii="宋体" w:hAnsi="宋体"/>
          <w:color w:val="auto"/>
          <w:highlight w:val="none"/>
          <w:lang w:val="en-US" w:eastAsia="zh-CN"/>
        </w:rPr>
        <w:t>10</w:t>
      </w:r>
      <w:r>
        <w:rPr>
          <w:rFonts w:hint="eastAsia" w:ascii="宋体" w:hAnsi="宋体"/>
          <w:color w:val="auto"/>
          <w:highlight w:val="none"/>
        </w:rPr>
        <w:t>、施工过程中如发生扰民或民扰，由乙方与甲方协调解决，费用乙方承担。</w:t>
      </w:r>
    </w:p>
    <w:p w14:paraId="14EB51BA">
      <w:pPr>
        <w:spacing w:line="360" w:lineRule="auto"/>
        <w:ind w:firstLine="480" w:firstLineChars="200"/>
        <w:rPr>
          <w:rFonts w:hint="eastAsia" w:ascii="宋体" w:hAnsi="宋体"/>
          <w:color w:val="auto"/>
          <w:highlight w:val="none"/>
          <w:lang w:val="en-US" w:eastAsia="zh-CN"/>
        </w:rPr>
      </w:pPr>
      <w:r>
        <w:rPr>
          <w:rFonts w:hint="eastAsia" w:ascii="宋体" w:hAnsi="宋体"/>
          <w:color w:val="auto"/>
          <w:highlight w:val="none"/>
          <w:lang w:val="en-US" w:eastAsia="zh-CN"/>
        </w:rPr>
        <w:t>11、乙方各类安全文明施工措施应符合《浩德地产安全文明措施标准化手册2022》的相关要求。</w:t>
      </w:r>
    </w:p>
    <w:p w14:paraId="1C14C35B">
      <w:pPr>
        <w:numPr>
          <w:ilvl w:val="255"/>
          <w:numId w:val="0"/>
        </w:numPr>
        <w:tabs>
          <w:tab w:val="left" w:pos="0"/>
        </w:tabs>
        <w:kinsoku w:val="0"/>
        <w:wordWrap w:val="0"/>
        <w:topLinePunct/>
        <w:autoSpaceDE w:val="0"/>
        <w:spacing w:line="360" w:lineRule="auto"/>
        <w:rPr>
          <w:rFonts w:hint="eastAsia" w:ascii="宋体" w:hAnsi="宋体" w:cs="宋体"/>
          <w:b/>
          <w:bCs/>
          <w:color w:val="auto"/>
          <w:szCs w:val="24"/>
          <w:highlight w:val="none"/>
        </w:rPr>
      </w:pPr>
      <w:r>
        <w:rPr>
          <w:rFonts w:hint="eastAsia" w:ascii="宋体" w:hAnsi="宋体" w:cs="宋体"/>
          <w:b/>
          <w:bCs/>
          <w:color w:val="auto"/>
          <w:szCs w:val="24"/>
          <w:highlight w:val="none"/>
        </w:rPr>
        <w:t>十一、工程变更、签证</w:t>
      </w:r>
    </w:p>
    <w:p w14:paraId="643F3EAD">
      <w:pPr>
        <w:spacing w:line="360" w:lineRule="auto"/>
        <w:ind w:firstLine="480" w:firstLineChars="200"/>
        <w:rPr>
          <w:rFonts w:hint="eastAsia" w:ascii="宋体" w:hAnsi="宋体"/>
          <w:color w:val="auto"/>
          <w:highlight w:val="none"/>
        </w:rPr>
      </w:pPr>
      <w:r>
        <w:rPr>
          <w:rFonts w:hint="eastAsia" w:ascii="宋体" w:hAnsi="宋体"/>
          <w:color w:val="auto"/>
          <w:highlight w:val="none"/>
        </w:rPr>
        <w:t>1、乙方应严格按照经甲方审核签认的施工图纸施工，不得随意变更；若确需变更，应按程序报甲方书面同意后，方可变更施工，否则造成的一切后果及责任均由乙方负责。</w:t>
      </w:r>
    </w:p>
    <w:p w14:paraId="3B3285CA">
      <w:pPr>
        <w:spacing w:line="360" w:lineRule="auto"/>
        <w:ind w:firstLine="480" w:firstLineChars="200"/>
        <w:rPr>
          <w:rFonts w:hint="eastAsia" w:ascii="宋体" w:hAnsi="宋体"/>
          <w:color w:val="auto"/>
          <w:highlight w:val="none"/>
        </w:rPr>
      </w:pPr>
      <w:r>
        <w:rPr>
          <w:rFonts w:hint="eastAsia" w:ascii="宋体" w:hAnsi="宋体"/>
          <w:color w:val="auto"/>
          <w:highlight w:val="none"/>
        </w:rPr>
        <w:t>2、施工过程中，若甲方需要增减项目或变更项目应提前以书面形式通知乙方，乙方承诺满足甲方的需求。</w:t>
      </w:r>
    </w:p>
    <w:p w14:paraId="23514F63">
      <w:pPr>
        <w:spacing w:line="360" w:lineRule="auto"/>
        <w:ind w:firstLine="480" w:firstLineChars="200"/>
        <w:rPr>
          <w:rFonts w:hint="eastAsia" w:ascii="宋体" w:hAnsi="宋体"/>
          <w:color w:val="auto"/>
          <w:highlight w:val="none"/>
        </w:rPr>
      </w:pPr>
      <w:r>
        <w:rPr>
          <w:rFonts w:hint="eastAsia" w:ascii="宋体" w:hAnsi="宋体"/>
          <w:color w:val="auto"/>
          <w:highlight w:val="none"/>
        </w:rPr>
        <w:t>3、施工中</w:t>
      </w:r>
      <w:r>
        <w:rPr>
          <w:rFonts w:hint="eastAsia" w:ascii="宋体" w:hAnsi="宋体"/>
          <w:color w:val="auto"/>
          <w:highlight w:val="none"/>
          <w:lang w:val="en-US" w:eastAsia="zh-CN"/>
        </w:rPr>
        <w:t>乙方</w:t>
      </w:r>
      <w:r>
        <w:rPr>
          <w:rFonts w:hint="eastAsia" w:ascii="宋体" w:hAnsi="宋体"/>
          <w:color w:val="auto"/>
          <w:highlight w:val="none"/>
        </w:rPr>
        <w:t>不得擅自对原工程设计进行变更。因</w:t>
      </w:r>
      <w:r>
        <w:rPr>
          <w:rFonts w:hint="eastAsia" w:ascii="宋体" w:hAnsi="宋体"/>
          <w:color w:val="auto"/>
          <w:highlight w:val="none"/>
          <w:lang w:val="en-US" w:eastAsia="zh-CN"/>
        </w:rPr>
        <w:t>乙方</w:t>
      </w:r>
      <w:r>
        <w:rPr>
          <w:rFonts w:hint="eastAsia" w:ascii="宋体" w:hAnsi="宋体"/>
          <w:color w:val="auto"/>
          <w:highlight w:val="none"/>
        </w:rPr>
        <w:t>擅自变更设计发生的费用和由此导致的直接经济损失，由</w:t>
      </w:r>
      <w:r>
        <w:rPr>
          <w:rFonts w:hint="eastAsia" w:ascii="宋体" w:hAnsi="宋体"/>
          <w:color w:val="auto"/>
          <w:highlight w:val="none"/>
          <w:lang w:val="en-US" w:eastAsia="zh-CN"/>
        </w:rPr>
        <w:t>乙方</w:t>
      </w:r>
      <w:r>
        <w:rPr>
          <w:rFonts w:hint="eastAsia" w:ascii="宋体" w:hAnsi="宋体"/>
          <w:color w:val="auto"/>
          <w:highlight w:val="none"/>
        </w:rPr>
        <w:t>承担，延误的工期不予顺延。</w:t>
      </w:r>
    </w:p>
    <w:p w14:paraId="7BB54BC9">
      <w:pPr>
        <w:snapToGrid w:val="0"/>
        <w:spacing w:line="360" w:lineRule="auto"/>
        <w:ind w:firstLine="470" w:firstLineChars="196"/>
        <w:jc w:val="left"/>
        <w:rPr>
          <w:rFonts w:hint="eastAsia" w:ascii="宋体" w:hAnsi="宋体"/>
          <w:color w:val="auto"/>
          <w:szCs w:val="24"/>
          <w:highlight w:val="none"/>
        </w:rPr>
      </w:pPr>
      <w:r>
        <w:rPr>
          <w:rFonts w:hint="eastAsia" w:ascii="宋体" w:hAnsi="宋体"/>
          <w:color w:val="auto"/>
          <w:highlight w:val="none"/>
          <w:lang w:val="en-US" w:eastAsia="zh-CN"/>
        </w:rPr>
        <w:t>4</w:t>
      </w:r>
      <w:r>
        <w:rPr>
          <w:rFonts w:hint="eastAsia" w:ascii="宋体" w:hAnsi="宋体"/>
          <w:color w:val="auto"/>
          <w:highlight w:val="none"/>
        </w:rPr>
        <w:t>、</w:t>
      </w:r>
      <w:r>
        <w:rPr>
          <w:rFonts w:hint="eastAsia" w:asciiTheme="minorEastAsia" w:hAnsiTheme="minorEastAsia" w:eastAsiaTheme="minorEastAsia"/>
          <w:color w:val="auto"/>
          <w:highlight w:val="none"/>
        </w:rPr>
        <w:t>变更、签证的计价原则：本合同执行期间，若因乙方原因引起的变更签证，费用的增加由乙方承担，费用的减少依实调整。若因甲方原因引起的变更签证，依据设计变更单、变更签证图纸等资料计算工程量，增减部分项目的综合单价在合同中（即后附</w:t>
      </w:r>
      <w:r>
        <w:rPr>
          <w:rFonts w:hint="eastAsia" w:asciiTheme="minorEastAsia" w:hAnsiTheme="minorEastAsia" w:eastAsiaTheme="minorEastAsia"/>
          <w:color w:val="auto"/>
          <w:highlight w:val="none"/>
          <w:lang w:eastAsia="zh-CN"/>
        </w:rPr>
        <w:t>价格清单</w:t>
      </w:r>
      <w:r>
        <w:rPr>
          <w:rFonts w:hint="eastAsia" w:asciiTheme="minorEastAsia" w:hAnsiTheme="minorEastAsia" w:eastAsiaTheme="minorEastAsia"/>
          <w:color w:val="auto"/>
          <w:highlight w:val="none"/>
        </w:rPr>
        <w:t>中）有相同子目的执行相同子目的单价，合同中后附表中有相近子目的按相近子目执行；若合同中后附表无适用或类似于变更、签证工程综合单价的，则由甲方认价后按照认价计入结算；若在施工过程中未由甲方认价的，结算时按照甲方认为可行的单价计入结算，乙方不得有任何异议</w:t>
      </w:r>
      <w:r>
        <w:rPr>
          <w:rFonts w:hint="eastAsia" w:ascii="宋体" w:hAnsi="宋体"/>
          <w:color w:val="auto"/>
          <w:szCs w:val="24"/>
          <w:highlight w:val="none"/>
        </w:rPr>
        <w:t>。</w:t>
      </w:r>
    </w:p>
    <w:p w14:paraId="4AE6936E">
      <w:pPr>
        <w:pStyle w:val="18"/>
        <w:ind w:firstLine="480" w:firstLineChars="200"/>
        <w:rPr>
          <w:color w:val="auto"/>
          <w:highlight w:val="none"/>
        </w:rPr>
      </w:pPr>
      <w:r>
        <w:rPr>
          <w:rFonts w:hint="eastAsia" w:ascii="宋体" w:hAnsi="宋体" w:eastAsia="宋体" w:cs="Times New Roman"/>
          <w:color w:val="auto"/>
          <w:kern w:val="2"/>
          <w:sz w:val="24"/>
          <w:szCs w:val="22"/>
          <w:highlight w:val="none"/>
          <w:lang w:val="en-US" w:eastAsia="zh-CN"/>
        </w:rPr>
        <w:t>5、</w:t>
      </w:r>
      <w:r>
        <w:rPr>
          <w:rFonts w:hint="eastAsia" w:ascii="宋体" w:hAnsi="宋体" w:eastAsia="宋体" w:cs="Times New Roman"/>
          <w:color w:val="auto"/>
          <w:kern w:val="2"/>
          <w:sz w:val="24"/>
          <w:szCs w:val="22"/>
          <w:highlight w:val="none"/>
        </w:rPr>
        <w:t>设计变更与现场签证必须进行一单一算、一月一清</w:t>
      </w:r>
      <w:r>
        <w:rPr>
          <w:rFonts w:hint="eastAsia" w:ascii="宋体" w:hAnsi="宋体" w:eastAsia="宋体" w:cs="Times New Roman"/>
          <w:color w:val="auto"/>
          <w:kern w:val="2"/>
          <w:sz w:val="24"/>
          <w:szCs w:val="22"/>
          <w:highlight w:val="none"/>
          <w:lang w:eastAsia="zh-CN"/>
        </w:rPr>
        <w:t>。</w:t>
      </w:r>
      <w:r>
        <w:rPr>
          <w:rFonts w:hint="eastAsia" w:ascii="宋体" w:hAnsi="宋体" w:eastAsia="宋体" w:cs="Times New Roman"/>
          <w:color w:val="auto"/>
          <w:kern w:val="2"/>
          <w:sz w:val="24"/>
          <w:szCs w:val="22"/>
          <w:highlight w:val="none"/>
        </w:rPr>
        <w:t>为了保证</w:t>
      </w:r>
      <w:r>
        <w:rPr>
          <w:rFonts w:hint="eastAsia" w:ascii="宋体" w:hAnsi="宋体" w:eastAsia="宋体" w:cs="Times New Roman"/>
          <w:color w:val="auto"/>
          <w:kern w:val="2"/>
          <w:sz w:val="24"/>
          <w:szCs w:val="22"/>
          <w:highlight w:val="none"/>
          <w:lang w:val="en-US" w:eastAsia="zh-CN"/>
        </w:rPr>
        <w:t>甲方</w:t>
      </w:r>
      <w:r>
        <w:rPr>
          <w:rFonts w:hint="eastAsia" w:ascii="宋体" w:hAnsi="宋体" w:eastAsia="宋体" w:cs="Times New Roman"/>
          <w:color w:val="auto"/>
          <w:kern w:val="2"/>
          <w:sz w:val="24"/>
          <w:szCs w:val="22"/>
          <w:highlight w:val="none"/>
        </w:rPr>
        <w:t>成本</w:t>
      </w:r>
      <w:r>
        <w:rPr>
          <w:rFonts w:hint="eastAsia" w:ascii="宋体" w:hAnsi="宋体" w:eastAsia="宋体" w:cs="Times New Roman"/>
          <w:color w:val="auto"/>
          <w:kern w:val="2"/>
          <w:sz w:val="24"/>
          <w:szCs w:val="22"/>
          <w:highlight w:val="none"/>
          <w:lang w:val="en-US" w:eastAsia="zh-CN"/>
        </w:rPr>
        <w:t>管理</w:t>
      </w:r>
      <w:r>
        <w:rPr>
          <w:rFonts w:hint="eastAsia" w:ascii="宋体" w:hAnsi="宋体" w:eastAsia="宋体" w:cs="Times New Roman"/>
          <w:color w:val="auto"/>
          <w:kern w:val="2"/>
          <w:sz w:val="24"/>
          <w:szCs w:val="22"/>
          <w:highlight w:val="none"/>
        </w:rPr>
        <w:t>部、项目工程部及</w:t>
      </w:r>
      <w:r>
        <w:rPr>
          <w:rFonts w:hint="eastAsia" w:ascii="宋体" w:hAnsi="宋体" w:eastAsia="宋体" w:cs="Times New Roman"/>
          <w:color w:val="auto"/>
          <w:kern w:val="2"/>
          <w:sz w:val="24"/>
          <w:szCs w:val="22"/>
          <w:highlight w:val="none"/>
          <w:lang w:val="en-US" w:eastAsia="zh-CN"/>
        </w:rPr>
        <w:t>乙方</w:t>
      </w:r>
      <w:r>
        <w:rPr>
          <w:rFonts w:hint="eastAsia" w:ascii="宋体" w:hAnsi="宋体" w:eastAsia="宋体" w:cs="Times New Roman"/>
          <w:color w:val="auto"/>
          <w:kern w:val="2"/>
          <w:sz w:val="24"/>
          <w:szCs w:val="22"/>
          <w:highlight w:val="none"/>
        </w:rPr>
        <w:t>三方资料的完整性和一致性，每月</w:t>
      </w:r>
      <w:r>
        <w:rPr>
          <w:rFonts w:hint="eastAsia" w:ascii="宋体" w:hAnsi="宋体" w:eastAsia="宋体" w:cs="Times New Roman"/>
          <w:color w:val="auto"/>
          <w:kern w:val="2"/>
          <w:sz w:val="24"/>
          <w:szCs w:val="22"/>
          <w:highlight w:val="none"/>
          <w:lang w:val="en-US" w:eastAsia="zh-CN"/>
        </w:rPr>
        <w:t>5</w:t>
      </w:r>
      <w:r>
        <w:rPr>
          <w:rFonts w:hint="eastAsia" w:ascii="宋体" w:hAnsi="宋体" w:eastAsia="宋体" w:cs="Times New Roman"/>
          <w:color w:val="auto"/>
          <w:kern w:val="2"/>
          <w:sz w:val="24"/>
          <w:szCs w:val="22"/>
          <w:highlight w:val="none"/>
        </w:rPr>
        <w:t>日之前，应按“一月一清”的原则，对上月所有</w:t>
      </w:r>
      <w:r>
        <w:rPr>
          <w:rFonts w:hint="eastAsia" w:ascii="宋体" w:hAnsi="宋体" w:eastAsia="宋体" w:cs="Times New Roman"/>
          <w:color w:val="auto"/>
          <w:kern w:val="2"/>
          <w:sz w:val="24"/>
          <w:szCs w:val="22"/>
          <w:highlight w:val="none"/>
          <w:lang w:val="en-US" w:eastAsia="zh-CN"/>
        </w:rPr>
        <w:t>甲方</w:t>
      </w:r>
      <w:r>
        <w:rPr>
          <w:rFonts w:hint="eastAsia" w:ascii="宋体" w:hAnsi="宋体" w:eastAsia="宋体" w:cs="Times New Roman"/>
          <w:color w:val="auto"/>
          <w:kern w:val="2"/>
          <w:sz w:val="24"/>
          <w:szCs w:val="22"/>
          <w:highlight w:val="none"/>
        </w:rPr>
        <w:t>发出的</w:t>
      </w:r>
      <w:r>
        <w:rPr>
          <w:rFonts w:hint="eastAsia" w:ascii="宋体" w:hAnsi="宋体" w:eastAsia="宋体" w:cs="Times New Roman"/>
          <w:color w:val="auto"/>
          <w:kern w:val="2"/>
          <w:sz w:val="24"/>
          <w:szCs w:val="22"/>
          <w:highlight w:val="none"/>
          <w:lang w:val="en-US" w:eastAsia="zh-CN"/>
        </w:rPr>
        <w:t>设计</w:t>
      </w:r>
      <w:r>
        <w:rPr>
          <w:rFonts w:hint="eastAsia" w:ascii="宋体" w:hAnsi="宋体" w:eastAsia="宋体" w:cs="Times New Roman"/>
          <w:color w:val="auto"/>
          <w:kern w:val="2"/>
          <w:sz w:val="24"/>
          <w:szCs w:val="22"/>
          <w:highlight w:val="none"/>
        </w:rPr>
        <w:t>变更单和收到的</w:t>
      </w:r>
      <w:r>
        <w:rPr>
          <w:rFonts w:hint="eastAsia" w:ascii="宋体" w:hAnsi="宋体" w:eastAsia="宋体" w:cs="Times New Roman"/>
          <w:color w:val="auto"/>
          <w:kern w:val="2"/>
          <w:sz w:val="24"/>
          <w:szCs w:val="22"/>
          <w:highlight w:val="none"/>
          <w:lang w:val="en-US" w:eastAsia="zh-CN"/>
        </w:rPr>
        <w:t>工程</w:t>
      </w:r>
      <w:r>
        <w:rPr>
          <w:rFonts w:hint="eastAsia" w:ascii="宋体" w:hAnsi="宋体" w:eastAsia="宋体" w:cs="Times New Roman"/>
          <w:color w:val="auto"/>
          <w:kern w:val="2"/>
          <w:sz w:val="24"/>
          <w:szCs w:val="22"/>
          <w:highlight w:val="none"/>
        </w:rPr>
        <w:t>签证单进行核对和清理</w:t>
      </w:r>
      <w:r>
        <w:rPr>
          <w:rFonts w:hint="eastAsia" w:ascii="宋体" w:hAnsi="宋体" w:eastAsia="宋体" w:cs="Times New Roman"/>
          <w:color w:val="auto"/>
          <w:kern w:val="2"/>
          <w:sz w:val="24"/>
          <w:szCs w:val="22"/>
          <w:highlight w:val="none"/>
          <w:lang w:eastAsia="zh-CN"/>
        </w:rPr>
        <w:t>，</w:t>
      </w:r>
      <w:r>
        <w:rPr>
          <w:rFonts w:hint="eastAsia" w:ascii="宋体" w:hAnsi="宋体" w:eastAsia="宋体" w:cs="Times New Roman"/>
          <w:color w:val="auto"/>
          <w:kern w:val="2"/>
          <w:sz w:val="24"/>
          <w:szCs w:val="22"/>
          <w:highlight w:val="none"/>
          <w:lang w:val="en-US" w:eastAsia="zh-CN"/>
        </w:rPr>
        <w:t>并签字确认</w:t>
      </w:r>
      <w:r>
        <w:rPr>
          <w:rFonts w:hint="eastAsia" w:ascii="宋体" w:hAnsi="宋体" w:eastAsia="宋体" w:cs="Times New Roman"/>
          <w:color w:val="auto"/>
          <w:kern w:val="2"/>
          <w:sz w:val="24"/>
          <w:szCs w:val="22"/>
          <w:highlight w:val="none"/>
        </w:rPr>
        <w:t>。</w:t>
      </w:r>
      <w:r>
        <w:rPr>
          <w:rFonts w:hint="eastAsia" w:ascii="宋体" w:hAnsi="宋体" w:eastAsia="宋体" w:cs="Times New Roman"/>
          <w:color w:val="auto"/>
          <w:kern w:val="2"/>
          <w:sz w:val="24"/>
          <w:szCs w:val="22"/>
          <w:highlight w:val="none"/>
          <w:lang w:val="en-US" w:eastAsia="zh-CN"/>
        </w:rPr>
        <w:t>对于乙方在结算时提出的、月结月清中未登记的设计变更和现场签证，甲方</w:t>
      </w:r>
      <w:r>
        <w:rPr>
          <w:rFonts w:hint="eastAsia" w:ascii="宋体" w:hAnsi="宋体" w:eastAsia="宋体" w:cs="Times New Roman"/>
          <w:color w:val="auto"/>
          <w:kern w:val="2"/>
          <w:sz w:val="24"/>
          <w:szCs w:val="22"/>
          <w:highlight w:val="none"/>
        </w:rPr>
        <w:t>有权不接收、不计算、</w:t>
      </w:r>
      <w:r>
        <w:rPr>
          <w:rFonts w:hint="eastAsia" w:ascii="宋体" w:hAnsi="宋体" w:eastAsia="宋体" w:cs="Times New Roman"/>
          <w:color w:val="auto"/>
          <w:kern w:val="2"/>
          <w:sz w:val="24"/>
          <w:szCs w:val="22"/>
          <w:highlight w:val="none"/>
          <w:lang w:val="en-US" w:eastAsia="zh-CN"/>
        </w:rPr>
        <w:t>不结算和</w:t>
      </w:r>
      <w:r>
        <w:rPr>
          <w:rFonts w:hint="eastAsia" w:ascii="宋体" w:hAnsi="宋体" w:eastAsia="宋体" w:cs="Times New Roman"/>
          <w:color w:val="auto"/>
          <w:kern w:val="2"/>
          <w:sz w:val="24"/>
          <w:szCs w:val="22"/>
          <w:highlight w:val="none"/>
        </w:rPr>
        <w:t>不支付费用</w:t>
      </w:r>
      <w:r>
        <w:rPr>
          <w:rFonts w:hint="eastAsia" w:ascii="宋体" w:hAnsi="宋体" w:eastAsia="宋体" w:cs="Times New Roman"/>
          <w:color w:val="auto"/>
          <w:kern w:val="2"/>
          <w:sz w:val="24"/>
          <w:szCs w:val="22"/>
          <w:highlight w:val="none"/>
          <w:lang w:eastAsia="zh-CN"/>
        </w:rPr>
        <w:t>。</w:t>
      </w:r>
    </w:p>
    <w:p w14:paraId="39F8444B">
      <w:pPr>
        <w:pStyle w:val="18"/>
        <w:kinsoku w:val="0"/>
        <w:wordWrap w:val="0"/>
        <w:topLinePunct/>
        <w:autoSpaceDE w:val="0"/>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rPr>
        <w:t>十二、结算</w:t>
      </w:r>
      <w:r>
        <w:rPr>
          <w:rFonts w:hint="eastAsia" w:ascii="宋体" w:hAnsi="宋体" w:cs="宋体"/>
          <w:b/>
          <w:bCs/>
          <w:color w:val="auto"/>
          <w:sz w:val="24"/>
          <w:szCs w:val="24"/>
          <w:highlight w:val="none"/>
          <w:lang w:eastAsia="zh-CN"/>
        </w:rPr>
        <w:t>方式</w:t>
      </w:r>
    </w:p>
    <w:p w14:paraId="28DF961F">
      <w:pPr>
        <w:snapToGrid w:val="0"/>
        <w:spacing w:line="360" w:lineRule="auto"/>
        <w:ind w:firstLine="470" w:firstLineChars="196"/>
        <w:jc w:val="left"/>
        <w:rPr>
          <w:rFonts w:hint="eastAsia" w:ascii="宋体" w:hAnsi="宋体"/>
          <w:color w:val="auto"/>
          <w:highlight w:val="none"/>
          <w:lang w:val="en-US" w:eastAsia="zh-CN"/>
        </w:rPr>
      </w:pPr>
      <w:r>
        <w:rPr>
          <w:rFonts w:hint="eastAsia" w:ascii="宋体" w:hAnsi="宋体"/>
          <w:color w:val="auto"/>
          <w:highlight w:val="none"/>
          <w:lang w:val="en-US" w:eastAsia="zh-CN"/>
        </w:rPr>
        <w:t>1、结算依据：甲方审核签认的施工设计方案、甲方认可的变更签证、施工合同、补充协议、招标、投标文件等。</w:t>
      </w:r>
    </w:p>
    <w:p w14:paraId="4E338449">
      <w:pPr>
        <w:snapToGrid w:val="0"/>
        <w:spacing w:line="360" w:lineRule="auto"/>
        <w:ind w:firstLine="470" w:firstLineChars="196"/>
        <w:jc w:val="left"/>
        <w:rPr>
          <w:rFonts w:hint="eastAsia" w:ascii="宋体" w:hAnsi="宋体"/>
          <w:color w:val="auto"/>
          <w:highlight w:val="none"/>
          <w:lang w:val="en-US" w:eastAsia="zh-CN"/>
        </w:rPr>
      </w:pPr>
      <w:r>
        <w:rPr>
          <w:rFonts w:hint="eastAsia" w:ascii="宋体" w:hAnsi="宋体"/>
          <w:color w:val="auto"/>
          <w:highlight w:val="none"/>
          <w:lang w:val="en-US" w:eastAsia="zh-CN"/>
        </w:rPr>
        <w:t>2、结算价款＝各分项含税固定综合单价×各分项对应施工完成且验收合格工程量±变更、签证造价±合同约定的其他应调整费用－其他应扣费用（含违约金）。</w:t>
      </w:r>
    </w:p>
    <w:p w14:paraId="65895ECE">
      <w:pPr>
        <w:snapToGrid w:val="0"/>
        <w:spacing w:line="360" w:lineRule="auto"/>
        <w:ind w:firstLine="470" w:firstLineChars="196"/>
        <w:jc w:val="left"/>
        <w:rPr>
          <w:rFonts w:hint="eastAsia" w:ascii="宋体" w:hAnsi="宋体"/>
          <w:color w:val="auto"/>
          <w:highlight w:val="none"/>
          <w:lang w:val="en-US" w:eastAsia="zh-CN"/>
        </w:rPr>
      </w:pPr>
      <w:r>
        <w:rPr>
          <w:rFonts w:hint="eastAsia" w:ascii="宋体" w:hAnsi="宋体"/>
          <w:color w:val="auto"/>
          <w:highlight w:val="none"/>
          <w:lang w:val="en-US" w:eastAsia="zh-CN"/>
        </w:rPr>
        <w:t>3、乙方结算资料在报送甲方时一次性报送完整，在甲方结算审价过程中，不再接受增加任何结算资料（图纸、签证变更单、价格凭证等），送审的结算书中若有遗漏项目均视为乙方让利给甲方，不再作增加调整。</w:t>
      </w:r>
    </w:p>
    <w:p w14:paraId="270043C5">
      <w:pPr>
        <w:snapToGrid w:val="0"/>
        <w:spacing w:line="360" w:lineRule="auto"/>
        <w:ind w:firstLine="470" w:firstLineChars="196"/>
        <w:jc w:val="left"/>
        <w:rPr>
          <w:rFonts w:hint="eastAsia" w:ascii="宋体" w:hAnsi="宋体"/>
          <w:color w:val="auto"/>
          <w:highlight w:val="none"/>
          <w:lang w:val="en-US" w:eastAsia="zh-CN"/>
        </w:rPr>
      </w:pPr>
      <w:r>
        <w:rPr>
          <w:rFonts w:hint="eastAsia" w:ascii="宋体" w:hAnsi="宋体"/>
          <w:color w:val="auto"/>
          <w:highlight w:val="none"/>
          <w:lang w:val="en-US" w:eastAsia="zh-CN"/>
        </w:rPr>
        <w:t>4、乙方报送结算书应诚实准确，若最终审减额（报送金额—结算金额）超过结算金额的5%，则需要乙方向甲方支付超出5%部分的费用的3%作为违约金，且违约金在结算金额中一次性扣除。</w:t>
      </w:r>
    </w:p>
    <w:p w14:paraId="31F62B09">
      <w:pPr>
        <w:spacing w:line="360" w:lineRule="auto"/>
        <w:ind w:firstLine="480" w:firstLineChars="200"/>
        <w:rPr>
          <w:rFonts w:hint="eastAsia" w:ascii="宋体" w:hAnsi="宋体"/>
          <w:color w:val="auto"/>
          <w:highlight w:val="none"/>
        </w:rPr>
      </w:pPr>
      <w:r>
        <w:rPr>
          <w:rFonts w:hint="eastAsia" w:ascii="宋体" w:hAnsi="宋体"/>
          <w:color w:val="auto"/>
          <w:highlight w:val="none"/>
        </w:rPr>
        <w:t>5、办理竣工验收、合格证、检测费用等由乙方自行承担。</w:t>
      </w:r>
    </w:p>
    <w:p w14:paraId="63CB1418">
      <w:pPr>
        <w:spacing w:line="360" w:lineRule="auto"/>
        <w:ind w:firstLine="480" w:firstLineChars="200"/>
        <w:rPr>
          <w:rFonts w:hint="eastAsia" w:ascii="宋体" w:hAnsi="宋体"/>
          <w:color w:val="auto"/>
          <w:highlight w:val="none"/>
        </w:rPr>
      </w:pPr>
      <w:r>
        <w:rPr>
          <w:rFonts w:hint="eastAsia" w:ascii="宋体" w:hAnsi="宋体"/>
          <w:color w:val="auto"/>
          <w:highlight w:val="none"/>
        </w:rPr>
        <w:t>6、若甲方需在本合同约定的承包范围以外委托乙方完成其他工作，应以正式书面形式将具体工作范围、价款、完成时间、付款方式等主要内容通知乙方。若无正式书面委托，甲方不予结算。</w:t>
      </w:r>
    </w:p>
    <w:p w14:paraId="51C29ED7">
      <w:pPr>
        <w:pStyle w:val="18"/>
        <w:kinsoku w:val="0"/>
        <w:wordWrap w:val="0"/>
        <w:topLinePunct/>
        <w:autoSpaceDE w:val="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十三、</w:t>
      </w:r>
      <w:r>
        <w:rPr>
          <w:rFonts w:hint="eastAsia" w:ascii="宋体" w:hAnsi="宋体" w:cs="宋体"/>
          <w:b/>
          <w:bCs/>
          <w:color w:val="auto"/>
          <w:sz w:val="24"/>
          <w:szCs w:val="24"/>
          <w:highlight w:val="none"/>
          <w:lang w:eastAsia="zh-CN"/>
        </w:rPr>
        <w:t>质保期</w:t>
      </w:r>
    </w:p>
    <w:p w14:paraId="0A77E036">
      <w:pPr>
        <w:tabs>
          <w:tab w:val="left" w:pos="900"/>
        </w:tabs>
        <w:spacing w:line="360" w:lineRule="auto"/>
        <w:ind w:firstLine="480" w:firstLineChars="200"/>
        <w:rPr>
          <w:rFonts w:hint="eastAsia" w:ascii="宋体" w:hAnsi="宋体" w:cs="宋体"/>
          <w:color w:val="auto"/>
          <w:highlight w:val="none"/>
        </w:rPr>
      </w:pPr>
      <w:r>
        <w:rPr>
          <w:rFonts w:hint="eastAsia" w:ascii="宋体" w:hAnsi="宋体" w:cs="宋体"/>
          <w:color w:val="auto"/>
          <w:highlight w:val="none"/>
        </w:rPr>
        <w:t>1、质保期为2年，自工程全部施工完成并经甲方、监理验收合格之日起开始计算。质保期内，乙方应定期（每季度</w:t>
      </w:r>
      <w:r>
        <w:rPr>
          <w:rFonts w:hint="eastAsia" w:ascii="宋体" w:hAnsi="宋体" w:cs="宋体"/>
          <w:color w:val="auto"/>
          <w:highlight w:val="none"/>
          <w:lang w:val="en-US" w:eastAsia="zh-CN"/>
        </w:rPr>
        <w:t>1</w:t>
      </w:r>
      <w:r>
        <w:rPr>
          <w:rFonts w:hint="eastAsia" w:ascii="宋体" w:hAnsi="宋体" w:cs="宋体"/>
          <w:color w:val="auto"/>
          <w:highlight w:val="none"/>
        </w:rPr>
        <w:t>次）对本工程进行回访，定期（每季度</w:t>
      </w:r>
      <w:r>
        <w:rPr>
          <w:rFonts w:hint="eastAsia" w:ascii="宋体" w:hAnsi="宋体" w:cs="宋体"/>
          <w:color w:val="auto"/>
          <w:highlight w:val="none"/>
          <w:lang w:val="en-US" w:eastAsia="zh-CN"/>
        </w:rPr>
        <w:t>1</w:t>
      </w:r>
      <w:r>
        <w:rPr>
          <w:rFonts w:hint="eastAsia" w:ascii="宋体" w:hAnsi="宋体" w:cs="宋体"/>
          <w:color w:val="auto"/>
          <w:highlight w:val="none"/>
        </w:rPr>
        <w:t>次）对已完工程进行检查、维护。</w:t>
      </w:r>
    </w:p>
    <w:p w14:paraId="2FFDB1AE">
      <w:pPr>
        <w:tabs>
          <w:tab w:val="left" w:pos="900"/>
        </w:tabs>
        <w:spacing w:line="360" w:lineRule="auto"/>
        <w:ind w:firstLine="480" w:firstLineChars="200"/>
        <w:rPr>
          <w:rFonts w:ascii="宋体" w:hAnsi="宋体" w:cs="宋体"/>
          <w:color w:val="auto"/>
          <w:highlight w:val="none"/>
        </w:rPr>
      </w:pPr>
      <w:r>
        <w:rPr>
          <w:rFonts w:hint="eastAsia" w:ascii="宋体" w:hAnsi="宋体" w:cs="宋体"/>
          <w:color w:val="auto"/>
          <w:highlight w:val="none"/>
        </w:rPr>
        <w:t>2、在质保期内，凡因材料或安装出现质量问题，均由乙方负责免费维修或更换。乙方应接到甲方维修通知后24小时内到场维修，乙方拒不到场维修或逾期仍未到场维修，甲方有权委托第三方单位进行维修（维修方案及费用无须通知乙方，且视为乙方已无条件认可），</w:t>
      </w:r>
      <w:r>
        <w:rPr>
          <w:rFonts w:hint="eastAsia" w:ascii="宋体" w:hAnsi="宋体" w:cs="宋体"/>
          <w:color w:val="auto"/>
          <w:highlight w:val="none"/>
          <w:lang w:eastAsia="zh-CN"/>
        </w:rPr>
        <w:t>发生费用</w:t>
      </w:r>
      <w:r>
        <w:rPr>
          <w:rFonts w:hint="eastAsia" w:ascii="宋体" w:hAnsi="宋体" w:cs="宋体"/>
          <w:color w:val="auto"/>
          <w:highlight w:val="none"/>
        </w:rPr>
        <w:t>甲方在工程质保金中直接扣除，质保金不足以弥补甲方损失的，乙方应负责赔偿。</w:t>
      </w:r>
    </w:p>
    <w:p w14:paraId="5E818EB1">
      <w:pPr>
        <w:pStyle w:val="18"/>
        <w:kinsoku w:val="0"/>
        <w:wordWrap w:val="0"/>
        <w:topLinePunct/>
        <w:autoSpaceDE w:val="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十四、履约保证金</w:t>
      </w:r>
    </w:p>
    <w:p w14:paraId="092A57D9">
      <w:pPr>
        <w:spacing w:line="360" w:lineRule="auto"/>
        <w:ind w:firstLine="480" w:firstLineChars="200"/>
        <w:rPr>
          <w:rFonts w:hint="eastAsia" w:ascii="宋体" w:hAnsi="宋体"/>
          <w:color w:val="auto"/>
          <w:highlight w:val="none"/>
        </w:rPr>
      </w:pPr>
      <w:r>
        <w:rPr>
          <w:rFonts w:hint="eastAsia" w:ascii="宋体" w:hAnsi="宋体"/>
          <w:color w:val="auto"/>
          <w:highlight w:val="none"/>
        </w:rPr>
        <w:t>1、</w:t>
      </w:r>
      <w:r>
        <w:rPr>
          <w:rFonts w:hint="eastAsia" w:ascii="宋体" w:hAnsi="宋体"/>
          <w:color w:val="auto"/>
          <w:highlight w:val="none"/>
          <w:lang w:val="en-US" w:eastAsia="zh-CN"/>
        </w:rPr>
        <w:t>投标保证金自动转为履约保证金</w:t>
      </w:r>
      <w:r>
        <w:rPr>
          <w:rFonts w:hint="eastAsia" w:ascii="宋体" w:hAnsi="宋体"/>
          <w:color w:val="auto"/>
          <w:highlight w:val="none"/>
        </w:rPr>
        <w:t>。全部工程施工完成经甲方、监理及相关部门验收合格后7日内无息退还剩余履约保证金（若有）。</w:t>
      </w:r>
    </w:p>
    <w:p w14:paraId="04C4949F">
      <w:pPr>
        <w:spacing w:line="360" w:lineRule="auto"/>
        <w:ind w:firstLine="480" w:firstLineChars="200"/>
        <w:rPr>
          <w:rFonts w:hint="eastAsia" w:ascii="宋体" w:hAnsi="宋体"/>
          <w:color w:val="auto"/>
          <w:highlight w:val="none"/>
        </w:rPr>
      </w:pPr>
      <w:r>
        <w:rPr>
          <w:rFonts w:hint="eastAsia" w:ascii="宋体" w:hAnsi="宋体"/>
          <w:color w:val="auto"/>
          <w:highlight w:val="none"/>
        </w:rPr>
        <w:t xml:space="preserve">2、凡在工期、工程质量、安全文明施工等要求中，任何一项要求没有达到本合同约定，甲方有权按比例或全额扣除乙方履约保证金，乙方应7日内予以补足，否则，甲方有权在应付款项中暂时扣除用于补足履约保证金。 </w:t>
      </w:r>
    </w:p>
    <w:p w14:paraId="06214A48">
      <w:pPr>
        <w:pStyle w:val="18"/>
        <w:numPr>
          <w:ilvl w:val="255"/>
          <w:numId w:val="0"/>
        </w:numPr>
        <w:tabs>
          <w:tab w:val="left" w:pos="0"/>
        </w:tabs>
        <w:kinsoku w:val="0"/>
        <w:wordWrap w:val="0"/>
        <w:topLinePunct/>
        <w:autoSpaceDE w:val="0"/>
        <w:rPr>
          <w:rFonts w:ascii="宋体" w:hAnsi="宋体" w:cs="宋体"/>
          <w:b/>
          <w:color w:val="auto"/>
          <w:sz w:val="24"/>
          <w:szCs w:val="24"/>
          <w:highlight w:val="none"/>
        </w:rPr>
      </w:pPr>
      <w:r>
        <w:rPr>
          <w:rFonts w:hint="eastAsia" w:ascii="宋体" w:hAnsi="宋体" w:cs="宋体"/>
          <w:b/>
          <w:bCs/>
          <w:color w:val="auto"/>
          <w:sz w:val="24"/>
          <w:szCs w:val="24"/>
          <w:highlight w:val="none"/>
        </w:rPr>
        <w:t>十五、双方责任与义务</w:t>
      </w:r>
    </w:p>
    <w:p w14:paraId="72675C59">
      <w:pPr>
        <w:spacing w:line="360" w:lineRule="auto"/>
        <w:ind w:firstLine="480" w:firstLineChars="200"/>
        <w:rPr>
          <w:rFonts w:ascii="宋体" w:hAnsi="宋体"/>
          <w:color w:val="auto"/>
          <w:szCs w:val="24"/>
          <w:highlight w:val="none"/>
        </w:rPr>
      </w:pPr>
      <w:r>
        <w:rPr>
          <w:rFonts w:hint="eastAsia" w:ascii="宋体" w:hAnsi="宋体"/>
          <w:color w:val="auto"/>
          <w:szCs w:val="24"/>
          <w:highlight w:val="none"/>
        </w:rPr>
        <w:t>1、甲方的责任与义务</w:t>
      </w:r>
    </w:p>
    <w:p w14:paraId="2AC108A2">
      <w:pPr>
        <w:spacing w:line="360" w:lineRule="auto"/>
        <w:ind w:firstLine="480" w:firstLineChars="200"/>
        <w:rPr>
          <w:rFonts w:ascii="宋体" w:hAnsi="宋体"/>
          <w:color w:val="auto"/>
          <w:highlight w:val="none"/>
        </w:rPr>
      </w:pPr>
      <w:r>
        <w:rPr>
          <w:rFonts w:hint="eastAsia" w:ascii="宋体" w:hAnsi="宋体"/>
          <w:color w:val="auto"/>
          <w:szCs w:val="24"/>
          <w:highlight w:val="none"/>
        </w:rPr>
        <w:t>1.1、遵守法律、法规和规章，甲方应在其实施本合同的全部工作中遵守与本合同有关的法律、法规和规章，并应承担由于其</w:t>
      </w:r>
      <w:r>
        <w:rPr>
          <w:rFonts w:hint="eastAsia" w:ascii="宋体" w:hAnsi="宋体"/>
          <w:color w:val="auto"/>
          <w:highlight w:val="none"/>
        </w:rPr>
        <w:t>自身违反上述法律、法规和规章的责任。</w:t>
      </w:r>
    </w:p>
    <w:p w14:paraId="0725E7B7">
      <w:pPr>
        <w:spacing w:line="360" w:lineRule="auto"/>
        <w:ind w:firstLine="480" w:firstLineChars="200"/>
        <w:rPr>
          <w:rFonts w:ascii="宋体" w:hAnsi="宋体"/>
          <w:color w:val="auto"/>
          <w:highlight w:val="none"/>
        </w:rPr>
      </w:pPr>
      <w:r>
        <w:rPr>
          <w:rFonts w:hint="eastAsia" w:ascii="宋体" w:hAnsi="宋体"/>
          <w:color w:val="auto"/>
          <w:highlight w:val="none"/>
        </w:rPr>
        <w:t>1.2、</w:t>
      </w:r>
      <w:r>
        <w:rPr>
          <w:rFonts w:hint="eastAsia" w:ascii="宋体" w:hAnsi="宋体" w:cs="宋体"/>
          <w:color w:val="auto"/>
          <w:szCs w:val="24"/>
          <w:highlight w:val="none"/>
        </w:rPr>
        <w:t>甲方委派</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吴凯昇</w:t>
      </w:r>
      <w:r>
        <w:rPr>
          <w:rFonts w:hint="eastAsia" w:ascii="宋体" w:hAnsi="宋体" w:cs="宋体"/>
          <w:color w:val="auto"/>
          <w:szCs w:val="24"/>
          <w:highlight w:val="none"/>
        </w:rPr>
        <w:t>为现场代表，电话</w:t>
      </w:r>
      <w:r>
        <w:rPr>
          <w:rFonts w:hint="eastAsia" w:ascii="宋体" w:hAnsi="宋体" w:cs="宋体"/>
          <w:color w:val="auto"/>
          <w:szCs w:val="24"/>
          <w:highlight w:val="none"/>
          <w:u w:val="single"/>
        </w:rPr>
        <w:t xml:space="preserve"> </w:t>
      </w:r>
      <w:r>
        <w:rPr>
          <w:rFonts w:hint="eastAsia" w:ascii="宋体" w:hAnsi="宋体" w:cs="宋体"/>
          <w:color w:val="auto"/>
          <w:szCs w:val="24"/>
          <w:highlight w:val="none"/>
          <w:u w:val="single"/>
          <w:lang w:val="en-US" w:eastAsia="zh-CN"/>
        </w:rPr>
        <w:t>15838062988</w:t>
      </w:r>
      <w:r>
        <w:rPr>
          <w:rFonts w:hint="eastAsia" w:ascii="宋体" w:hAnsi="宋体" w:cs="宋体"/>
          <w:color w:val="auto"/>
          <w:szCs w:val="24"/>
          <w:highlight w:val="none"/>
        </w:rPr>
        <w:t>，</w:t>
      </w:r>
      <w:r>
        <w:rPr>
          <w:rFonts w:hint="eastAsia" w:ascii="宋体" w:hAnsi="宋体"/>
          <w:color w:val="auto"/>
          <w:highlight w:val="none"/>
        </w:rPr>
        <w:t>监督、检查产品、工程的质量，协调工作中发生的有关事宜，并参与产品、工程的初验、验收和签证工作。如现场代表变更则需及时通知乙方。</w:t>
      </w:r>
    </w:p>
    <w:p w14:paraId="03C18788">
      <w:pPr>
        <w:spacing w:line="360" w:lineRule="auto"/>
        <w:ind w:firstLine="480" w:firstLineChars="200"/>
        <w:rPr>
          <w:rFonts w:ascii="宋体" w:hAnsi="宋体"/>
          <w:color w:val="auto"/>
          <w:highlight w:val="none"/>
        </w:rPr>
      </w:pPr>
      <w:r>
        <w:rPr>
          <w:rFonts w:hint="eastAsia" w:ascii="宋体" w:hAnsi="宋体"/>
          <w:color w:val="auto"/>
          <w:highlight w:val="none"/>
        </w:rPr>
        <w:t>1.3、甲方应提供乙方所需工程建筑图、说明书、建筑平面图、变更图及有关技术文件等作为乙方产品设计和施工的有效依据。</w:t>
      </w:r>
    </w:p>
    <w:p w14:paraId="20E115DD">
      <w:pPr>
        <w:spacing w:line="360" w:lineRule="auto"/>
        <w:ind w:firstLine="480" w:firstLineChars="200"/>
        <w:rPr>
          <w:rFonts w:ascii="宋体" w:hAnsi="宋体"/>
          <w:color w:val="auto"/>
          <w:highlight w:val="none"/>
        </w:rPr>
      </w:pPr>
      <w:r>
        <w:rPr>
          <w:rFonts w:hint="eastAsia" w:ascii="宋体" w:hAnsi="宋体"/>
          <w:color w:val="auto"/>
          <w:highlight w:val="none"/>
        </w:rPr>
        <w:t>1.4、甲方协调乙方与土建单位施工配合问题，并督促工程进度。</w:t>
      </w:r>
    </w:p>
    <w:p w14:paraId="5B0B155F">
      <w:pPr>
        <w:spacing w:line="360" w:lineRule="auto"/>
        <w:ind w:firstLine="480" w:firstLineChars="200"/>
        <w:rPr>
          <w:rFonts w:ascii="宋体" w:hAnsi="宋体"/>
          <w:color w:val="auto"/>
          <w:highlight w:val="none"/>
        </w:rPr>
      </w:pPr>
      <w:r>
        <w:rPr>
          <w:rFonts w:hint="eastAsia" w:ascii="宋体" w:hAnsi="宋体"/>
          <w:color w:val="auto"/>
          <w:highlight w:val="none"/>
        </w:rPr>
        <w:t>1.5、签订合同时，甲方向乙方提供建筑施工图、变更通知及相关材料1套。</w:t>
      </w:r>
    </w:p>
    <w:p w14:paraId="0215F006">
      <w:pPr>
        <w:spacing w:line="360" w:lineRule="auto"/>
        <w:ind w:firstLine="480" w:firstLineChars="200"/>
        <w:rPr>
          <w:rFonts w:ascii="宋体" w:hAnsi="宋体"/>
          <w:color w:val="auto"/>
          <w:highlight w:val="none"/>
        </w:rPr>
      </w:pPr>
      <w:r>
        <w:rPr>
          <w:rFonts w:hint="eastAsia" w:ascii="宋体" w:hAnsi="宋体"/>
          <w:color w:val="auto"/>
          <w:highlight w:val="none"/>
        </w:rPr>
        <w:t>1.6、甲方应及时按合同要求给乙方拨付工程款、组织工程竣工验收并按合同规定办理竣工结算。</w:t>
      </w:r>
    </w:p>
    <w:p w14:paraId="3B5F6B31">
      <w:pPr>
        <w:spacing w:line="360" w:lineRule="auto"/>
        <w:ind w:firstLine="480" w:firstLineChars="200"/>
        <w:rPr>
          <w:rFonts w:ascii="宋体" w:hAnsi="宋体"/>
          <w:color w:val="auto"/>
          <w:highlight w:val="none"/>
        </w:rPr>
      </w:pPr>
      <w:r>
        <w:rPr>
          <w:rFonts w:hint="eastAsia" w:ascii="宋体" w:hAnsi="宋体"/>
          <w:color w:val="auto"/>
          <w:highlight w:val="none"/>
        </w:rPr>
        <w:t>1.7、进场材料及施工成品、半成品达不到标准要求的，甲方有权责令乙方调换。</w:t>
      </w:r>
    </w:p>
    <w:p w14:paraId="676FD9CD">
      <w:pPr>
        <w:spacing w:line="360" w:lineRule="auto"/>
        <w:ind w:firstLine="480" w:firstLineChars="200"/>
        <w:rPr>
          <w:rFonts w:ascii="宋体" w:hAnsi="宋体"/>
          <w:color w:val="auto"/>
          <w:highlight w:val="none"/>
        </w:rPr>
      </w:pPr>
      <w:r>
        <w:rPr>
          <w:rFonts w:hint="eastAsia" w:ascii="宋体" w:hAnsi="宋体"/>
          <w:color w:val="auto"/>
          <w:highlight w:val="none"/>
        </w:rPr>
        <w:t>2、 乙方责任与义务</w:t>
      </w:r>
    </w:p>
    <w:p w14:paraId="02D033A6">
      <w:pPr>
        <w:spacing w:line="360" w:lineRule="auto"/>
        <w:ind w:firstLine="480" w:firstLineChars="200"/>
        <w:rPr>
          <w:rFonts w:ascii="宋体" w:hAnsi="宋体"/>
          <w:color w:val="auto"/>
          <w:highlight w:val="none"/>
        </w:rPr>
      </w:pPr>
      <w:r>
        <w:rPr>
          <w:rFonts w:hint="eastAsia" w:ascii="宋体" w:hAnsi="宋体"/>
          <w:color w:val="auto"/>
          <w:highlight w:val="none"/>
        </w:rPr>
        <w:t>2.1、遵守法律、法规和规章，乙方应在其负责的各项工作中遵守与本合同工程有关的法律、法规和规章，并保证甲方免于承担由于乙方违反上述法律、法规和规章的任何责任。</w:t>
      </w:r>
    </w:p>
    <w:p w14:paraId="044049D3">
      <w:pPr>
        <w:spacing w:line="360" w:lineRule="auto"/>
        <w:ind w:firstLine="480" w:firstLineChars="200"/>
        <w:rPr>
          <w:rFonts w:ascii="宋体" w:hAnsi="宋体"/>
          <w:color w:val="auto"/>
          <w:highlight w:val="none"/>
        </w:rPr>
      </w:pPr>
      <w:r>
        <w:rPr>
          <w:rFonts w:hint="eastAsia" w:ascii="宋体" w:hAnsi="宋体"/>
          <w:color w:val="auto"/>
          <w:highlight w:val="none"/>
        </w:rPr>
        <w:t>2.2、</w:t>
      </w:r>
      <w:r>
        <w:rPr>
          <w:rFonts w:hint="eastAsia" w:ascii="宋体" w:hAnsi="宋体" w:cs="宋体"/>
          <w:color w:val="auto"/>
          <w:szCs w:val="24"/>
          <w:highlight w:val="none"/>
        </w:rPr>
        <w:t>委派</w:t>
      </w:r>
      <w:r>
        <w:rPr>
          <w:rFonts w:hint="eastAsia" w:ascii="宋体" w:hAnsi="宋体" w:cs="宋体"/>
          <w:color w:val="auto"/>
          <w:szCs w:val="24"/>
          <w:highlight w:val="none"/>
          <w:u w:val="single"/>
          <w:lang w:val="en-US" w:eastAsia="zh-CN"/>
        </w:rPr>
        <w:t>李红雨</w:t>
      </w:r>
      <w:r>
        <w:rPr>
          <w:rFonts w:hint="eastAsia" w:ascii="宋体" w:hAnsi="宋体" w:cs="宋体"/>
          <w:color w:val="auto"/>
          <w:szCs w:val="24"/>
          <w:highlight w:val="none"/>
        </w:rPr>
        <w:t>为现场代表，电话</w:t>
      </w:r>
      <w:r>
        <w:rPr>
          <w:rFonts w:hint="eastAsia" w:ascii="宋体" w:hAnsi="宋体" w:cs="宋体"/>
          <w:color w:val="auto"/>
          <w:szCs w:val="24"/>
          <w:highlight w:val="none"/>
          <w:u w:val="single"/>
          <w:lang w:val="en-US" w:eastAsia="zh-CN"/>
        </w:rPr>
        <w:t>15981970161</w:t>
      </w:r>
      <w:r>
        <w:rPr>
          <w:rFonts w:hint="eastAsia" w:ascii="宋体" w:hAnsi="宋体" w:cs="宋体"/>
          <w:color w:val="auto"/>
          <w:szCs w:val="24"/>
          <w:highlight w:val="none"/>
        </w:rPr>
        <w:t>，</w:t>
      </w:r>
      <w:r>
        <w:rPr>
          <w:rFonts w:hint="eastAsia" w:ascii="宋体" w:hAnsi="宋体"/>
          <w:color w:val="auto"/>
          <w:highlight w:val="none"/>
        </w:rPr>
        <w:t>并须持有与工程项目相适应的资格证书，负责施工期间的施工质量、安全问题，协调工作中发生的有关事宜。如现场代表变更则需经甲方同意。</w:t>
      </w:r>
    </w:p>
    <w:p w14:paraId="76E651DC">
      <w:pPr>
        <w:spacing w:line="360" w:lineRule="auto"/>
        <w:ind w:firstLine="480" w:firstLineChars="200"/>
        <w:rPr>
          <w:rFonts w:ascii="宋体" w:hAnsi="宋体"/>
          <w:color w:val="auto"/>
          <w:highlight w:val="none"/>
        </w:rPr>
      </w:pPr>
      <w:r>
        <w:rPr>
          <w:rFonts w:hint="eastAsia" w:ascii="宋体" w:hAnsi="宋体"/>
          <w:color w:val="auto"/>
          <w:highlight w:val="none"/>
        </w:rPr>
        <w:t>2.3、乙方应服从甲方和监理单位的管理，密切配合总包单位施工，遵守工地的有关规定；严格实行工序开工前向监理报验制度。</w:t>
      </w:r>
    </w:p>
    <w:p w14:paraId="01B76125">
      <w:pPr>
        <w:spacing w:line="360" w:lineRule="auto"/>
        <w:ind w:firstLine="480" w:firstLineChars="200"/>
        <w:rPr>
          <w:rFonts w:ascii="宋体" w:hAnsi="宋体"/>
          <w:color w:val="auto"/>
          <w:highlight w:val="none"/>
        </w:rPr>
      </w:pPr>
      <w:r>
        <w:rPr>
          <w:rFonts w:hint="eastAsia" w:ascii="宋体" w:hAnsi="宋体"/>
          <w:color w:val="auto"/>
          <w:highlight w:val="none"/>
        </w:rPr>
        <w:t>2.4、本工程监理单位：建基工程咨询有限公司</w:t>
      </w:r>
      <w:r>
        <w:rPr>
          <w:rFonts w:hint="eastAsia"/>
          <w:color w:val="auto"/>
          <w:highlight w:val="none"/>
        </w:rPr>
        <w:t>。</w:t>
      </w:r>
    </w:p>
    <w:p w14:paraId="7257564D">
      <w:pPr>
        <w:spacing w:line="360" w:lineRule="auto"/>
        <w:ind w:firstLine="480" w:firstLineChars="200"/>
        <w:rPr>
          <w:rFonts w:ascii="宋体" w:hAnsi="宋体"/>
          <w:color w:val="auto"/>
          <w:highlight w:val="none"/>
        </w:rPr>
      </w:pPr>
      <w:r>
        <w:rPr>
          <w:rFonts w:hint="eastAsia" w:ascii="宋体" w:hAnsi="宋体"/>
          <w:color w:val="auto"/>
          <w:highlight w:val="none"/>
        </w:rPr>
        <w:t>2.5、乙方不得将该工程转包或分包，否则甲方不支付乙方所发生的任何费用。</w:t>
      </w:r>
    </w:p>
    <w:p w14:paraId="66C0FB9F">
      <w:pPr>
        <w:spacing w:line="360" w:lineRule="auto"/>
        <w:ind w:firstLine="480" w:firstLineChars="200"/>
        <w:rPr>
          <w:rFonts w:ascii="宋体" w:hAnsi="宋体"/>
          <w:color w:val="auto"/>
          <w:highlight w:val="none"/>
        </w:rPr>
      </w:pPr>
      <w:r>
        <w:rPr>
          <w:rFonts w:hint="eastAsia" w:ascii="宋体" w:hAnsi="宋体"/>
          <w:color w:val="auto"/>
          <w:highlight w:val="none"/>
        </w:rPr>
        <w:t>2.6、按照施工安全规范的要</w:t>
      </w:r>
      <w:bookmarkStart w:id="0" w:name="_GoBack"/>
      <w:bookmarkEnd w:id="0"/>
      <w:r>
        <w:rPr>
          <w:rFonts w:hint="eastAsia" w:ascii="宋体" w:hAnsi="宋体"/>
          <w:color w:val="auto"/>
          <w:highlight w:val="none"/>
        </w:rPr>
        <w:t>求，采取相应的安全施工防护措施，对</w:t>
      </w:r>
      <w:r>
        <w:rPr>
          <w:rFonts w:hint="eastAsia" w:ascii="宋体" w:hAnsi="宋体" w:cs="宋体"/>
          <w:color w:val="auto"/>
          <w:highlight w:val="none"/>
        </w:rPr>
        <w:t>验收合格前的</w:t>
      </w:r>
      <w:r>
        <w:rPr>
          <w:rFonts w:hint="eastAsia" w:ascii="宋体" w:hAnsi="宋体"/>
          <w:color w:val="auto"/>
          <w:highlight w:val="none"/>
        </w:rPr>
        <w:t>安全负全责，发生安全事故与甲方及总包单位无关，一切责任由乙方承担，</w:t>
      </w:r>
      <w:r>
        <w:rPr>
          <w:rFonts w:hint="eastAsia" w:ascii="宋体" w:hAnsi="宋体" w:cs="宋体"/>
          <w:color w:val="auto"/>
          <w:highlight w:val="none"/>
        </w:rPr>
        <w:t>甲方因此承担责任的，乙方应负责赔偿</w:t>
      </w:r>
      <w:r>
        <w:rPr>
          <w:rFonts w:hint="eastAsia" w:ascii="宋体" w:hAnsi="宋体"/>
          <w:color w:val="auto"/>
          <w:highlight w:val="none"/>
        </w:rPr>
        <w:t>；做到文明施工，工完料清、场清；乙方做好半成品保护工作。</w:t>
      </w:r>
    </w:p>
    <w:p w14:paraId="2A4179F9">
      <w:pPr>
        <w:spacing w:line="360" w:lineRule="auto"/>
        <w:ind w:firstLine="480" w:firstLineChars="200"/>
        <w:rPr>
          <w:rFonts w:ascii="宋体" w:hAnsi="宋体"/>
          <w:color w:val="auto"/>
          <w:highlight w:val="none"/>
        </w:rPr>
      </w:pPr>
      <w:r>
        <w:rPr>
          <w:rFonts w:hint="eastAsia" w:ascii="宋体" w:hAnsi="宋体"/>
          <w:color w:val="auto"/>
          <w:highlight w:val="none"/>
        </w:rPr>
        <w:t>2.7、做好各项质量自检记录，参加竣工验收，编制工程结算。</w:t>
      </w:r>
    </w:p>
    <w:p w14:paraId="5D70E1F2">
      <w:pPr>
        <w:spacing w:line="360" w:lineRule="auto"/>
        <w:ind w:firstLine="480" w:firstLineChars="200"/>
        <w:rPr>
          <w:rFonts w:ascii="宋体" w:hAnsi="宋体"/>
          <w:color w:val="auto"/>
          <w:highlight w:val="none"/>
        </w:rPr>
      </w:pPr>
      <w:r>
        <w:rPr>
          <w:rFonts w:hint="eastAsia" w:ascii="宋体" w:hAnsi="宋体"/>
          <w:color w:val="auto"/>
          <w:highlight w:val="none"/>
        </w:rPr>
        <w:t>2.8、遵守国家或地方政府及有关部门对施工现场管理规定；服从甲方的有关指令，积极配合甲方进度安排。</w:t>
      </w:r>
    </w:p>
    <w:p w14:paraId="1B53E735">
      <w:pPr>
        <w:spacing w:line="360" w:lineRule="auto"/>
        <w:ind w:firstLine="480" w:firstLineChars="200"/>
        <w:rPr>
          <w:rFonts w:ascii="宋体" w:hAnsi="宋体"/>
          <w:color w:val="auto"/>
          <w:highlight w:val="none"/>
        </w:rPr>
      </w:pPr>
      <w:r>
        <w:rPr>
          <w:rFonts w:hint="eastAsia" w:ascii="宋体" w:hAnsi="宋体"/>
          <w:color w:val="auto"/>
          <w:highlight w:val="none"/>
        </w:rPr>
        <w:t>2.9、依据规范要求，负责组织工程验收及检测，验收及检测费由乙方自理。</w:t>
      </w:r>
    </w:p>
    <w:p w14:paraId="5C4D2961">
      <w:pPr>
        <w:spacing w:line="360" w:lineRule="auto"/>
        <w:ind w:firstLine="480" w:firstLineChars="200"/>
        <w:rPr>
          <w:rFonts w:ascii="宋体" w:hAnsi="宋体"/>
          <w:color w:val="auto"/>
          <w:highlight w:val="none"/>
        </w:rPr>
      </w:pPr>
      <w:r>
        <w:rPr>
          <w:rFonts w:hint="eastAsia" w:ascii="宋体" w:hAnsi="宋体"/>
          <w:color w:val="auto"/>
          <w:highlight w:val="none"/>
        </w:rPr>
        <w:t>2.10、根据施工验收规范及甲方要求，及时向甲方和总包单位提供该分项技术资料。</w:t>
      </w:r>
    </w:p>
    <w:p w14:paraId="259424CE">
      <w:pPr>
        <w:spacing w:line="360" w:lineRule="auto"/>
        <w:ind w:firstLine="480" w:firstLineChars="200"/>
        <w:rPr>
          <w:rFonts w:hint="eastAsia" w:ascii="宋体" w:hAnsi="宋体" w:cs="宋体"/>
          <w:color w:val="auto"/>
          <w:szCs w:val="24"/>
          <w:highlight w:val="none"/>
        </w:rPr>
      </w:pPr>
      <w:r>
        <w:rPr>
          <w:rFonts w:hint="eastAsia" w:ascii="宋体" w:hAnsi="宋体"/>
          <w:color w:val="auto"/>
          <w:highlight w:val="none"/>
        </w:rPr>
        <w:t>2.11、甲方告知水源电源接驳点，但是具体接驳工作及产生的水电费由乙方自行承担。</w:t>
      </w:r>
      <w:r>
        <w:rPr>
          <w:rFonts w:hint="eastAsia" w:ascii="宋体" w:hAnsi="宋体" w:cs="宋体"/>
          <w:color w:val="auto"/>
          <w:szCs w:val="24"/>
          <w:highlight w:val="none"/>
        </w:rPr>
        <w:t>乙方在施工中和质保期用水、用电分别装表计量，水费按相关部门收费标准、电费按施工现场实际电价收费加相应损耗直接向总包单位缴纳。</w:t>
      </w:r>
    </w:p>
    <w:p w14:paraId="75010219">
      <w:pPr>
        <w:pStyle w:val="18"/>
        <w:rPr>
          <w:rFonts w:hint="default" w:eastAsia="宋体"/>
          <w:color w:val="auto"/>
          <w:highlight w:val="none"/>
          <w:lang w:val="en-US" w:eastAsia="zh-CN"/>
        </w:rPr>
      </w:pPr>
      <w:r>
        <w:rPr>
          <w:rFonts w:hint="eastAsia" w:ascii="宋体" w:hAnsi="宋体" w:cs="宋体"/>
          <w:color w:val="auto"/>
          <w:szCs w:val="24"/>
          <w:highlight w:val="none"/>
          <w:lang w:val="en-US" w:eastAsia="zh-CN"/>
        </w:rPr>
        <w:t xml:space="preserve">  </w:t>
      </w:r>
      <w:r>
        <w:rPr>
          <w:rFonts w:hint="eastAsia" w:ascii="宋体" w:hAnsi="宋体" w:eastAsia="宋体" w:cs="Times New Roman"/>
          <w:color w:val="auto"/>
          <w:kern w:val="2"/>
          <w:sz w:val="24"/>
          <w:szCs w:val="22"/>
          <w:highlight w:val="none"/>
          <w:lang w:val="en-US" w:eastAsia="zh-CN" w:bidi="ar-SA"/>
        </w:rPr>
        <w:t xml:space="preserve">  2.12</w:t>
      </w:r>
      <w:r>
        <w:rPr>
          <w:rFonts w:hint="eastAsia" w:ascii="宋体" w:hAnsi="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根据甲方要求组织施工，</w:t>
      </w:r>
      <w:r>
        <w:rPr>
          <w:rFonts w:hint="eastAsia" w:ascii="宋体" w:hAnsi="宋体" w:cs="Times New Roman"/>
          <w:color w:val="auto"/>
          <w:kern w:val="2"/>
          <w:sz w:val="24"/>
          <w:szCs w:val="22"/>
          <w:highlight w:val="none"/>
          <w:lang w:val="en-US" w:eastAsia="zh-CN" w:bidi="ar-SA"/>
        </w:rPr>
        <w:t>并</w:t>
      </w:r>
      <w:r>
        <w:rPr>
          <w:rFonts w:hint="eastAsia" w:ascii="宋体" w:hAnsi="宋体" w:eastAsia="宋体" w:cs="Times New Roman"/>
          <w:color w:val="auto"/>
          <w:kern w:val="2"/>
          <w:sz w:val="24"/>
          <w:szCs w:val="22"/>
          <w:highlight w:val="none"/>
          <w:lang w:val="en-US" w:eastAsia="zh-CN" w:bidi="ar-SA"/>
        </w:rPr>
        <w:t>实行样板先行</w:t>
      </w:r>
      <w:r>
        <w:rPr>
          <w:rFonts w:hint="eastAsia" w:ascii="宋体" w:hAnsi="宋体" w:cs="Times New Roman"/>
          <w:color w:val="auto"/>
          <w:kern w:val="2"/>
          <w:sz w:val="24"/>
          <w:szCs w:val="22"/>
          <w:highlight w:val="none"/>
          <w:lang w:val="en-US" w:eastAsia="zh-CN" w:bidi="ar-SA"/>
        </w:rPr>
        <w:t>。</w:t>
      </w:r>
      <w:r>
        <w:rPr>
          <w:rFonts w:hint="eastAsia" w:ascii="宋体" w:hAnsi="宋体" w:eastAsia="宋体" w:cs="Times New Roman"/>
          <w:color w:val="auto"/>
          <w:kern w:val="2"/>
          <w:sz w:val="24"/>
          <w:szCs w:val="22"/>
          <w:highlight w:val="none"/>
          <w:lang w:val="en-US" w:eastAsia="zh-CN" w:bidi="ar-SA"/>
        </w:rPr>
        <w:t>乙方在大规模施工之前，必须先做好样板，通知甲方现场代表及监理检查，达到甲方质感、观感要求后，方可进行大面积施工，若乙方施工质量未达到甲方要求及合同要求，所产生的一切整改费用及责任由乙方承担。</w:t>
      </w:r>
    </w:p>
    <w:p w14:paraId="15EEDD78">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十六、违约责任</w:t>
      </w:r>
    </w:p>
    <w:p w14:paraId="465E4227">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1、除不可抗力外，甲乙双方应严格遵守本合同的条款，否则，违约方须承担违约责任。</w:t>
      </w:r>
    </w:p>
    <w:p w14:paraId="7EDF134E">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2</w:t>
      </w:r>
      <w:r>
        <w:rPr>
          <w:rFonts w:hint="eastAsia" w:ascii="宋体" w:hAnsi="宋体" w:cs="宋体"/>
          <w:color w:val="auto"/>
          <w:highlight w:val="none"/>
        </w:rPr>
        <w:t>、因乙方原因造成工期延误视为违约。每逾期一天，按合同总价的1.5‰向甲方计支付违约金，同时因施工逾期引起</w:t>
      </w:r>
      <w:r>
        <w:rPr>
          <w:rFonts w:hint="eastAsia" w:ascii="宋体" w:hAnsi="宋体" w:cs="宋体"/>
          <w:color w:val="auto"/>
          <w:highlight w:val="none"/>
          <w:lang w:val="en-US" w:eastAsia="zh-CN"/>
        </w:rPr>
        <w:t>甲方</w:t>
      </w:r>
      <w:r>
        <w:rPr>
          <w:rFonts w:hint="eastAsia" w:ascii="宋体" w:hAnsi="宋体" w:cs="宋体"/>
          <w:color w:val="auto"/>
          <w:highlight w:val="none"/>
        </w:rPr>
        <w:t>相关损失由乙方承担。</w:t>
      </w:r>
    </w:p>
    <w:p w14:paraId="5C69C208">
      <w:pPr>
        <w:spacing w:line="360" w:lineRule="auto"/>
        <w:ind w:firstLine="480" w:firstLineChars="200"/>
        <w:rPr>
          <w:rFonts w:hint="eastAsia" w:ascii="宋体" w:hAnsi="宋体" w:cs="宋体"/>
          <w:color w:val="auto"/>
          <w:highlight w:val="none"/>
        </w:rPr>
      </w:pPr>
      <w:r>
        <w:rPr>
          <w:rFonts w:ascii="宋体" w:hAnsi="宋体" w:cs="宋体"/>
          <w:color w:val="auto"/>
          <w:highlight w:val="none"/>
        </w:rPr>
        <w:t>3</w:t>
      </w:r>
      <w:r>
        <w:rPr>
          <w:rFonts w:hint="eastAsia" w:ascii="宋体" w:hAnsi="宋体" w:cs="宋体"/>
          <w:color w:val="auto"/>
          <w:highlight w:val="none"/>
        </w:rPr>
        <w:t>、乙方存在其他任何逾期违约行为但未达到甲方行使单方解除条件的，每逾期一日，按2000元/日向甲方支付违约金，本合同另有约定时除外。</w:t>
      </w:r>
    </w:p>
    <w:p w14:paraId="38301673">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4、乙方存在其他违约行为但未达到甲方行使单方解除条件的，每存在一项/次违约行为，乙方应按</w:t>
      </w:r>
      <w:r>
        <w:rPr>
          <w:rFonts w:ascii="宋体" w:hAnsi="宋体" w:cs="宋体"/>
          <w:color w:val="auto"/>
          <w:highlight w:val="none"/>
        </w:rPr>
        <w:t>2000</w:t>
      </w:r>
      <w:r>
        <w:rPr>
          <w:rFonts w:hint="eastAsia" w:ascii="宋体" w:hAnsi="宋体" w:cs="宋体"/>
          <w:color w:val="auto"/>
          <w:highlight w:val="none"/>
        </w:rPr>
        <w:t>元/次（项）向甲方支付违约金。</w:t>
      </w:r>
    </w:p>
    <w:p w14:paraId="7241569F">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5、乙方提供产品的品牌、规格、型号等与本合同约定不符的，视为乙方违约，甲方有权拒绝验收，乙方应在5天内无偿更换。</w:t>
      </w:r>
    </w:p>
    <w:p w14:paraId="3166AE9D">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6、乙方提供的产品质量、施工的工程质量、质保期服务质量未能达到本合同约定的质量要求和验收标准的，或进度上不符合甲方要求的，视为乙方违约，甲方有权拒绝验收；乙方应在甲方同意的期限内进行更换、维修、整改，因此造成逾期的，按逾期条款承担违约责任。</w:t>
      </w:r>
    </w:p>
    <w:p w14:paraId="4C6353A7">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7、乙方违约导致甲方解除合同的，乙方所有人员必须在3日内撤离施工现场，甲方已支付的预付款（如有）需在3日内退还至甲方，由此造成的所有损失均由乙方负责。</w:t>
      </w:r>
    </w:p>
    <w:p w14:paraId="362656BB">
      <w:pPr>
        <w:pStyle w:val="18"/>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8、合同约定应由乙方完成的工作内容（包括但不限于：承包范围内地坪及交通设施工程、图纸会审纪要、设计变更、现场签证等），如乙方拒绝施工或不能按合同要求的工期或质量标准完成施工，甲方可安排第三方实施，并按照另行委托造价的1.3倍从乙方下一次的付款节点中扣除，且影响工期的责任由乙方负责。</w:t>
      </w:r>
    </w:p>
    <w:p w14:paraId="56ADABB1">
      <w:pPr>
        <w:pStyle w:val="18"/>
        <w:ind w:firstLine="480" w:firstLineChars="200"/>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9、乙方不能因任何原因影响售楼部正常销售，若出现聚集、闹事、拉横幅等情况，每出现一次乙方需支付违约金50000元。</w:t>
      </w:r>
    </w:p>
    <w:p w14:paraId="463EFA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highlight w:val="none"/>
        </w:rPr>
      </w:pPr>
      <w:r>
        <w:rPr>
          <w:rFonts w:hint="eastAsia" w:ascii="宋体" w:hAnsi="宋体" w:cs="宋体"/>
          <w:color w:val="auto"/>
          <w:highlight w:val="none"/>
          <w:lang w:val="en-US" w:eastAsia="zh-CN"/>
        </w:rPr>
        <w:t>10</w:t>
      </w:r>
      <w:r>
        <w:rPr>
          <w:rFonts w:hint="eastAsia" w:ascii="宋体" w:hAnsi="宋体" w:cs="宋体"/>
          <w:color w:val="auto"/>
          <w:highlight w:val="none"/>
        </w:rPr>
        <w:t>、乙方应向甲方支付的违约金等，甲方有权直接在甲方应付未付款中扣除，违约金不足以弥补甲方损失的，甲方可继续向乙方追偿。</w:t>
      </w:r>
    </w:p>
    <w:p w14:paraId="41C271CA">
      <w:pPr>
        <w:pStyle w:val="18"/>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color w:val="auto"/>
          <w:kern w:val="2"/>
          <w:sz w:val="24"/>
          <w:szCs w:val="22"/>
          <w:highlight w:val="none"/>
          <w:lang w:val="en-US" w:eastAsia="zh-CN" w:bidi="ar-SA"/>
        </w:rPr>
      </w:pPr>
      <w:r>
        <w:rPr>
          <w:rFonts w:hint="eastAsia" w:ascii="宋体" w:hAnsi="宋体" w:eastAsia="宋体" w:cs="宋体"/>
          <w:color w:val="auto"/>
          <w:kern w:val="2"/>
          <w:sz w:val="24"/>
          <w:szCs w:val="22"/>
          <w:highlight w:val="none"/>
          <w:lang w:val="en-US" w:eastAsia="zh-CN" w:bidi="ar-SA"/>
        </w:rPr>
        <w:t>11</w:t>
      </w:r>
      <w:r>
        <w:rPr>
          <w:rFonts w:hint="eastAsia" w:ascii="宋体" w:hAnsi="宋体" w:cs="宋体"/>
          <w:color w:val="auto"/>
          <w:kern w:val="2"/>
          <w:sz w:val="24"/>
          <w:szCs w:val="22"/>
          <w:highlight w:val="none"/>
          <w:lang w:val="en-US" w:eastAsia="zh-CN" w:bidi="ar-SA"/>
        </w:rPr>
        <w:t>、</w:t>
      </w:r>
      <w:r>
        <w:rPr>
          <w:rFonts w:hint="eastAsia" w:ascii="宋体" w:hAnsi="宋体" w:eastAsia="宋体" w:cs="宋体"/>
          <w:color w:val="auto"/>
          <w:kern w:val="2"/>
          <w:sz w:val="24"/>
          <w:szCs w:val="22"/>
          <w:highlight w:val="none"/>
          <w:lang w:val="en-US" w:eastAsia="zh-CN" w:bidi="ar-SA"/>
        </w:rPr>
        <w:t>乙方应承担因工程质量</w:t>
      </w:r>
      <w:r>
        <w:rPr>
          <w:rFonts w:hint="eastAsia" w:ascii="宋体" w:hAnsi="宋体" w:cs="宋体"/>
          <w:color w:val="auto"/>
          <w:kern w:val="2"/>
          <w:sz w:val="24"/>
          <w:szCs w:val="22"/>
          <w:highlight w:val="none"/>
          <w:lang w:val="en-US" w:eastAsia="zh-CN" w:bidi="ar-SA"/>
        </w:rPr>
        <w:t>问题</w:t>
      </w:r>
      <w:r>
        <w:rPr>
          <w:rFonts w:hint="eastAsia" w:ascii="宋体" w:hAnsi="宋体" w:eastAsia="宋体" w:cs="宋体"/>
          <w:color w:val="auto"/>
          <w:kern w:val="2"/>
          <w:sz w:val="24"/>
          <w:szCs w:val="22"/>
          <w:highlight w:val="none"/>
          <w:lang w:val="en-US" w:eastAsia="zh-CN" w:bidi="ar-SA"/>
        </w:rPr>
        <w:t>造成使用者人身安全事故责任及经济损失的赔偿责任。</w:t>
      </w:r>
    </w:p>
    <w:p w14:paraId="755BD7F5">
      <w:pPr>
        <w:pStyle w:val="18"/>
        <w:kinsoku w:val="0"/>
        <w:wordWrap w:val="0"/>
        <w:topLinePunct/>
        <w:autoSpaceDE w:val="0"/>
        <w:rPr>
          <w:rFonts w:ascii="宋体" w:hAnsi="宋体" w:cs="宋体"/>
          <w:b/>
          <w:bCs/>
          <w:color w:val="auto"/>
          <w:sz w:val="24"/>
          <w:szCs w:val="24"/>
          <w:highlight w:val="none"/>
        </w:rPr>
      </w:pPr>
      <w:r>
        <w:rPr>
          <w:rFonts w:hint="eastAsia" w:ascii="宋体" w:hAnsi="宋体" w:cs="宋体"/>
          <w:b/>
          <w:bCs/>
          <w:color w:val="auto"/>
          <w:sz w:val="24"/>
          <w:szCs w:val="24"/>
          <w:highlight w:val="none"/>
        </w:rPr>
        <w:t>十七、不可抗力</w:t>
      </w:r>
    </w:p>
    <w:p w14:paraId="3D2BF62C">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1、不可抗力指因战争、动乱、瘟疫、空中飞行物坠落或其他非双方责任造成的爆炸、火灾以及9级以上的台风、7级及7级以上的地震等。（以当地行业主管部门的公告为准 ）。</w:t>
      </w:r>
    </w:p>
    <w:p w14:paraId="0E19213A">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可抗力发生后，乙方应迅速采取措施，尽力减少损失，并在24小时内向甲方通报受害情况，在事件发生后10日内向甲方报告损失情况和清理、修复的费用；因乙方未及时采取补救措施或采取不当措施造成的扩大损失由乙方承担。</w:t>
      </w:r>
    </w:p>
    <w:p w14:paraId="6C47841B">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3、费用承担：</w:t>
      </w:r>
    </w:p>
    <w:p w14:paraId="65C0DEC9">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3.1、人员伤亡由所属单位负责，并承担相应费用；</w:t>
      </w:r>
    </w:p>
    <w:p w14:paraId="35C2B345">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3.2、造成乙方工程设备、机械的损失等损失由乙方承担；</w:t>
      </w:r>
    </w:p>
    <w:p w14:paraId="34B195BE">
      <w:pPr>
        <w:pStyle w:val="18"/>
        <w:kinsoku w:val="0"/>
        <w:wordWrap w:val="0"/>
        <w:topLinePunct/>
        <w:autoSpaceDE w:val="0"/>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3.3、所需清理修复工作的责任与费用的承担，双方另行商定。</w:t>
      </w:r>
    </w:p>
    <w:p w14:paraId="5D063765">
      <w:pPr>
        <w:pStyle w:val="18"/>
        <w:numPr>
          <w:ilvl w:val="255"/>
          <w:numId w:val="0"/>
        </w:numPr>
        <w:tabs>
          <w:tab w:val="left" w:pos="0"/>
        </w:tabs>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十八、送达条款</w:t>
      </w:r>
    </w:p>
    <w:p w14:paraId="08F51CE3">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甲乙双方明确送达信息如下：</w:t>
      </w:r>
    </w:p>
    <w:p w14:paraId="78AA4FCA">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1、甲方确认的送达信息为：</w:t>
      </w:r>
    </w:p>
    <w:p w14:paraId="45BABF77">
      <w:pPr>
        <w:tabs>
          <w:tab w:val="left" w:pos="1276"/>
        </w:tabs>
        <w:kinsoku w:val="0"/>
        <w:wordWrap w:val="0"/>
        <w:topLinePunct/>
        <w:autoSpaceDE w:val="0"/>
        <w:spacing w:line="360" w:lineRule="auto"/>
        <w:ind w:left="480" w:leftChars="200"/>
        <w:rPr>
          <w:rFonts w:hint="eastAsia"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rPr>
        <w:t xml:space="preserve">洛阳市洛龙区关林路8号中浩德控股集团有限公司1楼 </w:t>
      </w:r>
      <w:r>
        <w:rPr>
          <w:rFonts w:hint="eastAsia" w:ascii="宋体"/>
          <w:color w:val="auto"/>
          <w:szCs w:val="24"/>
          <w:highlight w:val="none"/>
        </w:rPr>
        <w:t>。           联系人：</w:t>
      </w:r>
      <w:r>
        <w:rPr>
          <w:rFonts w:hint="eastAsia" w:ascii="宋体"/>
          <w:color w:val="auto"/>
          <w:szCs w:val="24"/>
          <w:highlight w:val="none"/>
          <w:u w:val="single"/>
        </w:rPr>
        <w:t>成本管理部</w:t>
      </w:r>
      <w:r>
        <w:rPr>
          <w:rFonts w:hint="eastAsia" w:ascii="宋体"/>
          <w:color w:val="auto"/>
          <w:szCs w:val="24"/>
          <w:highlight w:val="none"/>
        </w:rPr>
        <w:t>；联系固话：</w:t>
      </w:r>
      <w:r>
        <w:rPr>
          <w:rFonts w:hint="eastAsia" w:ascii="宋体"/>
          <w:color w:val="auto"/>
          <w:szCs w:val="24"/>
          <w:highlight w:val="none"/>
          <w:u w:val="single"/>
        </w:rPr>
        <w:t>0379-60667770</w:t>
      </w:r>
      <w:r>
        <w:rPr>
          <w:rFonts w:hint="eastAsia" w:ascii="宋体"/>
          <w:color w:val="auto"/>
          <w:szCs w:val="24"/>
          <w:highlight w:val="none"/>
        </w:rPr>
        <w:t>；联系手机 ：</w:t>
      </w:r>
      <w:r>
        <w:rPr>
          <w:rFonts w:hint="eastAsia" w:ascii="宋体"/>
          <w:color w:val="auto"/>
          <w:szCs w:val="24"/>
          <w:highlight w:val="none"/>
          <w:u w:val="single"/>
        </w:rPr>
        <w:t xml:space="preserve">   /</w:t>
      </w:r>
      <w:r>
        <w:rPr>
          <w:rFonts w:hint="eastAsia" w:ascii="宋体"/>
          <w:color w:val="auto"/>
          <w:szCs w:val="24"/>
          <w:highlight w:val="none"/>
          <w:u w:val="single"/>
          <w:lang w:val="en-US" w:eastAsia="zh-CN"/>
        </w:rPr>
        <w:t xml:space="preserve">   </w:t>
      </w:r>
      <w:r>
        <w:rPr>
          <w:rFonts w:hint="eastAsia" w:ascii="宋体"/>
          <w:color w:val="auto"/>
          <w:szCs w:val="24"/>
          <w:highlight w:val="none"/>
          <w:u w:val="single"/>
        </w:rPr>
        <w:t xml:space="preserve">   </w:t>
      </w:r>
      <w:r>
        <w:rPr>
          <w:rFonts w:hint="eastAsia" w:ascii="宋体"/>
          <w:color w:val="auto"/>
          <w:szCs w:val="24"/>
          <w:highlight w:val="none"/>
        </w:rPr>
        <w:t xml:space="preserve">。      </w:t>
      </w:r>
    </w:p>
    <w:p w14:paraId="56B4E98F">
      <w:pPr>
        <w:tabs>
          <w:tab w:val="left" w:pos="1276"/>
        </w:tabs>
        <w:kinsoku w:val="0"/>
        <w:wordWrap w:val="0"/>
        <w:topLinePunct/>
        <w:autoSpaceDE w:val="0"/>
        <w:spacing w:line="360" w:lineRule="auto"/>
        <w:ind w:firstLine="480" w:firstLineChars="200"/>
        <w:rPr>
          <w:rFonts w:ascii="宋体"/>
          <w:color w:val="auto"/>
          <w:szCs w:val="24"/>
          <w:highlight w:val="none"/>
        </w:rPr>
      </w:pPr>
      <w:r>
        <w:rPr>
          <w:rFonts w:ascii="宋体"/>
          <w:color w:val="auto"/>
          <w:szCs w:val="24"/>
          <w:highlight w:val="none"/>
        </w:rPr>
        <w:t>2</w:t>
      </w:r>
      <w:r>
        <w:rPr>
          <w:rFonts w:hint="eastAsia" w:ascii="宋体"/>
          <w:color w:val="auto"/>
          <w:szCs w:val="24"/>
          <w:highlight w:val="none"/>
        </w:rPr>
        <w:t>、乙方确认的送达信息为：</w:t>
      </w:r>
    </w:p>
    <w:p w14:paraId="6391E8DD">
      <w:pPr>
        <w:kinsoku w:val="0"/>
        <w:wordWrap w:val="0"/>
        <w:topLinePunct/>
        <w:autoSpaceDE w:val="0"/>
        <w:spacing w:line="360" w:lineRule="auto"/>
        <w:ind w:firstLine="480" w:firstLineChars="200"/>
        <w:rPr>
          <w:rFonts w:ascii="宋体"/>
          <w:color w:val="auto"/>
          <w:szCs w:val="24"/>
          <w:highlight w:val="none"/>
        </w:rPr>
      </w:pPr>
      <w:r>
        <w:rPr>
          <w:rFonts w:hint="eastAsia" w:ascii="宋体"/>
          <w:color w:val="auto"/>
          <w:szCs w:val="24"/>
          <w:highlight w:val="none"/>
        </w:rPr>
        <w:t>送达地址：</w:t>
      </w:r>
      <w:r>
        <w:rPr>
          <w:rFonts w:hint="eastAsia" w:ascii="宋体"/>
          <w:color w:val="auto"/>
          <w:szCs w:val="24"/>
          <w:highlight w:val="none"/>
          <w:u w:val="single"/>
          <w:lang w:val="en-US" w:eastAsia="zh-CN"/>
        </w:rPr>
        <w:t>河南省郑州市金水区文化路西龙门路南1号楼 1727 号。</w:t>
      </w:r>
    </w:p>
    <w:p w14:paraId="1943FE59">
      <w:pPr>
        <w:pStyle w:val="18"/>
        <w:kinsoku w:val="0"/>
        <w:wordWrap w:val="0"/>
        <w:topLinePunct/>
        <w:autoSpaceDE w:val="0"/>
        <w:ind w:left="480" w:leftChars="200"/>
        <w:rPr>
          <w:rFonts w:ascii="宋体"/>
          <w:color w:val="auto"/>
          <w:sz w:val="24"/>
          <w:szCs w:val="24"/>
          <w:highlight w:val="none"/>
        </w:rPr>
      </w:pPr>
      <w:r>
        <w:rPr>
          <w:rFonts w:hint="eastAsia" w:ascii="宋体"/>
          <w:color w:val="auto"/>
          <w:sz w:val="24"/>
          <w:szCs w:val="24"/>
          <w:highlight w:val="none"/>
        </w:rPr>
        <w:t>联系人：</w:t>
      </w:r>
      <w:r>
        <w:rPr>
          <w:rFonts w:hint="eastAsia" w:ascii="宋体"/>
          <w:color w:val="auto"/>
          <w:sz w:val="24"/>
          <w:szCs w:val="24"/>
          <w:highlight w:val="none"/>
          <w:u w:val="single"/>
        </w:rPr>
        <w:t xml:space="preserve"> 付国浩</w:t>
      </w:r>
      <w:r>
        <w:rPr>
          <w:rFonts w:hint="eastAsia" w:ascii="宋体"/>
          <w:color w:val="auto"/>
          <w:sz w:val="24"/>
          <w:szCs w:val="24"/>
          <w:highlight w:val="none"/>
        </w:rPr>
        <w:t>；联系固话：</w:t>
      </w:r>
      <w:r>
        <w:rPr>
          <w:rFonts w:hint="eastAsia" w:ascii="宋体"/>
          <w:color w:val="auto"/>
          <w:kern w:val="2"/>
          <w:sz w:val="24"/>
          <w:szCs w:val="24"/>
          <w:highlight w:val="none"/>
          <w:u w:val="single"/>
        </w:rPr>
        <w:t xml:space="preserve"> </w:t>
      </w:r>
      <w:r>
        <w:rPr>
          <w:rFonts w:hint="eastAsia" w:ascii="宋体"/>
          <w:color w:val="auto"/>
          <w:kern w:val="2"/>
          <w:sz w:val="24"/>
          <w:szCs w:val="24"/>
          <w:highlight w:val="none"/>
          <w:u w:val="single"/>
          <w:lang w:val="en-US" w:eastAsia="zh-CN"/>
        </w:rPr>
        <w:t xml:space="preserve">  /  </w:t>
      </w:r>
      <w:r>
        <w:rPr>
          <w:rFonts w:hint="eastAsia" w:ascii="宋体"/>
          <w:color w:val="auto"/>
          <w:sz w:val="24"/>
          <w:szCs w:val="24"/>
          <w:highlight w:val="none"/>
        </w:rPr>
        <w:t>；联系手机 ：</w:t>
      </w:r>
      <w:r>
        <w:rPr>
          <w:rFonts w:hint="eastAsia" w:ascii="宋体"/>
          <w:color w:val="auto"/>
          <w:sz w:val="24"/>
          <w:szCs w:val="24"/>
          <w:highlight w:val="none"/>
          <w:u w:val="single"/>
        </w:rPr>
        <w:t xml:space="preserve"> 17746312222</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 xml:space="preserve">。   </w:t>
      </w:r>
    </w:p>
    <w:p w14:paraId="063F078F">
      <w:pPr>
        <w:spacing w:line="360" w:lineRule="auto"/>
        <w:ind w:firstLine="468" w:firstLineChars="195"/>
        <w:rPr>
          <w:rFonts w:ascii="宋体"/>
          <w:color w:val="auto"/>
          <w:szCs w:val="24"/>
          <w:highlight w:val="none"/>
        </w:rPr>
      </w:pPr>
      <w:r>
        <w:rPr>
          <w:rFonts w:hint="eastAsia" w:ascii="宋体"/>
          <w:color w:val="auto"/>
          <w:szCs w:val="24"/>
          <w:highlight w:val="none"/>
        </w:rPr>
        <w:t>3、双方在此共同确认，上述送达信息将作为双方在合同项下邮寄往来通知、函件等任何文件资料及法院送达法律文书的唯一有效送达地址及联系信息。任何一方变更送达信息，应当提前</w:t>
      </w:r>
      <w:r>
        <w:rPr>
          <w:rFonts w:hint="eastAsia" w:ascii="宋体"/>
          <w:color w:val="auto"/>
          <w:szCs w:val="24"/>
          <w:highlight w:val="none"/>
          <w:lang w:val="en-US" w:eastAsia="zh-CN"/>
        </w:rPr>
        <w:t>10</w:t>
      </w:r>
      <w:r>
        <w:rPr>
          <w:rFonts w:hint="eastAsia" w:ascii="宋体"/>
          <w:color w:val="auto"/>
          <w:szCs w:val="24"/>
          <w:highlight w:val="none"/>
        </w:rPr>
        <w:t>日书面通知对方，否则视为未变更。任何一方按照上述送达信息向对方邮寄任何文件资料，自邮件发出后的第</w:t>
      </w:r>
      <w:r>
        <w:rPr>
          <w:rFonts w:hint="eastAsia" w:ascii="宋体"/>
          <w:color w:val="auto"/>
          <w:szCs w:val="24"/>
          <w:highlight w:val="none"/>
          <w:lang w:val="en-US" w:eastAsia="zh-CN"/>
        </w:rPr>
        <w:t>3</w:t>
      </w:r>
      <w:r>
        <w:rPr>
          <w:rFonts w:hint="eastAsia" w:ascii="宋体"/>
          <w:color w:val="auto"/>
          <w:szCs w:val="24"/>
          <w:highlight w:val="none"/>
        </w:rPr>
        <w:t>日视为已经有效送达对方并产生相应的法律后果，不论该邮件是否已经由对方实际签收。</w:t>
      </w:r>
    </w:p>
    <w:p w14:paraId="405CC067">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十九、合同解约条款</w:t>
      </w:r>
    </w:p>
    <w:p w14:paraId="60400F5B">
      <w:p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w:t>
      </w:r>
      <w:r>
        <w:rPr>
          <w:rFonts w:hint="eastAsia" w:ascii="宋体" w:hAnsi="宋体" w:cs="宋体"/>
          <w:color w:val="auto"/>
          <w:highlight w:val="none"/>
        </w:rPr>
        <w:t>、乙方存在如下任一情况的，甲方有权扣减合同结算总额的30%作为违约金，且有权解除本合同，解除通知到达乙方之日生效，该违约金不足以弥补甲方损失，乙方还应继续承担赔偿责任，本合同另有约定的除外。</w:t>
      </w:r>
    </w:p>
    <w:p w14:paraId="44B0CB85">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1.1</w:t>
      </w:r>
      <w:r>
        <w:rPr>
          <w:rFonts w:hint="eastAsia" w:ascii="宋体" w:hAnsi="宋体" w:cs="宋体"/>
          <w:color w:val="auto"/>
          <w:highlight w:val="none"/>
        </w:rPr>
        <w:t>、本工程不能通过验收的；</w:t>
      </w:r>
    </w:p>
    <w:p w14:paraId="39AD14A1">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1.2</w:t>
      </w:r>
      <w:r>
        <w:rPr>
          <w:rFonts w:hint="eastAsia" w:ascii="宋体" w:hAnsi="宋体" w:cs="宋体"/>
          <w:color w:val="auto"/>
          <w:highlight w:val="none"/>
        </w:rPr>
        <w:t>、乙方未能按时进场</w:t>
      </w:r>
      <w:r>
        <w:rPr>
          <w:rFonts w:hint="eastAsia" w:ascii="宋体" w:hAnsi="宋体" w:cs="宋体"/>
          <w:color w:val="auto"/>
          <w:highlight w:val="none"/>
          <w:lang w:eastAsia="zh-CN"/>
        </w:rPr>
        <w:t>施工</w:t>
      </w:r>
      <w:r>
        <w:rPr>
          <w:rFonts w:hint="eastAsia" w:ascii="宋体" w:hAnsi="宋体" w:cs="宋体"/>
          <w:color w:val="auto"/>
          <w:highlight w:val="none"/>
        </w:rPr>
        <w:t>的，在甲方发出书面通知后的</w:t>
      </w:r>
      <w:r>
        <w:rPr>
          <w:rFonts w:ascii="宋体" w:hAnsi="宋体" w:cs="宋体"/>
          <w:color w:val="auto"/>
          <w:highlight w:val="none"/>
        </w:rPr>
        <w:t>7</w:t>
      </w:r>
      <w:r>
        <w:rPr>
          <w:rFonts w:hint="eastAsia" w:ascii="宋体" w:hAnsi="宋体" w:cs="宋体"/>
          <w:color w:val="auto"/>
          <w:highlight w:val="none"/>
        </w:rPr>
        <w:t>日内仍未进供货进场施工的；</w:t>
      </w:r>
    </w:p>
    <w:p w14:paraId="58B36F77">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1.3</w:t>
      </w:r>
      <w:r>
        <w:rPr>
          <w:rFonts w:hint="eastAsia" w:ascii="宋体" w:hAnsi="宋体" w:cs="宋体"/>
          <w:color w:val="auto"/>
          <w:highlight w:val="none"/>
        </w:rPr>
        <w:t>、乙方在施工过程中非因不可抗力或甲方原因造成连续停工</w:t>
      </w:r>
      <w:r>
        <w:rPr>
          <w:rFonts w:ascii="宋体" w:hAnsi="宋体" w:cs="宋体"/>
          <w:color w:val="auto"/>
          <w:highlight w:val="none"/>
        </w:rPr>
        <w:t>5</w:t>
      </w:r>
      <w:r>
        <w:rPr>
          <w:rFonts w:hint="eastAsia" w:ascii="宋体" w:hAnsi="宋体" w:cs="宋体"/>
          <w:color w:val="auto"/>
          <w:highlight w:val="none"/>
        </w:rPr>
        <w:t>日以上或累计达    7日的；</w:t>
      </w:r>
    </w:p>
    <w:p w14:paraId="45BD1824">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1.4</w:t>
      </w:r>
      <w:r>
        <w:rPr>
          <w:rFonts w:hint="eastAsia" w:ascii="宋体" w:hAnsi="宋体" w:cs="宋体"/>
          <w:color w:val="auto"/>
          <w:highlight w:val="none"/>
        </w:rPr>
        <w:t>乙方逾期竣工、向甲方提交竣工结算书及完整的竣工结算资料、核对工程价款或其他逾期行为达</w:t>
      </w:r>
      <w:r>
        <w:rPr>
          <w:rFonts w:ascii="宋体" w:hAnsi="宋体" w:cs="宋体"/>
          <w:color w:val="auto"/>
          <w:highlight w:val="none"/>
        </w:rPr>
        <w:t>7</w:t>
      </w:r>
      <w:r>
        <w:rPr>
          <w:rFonts w:hint="eastAsia" w:ascii="宋体" w:hAnsi="宋体" w:cs="宋体"/>
          <w:color w:val="auto"/>
          <w:highlight w:val="none"/>
        </w:rPr>
        <w:t>日及以上的；</w:t>
      </w:r>
    </w:p>
    <w:p w14:paraId="2A509D60">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1.5</w:t>
      </w:r>
      <w:r>
        <w:rPr>
          <w:rFonts w:hint="eastAsia" w:ascii="宋体" w:hAnsi="宋体" w:cs="宋体"/>
          <w:color w:val="auto"/>
          <w:highlight w:val="none"/>
        </w:rPr>
        <w:t>、乙方人员在施工区内出现打架斗殴行为至警察出警、立案、相关行为人</w:t>
      </w:r>
      <w:r>
        <w:rPr>
          <w:rFonts w:hint="eastAsia" w:ascii="宋体" w:hAnsi="宋体" w:cs="宋体"/>
          <w:color w:val="auto"/>
          <w:highlight w:val="none"/>
          <w:lang w:eastAsia="zh-CN"/>
        </w:rPr>
        <w:t>接受</w:t>
      </w:r>
      <w:r>
        <w:rPr>
          <w:rFonts w:hint="eastAsia" w:ascii="宋体" w:hAnsi="宋体" w:cs="宋体"/>
          <w:color w:val="auto"/>
          <w:highlight w:val="none"/>
        </w:rPr>
        <w:t>行政处罚或刑事处罚的；</w:t>
      </w:r>
    </w:p>
    <w:p w14:paraId="037959F2">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1.6</w:t>
      </w:r>
      <w:r>
        <w:rPr>
          <w:rFonts w:hint="eastAsia" w:ascii="宋体" w:hAnsi="宋体" w:cs="宋体"/>
          <w:color w:val="auto"/>
          <w:highlight w:val="none"/>
        </w:rPr>
        <w:t>、乙方擅自把工程分包或转包给其他任何单位的；</w:t>
      </w:r>
    </w:p>
    <w:p w14:paraId="2AEF2055">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highlight w:val="none"/>
        </w:rPr>
        <w:t>1.7</w:t>
      </w:r>
      <w:r>
        <w:rPr>
          <w:rFonts w:hint="eastAsia" w:ascii="宋体" w:hAnsi="宋体" w:cs="宋体"/>
          <w:color w:val="auto"/>
          <w:highlight w:val="none"/>
        </w:rPr>
        <w:t>、乙方与</w:t>
      </w:r>
      <w:r>
        <w:rPr>
          <w:rFonts w:hint="eastAsia" w:ascii="宋体" w:hAnsi="宋体" w:cs="宋体"/>
          <w:color w:val="auto"/>
          <w:highlight w:val="none"/>
          <w:lang w:eastAsia="zh-CN"/>
        </w:rPr>
        <w:t>甲方</w:t>
      </w:r>
      <w:r>
        <w:rPr>
          <w:rFonts w:hint="eastAsia" w:ascii="宋体" w:hAnsi="宋体" w:cs="宋体"/>
          <w:color w:val="auto"/>
          <w:highlight w:val="none"/>
        </w:rPr>
        <w:t>工作人员串通、虚构事实或使用其他方式虚报工程量的；</w:t>
      </w:r>
    </w:p>
    <w:p w14:paraId="78C52CED">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highlight w:val="none"/>
        </w:rPr>
        <w:t>1.8</w:t>
      </w:r>
      <w:r>
        <w:rPr>
          <w:rFonts w:hint="eastAsia" w:ascii="宋体" w:hAnsi="宋体" w:cs="宋体"/>
          <w:color w:val="auto"/>
          <w:highlight w:val="none"/>
        </w:rPr>
        <w:t>、</w:t>
      </w:r>
      <w:r>
        <w:rPr>
          <w:rFonts w:hint="eastAsia" w:ascii="宋体" w:hAnsi="宋体" w:cs="宋体"/>
          <w:color w:val="auto"/>
          <w:szCs w:val="24"/>
          <w:highlight w:val="none"/>
        </w:rPr>
        <w:t>甲方或监理方对同一施工问题连续下发三次整改通知书后乙方无作为或整改问题未在整改通知书要求的期限内解决；</w:t>
      </w:r>
    </w:p>
    <w:p w14:paraId="7F336282">
      <w:pPr>
        <w:numPr>
          <w:ilvl w:val="255"/>
          <w:numId w:val="0"/>
        </w:numPr>
        <w:tabs>
          <w:tab w:val="left" w:pos="900"/>
        </w:tabs>
        <w:spacing w:line="360" w:lineRule="auto"/>
        <w:ind w:firstLine="480" w:firstLineChars="200"/>
        <w:rPr>
          <w:rFonts w:ascii="宋体" w:hAnsi="宋体" w:cs="宋体"/>
          <w:color w:val="auto"/>
          <w:szCs w:val="24"/>
          <w:highlight w:val="none"/>
        </w:rPr>
      </w:pPr>
      <w:r>
        <w:rPr>
          <w:rFonts w:ascii="宋体" w:hAnsi="宋体" w:cs="宋体"/>
          <w:color w:val="auto"/>
          <w:szCs w:val="24"/>
          <w:highlight w:val="none"/>
        </w:rPr>
        <w:t>1.9</w:t>
      </w:r>
      <w:r>
        <w:rPr>
          <w:rFonts w:hint="eastAsia" w:ascii="宋体" w:hAnsi="宋体" w:cs="宋体"/>
          <w:color w:val="auto"/>
          <w:szCs w:val="24"/>
          <w:highlight w:val="none"/>
        </w:rPr>
        <w:t>、乙方购置不符合合同约定的品牌、厂家、产地、材质、工艺、规格、型号等标准的产品或者假冒伪劣产品用于本工程；</w:t>
      </w:r>
    </w:p>
    <w:p w14:paraId="184499E5">
      <w:pPr>
        <w:numPr>
          <w:ilvl w:val="255"/>
          <w:numId w:val="0"/>
        </w:numPr>
        <w:tabs>
          <w:tab w:val="left" w:pos="900"/>
        </w:tabs>
        <w:spacing w:line="360" w:lineRule="auto"/>
        <w:ind w:firstLine="480" w:firstLineChars="200"/>
        <w:rPr>
          <w:rFonts w:ascii="宋体" w:hAnsi="宋体" w:cs="宋体"/>
          <w:color w:val="auto"/>
          <w:highlight w:val="none"/>
        </w:rPr>
      </w:pPr>
      <w:r>
        <w:rPr>
          <w:rFonts w:ascii="宋体" w:hAnsi="宋体" w:cs="宋体"/>
          <w:color w:val="auto"/>
          <w:szCs w:val="24"/>
          <w:highlight w:val="none"/>
        </w:rPr>
        <w:t>1.10</w:t>
      </w:r>
      <w:r>
        <w:rPr>
          <w:rFonts w:hint="eastAsia" w:ascii="宋体" w:hAnsi="宋体" w:cs="宋体"/>
          <w:color w:val="auto"/>
          <w:szCs w:val="24"/>
          <w:highlight w:val="none"/>
        </w:rPr>
        <w:t>、</w:t>
      </w:r>
      <w:r>
        <w:rPr>
          <w:rFonts w:hint="eastAsia" w:ascii="宋体" w:hAnsi="宋体" w:cs="宋体"/>
          <w:color w:val="auto"/>
          <w:highlight w:val="none"/>
        </w:rPr>
        <w:t>乙方存在其他违约行为，经甲方书面通知之日7日内仍未纠正的。</w:t>
      </w:r>
    </w:p>
    <w:p w14:paraId="606BB006">
      <w:pPr>
        <w:spacing w:line="360" w:lineRule="auto"/>
        <w:ind w:firstLine="480" w:firstLineChars="200"/>
        <w:rPr>
          <w:rFonts w:ascii="宋体" w:hAnsi="宋体" w:cs="宋体"/>
          <w:color w:val="auto"/>
          <w:szCs w:val="24"/>
          <w:highlight w:val="none"/>
        </w:rPr>
      </w:pPr>
      <w:r>
        <w:rPr>
          <w:rFonts w:hint="eastAsia" w:ascii="宋体" w:hAnsi="宋体" w:cs="宋体"/>
          <w:color w:val="auto"/>
          <w:szCs w:val="24"/>
          <w:highlight w:val="none"/>
        </w:rPr>
        <w:t>2、合同解除后，对于乙方已完工部分且质量合格的按照实际工程量给予结算70%；对于不合格部分责令整改，整改合格后给予结算工程70%。若乙方</w:t>
      </w:r>
      <w:r>
        <w:rPr>
          <w:rFonts w:hint="eastAsia" w:ascii="宋体" w:hAnsi="宋体" w:cs="宋体"/>
          <w:color w:val="auto"/>
          <w:szCs w:val="24"/>
          <w:highlight w:val="none"/>
          <w:lang w:eastAsia="zh-CN"/>
        </w:rPr>
        <w:t>拒绝</w:t>
      </w:r>
      <w:r>
        <w:rPr>
          <w:rFonts w:hint="eastAsia" w:ascii="宋体" w:hAnsi="宋体" w:cs="宋体"/>
          <w:color w:val="auto"/>
          <w:szCs w:val="24"/>
          <w:highlight w:val="none"/>
        </w:rPr>
        <w:t>整改或无作为，甲方对不合格工程量不予支付费用，并由乙方承担由此产生的拆改、整修等费用，乙方应按甲方要求的日期清理现场撤离。如果乙方不主动拆改、整修，甲方可自行整改，相关的费用从未付工程款中直接扣除，不足部分甲方另行向乙方追偿。</w:t>
      </w:r>
    </w:p>
    <w:p w14:paraId="69032A7A">
      <w:pPr>
        <w:pStyle w:val="18"/>
        <w:numPr>
          <w:ilvl w:val="255"/>
          <w:numId w:val="0"/>
        </w:numPr>
        <w:kinsoku w:val="0"/>
        <w:wordWrap w:val="0"/>
        <w:topLinePunct/>
        <w:autoSpaceDE w:val="0"/>
        <w:spacing w:line="460" w:lineRule="exact"/>
        <w:rPr>
          <w:rFonts w:ascii="宋体" w:hAnsi="宋体" w:cs="宋体"/>
          <w:b/>
          <w:bCs/>
          <w:color w:val="auto"/>
          <w:szCs w:val="24"/>
          <w:highlight w:val="none"/>
        </w:rPr>
      </w:pPr>
      <w:r>
        <w:rPr>
          <w:rFonts w:hint="eastAsia" w:ascii="宋体" w:hAnsi="宋体" w:cs="宋体"/>
          <w:b/>
          <w:bCs/>
          <w:color w:val="auto"/>
          <w:sz w:val="24"/>
          <w:szCs w:val="24"/>
          <w:highlight w:val="none"/>
        </w:rPr>
        <w:t>二十、争议的解决</w:t>
      </w:r>
    </w:p>
    <w:p w14:paraId="7E125E48">
      <w:pPr>
        <w:kinsoku w:val="0"/>
        <w:wordWrap w:val="0"/>
        <w:topLinePunct/>
        <w:autoSpaceDE w:val="0"/>
        <w:spacing w:line="360" w:lineRule="auto"/>
        <w:ind w:firstLine="512" w:firstLineChars="200"/>
        <w:rPr>
          <w:rFonts w:ascii="宋体" w:hAnsi="宋体" w:cs="宋体"/>
          <w:b/>
          <w:color w:val="auto"/>
          <w:szCs w:val="24"/>
          <w:highlight w:val="none"/>
        </w:rPr>
      </w:pPr>
      <w:r>
        <w:rPr>
          <w:rFonts w:hint="eastAsia" w:ascii="宋体" w:hAnsi="宋体" w:cs="宋体"/>
          <w:color w:val="auto"/>
          <w:spacing w:val="8"/>
          <w:szCs w:val="24"/>
          <w:highlight w:val="none"/>
        </w:rPr>
        <w:t>本合同履行过程中发生争议或纠纷的，由当事人双方协商解决。协商不成时，双方同意向合同签约地人民法院提起诉讼。</w:t>
      </w:r>
    </w:p>
    <w:p w14:paraId="52174C98">
      <w:pPr>
        <w:pStyle w:val="18"/>
        <w:kinsoku w:val="0"/>
        <w:wordWrap w:val="0"/>
        <w:topLinePunct/>
        <w:autoSpaceDE w:val="0"/>
        <w:rPr>
          <w:rFonts w:ascii="宋体" w:hAnsi="宋体" w:cs="宋体"/>
          <w:b/>
          <w:bCs/>
          <w:color w:val="auto"/>
          <w:szCs w:val="24"/>
          <w:highlight w:val="none"/>
        </w:rPr>
      </w:pPr>
      <w:r>
        <w:rPr>
          <w:rFonts w:hint="eastAsia" w:ascii="宋体" w:hAnsi="宋体" w:cs="宋体"/>
          <w:b/>
          <w:bCs/>
          <w:color w:val="auto"/>
          <w:sz w:val="24"/>
          <w:szCs w:val="24"/>
          <w:highlight w:val="none"/>
        </w:rPr>
        <w:t>二十一、其他</w:t>
      </w:r>
    </w:p>
    <w:p w14:paraId="3BB7469E">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1、本合同未尽事宜双方协商解决或另签补充协议，补充协议与本合同具有同等法律效力。</w:t>
      </w:r>
    </w:p>
    <w:p w14:paraId="436E23B8">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2、本合同一式柒份，甲方伍份，乙方贰份，均</w:t>
      </w:r>
      <w:r>
        <w:rPr>
          <w:rFonts w:hint="eastAsia" w:ascii="宋体" w:hAnsi="宋体" w:cs="宋体"/>
          <w:color w:val="auto"/>
          <w:spacing w:val="8"/>
          <w:szCs w:val="24"/>
          <w:highlight w:val="none"/>
          <w:lang w:eastAsia="zh-CN"/>
        </w:rPr>
        <w:t>具有</w:t>
      </w:r>
      <w:r>
        <w:rPr>
          <w:rFonts w:hint="eastAsia" w:ascii="宋体" w:hAnsi="宋体" w:cs="宋体"/>
          <w:color w:val="auto"/>
          <w:spacing w:val="8"/>
          <w:szCs w:val="24"/>
          <w:highlight w:val="none"/>
        </w:rPr>
        <w:t>同等法律效力。</w:t>
      </w:r>
    </w:p>
    <w:p w14:paraId="045C6CBD">
      <w:pPr>
        <w:kinsoku w:val="0"/>
        <w:wordWrap w:val="0"/>
        <w:topLinePunct/>
        <w:autoSpaceDE w:val="0"/>
        <w:spacing w:line="360" w:lineRule="auto"/>
        <w:ind w:firstLine="512" w:firstLineChars="200"/>
        <w:rPr>
          <w:rFonts w:ascii="宋体" w:hAnsi="宋体" w:cs="宋体"/>
          <w:color w:val="auto"/>
          <w:spacing w:val="8"/>
          <w:szCs w:val="24"/>
          <w:highlight w:val="none"/>
        </w:rPr>
      </w:pPr>
      <w:r>
        <w:rPr>
          <w:rFonts w:hint="eastAsia" w:ascii="宋体" w:hAnsi="宋体" w:cs="宋体"/>
          <w:color w:val="auto"/>
          <w:spacing w:val="8"/>
          <w:szCs w:val="24"/>
          <w:highlight w:val="none"/>
        </w:rPr>
        <w:t>3、本合同及其补充协议自双方盖章之日起生效。</w:t>
      </w:r>
    </w:p>
    <w:p w14:paraId="6A55EE04">
      <w:pPr>
        <w:pStyle w:val="18"/>
        <w:kinsoku w:val="0"/>
        <w:wordWrap w:val="0"/>
        <w:topLinePunct/>
        <w:autoSpaceDE w:val="0"/>
        <w:ind w:firstLine="512" w:firstLineChars="200"/>
        <w:rPr>
          <w:rFonts w:ascii="宋体" w:hAnsi="宋体" w:cs="宋体"/>
          <w:color w:val="auto"/>
          <w:sz w:val="24"/>
          <w:szCs w:val="24"/>
          <w:highlight w:val="none"/>
        </w:rPr>
      </w:pPr>
      <w:r>
        <w:rPr>
          <w:rFonts w:hint="eastAsia" w:ascii="宋体" w:hAnsi="宋体" w:cs="宋体"/>
          <w:color w:val="auto"/>
          <w:spacing w:val="8"/>
          <w:sz w:val="24"/>
          <w:szCs w:val="24"/>
          <w:highlight w:val="none"/>
        </w:rPr>
        <w:t xml:space="preserve">4、合同签订地点：洛阳市洛龙区。  </w:t>
      </w:r>
      <w:r>
        <w:rPr>
          <w:rFonts w:hint="eastAsia" w:ascii="宋体" w:hAnsi="宋体" w:cs="宋体"/>
          <w:color w:val="auto"/>
          <w:sz w:val="24"/>
          <w:szCs w:val="24"/>
          <w:highlight w:val="none"/>
        </w:rPr>
        <w:t xml:space="preserve">  </w:t>
      </w:r>
    </w:p>
    <w:p w14:paraId="38C63BC5">
      <w:pPr>
        <w:pStyle w:val="18"/>
        <w:kinsoku w:val="0"/>
        <w:wordWrap w:val="0"/>
        <w:topLinePunct/>
        <w:autoSpaceDE w:val="0"/>
        <w:rPr>
          <w:rFonts w:ascii="宋体" w:hAnsi="宋体" w:cs="宋体"/>
          <w:color w:val="auto"/>
          <w:sz w:val="24"/>
          <w:szCs w:val="24"/>
          <w:highlight w:val="none"/>
        </w:rPr>
      </w:pPr>
      <w:r>
        <w:rPr>
          <w:rFonts w:hint="eastAsia" w:ascii="宋体" w:hAnsi="宋体" w:cs="宋体"/>
          <w:b/>
          <w:bCs/>
          <w:color w:val="auto"/>
          <w:sz w:val="24"/>
          <w:szCs w:val="24"/>
          <w:highlight w:val="none"/>
        </w:rPr>
        <w:t>二十二、合同附件</w:t>
      </w:r>
    </w:p>
    <w:p w14:paraId="6F39306D">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rPr>
        <w:t>1、附件一、廉政合作协议</w:t>
      </w:r>
    </w:p>
    <w:p w14:paraId="693C3CD3">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rPr>
      </w:pPr>
      <w:r>
        <w:rPr>
          <w:rFonts w:hint="eastAsia" w:ascii="宋体" w:hAnsi="宋体" w:eastAsia="宋体" w:cs="宋体"/>
          <w:color w:val="auto"/>
          <w:spacing w:val="8"/>
          <w:szCs w:val="24"/>
          <w:highlight w:val="none"/>
          <w:lang w:val="en-US" w:eastAsia="zh-CN"/>
        </w:rPr>
        <w:t>2、附件二</w:t>
      </w:r>
      <w:r>
        <w:rPr>
          <w:rFonts w:hint="eastAsia" w:ascii="宋体" w:hAnsi="宋体" w:cs="宋体"/>
          <w:color w:val="auto"/>
          <w:spacing w:val="8"/>
          <w:szCs w:val="24"/>
          <w:highlight w:val="none"/>
          <w:lang w:val="en-US" w:eastAsia="zh-CN"/>
        </w:rPr>
        <w:t>、</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val="en-US" w:eastAsia="zh-CN"/>
        </w:rPr>
        <w:t>主要材料品牌表</w:t>
      </w:r>
      <w:r>
        <w:rPr>
          <w:rFonts w:hint="eastAsia" w:ascii="宋体" w:hAnsi="宋体" w:eastAsia="宋体" w:cs="宋体"/>
          <w:color w:val="auto"/>
          <w:spacing w:val="8"/>
          <w:szCs w:val="24"/>
          <w:highlight w:val="none"/>
        </w:rPr>
        <w:t>》</w:t>
      </w:r>
    </w:p>
    <w:p w14:paraId="1CEA2F5E">
      <w:pPr>
        <w:kinsoku w:val="0"/>
        <w:wordWrap w:val="0"/>
        <w:topLinePunct/>
        <w:autoSpaceDE w:val="0"/>
        <w:spacing w:line="360" w:lineRule="auto"/>
        <w:ind w:firstLine="512" w:firstLineChars="200"/>
        <w:rPr>
          <w:rFonts w:hint="eastAsia" w:ascii="宋体" w:hAnsi="宋体" w:eastAsia="宋体" w:cs="宋体"/>
          <w:color w:val="auto"/>
          <w:spacing w:val="8"/>
          <w:szCs w:val="24"/>
          <w:highlight w:val="none"/>
          <w:lang w:val="en-US" w:eastAsia="zh-CN"/>
        </w:rPr>
      </w:pPr>
      <w:r>
        <w:rPr>
          <w:rFonts w:hint="eastAsia" w:ascii="宋体" w:hAnsi="宋体" w:eastAsia="宋体" w:cs="宋体"/>
          <w:color w:val="auto"/>
          <w:spacing w:val="8"/>
          <w:szCs w:val="24"/>
          <w:highlight w:val="none"/>
          <w:lang w:val="en-US" w:eastAsia="zh-CN"/>
        </w:rPr>
        <w:t>3</w:t>
      </w:r>
      <w:r>
        <w:rPr>
          <w:rFonts w:hint="eastAsia" w:ascii="宋体" w:hAnsi="宋体" w:eastAsia="宋体" w:cs="宋体"/>
          <w:color w:val="auto"/>
          <w:spacing w:val="8"/>
          <w:szCs w:val="24"/>
          <w:highlight w:val="none"/>
        </w:rPr>
        <w:t>、附件</w:t>
      </w:r>
      <w:r>
        <w:rPr>
          <w:rFonts w:hint="eastAsia" w:ascii="宋体" w:hAnsi="宋体" w:eastAsia="宋体" w:cs="宋体"/>
          <w:color w:val="auto"/>
          <w:spacing w:val="8"/>
          <w:szCs w:val="24"/>
          <w:highlight w:val="none"/>
          <w:lang w:eastAsia="zh-CN"/>
        </w:rPr>
        <w:t>三</w:t>
      </w:r>
      <w:r>
        <w:rPr>
          <w:rFonts w:hint="eastAsia" w:ascii="宋体" w:hAnsi="宋体" w:eastAsia="宋体" w:cs="宋体"/>
          <w:color w:val="auto"/>
          <w:spacing w:val="8"/>
          <w:szCs w:val="24"/>
          <w:highlight w:val="none"/>
        </w:rPr>
        <w:t>、</w:t>
      </w:r>
      <w:r>
        <w:rPr>
          <w:rFonts w:hint="eastAsia" w:ascii="宋体" w:hAnsi="宋体" w:eastAsia="宋体" w:cs="宋体"/>
          <w:color w:val="auto"/>
          <w:spacing w:val="8"/>
          <w:szCs w:val="24"/>
          <w:highlight w:val="none"/>
          <w:lang w:val="en-US" w:eastAsia="zh-CN"/>
        </w:rPr>
        <w:t>《</w:t>
      </w:r>
      <w:r>
        <w:rPr>
          <w:rFonts w:hint="eastAsia" w:ascii="宋体" w:hAnsi="宋体" w:eastAsia="宋体" w:cs="宋体"/>
          <w:color w:val="auto"/>
          <w:spacing w:val="8"/>
          <w:szCs w:val="24"/>
          <w:highlight w:val="none"/>
          <w:lang w:eastAsia="zh-CN"/>
        </w:rPr>
        <w:t>价格清单</w:t>
      </w:r>
      <w:r>
        <w:rPr>
          <w:rFonts w:hint="eastAsia" w:ascii="宋体" w:hAnsi="宋体" w:eastAsia="宋体" w:cs="宋体"/>
          <w:color w:val="auto"/>
          <w:spacing w:val="8"/>
          <w:szCs w:val="24"/>
          <w:highlight w:val="none"/>
          <w:lang w:val="en-US" w:eastAsia="zh-CN"/>
        </w:rPr>
        <w:t>》</w:t>
      </w:r>
    </w:p>
    <w:p w14:paraId="1F1D2E55">
      <w:pPr>
        <w:pStyle w:val="2"/>
        <w:keepNext w:val="0"/>
        <w:keepLines w:val="0"/>
        <w:pageBreakBefore w:val="0"/>
        <w:widowControl w:val="0"/>
        <w:kinsoku/>
        <w:wordWrap/>
        <w:overflowPunct/>
        <w:topLinePunct w:val="0"/>
        <w:autoSpaceDE/>
        <w:autoSpaceDN/>
        <w:bidi w:val="0"/>
        <w:adjustRightInd w:val="0"/>
        <w:snapToGrid/>
        <w:ind w:firstLine="512" w:firstLineChars="200"/>
        <w:textAlignment w:val="auto"/>
        <w:rPr>
          <w:rFonts w:hint="default" w:ascii="宋体" w:hAnsi="宋体" w:eastAsia="宋体" w:cs="宋体"/>
          <w:b w:val="0"/>
          <w:color w:val="auto"/>
          <w:spacing w:val="8"/>
          <w:kern w:val="2"/>
          <w:position w:val="0"/>
          <w:sz w:val="24"/>
          <w:szCs w:val="24"/>
          <w:highlight w:val="none"/>
          <w:lang w:val="en-US" w:eastAsia="zh-CN" w:bidi="ar-SA"/>
        </w:rPr>
      </w:pPr>
      <w:r>
        <w:rPr>
          <w:rFonts w:hint="eastAsia" w:ascii="宋体" w:hAnsi="宋体" w:eastAsia="宋体" w:cs="宋体"/>
          <w:b w:val="0"/>
          <w:color w:val="auto"/>
          <w:spacing w:val="8"/>
          <w:kern w:val="2"/>
          <w:position w:val="0"/>
          <w:sz w:val="24"/>
          <w:szCs w:val="24"/>
          <w:highlight w:val="none"/>
          <w:lang w:val="en-US" w:eastAsia="zh-CN" w:bidi="ar-SA"/>
        </w:rPr>
        <w:t>4、附件四、《</w:t>
      </w:r>
      <w:r>
        <w:rPr>
          <w:rFonts w:hint="eastAsia" w:hAnsi="宋体" w:cs="宋体"/>
          <w:b w:val="0"/>
          <w:color w:val="auto"/>
          <w:spacing w:val="8"/>
          <w:kern w:val="2"/>
          <w:position w:val="0"/>
          <w:sz w:val="24"/>
          <w:szCs w:val="24"/>
          <w:highlight w:val="none"/>
          <w:lang w:val="en-US" w:eastAsia="zh-CN" w:bidi="ar-SA"/>
        </w:rPr>
        <w:t>答疑回复</w:t>
      </w:r>
      <w:r>
        <w:rPr>
          <w:rFonts w:hint="eastAsia" w:ascii="宋体" w:hAnsi="宋体" w:eastAsia="宋体" w:cs="宋体"/>
          <w:b w:val="0"/>
          <w:color w:val="auto"/>
          <w:spacing w:val="8"/>
          <w:kern w:val="2"/>
          <w:position w:val="0"/>
          <w:sz w:val="24"/>
          <w:szCs w:val="24"/>
          <w:highlight w:val="none"/>
          <w:lang w:val="en-US" w:eastAsia="zh-CN" w:bidi="ar-SA"/>
        </w:rPr>
        <w:t>》</w:t>
      </w:r>
    </w:p>
    <w:p w14:paraId="0F73D0D7">
      <w:pPr>
        <w:pStyle w:val="18"/>
        <w:rPr>
          <w:rFonts w:hint="eastAsia"/>
        </w:rPr>
      </w:pPr>
    </w:p>
    <w:p w14:paraId="3F4E0526">
      <w:pPr>
        <w:kinsoku w:val="0"/>
        <w:wordWrap w:val="0"/>
        <w:topLinePunct/>
        <w:autoSpaceDE w:val="0"/>
        <w:spacing w:line="360" w:lineRule="auto"/>
        <w:ind w:firstLine="480" w:firstLineChars="200"/>
        <w:rPr>
          <w:rFonts w:hint="eastAsia" w:ascii="宋体" w:hAnsi="宋体" w:eastAsia="宋体" w:cs="宋体"/>
          <w:bCs/>
          <w:color w:val="auto"/>
          <w:szCs w:val="24"/>
          <w:highlight w:val="none"/>
          <w:lang w:eastAsia="zh-CN"/>
        </w:rPr>
      </w:pPr>
      <w:r>
        <w:rPr>
          <w:rFonts w:hint="eastAsia" w:ascii="宋体" w:hAnsi="宋体" w:cs="宋体"/>
          <w:bCs/>
          <w:color w:val="auto"/>
          <w:szCs w:val="24"/>
          <w:highlight w:val="none"/>
          <w:lang w:eastAsia="zh-CN"/>
        </w:rPr>
        <w:t>（以下无正文）</w:t>
      </w:r>
    </w:p>
    <w:p w14:paraId="1B43C140">
      <w:pPr>
        <w:keepNext w:val="0"/>
        <w:keepLines w:val="0"/>
        <w:pageBreakBefore w:val="0"/>
        <w:kinsoku/>
        <w:wordWrap/>
        <w:overflowPunct/>
        <w:topLinePunct w:val="0"/>
        <w:autoSpaceDE/>
        <w:autoSpaceDN/>
        <w:bidi w:val="0"/>
        <w:adjustRightInd/>
        <w:snapToGrid/>
        <w:spacing w:line="360" w:lineRule="auto"/>
        <w:ind w:left="5880" w:hanging="6720" w:hangingChars="2800"/>
        <w:jc w:val="left"/>
        <w:textAlignment w:val="auto"/>
        <w:rPr>
          <w:rFonts w:ascii="宋体" w:hAnsi="宋体"/>
          <w:bCs/>
          <w:sz w:val="24"/>
          <w:szCs w:val="24"/>
        </w:rPr>
      </w:pPr>
      <w:r>
        <w:rPr>
          <w:rFonts w:hint="eastAsia" w:ascii="宋体" w:hAnsi="宋体"/>
          <w:sz w:val="24"/>
          <w:szCs w:val="24"/>
        </w:rPr>
        <w:t xml:space="preserve">甲 方（盖章）：洛阳浩德浩康置业有限公司 </w:t>
      </w:r>
      <w:r>
        <w:rPr>
          <w:rFonts w:ascii="宋体" w:hAnsi="宋体"/>
          <w:sz w:val="24"/>
          <w:szCs w:val="24"/>
        </w:rPr>
        <w:t xml:space="preserve">      </w:t>
      </w:r>
      <w:r>
        <w:rPr>
          <w:rFonts w:hint="eastAsia" w:ascii="宋体" w:hAnsi="宋体"/>
          <w:sz w:val="24"/>
          <w:szCs w:val="24"/>
        </w:rPr>
        <w:t xml:space="preserve"> 乙 方（盖章）：</w:t>
      </w:r>
      <w:r>
        <w:rPr>
          <w:rFonts w:hint="eastAsia" w:ascii="宋体" w:hAnsi="宋体"/>
          <w:sz w:val="24"/>
          <w:szCs w:val="24"/>
          <w:lang w:val="en-US" w:eastAsia="zh-CN"/>
        </w:rPr>
        <w:t>河南瑞卿实业有限公司</w:t>
      </w:r>
    </w:p>
    <w:p w14:paraId="4B78529F">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sz w:val="24"/>
          <w:szCs w:val="24"/>
        </w:rPr>
      </w:pPr>
      <w:r>
        <w:rPr>
          <w:rFonts w:hint="eastAsia" w:ascii="宋体" w:hAnsi="宋体"/>
          <w:sz w:val="24"/>
          <w:szCs w:val="24"/>
        </w:rPr>
        <w:t>法 人 代 表</w:t>
      </w:r>
      <w:r>
        <w:rPr>
          <w:rFonts w:ascii="宋体" w:hAnsi="宋体"/>
          <w:sz w:val="24"/>
          <w:szCs w:val="24"/>
        </w:rPr>
        <w:tab/>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法 人 代 表</w:t>
      </w:r>
    </w:p>
    <w:p w14:paraId="756D129C">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sz w:val="24"/>
          <w:szCs w:val="24"/>
        </w:rPr>
      </w:pPr>
      <w:r>
        <w:rPr>
          <w:rFonts w:hint="eastAsia" w:ascii="宋体" w:hAnsi="宋体"/>
          <w:sz w:val="24"/>
          <w:szCs w:val="24"/>
        </w:rPr>
        <w:t xml:space="preserve">或授权委托人：                        </w:t>
      </w:r>
      <w:r>
        <w:rPr>
          <w:rFonts w:ascii="宋体" w:hAnsi="宋体"/>
          <w:sz w:val="24"/>
          <w:szCs w:val="24"/>
        </w:rPr>
        <w:t xml:space="preserve">         </w:t>
      </w:r>
      <w:r>
        <w:rPr>
          <w:rFonts w:hint="eastAsia" w:ascii="宋体" w:hAnsi="宋体"/>
          <w:sz w:val="24"/>
          <w:szCs w:val="24"/>
        </w:rPr>
        <w:t>或授权委托人：</w:t>
      </w:r>
    </w:p>
    <w:p w14:paraId="1F38DDA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sz w:val="24"/>
          <w:szCs w:val="24"/>
        </w:rPr>
      </w:pPr>
      <w:r>
        <w:rPr>
          <w:rFonts w:hint="eastAsia" w:ascii="宋体" w:hAnsi="宋体"/>
          <w:sz w:val="24"/>
          <w:szCs w:val="24"/>
        </w:rPr>
        <w:t xml:space="preserve">税号：91410328MA9K9J8A5F              </w:t>
      </w:r>
      <w:r>
        <w:rPr>
          <w:rFonts w:ascii="宋体" w:hAnsi="宋体"/>
          <w:sz w:val="24"/>
          <w:szCs w:val="24"/>
        </w:rPr>
        <w:t xml:space="preserve">         </w:t>
      </w:r>
      <w:r>
        <w:rPr>
          <w:rFonts w:hint="eastAsia" w:ascii="宋体" w:hAnsi="宋体"/>
          <w:sz w:val="24"/>
          <w:szCs w:val="24"/>
        </w:rPr>
        <w:t>税号：</w:t>
      </w:r>
      <w:r>
        <w:rPr>
          <w:rFonts w:hint="eastAsia" w:ascii="宋体" w:hAnsi="宋体" w:eastAsia="宋体" w:cs="宋体"/>
          <w:color w:val="000000"/>
          <w:kern w:val="0"/>
          <w:sz w:val="24"/>
          <w:szCs w:val="24"/>
          <w:lang w:val="en-US" w:eastAsia="zh-CN" w:bidi="ar"/>
        </w:rPr>
        <w:t>91410105MA40M42C6M</w:t>
      </w:r>
    </w:p>
    <w:p w14:paraId="05AE541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sz w:val="24"/>
          <w:szCs w:val="24"/>
        </w:rPr>
      </w:pPr>
      <w:r>
        <w:rPr>
          <w:rFonts w:hint="eastAsia" w:ascii="宋体" w:hAnsi="宋体"/>
          <w:sz w:val="24"/>
          <w:szCs w:val="24"/>
        </w:rPr>
        <w:t>账户：16123101040009795</w:t>
      </w:r>
      <w:r>
        <w:rPr>
          <w:rFonts w:hint="eastAsia" w:ascii="宋体" w:hAnsi="宋体"/>
          <w:sz w:val="24"/>
          <w:szCs w:val="24"/>
        </w:rPr>
        <w:tab/>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 xml:space="preserve"> </w:t>
      </w:r>
      <w:r>
        <w:rPr>
          <w:rFonts w:ascii="宋体" w:hAnsi="宋体"/>
          <w:sz w:val="24"/>
          <w:szCs w:val="24"/>
        </w:rPr>
        <w:t xml:space="preserve">        </w:t>
      </w:r>
      <w:r>
        <w:rPr>
          <w:rFonts w:hint="eastAsia" w:ascii="宋体" w:hAnsi="宋体"/>
          <w:sz w:val="24"/>
          <w:szCs w:val="24"/>
        </w:rPr>
        <w:t>账户：</w:t>
      </w:r>
      <w:r>
        <w:rPr>
          <w:rFonts w:hint="eastAsia" w:ascii="宋体" w:hAnsi="宋体" w:eastAsia="宋体" w:cs="宋体"/>
          <w:color w:val="000000"/>
          <w:kern w:val="0"/>
          <w:sz w:val="24"/>
          <w:szCs w:val="24"/>
          <w:lang w:val="en-US" w:eastAsia="zh-CN" w:bidi="ar"/>
        </w:rPr>
        <w:t>41050167840800000113</w:t>
      </w:r>
    </w:p>
    <w:p w14:paraId="3B8A157E">
      <w:pPr>
        <w:keepNext w:val="0"/>
        <w:keepLines w:val="0"/>
        <w:pageBreakBefore w:val="0"/>
        <w:kinsoku/>
        <w:wordWrap/>
        <w:overflowPunct/>
        <w:topLinePunct w:val="0"/>
        <w:autoSpaceDE/>
        <w:autoSpaceDN/>
        <w:bidi w:val="0"/>
        <w:adjustRightInd/>
        <w:snapToGrid/>
        <w:spacing w:line="360" w:lineRule="auto"/>
        <w:ind w:left="5880" w:hanging="6720" w:hangingChars="2800"/>
        <w:jc w:val="left"/>
        <w:textAlignment w:val="auto"/>
        <w:rPr>
          <w:rFonts w:hint="eastAsia" w:ascii="宋体" w:hAnsi="宋体"/>
          <w:sz w:val="24"/>
          <w:szCs w:val="24"/>
        </w:rPr>
      </w:pPr>
      <w:r>
        <w:rPr>
          <w:rFonts w:hint="eastAsia" w:ascii="宋体" w:hAnsi="宋体"/>
          <w:sz w:val="24"/>
          <w:szCs w:val="24"/>
        </w:rPr>
        <w:t xml:space="preserve">开户行：中国农业银行股份有限公司     </w:t>
      </w:r>
      <w:r>
        <w:rPr>
          <w:rFonts w:hint="eastAsia" w:ascii="宋体" w:hAnsi="宋体"/>
          <w:sz w:val="24"/>
          <w:szCs w:val="24"/>
          <w:lang w:val="en-US" w:eastAsia="zh-CN"/>
        </w:rPr>
        <w:t xml:space="preserve">          </w:t>
      </w:r>
      <w:r>
        <w:rPr>
          <w:rFonts w:hint="eastAsia" w:ascii="宋体" w:hAnsi="宋体"/>
          <w:sz w:val="24"/>
          <w:szCs w:val="24"/>
        </w:rPr>
        <w:t>开户行：</w:t>
      </w:r>
      <w:r>
        <w:rPr>
          <w:rFonts w:hint="eastAsia" w:ascii="宋体" w:hAnsi="宋体"/>
          <w:sz w:val="24"/>
          <w:szCs w:val="24"/>
          <w:lang w:val="en-US" w:eastAsia="zh-CN"/>
        </w:rPr>
        <w:t>中国建设银行股份</w:t>
      </w:r>
    </w:p>
    <w:p w14:paraId="595CE31B">
      <w:pPr>
        <w:keepNext w:val="0"/>
        <w:keepLines w:val="0"/>
        <w:pageBreakBefore w:val="0"/>
        <w:kinsoku/>
        <w:wordWrap/>
        <w:overflowPunct/>
        <w:topLinePunct w:val="0"/>
        <w:autoSpaceDE/>
        <w:autoSpaceDN/>
        <w:bidi w:val="0"/>
        <w:adjustRightInd/>
        <w:snapToGrid/>
        <w:spacing w:line="360" w:lineRule="auto"/>
        <w:ind w:left="5880" w:hanging="6720" w:hangingChars="2800"/>
        <w:jc w:val="left"/>
        <w:textAlignment w:val="auto"/>
        <w:rPr>
          <w:rFonts w:hint="default" w:ascii="宋体" w:hAnsi="宋体"/>
          <w:sz w:val="24"/>
          <w:szCs w:val="24"/>
          <w:lang w:val="en-US" w:eastAsia="zh-CN"/>
        </w:rPr>
      </w:pPr>
      <w:r>
        <w:rPr>
          <w:rFonts w:hint="eastAsia" w:ascii="宋体" w:hAnsi="宋体"/>
          <w:sz w:val="24"/>
          <w:szCs w:val="24"/>
        </w:rPr>
        <w:t>洛宁县支行</w:t>
      </w:r>
      <w:r>
        <w:rPr>
          <w:rFonts w:hint="eastAsia" w:ascii="宋体" w:hAnsi="宋体"/>
          <w:sz w:val="24"/>
          <w:szCs w:val="24"/>
          <w:lang w:val="en-US" w:eastAsia="zh-CN"/>
        </w:rPr>
        <w:t xml:space="preserve">                                         有限公司郑州花园路支行</w:t>
      </w:r>
    </w:p>
    <w:p w14:paraId="7AA842B4">
      <w:pPr>
        <w:keepNext w:val="0"/>
        <w:keepLines w:val="0"/>
        <w:pageBreakBefore w:val="0"/>
        <w:tabs>
          <w:tab w:val="left" w:pos="4465"/>
        </w:tabs>
        <w:kinsoku/>
        <w:wordWrap/>
        <w:overflowPunct/>
        <w:topLinePunct w:val="0"/>
        <w:autoSpaceDE/>
        <w:autoSpaceDN/>
        <w:bidi w:val="0"/>
        <w:adjustRightInd/>
        <w:snapToGrid/>
        <w:spacing w:line="360" w:lineRule="auto"/>
        <w:textAlignment w:val="auto"/>
        <w:rPr>
          <w:rFonts w:hint="eastAsia" w:ascii="宋体" w:hAnsi="宋体" w:cs="宋体"/>
          <w:b/>
          <w:color w:val="auto"/>
          <w:szCs w:val="24"/>
          <w:highlight w:val="none"/>
        </w:rPr>
      </w:pPr>
      <w:r>
        <w:rPr>
          <w:rFonts w:hint="eastAsia" w:ascii="宋体" w:hAnsi="宋体"/>
          <w:sz w:val="24"/>
          <w:szCs w:val="24"/>
        </w:rPr>
        <w:t>日期：</w:t>
      </w:r>
      <w:r>
        <w:rPr>
          <w:rFonts w:hint="eastAsia" w:ascii="宋体" w:hAnsi="宋体"/>
          <w:sz w:val="24"/>
          <w:szCs w:val="24"/>
          <w:u w:val="single"/>
        </w:rPr>
        <w:t xml:space="preserve">  20</w:t>
      </w:r>
      <w:r>
        <w:rPr>
          <w:rFonts w:ascii="宋体" w:hAnsi="宋体"/>
          <w:sz w:val="24"/>
          <w:szCs w:val="24"/>
          <w:u w:val="single"/>
        </w:rPr>
        <w:t>2</w:t>
      </w:r>
      <w:r>
        <w:rPr>
          <w:rFonts w:hint="eastAsia" w:ascii="宋体" w:hAnsi="宋体"/>
          <w:sz w:val="24"/>
          <w:szCs w:val="24"/>
          <w:u w:val="single"/>
          <w:lang w:val="en-US" w:eastAsia="zh-CN"/>
        </w:rPr>
        <w:t>4</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 xml:space="preserve">日                </w:t>
      </w:r>
      <w:r>
        <w:rPr>
          <w:rFonts w:ascii="宋体" w:hAnsi="宋体"/>
          <w:sz w:val="24"/>
          <w:szCs w:val="24"/>
        </w:rPr>
        <w:t xml:space="preserve">      </w:t>
      </w:r>
      <w:r>
        <w:rPr>
          <w:rFonts w:hint="eastAsia" w:ascii="宋体" w:hAnsi="宋体"/>
          <w:sz w:val="24"/>
          <w:szCs w:val="24"/>
        </w:rPr>
        <w:t>日期：</w:t>
      </w:r>
      <w:r>
        <w:rPr>
          <w:rFonts w:hint="eastAsia" w:ascii="宋体" w:hAnsi="宋体"/>
          <w:sz w:val="24"/>
          <w:szCs w:val="24"/>
          <w:u w:val="single"/>
        </w:rPr>
        <w:t xml:space="preserve">  20</w:t>
      </w:r>
      <w:r>
        <w:rPr>
          <w:rFonts w:ascii="宋体" w:hAnsi="宋体"/>
          <w:sz w:val="24"/>
          <w:szCs w:val="24"/>
          <w:u w:val="single"/>
        </w:rPr>
        <w:t>2</w:t>
      </w:r>
      <w:r>
        <w:rPr>
          <w:rFonts w:hint="eastAsia" w:ascii="宋体" w:hAnsi="宋体"/>
          <w:sz w:val="24"/>
          <w:szCs w:val="24"/>
          <w:u w:val="single"/>
          <w:lang w:val="en-US" w:eastAsia="zh-CN"/>
        </w:rPr>
        <w:t>4</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ascii="宋体" w:hAnsi="宋体"/>
          <w:sz w:val="24"/>
          <w:szCs w:val="24"/>
          <w:u w:val="single"/>
        </w:rPr>
        <w:t xml:space="preserve">  </w:t>
      </w:r>
      <w:r>
        <w:rPr>
          <w:rFonts w:hint="eastAsia" w:ascii="宋体" w:hAnsi="宋体"/>
          <w:sz w:val="24"/>
          <w:szCs w:val="24"/>
        </w:rPr>
        <w:t xml:space="preserve">日  </w:t>
      </w:r>
    </w:p>
    <w:p w14:paraId="320F7FD2">
      <w:pPr>
        <w:tabs>
          <w:tab w:val="left" w:pos="4465"/>
        </w:tabs>
        <w:spacing w:line="360" w:lineRule="auto"/>
        <w:rPr>
          <w:rFonts w:hint="eastAsia" w:ascii="宋体" w:hAnsi="宋体" w:cs="宋体"/>
          <w:b/>
          <w:color w:val="auto"/>
          <w:szCs w:val="24"/>
          <w:highlight w:val="none"/>
        </w:rPr>
      </w:pPr>
    </w:p>
    <w:p w14:paraId="1BF102AD">
      <w:pPr>
        <w:tabs>
          <w:tab w:val="left" w:pos="4465"/>
        </w:tabs>
        <w:spacing w:line="360" w:lineRule="auto"/>
        <w:rPr>
          <w:rFonts w:hint="eastAsia" w:ascii="宋体" w:hAnsi="宋体" w:cs="宋体"/>
          <w:b/>
          <w:color w:val="auto"/>
          <w:szCs w:val="24"/>
          <w:highlight w:val="none"/>
        </w:rPr>
      </w:pPr>
    </w:p>
    <w:p w14:paraId="1ECE710C">
      <w:pPr>
        <w:tabs>
          <w:tab w:val="left" w:pos="4465"/>
        </w:tabs>
        <w:spacing w:line="360" w:lineRule="auto"/>
        <w:rPr>
          <w:rFonts w:hint="eastAsia" w:ascii="宋体" w:hAnsi="宋体" w:cs="宋体"/>
          <w:b/>
          <w:color w:val="auto"/>
          <w:szCs w:val="24"/>
          <w:highlight w:val="none"/>
        </w:rPr>
      </w:pPr>
    </w:p>
    <w:p w14:paraId="504F6BDE">
      <w:pPr>
        <w:tabs>
          <w:tab w:val="left" w:pos="4465"/>
        </w:tabs>
        <w:spacing w:line="360" w:lineRule="auto"/>
        <w:rPr>
          <w:rFonts w:hint="eastAsia" w:ascii="宋体" w:hAnsi="宋体" w:cs="宋体"/>
          <w:b/>
          <w:color w:val="auto"/>
          <w:szCs w:val="24"/>
          <w:highlight w:val="none"/>
        </w:rPr>
      </w:pPr>
    </w:p>
    <w:p w14:paraId="13C7D7F0">
      <w:pPr>
        <w:tabs>
          <w:tab w:val="left" w:pos="4465"/>
        </w:tabs>
        <w:spacing w:line="360" w:lineRule="auto"/>
        <w:rPr>
          <w:rFonts w:hint="eastAsia" w:ascii="宋体" w:hAnsi="宋体" w:cs="宋体"/>
          <w:b/>
          <w:color w:val="auto"/>
          <w:szCs w:val="24"/>
          <w:highlight w:val="none"/>
        </w:rPr>
      </w:pPr>
    </w:p>
    <w:p w14:paraId="635640CB">
      <w:pPr>
        <w:pStyle w:val="2"/>
        <w:rPr>
          <w:rFonts w:hint="eastAsia" w:ascii="宋体" w:hAnsi="宋体" w:cs="宋体"/>
          <w:b/>
          <w:color w:val="auto"/>
          <w:szCs w:val="24"/>
          <w:highlight w:val="none"/>
        </w:rPr>
      </w:pPr>
    </w:p>
    <w:p w14:paraId="159840B3">
      <w:pPr>
        <w:tabs>
          <w:tab w:val="left" w:pos="4465"/>
        </w:tabs>
        <w:spacing w:line="360" w:lineRule="auto"/>
        <w:rPr>
          <w:rFonts w:ascii="宋体" w:hAnsi="宋体" w:cs="宋体"/>
          <w:b/>
          <w:color w:val="auto"/>
          <w:szCs w:val="24"/>
          <w:highlight w:val="none"/>
        </w:rPr>
      </w:pPr>
      <w:r>
        <w:rPr>
          <w:rFonts w:hint="eastAsia" w:ascii="宋体" w:hAnsi="宋体" w:cs="宋体"/>
          <w:b/>
          <w:color w:val="auto"/>
          <w:szCs w:val="24"/>
          <w:highlight w:val="none"/>
        </w:rPr>
        <w:t>附件一、廉政合作协议</w:t>
      </w:r>
    </w:p>
    <w:p w14:paraId="39416D45">
      <w:pPr>
        <w:spacing w:line="360" w:lineRule="auto"/>
        <w:ind w:firstLine="292" w:firstLineChars="91"/>
        <w:jc w:val="center"/>
        <w:rPr>
          <w:rFonts w:ascii="宋体" w:hAnsi="宋体"/>
          <w:b/>
          <w:bCs/>
          <w:color w:val="auto"/>
          <w:sz w:val="32"/>
          <w:szCs w:val="32"/>
          <w:highlight w:val="none"/>
          <w:lang w:val="zh-CN"/>
        </w:rPr>
      </w:pPr>
      <w:r>
        <w:rPr>
          <w:rFonts w:hint="eastAsia" w:ascii="宋体" w:hAnsi="宋体"/>
          <w:b/>
          <w:bCs/>
          <w:color w:val="auto"/>
          <w:sz w:val="32"/>
          <w:szCs w:val="32"/>
          <w:highlight w:val="none"/>
          <w:lang w:val="zh-CN"/>
        </w:rPr>
        <w:t>廉政合作协议</w:t>
      </w:r>
    </w:p>
    <w:p w14:paraId="3FB15773">
      <w:pPr>
        <w:spacing w:line="360" w:lineRule="auto"/>
        <w:rPr>
          <w:rFonts w:hint="eastAsia" w:ascii="宋体" w:hAnsi="宋体" w:eastAsia="宋体"/>
          <w:b/>
          <w:color w:val="auto"/>
          <w:szCs w:val="24"/>
          <w:highlight w:val="none"/>
          <w:lang w:eastAsia="zh-CN"/>
        </w:rPr>
      </w:pPr>
      <w:r>
        <w:rPr>
          <w:rFonts w:hint="eastAsia" w:ascii="宋体" w:hAnsi="宋体"/>
          <w:b/>
          <w:color w:val="auto"/>
          <w:szCs w:val="24"/>
          <w:highlight w:val="none"/>
        </w:rPr>
        <w:t>甲方：洛阳浩德浩康置业有限公司</w:t>
      </w:r>
    </w:p>
    <w:p w14:paraId="564DF04B">
      <w:pPr>
        <w:spacing w:line="360" w:lineRule="auto"/>
        <w:ind w:left="5880" w:hanging="6746" w:hangingChars="2800"/>
        <w:jc w:val="left"/>
        <w:rPr>
          <w:rFonts w:hint="eastAsia" w:ascii="宋体" w:hAnsi="宋体"/>
          <w:b/>
          <w:color w:val="auto"/>
          <w:szCs w:val="24"/>
          <w:highlight w:val="none"/>
        </w:rPr>
      </w:pPr>
      <w:r>
        <w:rPr>
          <w:rFonts w:hint="eastAsia" w:ascii="宋体" w:hAnsi="宋体"/>
          <w:b/>
          <w:color w:val="auto"/>
          <w:szCs w:val="24"/>
          <w:highlight w:val="none"/>
        </w:rPr>
        <w:t>乙方：</w:t>
      </w:r>
      <w:r>
        <w:rPr>
          <w:rFonts w:hint="eastAsia" w:ascii="宋体" w:hAnsi="宋体"/>
          <w:b/>
          <w:color w:val="auto"/>
          <w:szCs w:val="24"/>
          <w:highlight w:val="none"/>
          <w:lang w:val="en-US" w:eastAsia="zh-CN"/>
        </w:rPr>
        <w:t>河南瑞卿实业有限公司</w:t>
      </w:r>
    </w:p>
    <w:p w14:paraId="15EFDD63">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为加强工程项目建设期间的廉政管理，确保项目高效优质按期竣工，甲、乙双方经协商签订本协议并作为双方共同遵守的廉政行为准则。</w:t>
      </w:r>
    </w:p>
    <w:p w14:paraId="409E48DD">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一．甲方责任</w:t>
      </w:r>
    </w:p>
    <w:p w14:paraId="14335413">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1．甲方有责任向乙方介绍本单位有关廉政管理的各项制度和规定。</w:t>
      </w:r>
    </w:p>
    <w:p w14:paraId="242DC9A0">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2．甲方有责任对本单位项目管理人员进行廉政教育。</w:t>
      </w:r>
    </w:p>
    <w:p w14:paraId="1EF75D87">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3．甲方人员应严格遵守本单位有关廉政管理的规定，不得接受乙方的宴请，不得接受任何形式的实物、现金或礼券。</w:t>
      </w:r>
    </w:p>
    <w:p w14:paraId="4EF34533">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4．甲方在项目建设期间发现甲方人员任何形式的索贿受贿行为，均应及时采取措施予以制止，并及时通报乙方单位领导。</w:t>
      </w:r>
    </w:p>
    <w:p w14:paraId="783F34D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5．甲方人员如违反廉政管理制度及本协议规定，甲方应视情节轻重、影响大小给予处罚。</w:t>
      </w:r>
    </w:p>
    <w:p w14:paraId="15721DED">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6．对于乙方举报甲方人员违反廉政规定的情况，甲方应及时进行调查，根据调查情况进行处理。</w:t>
      </w:r>
    </w:p>
    <w:p w14:paraId="0E968877">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二．乙方责任</w:t>
      </w:r>
    </w:p>
    <w:p w14:paraId="52026F4D">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1．乙方应保证乙方有关人员了解甲方有关廉政管理的各项制度及本协议的规定，并遵照执行。</w:t>
      </w:r>
    </w:p>
    <w:p w14:paraId="6F59E096">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2．乙方不得宴请甲方人员，不得以任何形式赠送实物、现金或礼券。</w:t>
      </w:r>
    </w:p>
    <w:p w14:paraId="08B4ECD4">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3．乙方在项目建设期间发现乙方人员任何向甲方人员行贿行为，均应及时采取措施予以制止，并及时通报甲方单位领导。</w:t>
      </w:r>
    </w:p>
    <w:p w14:paraId="4F7341C0">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4．乙方有责任接受甲方对乙方在项目建设期间廉政管理执行情况的监督。</w:t>
      </w:r>
    </w:p>
    <w:p w14:paraId="1BD548C8">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14:paraId="202439EF">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6．如因乙方或其人员在项目建设期间贿赂甲方人员，被检察机关立案查处的，甲方有权终止合同履行或解除合同，由此给甲方造成的损失，均由乙方负责赔偿。</w:t>
      </w:r>
    </w:p>
    <w:p w14:paraId="1BBB28FF">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 xml:space="preserve"> 三、为维护甲乙双方的合法利益，营造良好的商务环境，甲方建立多种举报渠道（如下）。甲方</w:t>
      </w:r>
      <w:r>
        <w:rPr>
          <w:rFonts w:hint="eastAsia" w:ascii="宋体" w:hAnsi="宋体" w:cs="宋体"/>
          <w:b/>
          <w:color w:val="auto"/>
          <w:szCs w:val="28"/>
          <w:highlight w:val="none"/>
          <w:lang w:val="en-US" w:eastAsia="zh-CN"/>
        </w:rPr>
        <w:t>审计监察</w:t>
      </w:r>
      <w:r>
        <w:rPr>
          <w:rFonts w:hint="eastAsia" w:ascii="宋体" w:hAnsi="宋体" w:cs="宋体"/>
          <w:b/>
          <w:color w:val="auto"/>
          <w:szCs w:val="28"/>
          <w:highlight w:val="none"/>
        </w:rPr>
        <w:t>部人员将恪守职业道德，严格履行保密义务！</w:t>
      </w:r>
    </w:p>
    <w:p w14:paraId="7AF55348">
      <w:pPr>
        <w:spacing w:line="360" w:lineRule="auto"/>
        <w:ind w:firstLine="480" w:firstLineChars="200"/>
        <w:rPr>
          <w:rFonts w:ascii="宋体" w:hAnsi="宋体" w:cs="宋体"/>
          <w:bCs/>
          <w:color w:val="auto"/>
          <w:szCs w:val="28"/>
          <w:highlight w:val="none"/>
        </w:rPr>
      </w:pPr>
      <w:r>
        <w:rPr>
          <w:rFonts w:hint="eastAsia" w:ascii="宋体" w:hAnsi="宋体" w:cs="宋体"/>
          <w:bCs/>
          <w:color w:val="auto"/>
          <w:szCs w:val="28"/>
          <w:highlight w:val="none"/>
        </w:rPr>
        <w:t>（1）微信小程序举报（扫描右侧二维码进入程序，举报信息直达</w:t>
      </w:r>
      <w:r>
        <w:rPr>
          <w:rFonts w:hint="eastAsia" w:ascii="宋体" w:hAnsi="宋体" w:cs="宋体"/>
          <w:bCs/>
          <w:color w:val="auto"/>
          <w:szCs w:val="28"/>
          <w:highlight w:val="none"/>
          <w:lang w:val="en-US" w:eastAsia="zh-CN"/>
        </w:rPr>
        <w:t>集团</w:t>
      </w:r>
      <w:r>
        <w:rPr>
          <w:rFonts w:hint="eastAsia" w:ascii="宋体" w:hAnsi="宋体" w:cs="宋体"/>
          <w:bCs/>
          <w:color w:val="auto"/>
          <w:szCs w:val="28"/>
          <w:highlight w:val="none"/>
        </w:rPr>
        <w:t>董事长）；</w:t>
      </w:r>
    </w:p>
    <w:p w14:paraId="5487D0B0">
      <w:pPr>
        <w:spacing w:line="360" w:lineRule="auto"/>
        <w:ind w:firstLine="480" w:firstLineChars="200"/>
        <w:rPr>
          <w:rFonts w:ascii="宋体" w:hAnsi="宋体" w:cs="宋体"/>
          <w:color w:val="auto"/>
          <w:szCs w:val="28"/>
          <w:highlight w:val="none"/>
        </w:rPr>
      </w:pPr>
      <w:r>
        <w:rPr>
          <w:color w:val="auto"/>
          <w:highlight w:val="none"/>
        </w:rPr>
        <w:drawing>
          <wp:anchor distT="0" distB="0" distL="114300" distR="114300" simplePos="0" relativeHeight="251659264" behindDoc="0" locked="0" layoutInCell="1" allowOverlap="1">
            <wp:simplePos x="0" y="0"/>
            <wp:positionH relativeFrom="column">
              <wp:posOffset>4453255</wp:posOffset>
            </wp:positionH>
            <wp:positionV relativeFrom="paragraph">
              <wp:posOffset>221615</wp:posOffset>
            </wp:positionV>
            <wp:extent cx="935990" cy="935990"/>
            <wp:effectExtent l="0" t="0" r="16510" b="16510"/>
            <wp:wrapNone/>
            <wp:docPr id="5" name="图片 5"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32dc313b898daf07a491037a11ba2c8"/>
                    <pic:cNvPicPr>
                      <a:picLocks noChangeAspect="1"/>
                    </pic:cNvPicPr>
                  </pic:nvPicPr>
                  <pic:blipFill>
                    <a:blip r:embed="rId6"/>
                    <a:stretch>
                      <a:fillRect/>
                    </a:stretch>
                  </pic:blipFill>
                  <pic:spPr>
                    <a:xfrm>
                      <a:off x="0" y="0"/>
                      <a:ext cx="935990" cy="935990"/>
                    </a:xfrm>
                    <a:prstGeom prst="rect">
                      <a:avLst/>
                    </a:prstGeom>
                    <a:noFill/>
                    <a:ln>
                      <a:noFill/>
                    </a:ln>
                  </pic:spPr>
                </pic:pic>
              </a:graphicData>
            </a:graphic>
          </wp:anchor>
        </w:drawing>
      </w:r>
      <w:r>
        <w:rPr>
          <w:rFonts w:hint="eastAsia" w:ascii="宋体" w:hAnsi="宋体" w:cs="宋体"/>
          <w:color w:val="auto"/>
          <w:szCs w:val="28"/>
          <w:highlight w:val="none"/>
        </w:rPr>
        <w:t>（2）邮箱：shenji@chinahonden.com</w:t>
      </w:r>
    </w:p>
    <w:p w14:paraId="3B6F6230">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（3）电话：风控</w:t>
      </w:r>
      <w:r>
        <w:rPr>
          <w:rFonts w:hint="eastAsia" w:ascii="宋体" w:hAnsi="宋体" w:cs="宋体"/>
          <w:color w:val="auto"/>
          <w:szCs w:val="28"/>
          <w:highlight w:val="none"/>
          <w:lang w:val="en-US" w:eastAsia="zh-CN"/>
        </w:rPr>
        <w:t>总监毛政辉</w:t>
      </w:r>
      <w:r>
        <w:rPr>
          <w:rFonts w:hint="eastAsia" w:ascii="宋体" w:hAnsi="宋体" w:cs="宋体"/>
          <w:color w:val="auto"/>
          <w:szCs w:val="28"/>
          <w:highlight w:val="none"/>
        </w:rPr>
        <w:t>：13693798532</w:t>
      </w:r>
    </w:p>
    <w:p w14:paraId="552A698F">
      <w:pPr>
        <w:spacing w:line="360" w:lineRule="auto"/>
        <w:ind w:firstLine="480" w:firstLineChars="200"/>
        <w:rPr>
          <w:rFonts w:hint="eastAsia" w:ascii="宋体" w:hAnsi="宋体" w:cs="宋体"/>
          <w:color w:val="auto"/>
          <w:szCs w:val="28"/>
          <w:highlight w:val="none"/>
        </w:rPr>
      </w:pPr>
      <w:r>
        <w:rPr>
          <w:rFonts w:hint="eastAsia" w:ascii="宋体" w:hAnsi="宋体" w:cs="宋体"/>
          <w:color w:val="auto"/>
          <w:szCs w:val="28"/>
          <w:highlight w:val="none"/>
        </w:rPr>
        <w:t>（4）电话：审计监察副总监</w:t>
      </w:r>
      <w:r>
        <w:rPr>
          <w:rFonts w:hint="eastAsia" w:ascii="宋体" w:hAnsi="宋体" w:cs="宋体"/>
          <w:color w:val="auto"/>
          <w:szCs w:val="28"/>
          <w:highlight w:val="none"/>
          <w:lang w:val="en-US" w:eastAsia="zh-CN"/>
        </w:rPr>
        <w:t>齐全中</w:t>
      </w:r>
      <w:r>
        <w:rPr>
          <w:rFonts w:hint="eastAsia" w:ascii="宋体" w:hAnsi="宋体" w:cs="宋体"/>
          <w:color w:val="auto"/>
          <w:szCs w:val="28"/>
          <w:highlight w:val="none"/>
        </w:rPr>
        <w:t>：18137710188</w:t>
      </w:r>
    </w:p>
    <w:p w14:paraId="14B8AB09">
      <w:pPr>
        <w:spacing w:line="360" w:lineRule="auto"/>
        <w:ind w:firstLine="480" w:firstLineChars="200"/>
        <w:rPr>
          <w:rFonts w:hint="default" w:ascii="宋体" w:hAnsi="宋体" w:eastAsia="宋体" w:cs="宋体"/>
          <w:color w:val="auto"/>
          <w:szCs w:val="28"/>
          <w:highlight w:val="none"/>
          <w:lang w:val="en-US" w:eastAsia="zh-CN"/>
        </w:rPr>
      </w:pPr>
      <w:r>
        <w:rPr>
          <w:rFonts w:hint="eastAsia" w:ascii="宋体" w:hAnsi="宋体" w:eastAsia="宋体" w:cs="宋体"/>
          <w:color w:val="auto"/>
          <w:szCs w:val="28"/>
          <w:highlight w:val="none"/>
          <w:lang w:val="en-US" w:eastAsia="zh-CN"/>
        </w:rPr>
        <w:t>（5）</w:t>
      </w:r>
      <w:r>
        <w:rPr>
          <w:rFonts w:hint="eastAsia" w:ascii="宋体" w:hAnsi="宋体" w:cs="宋体"/>
          <w:color w:val="auto"/>
          <w:szCs w:val="28"/>
          <w:highlight w:val="none"/>
        </w:rPr>
        <w:t>电话</w:t>
      </w:r>
      <w:r>
        <w:rPr>
          <w:rFonts w:hint="eastAsia" w:ascii="宋体" w:hAnsi="宋体" w:cs="宋体"/>
          <w:color w:val="auto"/>
          <w:szCs w:val="28"/>
          <w:highlight w:val="none"/>
          <w:lang w:eastAsia="zh-CN"/>
        </w:rPr>
        <w:t>：</w:t>
      </w:r>
      <w:r>
        <w:rPr>
          <w:rFonts w:hint="eastAsia" w:ascii="宋体" w:hAnsi="宋体" w:cs="宋体"/>
          <w:color w:val="auto"/>
          <w:szCs w:val="28"/>
          <w:highlight w:val="none"/>
          <w:lang w:val="en-US" w:eastAsia="zh-CN"/>
        </w:rPr>
        <w:t>审计监察高级经理苏文倩：18839528225</w:t>
      </w:r>
    </w:p>
    <w:p w14:paraId="2244338B">
      <w:pPr>
        <w:spacing w:line="360" w:lineRule="auto"/>
        <w:ind w:firstLine="480" w:firstLineChars="200"/>
        <w:rPr>
          <w:rFonts w:hint="eastAsia" w:ascii="宋体" w:hAnsi="宋体" w:eastAsia="宋体" w:cs="宋体"/>
          <w:color w:val="auto"/>
          <w:kern w:val="2"/>
          <w:sz w:val="24"/>
          <w:szCs w:val="28"/>
          <w:highlight w:val="none"/>
          <w:lang w:eastAsia="zh-CN"/>
        </w:rPr>
      </w:pPr>
      <w:r>
        <w:rPr>
          <w:rFonts w:hint="eastAsia" w:ascii="宋体" w:hAnsi="宋体" w:eastAsia="宋体" w:cs="宋体"/>
          <w:color w:val="auto"/>
          <w:kern w:val="2"/>
          <w:sz w:val="24"/>
          <w:szCs w:val="28"/>
          <w:highlight w:val="none"/>
          <w:lang w:eastAsia="zh-CN"/>
        </w:rPr>
        <w:t>（</w:t>
      </w:r>
      <w:r>
        <w:rPr>
          <w:rFonts w:hint="eastAsia" w:ascii="宋体" w:hAnsi="宋体" w:eastAsia="宋体" w:cs="宋体"/>
          <w:color w:val="auto"/>
          <w:kern w:val="2"/>
          <w:sz w:val="24"/>
          <w:szCs w:val="28"/>
          <w:highlight w:val="none"/>
          <w:lang w:val="en-US" w:eastAsia="zh-CN"/>
        </w:rPr>
        <w:t>6</w:t>
      </w:r>
      <w:r>
        <w:rPr>
          <w:rFonts w:hint="eastAsia" w:ascii="宋体" w:hAnsi="宋体" w:eastAsia="宋体" w:cs="宋体"/>
          <w:color w:val="auto"/>
          <w:kern w:val="2"/>
          <w:sz w:val="24"/>
          <w:szCs w:val="28"/>
          <w:highlight w:val="none"/>
          <w:lang w:eastAsia="zh-CN"/>
        </w:rPr>
        <w:t>）信件</w:t>
      </w:r>
      <w:r>
        <w:rPr>
          <w:rFonts w:hint="eastAsia" w:ascii="宋体" w:hAnsi="宋体" w:eastAsia="宋体" w:cs="宋体"/>
          <w:color w:val="auto"/>
          <w:kern w:val="2"/>
          <w:sz w:val="24"/>
          <w:szCs w:val="28"/>
          <w:highlight w:val="none"/>
        </w:rPr>
        <w:t>举报邮寄地址：洛阳市洛龙区关林西路8号中浩德控股集团有限公司审计监察部（收）</w:t>
      </w:r>
      <w:r>
        <w:rPr>
          <w:rFonts w:hint="eastAsia" w:ascii="宋体" w:hAnsi="宋体" w:eastAsia="宋体" w:cs="宋体"/>
          <w:color w:val="auto"/>
          <w:kern w:val="2"/>
          <w:sz w:val="24"/>
          <w:szCs w:val="28"/>
          <w:highlight w:val="none"/>
          <w:lang w:eastAsia="zh-CN"/>
        </w:rPr>
        <w:t>。</w:t>
      </w:r>
    </w:p>
    <w:p w14:paraId="54005DA2">
      <w:pPr>
        <w:spacing w:line="360" w:lineRule="auto"/>
        <w:ind w:firstLine="482" w:firstLineChars="200"/>
        <w:rPr>
          <w:rFonts w:ascii="宋体" w:hAnsi="宋体" w:cs="宋体"/>
          <w:b/>
          <w:color w:val="auto"/>
          <w:szCs w:val="28"/>
          <w:highlight w:val="none"/>
        </w:rPr>
      </w:pPr>
      <w:r>
        <w:rPr>
          <w:rFonts w:hint="eastAsia" w:ascii="宋体" w:hAnsi="宋体" w:cs="宋体"/>
          <w:b/>
          <w:color w:val="auto"/>
          <w:szCs w:val="28"/>
          <w:highlight w:val="none"/>
        </w:rPr>
        <w:t>四、甲乙双方发现对方工作人员有下列行为之一的，可通过第三条约定的渠道进行举报：</w:t>
      </w:r>
    </w:p>
    <w:p w14:paraId="6F704F63">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1.推诿扯皮、有责不负、处事消极、渎职失职、弄虚作假等行为。</w:t>
      </w:r>
    </w:p>
    <w:p w14:paraId="12821808">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2.以权谋私、滥用职权、处事不公、隐瞒事故、违章指挥造成公司严重事故隐患的行为。</w:t>
      </w:r>
    </w:p>
    <w:p w14:paraId="5CA7A7D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3.贪污、受贿、盗窃、欺上瞒下等违法乱纪行为。</w:t>
      </w:r>
    </w:p>
    <w:p w14:paraId="49267192">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4.出卖、泄露公司商业机密等危害公司行为。</w:t>
      </w:r>
    </w:p>
    <w:p w14:paraId="2AECABB0">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5.重大经济活动未按公司制度、流程执行的违规违纪行为。</w:t>
      </w:r>
    </w:p>
    <w:p w14:paraId="5BA05B8E">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6.利用职权，任人唯亲，拉帮结派，搞小利益团体或对同事正当行使权利进行打击报复的行为。</w:t>
      </w:r>
    </w:p>
    <w:p w14:paraId="59858256">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7.故意涂改公司文件或以公司名义谋私利，损害公司荣誉和利益的行为。</w:t>
      </w:r>
    </w:p>
    <w:p w14:paraId="7F293836">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8.私自侵占、挪用公司财物，损坏公司重要设备或资产的行为。</w:t>
      </w:r>
    </w:p>
    <w:p w14:paraId="7DA08B24">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9.破坏团队和谐，故意挑拨员工之间关系，对同事恶意侮辱、陷害、制造事端的行为。</w:t>
      </w:r>
    </w:p>
    <w:p w14:paraId="0DE2E2BB">
      <w:pPr>
        <w:spacing w:line="360" w:lineRule="auto"/>
        <w:ind w:firstLine="480" w:firstLineChars="200"/>
        <w:rPr>
          <w:rFonts w:ascii="宋体" w:hAnsi="宋体" w:cs="宋体"/>
          <w:color w:val="auto"/>
          <w:szCs w:val="28"/>
          <w:highlight w:val="none"/>
        </w:rPr>
      </w:pPr>
      <w:r>
        <w:rPr>
          <w:rFonts w:hint="eastAsia" w:ascii="宋体" w:hAnsi="宋体" w:cs="宋体"/>
          <w:color w:val="auto"/>
          <w:szCs w:val="28"/>
          <w:highlight w:val="none"/>
        </w:rPr>
        <w:t>10.妄议集团经营、管理、决策部署、会议决议，对正当行使职权的执法部门、员工进行设置障碍、诋毁、恶意侮辱的行为。</w:t>
      </w:r>
    </w:p>
    <w:p w14:paraId="70A79394">
      <w:pPr>
        <w:spacing w:line="360" w:lineRule="auto"/>
        <w:ind w:firstLine="480" w:firstLineChars="200"/>
        <w:rPr>
          <w:rFonts w:ascii="宋体" w:hAnsi="宋体" w:cs="宋体"/>
          <w:color w:val="auto"/>
          <w:highlight w:val="none"/>
        </w:rPr>
      </w:pPr>
      <w:r>
        <w:rPr>
          <w:rFonts w:hint="eastAsia" w:ascii="宋体" w:hAnsi="宋体" w:cs="宋体"/>
          <w:color w:val="auto"/>
          <w:szCs w:val="28"/>
          <w:highlight w:val="none"/>
        </w:rPr>
        <w:t>11.其他违反法律或者甲方公司相关制度的行为。</w:t>
      </w:r>
    </w:p>
    <w:p w14:paraId="18AF65BD">
      <w:pPr>
        <w:spacing w:line="360" w:lineRule="auto"/>
        <w:ind w:firstLine="480" w:firstLineChars="200"/>
        <w:rPr>
          <w:rFonts w:ascii="宋体" w:hAnsi="宋体" w:cs="宋体"/>
          <w:color w:val="auto"/>
          <w:highlight w:val="none"/>
        </w:rPr>
      </w:pPr>
      <w:r>
        <w:rPr>
          <w:rFonts w:hint="eastAsia" w:ascii="宋体" w:hAnsi="宋体" w:cs="宋体"/>
          <w:color w:val="auto"/>
          <w:highlight w:val="none"/>
        </w:rPr>
        <w:t>（以下无正文）</w:t>
      </w:r>
    </w:p>
    <w:p w14:paraId="4477EC76">
      <w:pPr>
        <w:autoSpaceDN w:val="0"/>
        <w:spacing w:line="360" w:lineRule="auto"/>
        <w:ind w:firstLine="480" w:firstLineChars="200"/>
        <w:rPr>
          <w:rFonts w:hint="eastAsia" w:ascii="宋体" w:hAnsi="宋体" w:cs="宋体"/>
          <w:color w:val="auto"/>
          <w:szCs w:val="28"/>
          <w:highlight w:val="none"/>
        </w:rPr>
      </w:pPr>
    </w:p>
    <w:p w14:paraId="5DD92F8D">
      <w:pPr>
        <w:spacing w:line="360" w:lineRule="auto"/>
        <w:ind w:left="6960" w:hanging="6960" w:hangingChars="2900"/>
        <w:rPr>
          <w:rFonts w:hint="eastAsia" w:ascii="宋体" w:hAnsi="宋体" w:cs="宋体"/>
          <w:color w:val="auto"/>
          <w:szCs w:val="28"/>
          <w:highlight w:val="none"/>
        </w:rPr>
      </w:pPr>
      <w:r>
        <w:rPr>
          <w:rFonts w:hint="eastAsia" w:ascii="宋体" w:hAnsi="宋体" w:cs="宋体"/>
          <w:color w:val="auto"/>
          <w:szCs w:val="28"/>
          <w:highlight w:val="none"/>
        </w:rPr>
        <w:t xml:space="preserve">甲方（盖章）：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乙方（盖章）：</w:t>
      </w:r>
    </w:p>
    <w:p w14:paraId="2154CC80">
      <w:pPr>
        <w:spacing w:line="360" w:lineRule="auto"/>
        <w:ind w:left="6960" w:hanging="6960" w:hangingChars="2900"/>
        <w:rPr>
          <w:rFonts w:hint="eastAsia" w:ascii="宋体" w:hAnsi="宋体" w:cs="宋体"/>
          <w:color w:val="auto"/>
          <w:szCs w:val="28"/>
          <w:highlight w:val="none"/>
        </w:rPr>
      </w:pPr>
      <w:r>
        <w:rPr>
          <w:rFonts w:hint="eastAsia" w:ascii="宋体" w:hAnsi="宋体" w:cs="宋体"/>
          <w:color w:val="auto"/>
          <w:szCs w:val="28"/>
          <w:highlight w:val="none"/>
        </w:rPr>
        <w:t xml:space="preserve">  </w:t>
      </w:r>
      <w:r>
        <w:rPr>
          <w:rFonts w:hint="eastAsia" w:ascii="宋体" w:hAnsi="宋体" w:cs="宋体"/>
          <w:color w:val="auto"/>
          <w:szCs w:val="28"/>
          <w:highlight w:val="none"/>
          <w:lang w:val="en-US" w:eastAsia="zh-CN"/>
        </w:rPr>
        <w:t xml:space="preserve">          </w:t>
      </w:r>
    </w:p>
    <w:p w14:paraId="624F4A09">
      <w:pPr>
        <w:spacing w:line="360" w:lineRule="auto"/>
        <w:rPr>
          <w:rFonts w:hint="eastAsia" w:ascii="宋体" w:hAnsi="宋体" w:cs="宋体"/>
          <w:color w:val="auto"/>
          <w:szCs w:val="28"/>
          <w:highlight w:val="none"/>
        </w:rPr>
      </w:pPr>
      <w:r>
        <w:rPr>
          <w:rFonts w:hint="eastAsia" w:ascii="宋体" w:hAnsi="宋体" w:cs="宋体"/>
          <w:color w:val="auto"/>
          <w:szCs w:val="28"/>
          <w:highlight w:val="none"/>
        </w:rPr>
        <w:t>签订日期：</w:t>
      </w:r>
      <w:r>
        <w:rPr>
          <w:rFonts w:hint="eastAsia" w:ascii="宋体" w:hAnsi="宋体" w:cs="宋体"/>
          <w:color w:val="auto"/>
          <w:szCs w:val="28"/>
          <w:highlight w:val="none"/>
          <w:u w:val="single"/>
        </w:rPr>
        <w:t>202</w:t>
      </w:r>
      <w:r>
        <w:rPr>
          <w:rFonts w:hint="eastAsia" w:ascii="宋体" w:hAnsi="宋体" w:cs="宋体"/>
          <w:color w:val="auto"/>
          <w:szCs w:val="28"/>
          <w:highlight w:val="none"/>
          <w:u w:val="single"/>
          <w:lang w:val="en-US" w:eastAsia="zh-CN"/>
        </w:rPr>
        <w:t>4</w:t>
      </w:r>
      <w:r>
        <w:rPr>
          <w:rFonts w:hint="eastAsia" w:ascii="宋体" w:hAnsi="宋体" w:cs="宋体"/>
          <w:color w:val="auto"/>
          <w:szCs w:val="28"/>
          <w:highlight w:val="none"/>
        </w:rPr>
        <w:t>年</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月</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 xml:space="preserve">日            </w:t>
      </w:r>
      <w:r>
        <w:rPr>
          <w:rFonts w:hint="eastAsia" w:ascii="宋体" w:hAnsi="宋体" w:cs="宋体"/>
          <w:color w:val="auto"/>
          <w:szCs w:val="28"/>
          <w:highlight w:val="none"/>
          <w:lang w:val="en-US" w:eastAsia="zh-CN"/>
        </w:rPr>
        <w:t xml:space="preserve">  </w:t>
      </w:r>
      <w:r>
        <w:rPr>
          <w:rFonts w:hint="eastAsia" w:ascii="宋体" w:hAnsi="宋体" w:cs="宋体"/>
          <w:color w:val="auto"/>
          <w:szCs w:val="28"/>
          <w:highlight w:val="none"/>
        </w:rPr>
        <w:t>签订日期：</w:t>
      </w:r>
      <w:r>
        <w:rPr>
          <w:rFonts w:hint="eastAsia" w:ascii="宋体" w:hAnsi="宋体" w:cs="宋体"/>
          <w:color w:val="auto"/>
          <w:szCs w:val="28"/>
          <w:highlight w:val="none"/>
          <w:u w:val="single"/>
        </w:rPr>
        <w:t>202</w:t>
      </w:r>
      <w:r>
        <w:rPr>
          <w:rFonts w:hint="eastAsia" w:ascii="宋体" w:hAnsi="宋体" w:cs="宋体"/>
          <w:color w:val="auto"/>
          <w:szCs w:val="28"/>
          <w:highlight w:val="none"/>
          <w:u w:val="single"/>
          <w:lang w:val="en-US" w:eastAsia="zh-CN"/>
        </w:rPr>
        <w:t>4</w:t>
      </w:r>
      <w:r>
        <w:rPr>
          <w:rFonts w:hint="eastAsia" w:ascii="宋体" w:hAnsi="宋体" w:cs="宋体"/>
          <w:color w:val="auto"/>
          <w:szCs w:val="28"/>
          <w:highlight w:val="none"/>
        </w:rPr>
        <w:t>年</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月</w:t>
      </w:r>
      <w:r>
        <w:rPr>
          <w:rFonts w:hint="eastAsia" w:ascii="宋体" w:hAnsi="宋体" w:cs="宋体"/>
          <w:color w:val="auto"/>
          <w:szCs w:val="28"/>
          <w:highlight w:val="none"/>
          <w:u w:val="single"/>
        </w:rPr>
        <w:t xml:space="preserve"> </w:t>
      </w:r>
      <w:r>
        <w:rPr>
          <w:rFonts w:hint="eastAsia" w:ascii="宋体" w:hAnsi="宋体" w:cs="宋体"/>
          <w:color w:val="auto"/>
          <w:szCs w:val="28"/>
          <w:highlight w:val="none"/>
          <w:u w:val="single"/>
          <w:lang w:val="en-US" w:eastAsia="zh-CN"/>
        </w:rPr>
        <w:t xml:space="preserve"> </w:t>
      </w:r>
      <w:r>
        <w:rPr>
          <w:rFonts w:hint="eastAsia" w:ascii="宋体" w:hAnsi="宋体" w:cs="宋体"/>
          <w:color w:val="auto"/>
          <w:szCs w:val="28"/>
          <w:highlight w:val="none"/>
        </w:rPr>
        <w:t>日</w:t>
      </w:r>
    </w:p>
    <w:p w14:paraId="3A02F098">
      <w:pPr>
        <w:pStyle w:val="2"/>
        <w:spacing w:line="360" w:lineRule="auto"/>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附件二《主要材料品牌</w:t>
      </w:r>
      <w:r>
        <w:rPr>
          <w:rFonts w:hint="eastAsia" w:hAnsi="宋体" w:cs="宋体"/>
          <w:bCs/>
          <w:color w:val="auto"/>
          <w:sz w:val="24"/>
          <w:szCs w:val="24"/>
          <w:highlight w:val="none"/>
          <w:lang w:val="en-US" w:eastAsia="zh-CN"/>
        </w:rPr>
        <w:t>表</w:t>
      </w:r>
      <w:r>
        <w:rPr>
          <w:rFonts w:hint="eastAsia" w:ascii="宋体" w:hAnsi="宋体" w:cs="宋体"/>
          <w:bCs/>
          <w:color w:val="auto"/>
          <w:sz w:val="24"/>
          <w:szCs w:val="24"/>
          <w:highlight w:val="none"/>
          <w:lang w:val="en-US" w:eastAsia="zh-CN"/>
        </w:rPr>
        <w:t>》</w:t>
      </w:r>
    </w:p>
    <w:p w14:paraId="6AF28F0E">
      <w:pPr>
        <w:pStyle w:val="2"/>
        <w:spacing w:line="360" w:lineRule="auto"/>
        <w:rPr>
          <w:rFonts w:hint="eastAsia" w:ascii="宋体" w:hAnsi="宋体" w:cs="宋体"/>
          <w:bCs/>
          <w:color w:val="auto"/>
          <w:sz w:val="24"/>
          <w:szCs w:val="24"/>
          <w:highlight w:val="none"/>
          <w:lang w:val="en-US" w:eastAsia="zh-CN"/>
        </w:rPr>
      </w:pPr>
    </w:p>
    <w:tbl>
      <w:tblPr>
        <w:tblStyle w:val="46"/>
        <w:tblW w:w="80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75"/>
        <w:gridCol w:w="2481"/>
        <w:gridCol w:w="4269"/>
      </w:tblGrid>
      <w:tr w14:paraId="79272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8025" w:type="dxa"/>
            <w:gridSpan w:val="3"/>
            <w:tcBorders>
              <w:top w:val="single" w:color="000000" w:sz="4" w:space="0"/>
              <w:left w:val="single" w:color="000000" w:sz="4" w:space="0"/>
              <w:bottom w:val="single" w:color="000000" w:sz="4" w:space="0"/>
              <w:right w:val="single" w:color="000000" w:sz="4" w:space="0"/>
            </w:tcBorders>
            <w:noWrap w:val="0"/>
            <w:vAlign w:val="center"/>
          </w:tcPr>
          <w:p w14:paraId="39995E04">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cs="宋体"/>
                <w:b/>
                <w:bCs w:val="0"/>
                <w:color w:val="auto"/>
                <w:sz w:val="24"/>
                <w:szCs w:val="24"/>
                <w:highlight w:val="none"/>
                <w:lang w:val="en-US" w:eastAsia="zh-CN"/>
              </w:rPr>
              <w:t>主要材料品牌表</w:t>
            </w:r>
          </w:p>
        </w:tc>
      </w:tr>
      <w:tr w14:paraId="395A3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381C577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024F7E2">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材料名称</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4DF14D9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品牌</w:t>
            </w:r>
          </w:p>
        </w:tc>
      </w:tr>
      <w:tr w14:paraId="6120C1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1337DD3">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1297C439">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固化剂</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2CA095E1">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cs="宋体"/>
                <w:b w:val="0"/>
                <w:bCs w:val="0"/>
                <w:i w:val="0"/>
                <w:iCs w:val="0"/>
                <w:color w:val="auto"/>
                <w:kern w:val="0"/>
                <w:sz w:val="24"/>
                <w:szCs w:val="24"/>
                <w:highlight w:val="none"/>
                <w:u w:val="none"/>
                <w:lang w:val="en-US" w:eastAsia="zh-CN" w:bidi="ar"/>
              </w:rPr>
              <w:t>凯悦</w:t>
            </w:r>
          </w:p>
        </w:tc>
      </w:tr>
      <w:tr w14:paraId="1B922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970F276">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5051025F">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环氧地坪漆</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64BF0FB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嘉宝莉</w:t>
            </w:r>
          </w:p>
        </w:tc>
      </w:tr>
      <w:tr w14:paraId="5612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4FE2FE3D">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4BA336E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墙柱面</w:t>
            </w:r>
            <w:r>
              <w:rPr>
                <w:rFonts w:hint="eastAsia" w:ascii="宋体" w:hAnsi="宋体" w:cs="宋体"/>
                <w:i w:val="0"/>
                <w:iCs w:val="0"/>
                <w:color w:val="auto"/>
                <w:kern w:val="0"/>
                <w:sz w:val="24"/>
                <w:szCs w:val="24"/>
                <w:highlight w:val="none"/>
                <w:u w:val="none"/>
                <w:lang w:val="en-US" w:eastAsia="zh-CN" w:bidi="ar"/>
              </w:rPr>
              <w:t>喷涂</w:t>
            </w:r>
            <w:r>
              <w:rPr>
                <w:rFonts w:hint="eastAsia" w:ascii="宋体" w:hAnsi="宋体" w:eastAsia="宋体" w:cs="宋体"/>
                <w:i w:val="0"/>
                <w:iCs w:val="0"/>
                <w:color w:val="auto"/>
                <w:kern w:val="0"/>
                <w:sz w:val="24"/>
                <w:szCs w:val="24"/>
                <w:highlight w:val="none"/>
                <w:u w:val="none"/>
                <w:lang w:val="en-US" w:eastAsia="zh-CN" w:bidi="ar"/>
              </w:rPr>
              <w:t>（涂料）</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77A5B85C">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立邦</w:t>
            </w:r>
          </w:p>
        </w:tc>
      </w:tr>
      <w:tr w14:paraId="6462B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275" w:type="dxa"/>
            <w:tcBorders>
              <w:top w:val="single" w:color="000000" w:sz="4" w:space="0"/>
              <w:left w:val="single" w:color="000000" w:sz="4" w:space="0"/>
              <w:bottom w:val="single" w:color="000000" w:sz="4" w:space="0"/>
              <w:right w:val="single" w:color="000000" w:sz="4" w:space="0"/>
            </w:tcBorders>
            <w:noWrap w:val="0"/>
            <w:vAlign w:val="center"/>
          </w:tcPr>
          <w:p w14:paraId="1EBD99AE">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14:paraId="7286B375">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划线漆</w:t>
            </w:r>
          </w:p>
        </w:tc>
        <w:tc>
          <w:tcPr>
            <w:tcW w:w="4269" w:type="dxa"/>
            <w:tcBorders>
              <w:top w:val="single" w:color="000000" w:sz="4" w:space="0"/>
              <w:left w:val="single" w:color="000000" w:sz="4" w:space="0"/>
              <w:bottom w:val="single" w:color="000000" w:sz="4" w:space="0"/>
              <w:right w:val="single" w:color="000000" w:sz="4" w:space="0"/>
            </w:tcBorders>
            <w:noWrap w:val="0"/>
            <w:vAlign w:val="center"/>
          </w:tcPr>
          <w:p w14:paraId="025387E8">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cs="宋体"/>
                <w:i w:val="0"/>
                <w:iCs w:val="0"/>
                <w:color w:val="auto"/>
                <w:sz w:val="24"/>
                <w:szCs w:val="24"/>
                <w:highlight w:val="none"/>
                <w:u w:val="none"/>
                <w:lang w:val="en-US" w:eastAsia="zh-CN"/>
              </w:rPr>
              <w:t>嘉宝莉</w:t>
            </w:r>
          </w:p>
        </w:tc>
      </w:tr>
    </w:tbl>
    <w:p w14:paraId="1D516B03">
      <w:pPr>
        <w:pStyle w:val="2"/>
        <w:spacing w:line="360" w:lineRule="auto"/>
        <w:rPr>
          <w:rFonts w:hint="eastAsia" w:eastAsia="宋体"/>
          <w:color w:val="auto"/>
          <w:highlight w:val="none"/>
          <w:lang w:eastAsia="zh-CN"/>
        </w:rPr>
      </w:pPr>
      <w:r>
        <w:rPr>
          <w:rFonts w:hint="eastAsia" w:hAnsi="宋体" w:cs="宋体"/>
          <w:bCs/>
          <w:color w:val="auto"/>
          <w:szCs w:val="24"/>
          <w:highlight w:val="none"/>
        </w:rPr>
        <w:t>附件</w:t>
      </w:r>
      <w:r>
        <w:rPr>
          <w:rFonts w:hint="eastAsia" w:hAnsi="宋体" w:cs="宋体"/>
          <w:bCs/>
          <w:color w:val="auto"/>
          <w:szCs w:val="24"/>
          <w:highlight w:val="none"/>
          <w:lang w:val="en-US" w:eastAsia="zh-CN"/>
        </w:rPr>
        <w:t>三</w:t>
      </w:r>
      <w:r>
        <w:rPr>
          <w:rFonts w:hint="eastAsia" w:hAnsi="宋体" w:cs="宋体"/>
          <w:bCs/>
          <w:color w:val="auto"/>
          <w:szCs w:val="24"/>
          <w:highlight w:val="none"/>
        </w:rPr>
        <w:t>、《</w:t>
      </w:r>
      <w:r>
        <w:rPr>
          <w:rFonts w:hint="eastAsia" w:hAnsi="宋体" w:cs="宋体"/>
          <w:bCs/>
          <w:color w:val="auto"/>
          <w:szCs w:val="24"/>
          <w:highlight w:val="none"/>
          <w:lang w:eastAsia="zh-CN"/>
        </w:rPr>
        <w:t>价格清单</w:t>
      </w:r>
      <w:r>
        <w:rPr>
          <w:rFonts w:hint="eastAsia" w:hAnsi="宋体" w:cs="宋体"/>
          <w:bCs/>
          <w:color w:val="auto"/>
          <w:szCs w:val="24"/>
          <w:highlight w:val="none"/>
        </w:rPr>
        <w:t>》</w:t>
      </w:r>
      <w:r>
        <w:rPr>
          <w:rFonts w:hint="eastAsia" w:hAnsi="宋体" w:cs="宋体"/>
          <w:bCs/>
          <w:color w:val="auto"/>
          <w:szCs w:val="24"/>
          <w:highlight w:val="none"/>
          <w:lang w:eastAsia="zh-CN"/>
        </w:rPr>
        <w:t>（后附）</w:t>
      </w:r>
    </w:p>
    <w:sectPr>
      <w:headerReference r:id="rId3" w:type="default"/>
      <w:footerReference r:id="rId4" w:type="default"/>
      <w:pgSz w:w="11906" w:h="16838"/>
      <w:pgMar w:top="1304" w:right="1304" w:bottom="1304" w:left="1304" w:header="851" w:footer="85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
    <w:altName w:val="Segoe Print"/>
    <w:panose1 w:val="00000000000000000000"/>
    <w:charset w:val="00"/>
    <w:family w:val="auto"/>
    <w:pitch w:val="default"/>
    <w:sig w:usb0="00000000" w:usb1="00000000" w:usb2="00000000" w:usb3="00000000" w:csb0="00000000" w:csb1="00000000"/>
  </w:font>
  <w:font w:name="Batang">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6B850">
    <w:pPr>
      <w:pStyle w:val="31"/>
      <w:jc w:val="center"/>
      <w:rPr>
        <w:rFonts w:ascii="宋体" w:hAnsi="宋体"/>
        <w:color w:val="FF0000"/>
        <w:sz w:val="21"/>
        <w:szCs w:val="21"/>
      </w:rPr>
    </w:pPr>
    <w:r>
      <w:rPr>
        <w:rFonts w:hint="eastAsia" w:ascii="宋体" w:hAnsi="宋体"/>
        <w:sz w:val="21"/>
        <w:szCs w:val="21"/>
      </w:rPr>
      <w:t>第</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PAGE</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r>
      <w:rPr>
        <w:rFonts w:ascii="宋体" w:hAnsi="宋体"/>
        <w:sz w:val="21"/>
        <w:szCs w:val="21"/>
        <w:lang w:val="zh-CN"/>
      </w:rPr>
      <w:t xml:space="preserve"> </w:t>
    </w:r>
    <w:r>
      <w:rPr>
        <w:rFonts w:hint="eastAsia" w:ascii="宋体" w:hAnsi="宋体"/>
        <w:sz w:val="21"/>
        <w:szCs w:val="21"/>
        <w:lang w:val="zh-CN"/>
      </w:rPr>
      <w:t>，共</w:t>
    </w:r>
    <w:r>
      <w:rPr>
        <w:rFonts w:ascii="宋体" w:hAnsi="宋体"/>
        <w:sz w:val="21"/>
        <w:szCs w:val="21"/>
        <w:lang w:val="zh-CN"/>
      </w:rPr>
      <w:t xml:space="preserve"> </w:t>
    </w:r>
    <w:r>
      <w:rPr>
        <w:rFonts w:ascii="宋体" w:hAnsi="宋体"/>
        <w:sz w:val="21"/>
        <w:szCs w:val="21"/>
      </w:rPr>
      <w:fldChar w:fldCharType="begin"/>
    </w:r>
    <w:r>
      <w:rPr>
        <w:rFonts w:ascii="宋体" w:hAnsi="宋体"/>
        <w:sz w:val="21"/>
        <w:szCs w:val="21"/>
      </w:rPr>
      <w:instrText xml:space="preserve">NUMPAGES</w:instrText>
    </w:r>
    <w:r>
      <w:rPr>
        <w:rFonts w:ascii="宋体" w:hAnsi="宋体"/>
        <w:sz w:val="21"/>
        <w:szCs w:val="21"/>
      </w:rPr>
      <w:fldChar w:fldCharType="separate"/>
    </w:r>
    <w:r>
      <w:rPr>
        <w:rFonts w:ascii="宋体" w:hAnsi="宋体"/>
        <w:sz w:val="21"/>
        <w:szCs w:val="21"/>
      </w:rPr>
      <w:t>21</w:t>
    </w:r>
    <w:r>
      <w:rPr>
        <w:rFonts w:ascii="宋体" w:hAnsi="宋体"/>
        <w:sz w:val="21"/>
        <w:szCs w:val="21"/>
      </w:rPr>
      <w:fldChar w:fldCharType="end"/>
    </w:r>
    <w:r>
      <w:rPr>
        <w:rFonts w:ascii="宋体" w:hAnsi="宋体"/>
        <w:sz w:val="21"/>
        <w:szCs w:val="21"/>
      </w:rPr>
      <w:t xml:space="preserve"> </w:t>
    </w:r>
    <w:r>
      <w:rPr>
        <w:rFonts w:hint="eastAsia" w:ascii="宋体" w:hAnsi="宋体"/>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D4BD7">
    <w:pPr>
      <w:pStyle w:val="32"/>
      <w:ind w:right="422"/>
      <w:jc w:val="both"/>
      <w:rPr>
        <w:rFonts w:ascii="Batang"/>
        <w:color w:val="999999"/>
        <w:sz w:val="16"/>
        <w:szCs w:val="16"/>
      </w:rPr>
    </w:pPr>
    <w:r>
      <w:drawing>
        <wp:inline distT="0" distB="0" distL="114300" distR="114300">
          <wp:extent cx="1019175" cy="314325"/>
          <wp:effectExtent l="0" t="0" r="9525" b="9525"/>
          <wp:docPr id="1"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浩德logo"/>
                  <pic:cNvPicPr>
                    <a:picLocks noChangeAspect="1"/>
                  </pic:cNvPicPr>
                </pic:nvPicPr>
                <pic:blipFill>
                  <a:blip r:embed="rId1"/>
                  <a:stretch>
                    <a:fillRect/>
                  </a:stretch>
                </pic:blipFill>
                <pic:spPr>
                  <a:xfrm>
                    <a:off x="0" y="0"/>
                    <a:ext cx="1019175" cy="3143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pStyle w:val="3"/>
      <w:lvlText w:val="%1."/>
      <w:lvlJc w:val="left"/>
      <w:pPr>
        <w:tabs>
          <w:tab w:val="left" w:pos="0"/>
        </w:tabs>
        <w:ind w:left="425" w:hanging="425"/>
      </w:pPr>
      <w:rPr>
        <w:rFonts w:cs="Times New Roman"/>
      </w:rPr>
    </w:lvl>
    <w:lvl w:ilvl="1" w:tentative="0">
      <w:start w:val="1"/>
      <w:numFmt w:val="decimal"/>
      <w:pStyle w:val="5"/>
      <w:lvlText w:val="%2."/>
      <w:legacy w:legacy="1" w:legacySpace="0" w:legacyIndent="425"/>
      <w:lvlJc w:val="left"/>
      <w:pPr>
        <w:ind w:left="992" w:hanging="425"/>
      </w:pPr>
      <w:rPr>
        <w:rFonts w:cs="Times New Roman"/>
      </w:rPr>
    </w:lvl>
    <w:lvl w:ilvl="2" w:tentative="0">
      <w:start w:val="1"/>
      <w:numFmt w:val="none"/>
      <w:pStyle w:val="6"/>
      <w:suff w:val="nothing"/>
      <w:lvlText w:val=""/>
      <w:lvlJc w:val="left"/>
      <w:pPr>
        <w:tabs>
          <w:tab w:val="left" w:pos="0"/>
        </w:tabs>
        <w:ind w:left="851" w:hanging="425"/>
      </w:pPr>
      <w:rPr>
        <w:rFonts w:cs="Times New Roman"/>
      </w:rPr>
    </w:lvl>
    <w:lvl w:ilvl="3" w:tentative="0">
      <w:start w:val="1"/>
      <w:numFmt w:val="lowerLetter"/>
      <w:pStyle w:val="7"/>
      <w:lvlText w:val="%4)"/>
      <w:legacy w:legacy="1" w:legacySpace="0" w:legacyIndent="425"/>
      <w:lvlJc w:val="left"/>
      <w:pPr>
        <w:ind w:left="1700" w:hanging="425"/>
      </w:pPr>
      <w:rPr>
        <w:rFonts w:cs="Times New Roman"/>
      </w:rPr>
    </w:lvl>
    <w:lvl w:ilvl="4" w:tentative="0">
      <w:start w:val="1"/>
      <w:numFmt w:val="decimal"/>
      <w:pStyle w:val="8"/>
      <w:lvlText w:val="(%5)"/>
      <w:legacy w:legacy="1" w:legacySpace="0" w:legacyIndent="425"/>
      <w:lvlJc w:val="left"/>
      <w:pPr>
        <w:ind w:left="2125" w:hanging="425"/>
      </w:pPr>
      <w:rPr>
        <w:rFonts w:cs="Times New Roman"/>
      </w:rPr>
    </w:lvl>
    <w:lvl w:ilvl="5" w:tentative="0">
      <w:start w:val="1"/>
      <w:numFmt w:val="lowerLetter"/>
      <w:pStyle w:val="9"/>
      <w:lvlText w:val="(%6)"/>
      <w:legacy w:legacy="1" w:legacySpace="0" w:legacyIndent="425"/>
      <w:lvlJc w:val="left"/>
      <w:pPr>
        <w:ind w:left="2550" w:hanging="425"/>
      </w:pPr>
      <w:rPr>
        <w:rFonts w:cs="Times New Roman"/>
      </w:rPr>
    </w:lvl>
    <w:lvl w:ilvl="6" w:tentative="0">
      <w:start w:val="1"/>
      <w:numFmt w:val="lowerRoman"/>
      <w:pStyle w:val="10"/>
      <w:lvlText w:val="(%7)"/>
      <w:legacy w:legacy="1" w:legacySpace="0" w:legacyIndent="425"/>
      <w:lvlJc w:val="left"/>
      <w:pPr>
        <w:ind w:left="2975" w:hanging="425"/>
      </w:pPr>
      <w:rPr>
        <w:rFonts w:cs="Times New Roman"/>
      </w:rPr>
    </w:lvl>
    <w:lvl w:ilvl="7" w:tentative="0">
      <w:start w:val="1"/>
      <w:numFmt w:val="lowerLetter"/>
      <w:pStyle w:val="11"/>
      <w:lvlText w:val="(%8)"/>
      <w:legacy w:legacy="1" w:legacySpace="0" w:legacyIndent="425"/>
      <w:lvlJc w:val="left"/>
      <w:pPr>
        <w:ind w:left="3400" w:hanging="425"/>
      </w:pPr>
      <w:rPr>
        <w:rFonts w:cs="Times New Roman"/>
      </w:rPr>
    </w:lvl>
    <w:lvl w:ilvl="8" w:tentative="0">
      <w:start w:val="1"/>
      <w:numFmt w:val="lowerRoman"/>
      <w:pStyle w:val="12"/>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Tc0NzU0ZmU4NGU0NzQ3YzY3MzNlMjExOWU1NTIifQ=="/>
  </w:docVars>
  <w:rsids>
    <w:rsidRoot w:val="00172A27"/>
    <w:rsid w:val="00010726"/>
    <w:rsid w:val="000116F9"/>
    <w:rsid w:val="000139E0"/>
    <w:rsid w:val="00014E6C"/>
    <w:rsid w:val="00016F0C"/>
    <w:rsid w:val="00025E21"/>
    <w:rsid w:val="0002623D"/>
    <w:rsid w:val="00032676"/>
    <w:rsid w:val="00032847"/>
    <w:rsid w:val="00033465"/>
    <w:rsid w:val="000546A1"/>
    <w:rsid w:val="00054EA5"/>
    <w:rsid w:val="00055432"/>
    <w:rsid w:val="000614F1"/>
    <w:rsid w:val="0007731F"/>
    <w:rsid w:val="00082A00"/>
    <w:rsid w:val="00085542"/>
    <w:rsid w:val="000936F9"/>
    <w:rsid w:val="000A118C"/>
    <w:rsid w:val="000A451E"/>
    <w:rsid w:val="000B1E62"/>
    <w:rsid w:val="000B5339"/>
    <w:rsid w:val="000B77C6"/>
    <w:rsid w:val="000C0B64"/>
    <w:rsid w:val="000D1A08"/>
    <w:rsid w:val="000D26C8"/>
    <w:rsid w:val="000D6B54"/>
    <w:rsid w:val="000D6C9F"/>
    <w:rsid w:val="000D6F92"/>
    <w:rsid w:val="000F5645"/>
    <w:rsid w:val="000F6C99"/>
    <w:rsid w:val="00100C15"/>
    <w:rsid w:val="0010316E"/>
    <w:rsid w:val="00111CD9"/>
    <w:rsid w:val="00112172"/>
    <w:rsid w:val="00112F37"/>
    <w:rsid w:val="00112F8F"/>
    <w:rsid w:val="0011300E"/>
    <w:rsid w:val="00124114"/>
    <w:rsid w:val="00125D5C"/>
    <w:rsid w:val="001260CD"/>
    <w:rsid w:val="001370B0"/>
    <w:rsid w:val="00137AEC"/>
    <w:rsid w:val="0014593E"/>
    <w:rsid w:val="001566AF"/>
    <w:rsid w:val="00161F31"/>
    <w:rsid w:val="001621FC"/>
    <w:rsid w:val="00164A63"/>
    <w:rsid w:val="00166A13"/>
    <w:rsid w:val="00170F87"/>
    <w:rsid w:val="00172A27"/>
    <w:rsid w:val="00174F50"/>
    <w:rsid w:val="00176FF5"/>
    <w:rsid w:val="0018086F"/>
    <w:rsid w:val="00183772"/>
    <w:rsid w:val="001843B4"/>
    <w:rsid w:val="00185C20"/>
    <w:rsid w:val="00190F18"/>
    <w:rsid w:val="00191138"/>
    <w:rsid w:val="00192AC1"/>
    <w:rsid w:val="001A4FB5"/>
    <w:rsid w:val="001A6A80"/>
    <w:rsid w:val="001B6C1E"/>
    <w:rsid w:val="001C761B"/>
    <w:rsid w:val="001D7552"/>
    <w:rsid w:val="001E3A98"/>
    <w:rsid w:val="001E6D2A"/>
    <w:rsid w:val="001F09EF"/>
    <w:rsid w:val="001F2C32"/>
    <w:rsid w:val="001F3BB9"/>
    <w:rsid w:val="00200F8E"/>
    <w:rsid w:val="002048BE"/>
    <w:rsid w:val="002074FF"/>
    <w:rsid w:val="00214FB5"/>
    <w:rsid w:val="00215528"/>
    <w:rsid w:val="00215DA1"/>
    <w:rsid w:val="002160F7"/>
    <w:rsid w:val="0021788F"/>
    <w:rsid w:val="00217A46"/>
    <w:rsid w:val="00231D04"/>
    <w:rsid w:val="00234E52"/>
    <w:rsid w:val="0023640C"/>
    <w:rsid w:val="00237E3A"/>
    <w:rsid w:val="00242CBA"/>
    <w:rsid w:val="00242D2A"/>
    <w:rsid w:val="002559F8"/>
    <w:rsid w:val="00263186"/>
    <w:rsid w:val="00281D57"/>
    <w:rsid w:val="00282E6B"/>
    <w:rsid w:val="002920BC"/>
    <w:rsid w:val="00293130"/>
    <w:rsid w:val="00294370"/>
    <w:rsid w:val="002A0538"/>
    <w:rsid w:val="002B0A59"/>
    <w:rsid w:val="002B1DC9"/>
    <w:rsid w:val="002B3BA2"/>
    <w:rsid w:val="002C08DC"/>
    <w:rsid w:val="002C6E09"/>
    <w:rsid w:val="002D2A5D"/>
    <w:rsid w:val="002D2E4E"/>
    <w:rsid w:val="002D7C34"/>
    <w:rsid w:val="002E0141"/>
    <w:rsid w:val="002E299F"/>
    <w:rsid w:val="002F54E2"/>
    <w:rsid w:val="002F6C9B"/>
    <w:rsid w:val="00302019"/>
    <w:rsid w:val="00302931"/>
    <w:rsid w:val="00311A89"/>
    <w:rsid w:val="00315C4A"/>
    <w:rsid w:val="003238B8"/>
    <w:rsid w:val="00332289"/>
    <w:rsid w:val="0033420C"/>
    <w:rsid w:val="003347F4"/>
    <w:rsid w:val="00337E43"/>
    <w:rsid w:val="003441BD"/>
    <w:rsid w:val="003459DC"/>
    <w:rsid w:val="0034770B"/>
    <w:rsid w:val="003575D9"/>
    <w:rsid w:val="00357A7D"/>
    <w:rsid w:val="00361A56"/>
    <w:rsid w:val="00361D86"/>
    <w:rsid w:val="0036570C"/>
    <w:rsid w:val="00370177"/>
    <w:rsid w:val="0037275B"/>
    <w:rsid w:val="00375A68"/>
    <w:rsid w:val="0037796B"/>
    <w:rsid w:val="00382FFC"/>
    <w:rsid w:val="00391826"/>
    <w:rsid w:val="00391934"/>
    <w:rsid w:val="00397162"/>
    <w:rsid w:val="003A1343"/>
    <w:rsid w:val="003A6A7B"/>
    <w:rsid w:val="003B25DF"/>
    <w:rsid w:val="003B2B3C"/>
    <w:rsid w:val="003B54BE"/>
    <w:rsid w:val="003B5FC8"/>
    <w:rsid w:val="003C0940"/>
    <w:rsid w:val="003C2C6C"/>
    <w:rsid w:val="003D3D56"/>
    <w:rsid w:val="003E1D77"/>
    <w:rsid w:val="003F4DA3"/>
    <w:rsid w:val="00400C75"/>
    <w:rsid w:val="0040107A"/>
    <w:rsid w:val="00413734"/>
    <w:rsid w:val="00420F76"/>
    <w:rsid w:val="00421B0F"/>
    <w:rsid w:val="00435097"/>
    <w:rsid w:val="00443089"/>
    <w:rsid w:val="00452B7B"/>
    <w:rsid w:val="00452C9F"/>
    <w:rsid w:val="00457B8D"/>
    <w:rsid w:val="004610E7"/>
    <w:rsid w:val="0047663D"/>
    <w:rsid w:val="00476AF2"/>
    <w:rsid w:val="004939DD"/>
    <w:rsid w:val="004951E6"/>
    <w:rsid w:val="004B320C"/>
    <w:rsid w:val="004C4C29"/>
    <w:rsid w:val="004C5237"/>
    <w:rsid w:val="004C6F5C"/>
    <w:rsid w:val="004D1E1C"/>
    <w:rsid w:val="004D58E6"/>
    <w:rsid w:val="004E3729"/>
    <w:rsid w:val="004E37CA"/>
    <w:rsid w:val="004E5451"/>
    <w:rsid w:val="004E78BF"/>
    <w:rsid w:val="004F1EAD"/>
    <w:rsid w:val="004F27B2"/>
    <w:rsid w:val="004F5178"/>
    <w:rsid w:val="004F6717"/>
    <w:rsid w:val="00501483"/>
    <w:rsid w:val="00510497"/>
    <w:rsid w:val="00510CAD"/>
    <w:rsid w:val="005124F8"/>
    <w:rsid w:val="005225C0"/>
    <w:rsid w:val="00524DEA"/>
    <w:rsid w:val="0052633E"/>
    <w:rsid w:val="00534C97"/>
    <w:rsid w:val="00547DA7"/>
    <w:rsid w:val="00551284"/>
    <w:rsid w:val="005530FF"/>
    <w:rsid w:val="005630F5"/>
    <w:rsid w:val="005648F6"/>
    <w:rsid w:val="00570C35"/>
    <w:rsid w:val="0057609F"/>
    <w:rsid w:val="00577126"/>
    <w:rsid w:val="00580C3D"/>
    <w:rsid w:val="005828CD"/>
    <w:rsid w:val="005B3373"/>
    <w:rsid w:val="005C1D34"/>
    <w:rsid w:val="005C2518"/>
    <w:rsid w:val="005C3D17"/>
    <w:rsid w:val="005C42F8"/>
    <w:rsid w:val="005D2388"/>
    <w:rsid w:val="005D27B5"/>
    <w:rsid w:val="005D3798"/>
    <w:rsid w:val="005E1224"/>
    <w:rsid w:val="005E4910"/>
    <w:rsid w:val="005E5060"/>
    <w:rsid w:val="005E6644"/>
    <w:rsid w:val="005E75CD"/>
    <w:rsid w:val="005F2676"/>
    <w:rsid w:val="005F28D7"/>
    <w:rsid w:val="005F4688"/>
    <w:rsid w:val="005F60DA"/>
    <w:rsid w:val="006005DF"/>
    <w:rsid w:val="00600C77"/>
    <w:rsid w:val="00602367"/>
    <w:rsid w:val="00604E35"/>
    <w:rsid w:val="006055AF"/>
    <w:rsid w:val="006104E5"/>
    <w:rsid w:val="006224E6"/>
    <w:rsid w:val="00622EE2"/>
    <w:rsid w:val="00624857"/>
    <w:rsid w:val="006254C0"/>
    <w:rsid w:val="006424D0"/>
    <w:rsid w:val="00643F97"/>
    <w:rsid w:val="0065413E"/>
    <w:rsid w:val="00680677"/>
    <w:rsid w:val="00682640"/>
    <w:rsid w:val="006828FA"/>
    <w:rsid w:val="006969DD"/>
    <w:rsid w:val="006A16F9"/>
    <w:rsid w:val="006A20F5"/>
    <w:rsid w:val="006A2BA2"/>
    <w:rsid w:val="006A5F87"/>
    <w:rsid w:val="006B1CB6"/>
    <w:rsid w:val="006C4142"/>
    <w:rsid w:val="006C712D"/>
    <w:rsid w:val="006D6390"/>
    <w:rsid w:val="006D6BCA"/>
    <w:rsid w:val="006E434C"/>
    <w:rsid w:val="006E7F8B"/>
    <w:rsid w:val="006F15BD"/>
    <w:rsid w:val="006F36C3"/>
    <w:rsid w:val="006F71EB"/>
    <w:rsid w:val="00702CB0"/>
    <w:rsid w:val="0071102B"/>
    <w:rsid w:val="0071110C"/>
    <w:rsid w:val="00720003"/>
    <w:rsid w:val="0072227C"/>
    <w:rsid w:val="00723612"/>
    <w:rsid w:val="007238B5"/>
    <w:rsid w:val="00725B97"/>
    <w:rsid w:val="00725DFF"/>
    <w:rsid w:val="00727225"/>
    <w:rsid w:val="007314CF"/>
    <w:rsid w:val="0074260E"/>
    <w:rsid w:val="00762F1D"/>
    <w:rsid w:val="007703FD"/>
    <w:rsid w:val="0077774E"/>
    <w:rsid w:val="00780B57"/>
    <w:rsid w:val="0078582E"/>
    <w:rsid w:val="00795614"/>
    <w:rsid w:val="007A030E"/>
    <w:rsid w:val="007A6C93"/>
    <w:rsid w:val="007B3FF1"/>
    <w:rsid w:val="007B7D4A"/>
    <w:rsid w:val="007C10B6"/>
    <w:rsid w:val="007C1873"/>
    <w:rsid w:val="007C25C7"/>
    <w:rsid w:val="007C3B3B"/>
    <w:rsid w:val="007C3B7C"/>
    <w:rsid w:val="007E7880"/>
    <w:rsid w:val="0080344C"/>
    <w:rsid w:val="00804FEB"/>
    <w:rsid w:val="0080729B"/>
    <w:rsid w:val="0081246B"/>
    <w:rsid w:val="00833059"/>
    <w:rsid w:val="0083423D"/>
    <w:rsid w:val="00836F06"/>
    <w:rsid w:val="008474FA"/>
    <w:rsid w:val="00862A43"/>
    <w:rsid w:val="00864308"/>
    <w:rsid w:val="00864A83"/>
    <w:rsid w:val="008715C4"/>
    <w:rsid w:val="00876E09"/>
    <w:rsid w:val="008825E1"/>
    <w:rsid w:val="00883693"/>
    <w:rsid w:val="00883ED0"/>
    <w:rsid w:val="00896943"/>
    <w:rsid w:val="008A368E"/>
    <w:rsid w:val="008B302A"/>
    <w:rsid w:val="008B4DF3"/>
    <w:rsid w:val="008C20A2"/>
    <w:rsid w:val="008D2674"/>
    <w:rsid w:val="008D5B85"/>
    <w:rsid w:val="008D5FB8"/>
    <w:rsid w:val="008E35F5"/>
    <w:rsid w:val="008E3FE3"/>
    <w:rsid w:val="008E53C8"/>
    <w:rsid w:val="008E7327"/>
    <w:rsid w:val="008F13C7"/>
    <w:rsid w:val="008F67A7"/>
    <w:rsid w:val="008F7992"/>
    <w:rsid w:val="00903AA1"/>
    <w:rsid w:val="009110AD"/>
    <w:rsid w:val="00912FCB"/>
    <w:rsid w:val="00916846"/>
    <w:rsid w:val="00924242"/>
    <w:rsid w:val="00932339"/>
    <w:rsid w:val="00933379"/>
    <w:rsid w:val="00935FE1"/>
    <w:rsid w:val="00940B72"/>
    <w:rsid w:val="00942AF5"/>
    <w:rsid w:val="00942BBE"/>
    <w:rsid w:val="00944B6F"/>
    <w:rsid w:val="00947E5F"/>
    <w:rsid w:val="009515D3"/>
    <w:rsid w:val="00951A41"/>
    <w:rsid w:val="00954AB2"/>
    <w:rsid w:val="00960572"/>
    <w:rsid w:val="009656FA"/>
    <w:rsid w:val="00975064"/>
    <w:rsid w:val="009800B9"/>
    <w:rsid w:val="00994224"/>
    <w:rsid w:val="0099773F"/>
    <w:rsid w:val="009A0333"/>
    <w:rsid w:val="009B1946"/>
    <w:rsid w:val="009B71DF"/>
    <w:rsid w:val="009C07AE"/>
    <w:rsid w:val="009D098C"/>
    <w:rsid w:val="009D379C"/>
    <w:rsid w:val="009F42FB"/>
    <w:rsid w:val="00A003E9"/>
    <w:rsid w:val="00A010C3"/>
    <w:rsid w:val="00A07530"/>
    <w:rsid w:val="00A10CD0"/>
    <w:rsid w:val="00A11CF6"/>
    <w:rsid w:val="00A243FB"/>
    <w:rsid w:val="00A248CC"/>
    <w:rsid w:val="00A33151"/>
    <w:rsid w:val="00A419F7"/>
    <w:rsid w:val="00A52278"/>
    <w:rsid w:val="00A52826"/>
    <w:rsid w:val="00A61C04"/>
    <w:rsid w:val="00A64355"/>
    <w:rsid w:val="00A64385"/>
    <w:rsid w:val="00A72EF7"/>
    <w:rsid w:val="00A76130"/>
    <w:rsid w:val="00A82C77"/>
    <w:rsid w:val="00A830AA"/>
    <w:rsid w:val="00A95E14"/>
    <w:rsid w:val="00A976CE"/>
    <w:rsid w:val="00AA5854"/>
    <w:rsid w:val="00AC197B"/>
    <w:rsid w:val="00AC4783"/>
    <w:rsid w:val="00AC6F6C"/>
    <w:rsid w:val="00AD6411"/>
    <w:rsid w:val="00AF3978"/>
    <w:rsid w:val="00B103BD"/>
    <w:rsid w:val="00B11977"/>
    <w:rsid w:val="00B12168"/>
    <w:rsid w:val="00B13BB6"/>
    <w:rsid w:val="00B1467D"/>
    <w:rsid w:val="00B22069"/>
    <w:rsid w:val="00B42469"/>
    <w:rsid w:val="00B510D7"/>
    <w:rsid w:val="00B5537B"/>
    <w:rsid w:val="00B558DE"/>
    <w:rsid w:val="00B81368"/>
    <w:rsid w:val="00B87BE2"/>
    <w:rsid w:val="00B92795"/>
    <w:rsid w:val="00B95703"/>
    <w:rsid w:val="00BB2763"/>
    <w:rsid w:val="00BC0E92"/>
    <w:rsid w:val="00BC27D3"/>
    <w:rsid w:val="00BC7700"/>
    <w:rsid w:val="00BD7385"/>
    <w:rsid w:val="00BE1063"/>
    <w:rsid w:val="00BF0416"/>
    <w:rsid w:val="00BF53F0"/>
    <w:rsid w:val="00BF5F73"/>
    <w:rsid w:val="00C1211F"/>
    <w:rsid w:val="00C12BEA"/>
    <w:rsid w:val="00C130A7"/>
    <w:rsid w:val="00C1617B"/>
    <w:rsid w:val="00C17840"/>
    <w:rsid w:val="00C2322F"/>
    <w:rsid w:val="00C264B8"/>
    <w:rsid w:val="00C27889"/>
    <w:rsid w:val="00C309AF"/>
    <w:rsid w:val="00C32C40"/>
    <w:rsid w:val="00C43A69"/>
    <w:rsid w:val="00C5113C"/>
    <w:rsid w:val="00C60374"/>
    <w:rsid w:val="00C62DF1"/>
    <w:rsid w:val="00C67419"/>
    <w:rsid w:val="00C73F7D"/>
    <w:rsid w:val="00C76E92"/>
    <w:rsid w:val="00C8603E"/>
    <w:rsid w:val="00C92D59"/>
    <w:rsid w:val="00CA029F"/>
    <w:rsid w:val="00CA7DE7"/>
    <w:rsid w:val="00CA7EBD"/>
    <w:rsid w:val="00CB1F29"/>
    <w:rsid w:val="00CB65A8"/>
    <w:rsid w:val="00CE0F73"/>
    <w:rsid w:val="00CE3294"/>
    <w:rsid w:val="00CE71B5"/>
    <w:rsid w:val="00CF1F58"/>
    <w:rsid w:val="00D113B0"/>
    <w:rsid w:val="00D132E4"/>
    <w:rsid w:val="00D14521"/>
    <w:rsid w:val="00D22606"/>
    <w:rsid w:val="00D309DA"/>
    <w:rsid w:val="00D31257"/>
    <w:rsid w:val="00D36B6A"/>
    <w:rsid w:val="00D40345"/>
    <w:rsid w:val="00D435CF"/>
    <w:rsid w:val="00D452AB"/>
    <w:rsid w:val="00D465C4"/>
    <w:rsid w:val="00D52B80"/>
    <w:rsid w:val="00D5388D"/>
    <w:rsid w:val="00D632CF"/>
    <w:rsid w:val="00D63376"/>
    <w:rsid w:val="00D652B0"/>
    <w:rsid w:val="00D65CDD"/>
    <w:rsid w:val="00D72052"/>
    <w:rsid w:val="00D80562"/>
    <w:rsid w:val="00D85C33"/>
    <w:rsid w:val="00D93A42"/>
    <w:rsid w:val="00D94BF3"/>
    <w:rsid w:val="00D97CD4"/>
    <w:rsid w:val="00DA0F0D"/>
    <w:rsid w:val="00DA3FE6"/>
    <w:rsid w:val="00DA68ED"/>
    <w:rsid w:val="00DB112F"/>
    <w:rsid w:val="00DC3E56"/>
    <w:rsid w:val="00DC4A32"/>
    <w:rsid w:val="00DD1A52"/>
    <w:rsid w:val="00DD7828"/>
    <w:rsid w:val="00DE2AEE"/>
    <w:rsid w:val="00DE403D"/>
    <w:rsid w:val="00DF0F6B"/>
    <w:rsid w:val="00DF3DFB"/>
    <w:rsid w:val="00E07312"/>
    <w:rsid w:val="00E2161D"/>
    <w:rsid w:val="00E26ED9"/>
    <w:rsid w:val="00E34CC7"/>
    <w:rsid w:val="00E356DD"/>
    <w:rsid w:val="00E3720A"/>
    <w:rsid w:val="00E44D0A"/>
    <w:rsid w:val="00E44DE2"/>
    <w:rsid w:val="00E562E3"/>
    <w:rsid w:val="00E62879"/>
    <w:rsid w:val="00E657DD"/>
    <w:rsid w:val="00E72062"/>
    <w:rsid w:val="00E73ADD"/>
    <w:rsid w:val="00E75879"/>
    <w:rsid w:val="00E82CA5"/>
    <w:rsid w:val="00E869AE"/>
    <w:rsid w:val="00E921BE"/>
    <w:rsid w:val="00E92A5D"/>
    <w:rsid w:val="00E930E9"/>
    <w:rsid w:val="00EA0BCD"/>
    <w:rsid w:val="00EA1BDB"/>
    <w:rsid w:val="00EA7148"/>
    <w:rsid w:val="00EB1F23"/>
    <w:rsid w:val="00EC1860"/>
    <w:rsid w:val="00EC640F"/>
    <w:rsid w:val="00EE22E0"/>
    <w:rsid w:val="00EE357E"/>
    <w:rsid w:val="00EF2028"/>
    <w:rsid w:val="00EF7003"/>
    <w:rsid w:val="00EF7220"/>
    <w:rsid w:val="00F020E7"/>
    <w:rsid w:val="00F1076C"/>
    <w:rsid w:val="00F11A36"/>
    <w:rsid w:val="00F138AB"/>
    <w:rsid w:val="00F213F1"/>
    <w:rsid w:val="00F22C58"/>
    <w:rsid w:val="00F22E90"/>
    <w:rsid w:val="00F24D56"/>
    <w:rsid w:val="00F314A1"/>
    <w:rsid w:val="00F31550"/>
    <w:rsid w:val="00F32EAB"/>
    <w:rsid w:val="00F35DD2"/>
    <w:rsid w:val="00F46685"/>
    <w:rsid w:val="00F53CCC"/>
    <w:rsid w:val="00F55462"/>
    <w:rsid w:val="00F60EBC"/>
    <w:rsid w:val="00F6189C"/>
    <w:rsid w:val="00F92C82"/>
    <w:rsid w:val="00F97431"/>
    <w:rsid w:val="00FA321E"/>
    <w:rsid w:val="00FA4D28"/>
    <w:rsid w:val="00FB265B"/>
    <w:rsid w:val="00FB3517"/>
    <w:rsid w:val="00FB6A72"/>
    <w:rsid w:val="00FC097A"/>
    <w:rsid w:val="00FD0809"/>
    <w:rsid w:val="00FD69D7"/>
    <w:rsid w:val="00FE375F"/>
    <w:rsid w:val="00FF03DB"/>
    <w:rsid w:val="00FF3D31"/>
    <w:rsid w:val="010B0475"/>
    <w:rsid w:val="01164B88"/>
    <w:rsid w:val="011C626C"/>
    <w:rsid w:val="012745B9"/>
    <w:rsid w:val="013E16ED"/>
    <w:rsid w:val="014632E9"/>
    <w:rsid w:val="015443C1"/>
    <w:rsid w:val="016C3779"/>
    <w:rsid w:val="01830099"/>
    <w:rsid w:val="01895A4D"/>
    <w:rsid w:val="01917894"/>
    <w:rsid w:val="01A063F6"/>
    <w:rsid w:val="01B97F5E"/>
    <w:rsid w:val="01F95703"/>
    <w:rsid w:val="01FA2C0B"/>
    <w:rsid w:val="01FD2C1A"/>
    <w:rsid w:val="02064CB5"/>
    <w:rsid w:val="02077996"/>
    <w:rsid w:val="02370EA1"/>
    <w:rsid w:val="023B5BFF"/>
    <w:rsid w:val="023F19CE"/>
    <w:rsid w:val="025739FF"/>
    <w:rsid w:val="025F68E9"/>
    <w:rsid w:val="028F7B33"/>
    <w:rsid w:val="02A1111E"/>
    <w:rsid w:val="02FB3B37"/>
    <w:rsid w:val="030409C5"/>
    <w:rsid w:val="030C6666"/>
    <w:rsid w:val="0313544C"/>
    <w:rsid w:val="031A5F67"/>
    <w:rsid w:val="031D2F23"/>
    <w:rsid w:val="032B630B"/>
    <w:rsid w:val="03306128"/>
    <w:rsid w:val="0341730F"/>
    <w:rsid w:val="034417AC"/>
    <w:rsid w:val="035A0B8E"/>
    <w:rsid w:val="035B7CD3"/>
    <w:rsid w:val="035D3B47"/>
    <w:rsid w:val="036C2532"/>
    <w:rsid w:val="03800D34"/>
    <w:rsid w:val="03843306"/>
    <w:rsid w:val="039E4C8C"/>
    <w:rsid w:val="03BB20CC"/>
    <w:rsid w:val="03D34DCC"/>
    <w:rsid w:val="03E51874"/>
    <w:rsid w:val="04227711"/>
    <w:rsid w:val="04230F6B"/>
    <w:rsid w:val="042F236B"/>
    <w:rsid w:val="043438CC"/>
    <w:rsid w:val="046A6861"/>
    <w:rsid w:val="047321AE"/>
    <w:rsid w:val="04737FBB"/>
    <w:rsid w:val="04871548"/>
    <w:rsid w:val="048B5FB4"/>
    <w:rsid w:val="049D0D0D"/>
    <w:rsid w:val="04A03A68"/>
    <w:rsid w:val="04B3555B"/>
    <w:rsid w:val="04BC305A"/>
    <w:rsid w:val="04C73CEE"/>
    <w:rsid w:val="04C904B8"/>
    <w:rsid w:val="04CA5FDF"/>
    <w:rsid w:val="04DD5D12"/>
    <w:rsid w:val="04EB0E68"/>
    <w:rsid w:val="04EE30AA"/>
    <w:rsid w:val="050C4B57"/>
    <w:rsid w:val="051E41F2"/>
    <w:rsid w:val="052971A9"/>
    <w:rsid w:val="052D4EEB"/>
    <w:rsid w:val="05343860"/>
    <w:rsid w:val="055208E4"/>
    <w:rsid w:val="05605753"/>
    <w:rsid w:val="05610FE1"/>
    <w:rsid w:val="056A60EF"/>
    <w:rsid w:val="05704DD8"/>
    <w:rsid w:val="057475BE"/>
    <w:rsid w:val="05813E6E"/>
    <w:rsid w:val="05830EFE"/>
    <w:rsid w:val="0591547A"/>
    <w:rsid w:val="05E712AF"/>
    <w:rsid w:val="05E97064"/>
    <w:rsid w:val="05F23972"/>
    <w:rsid w:val="06022278"/>
    <w:rsid w:val="06055520"/>
    <w:rsid w:val="060A3D7B"/>
    <w:rsid w:val="060B16EF"/>
    <w:rsid w:val="06156D3F"/>
    <w:rsid w:val="06172B56"/>
    <w:rsid w:val="061C4744"/>
    <w:rsid w:val="062570C3"/>
    <w:rsid w:val="063163F5"/>
    <w:rsid w:val="06443FD4"/>
    <w:rsid w:val="06542B97"/>
    <w:rsid w:val="065C4882"/>
    <w:rsid w:val="065C732C"/>
    <w:rsid w:val="06663CFD"/>
    <w:rsid w:val="067B1C86"/>
    <w:rsid w:val="067E0ACE"/>
    <w:rsid w:val="067F49BA"/>
    <w:rsid w:val="0696546A"/>
    <w:rsid w:val="06A1459A"/>
    <w:rsid w:val="06A713D5"/>
    <w:rsid w:val="06A72875"/>
    <w:rsid w:val="06B523B4"/>
    <w:rsid w:val="06D6265A"/>
    <w:rsid w:val="06EF618A"/>
    <w:rsid w:val="06FD6012"/>
    <w:rsid w:val="07233CF2"/>
    <w:rsid w:val="07277E4A"/>
    <w:rsid w:val="07312958"/>
    <w:rsid w:val="073212C7"/>
    <w:rsid w:val="0737475B"/>
    <w:rsid w:val="07583439"/>
    <w:rsid w:val="076661DC"/>
    <w:rsid w:val="077621EC"/>
    <w:rsid w:val="07821360"/>
    <w:rsid w:val="07832D10"/>
    <w:rsid w:val="07AB20F7"/>
    <w:rsid w:val="07BF4B46"/>
    <w:rsid w:val="07CF67A4"/>
    <w:rsid w:val="07D33E57"/>
    <w:rsid w:val="07E07279"/>
    <w:rsid w:val="07E46C66"/>
    <w:rsid w:val="07F01122"/>
    <w:rsid w:val="08083760"/>
    <w:rsid w:val="08155081"/>
    <w:rsid w:val="083D71F3"/>
    <w:rsid w:val="0854399F"/>
    <w:rsid w:val="08550A1F"/>
    <w:rsid w:val="085E77F2"/>
    <w:rsid w:val="085E7EC5"/>
    <w:rsid w:val="08810382"/>
    <w:rsid w:val="0889196E"/>
    <w:rsid w:val="08924764"/>
    <w:rsid w:val="08974772"/>
    <w:rsid w:val="089B7D9C"/>
    <w:rsid w:val="08A240AA"/>
    <w:rsid w:val="08A301E0"/>
    <w:rsid w:val="08A842FA"/>
    <w:rsid w:val="08E2013E"/>
    <w:rsid w:val="08EA6EC7"/>
    <w:rsid w:val="08EE04EE"/>
    <w:rsid w:val="08F22A9E"/>
    <w:rsid w:val="08F66379"/>
    <w:rsid w:val="08F724AF"/>
    <w:rsid w:val="08F9253D"/>
    <w:rsid w:val="09023F99"/>
    <w:rsid w:val="09063878"/>
    <w:rsid w:val="091A7535"/>
    <w:rsid w:val="09334F34"/>
    <w:rsid w:val="09335716"/>
    <w:rsid w:val="093643E7"/>
    <w:rsid w:val="09573DEF"/>
    <w:rsid w:val="0961604E"/>
    <w:rsid w:val="096310C9"/>
    <w:rsid w:val="096C547C"/>
    <w:rsid w:val="097C11CE"/>
    <w:rsid w:val="097D251D"/>
    <w:rsid w:val="098047A7"/>
    <w:rsid w:val="098413F8"/>
    <w:rsid w:val="09896571"/>
    <w:rsid w:val="09904AEC"/>
    <w:rsid w:val="099B4073"/>
    <w:rsid w:val="099C3F05"/>
    <w:rsid w:val="099F5E76"/>
    <w:rsid w:val="09C6147E"/>
    <w:rsid w:val="09C67818"/>
    <w:rsid w:val="09DA6CC4"/>
    <w:rsid w:val="09E0722A"/>
    <w:rsid w:val="09F379C4"/>
    <w:rsid w:val="09F95F55"/>
    <w:rsid w:val="0A097FB9"/>
    <w:rsid w:val="0A0D15A1"/>
    <w:rsid w:val="0A107FD2"/>
    <w:rsid w:val="0A18493F"/>
    <w:rsid w:val="0A345492"/>
    <w:rsid w:val="0A5440F6"/>
    <w:rsid w:val="0A695E73"/>
    <w:rsid w:val="0A72134D"/>
    <w:rsid w:val="0A960A6B"/>
    <w:rsid w:val="0A9658EF"/>
    <w:rsid w:val="0AA43F8F"/>
    <w:rsid w:val="0AD32B9E"/>
    <w:rsid w:val="0ADB193B"/>
    <w:rsid w:val="0ADD2EBC"/>
    <w:rsid w:val="0AE55984"/>
    <w:rsid w:val="0AEF5C9B"/>
    <w:rsid w:val="0AFE74D1"/>
    <w:rsid w:val="0B04351F"/>
    <w:rsid w:val="0B1474F2"/>
    <w:rsid w:val="0B1952CB"/>
    <w:rsid w:val="0B257904"/>
    <w:rsid w:val="0B2E1F56"/>
    <w:rsid w:val="0B2E376B"/>
    <w:rsid w:val="0B4A31C8"/>
    <w:rsid w:val="0B4F0345"/>
    <w:rsid w:val="0B4F2300"/>
    <w:rsid w:val="0B6A3512"/>
    <w:rsid w:val="0B737363"/>
    <w:rsid w:val="0B8E7D66"/>
    <w:rsid w:val="0B9F3453"/>
    <w:rsid w:val="0BA436BD"/>
    <w:rsid w:val="0BA8707A"/>
    <w:rsid w:val="0BAA3EDD"/>
    <w:rsid w:val="0BC4723C"/>
    <w:rsid w:val="0BCD36CD"/>
    <w:rsid w:val="0BE6606F"/>
    <w:rsid w:val="0BE74F15"/>
    <w:rsid w:val="0BFF2E80"/>
    <w:rsid w:val="0C1C74AE"/>
    <w:rsid w:val="0C213484"/>
    <w:rsid w:val="0C244086"/>
    <w:rsid w:val="0C272293"/>
    <w:rsid w:val="0C337593"/>
    <w:rsid w:val="0C372FCD"/>
    <w:rsid w:val="0C515133"/>
    <w:rsid w:val="0C545396"/>
    <w:rsid w:val="0C5457D1"/>
    <w:rsid w:val="0C717E1C"/>
    <w:rsid w:val="0C746ACA"/>
    <w:rsid w:val="0C783AA6"/>
    <w:rsid w:val="0CA66028"/>
    <w:rsid w:val="0CD81BE1"/>
    <w:rsid w:val="0CD95E41"/>
    <w:rsid w:val="0D102BB5"/>
    <w:rsid w:val="0D113B85"/>
    <w:rsid w:val="0D177805"/>
    <w:rsid w:val="0D2348A7"/>
    <w:rsid w:val="0D244E26"/>
    <w:rsid w:val="0D284E83"/>
    <w:rsid w:val="0D2935C2"/>
    <w:rsid w:val="0D296605"/>
    <w:rsid w:val="0D3870E7"/>
    <w:rsid w:val="0D3B530A"/>
    <w:rsid w:val="0D457744"/>
    <w:rsid w:val="0D54476C"/>
    <w:rsid w:val="0D553911"/>
    <w:rsid w:val="0D5C295F"/>
    <w:rsid w:val="0D762E02"/>
    <w:rsid w:val="0DAF7821"/>
    <w:rsid w:val="0DB56DDC"/>
    <w:rsid w:val="0DC30CBA"/>
    <w:rsid w:val="0DD34156"/>
    <w:rsid w:val="0DE311A9"/>
    <w:rsid w:val="0DF454E1"/>
    <w:rsid w:val="0E09061B"/>
    <w:rsid w:val="0E1B3897"/>
    <w:rsid w:val="0E32010A"/>
    <w:rsid w:val="0E3D7AF2"/>
    <w:rsid w:val="0E3E4B4E"/>
    <w:rsid w:val="0E3F28F3"/>
    <w:rsid w:val="0E3F3E02"/>
    <w:rsid w:val="0E407913"/>
    <w:rsid w:val="0E4A6069"/>
    <w:rsid w:val="0E584B85"/>
    <w:rsid w:val="0E657CB6"/>
    <w:rsid w:val="0E6C5751"/>
    <w:rsid w:val="0E6E2065"/>
    <w:rsid w:val="0E8D1EE0"/>
    <w:rsid w:val="0E8F6872"/>
    <w:rsid w:val="0E903E81"/>
    <w:rsid w:val="0E9B2EC6"/>
    <w:rsid w:val="0EAE0E4B"/>
    <w:rsid w:val="0EAF0344"/>
    <w:rsid w:val="0EBD2E3C"/>
    <w:rsid w:val="0EC04C51"/>
    <w:rsid w:val="0EC35F79"/>
    <w:rsid w:val="0ED666DF"/>
    <w:rsid w:val="0EE5178E"/>
    <w:rsid w:val="0EF34AB0"/>
    <w:rsid w:val="0F3478C1"/>
    <w:rsid w:val="0F44158E"/>
    <w:rsid w:val="0F457322"/>
    <w:rsid w:val="0F4B669A"/>
    <w:rsid w:val="0F4C71A5"/>
    <w:rsid w:val="0F5C6E37"/>
    <w:rsid w:val="0F5E03E3"/>
    <w:rsid w:val="0F5E408C"/>
    <w:rsid w:val="0F607C6B"/>
    <w:rsid w:val="0F783B0D"/>
    <w:rsid w:val="0F8739DD"/>
    <w:rsid w:val="0F8B3176"/>
    <w:rsid w:val="0F9D0C62"/>
    <w:rsid w:val="0FB14DDD"/>
    <w:rsid w:val="0FB24FB1"/>
    <w:rsid w:val="0FB81855"/>
    <w:rsid w:val="0FBC048E"/>
    <w:rsid w:val="0FD56828"/>
    <w:rsid w:val="0FF6628A"/>
    <w:rsid w:val="100658D8"/>
    <w:rsid w:val="10241AFD"/>
    <w:rsid w:val="103F0A5C"/>
    <w:rsid w:val="103F4E00"/>
    <w:rsid w:val="104B674A"/>
    <w:rsid w:val="104B6892"/>
    <w:rsid w:val="104F21BA"/>
    <w:rsid w:val="104F3F68"/>
    <w:rsid w:val="105134D0"/>
    <w:rsid w:val="1051674C"/>
    <w:rsid w:val="105B72E7"/>
    <w:rsid w:val="105C49AA"/>
    <w:rsid w:val="10647C22"/>
    <w:rsid w:val="106D5EC4"/>
    <w:rsid w:val="10761B37"/>
    <w:rsid w:val="10861954"/>
    <w:rsid w:val="10863702"/>
    <w:rsid w:val="1088432D"/>
    <w:rsid w:val="108B0D18"/>
    <w:rsid w:val="10924232"/>
    <w:rsid w:val="109E016A"/>
    <w:rsid w:val="10A03710"/>
    <w:rsid w:val="10A45459"/>
    <w:rsid w:val="10B309F0"/>
    <w:rsid w:val="10C05D7B"/>
    <w:rsid w:val="10C823BD"/>
    <w:rsid w:val="10D366B1"/>
    <w:rsid w:val="10D60C4A"/>
    <w:rsid w:val="10F67417"/>
    <w:rsid w:val="112F590F"/>
    <w:rsid w:val="11466CC0"/>
    <w:rsid w:val="114837EC"/>
    <w:rsid w:val="114D1C27"/>
    <w:rsid w:val="115033D9"/>
    <w:rsid w:val="115B6548"/>
    <w:rsid w:val="11661CA6"/>
    <w:rsid w:val="116E0A6E"/>
    <w:rsid w:val="117048C5"/>
    <w:rsid w:val="118A2253"/>
    <w:rsid w:val="11A021F8"/>
    <w:rsid w:val="11B06995"/>
    <w:rsid w:val="11C0052E"/>
    <w:rsid w:val="11CF3C92"/>
    <w:rsid w:val="11D16ECB"/>
    <w:rsid w:val="11D34725"/>
    <w:rsid w:val="11FB4214"/>
    <w:rsid w:val="12160F3D"/>
    <w:rsid w:val="12231B02"/>
    <w:rsid w:val="122C438D"/>
    <w:rsid w:val="12441151"/>
    <w:rsid w:val="12663109"/>
    <w:rsid w:val="12726684"/>
    <w:rsid w:val="1287063E"/>
    <w:rsid w:val="1289738A"/>
    <w:rsid w:val="12AB3870"/>
    <w:rsid w:val="12B05686"/>
    <w:rsid w:val="12B72030"/>
    <w:rsid w:val="12D27989"/>
    <w:rsid w:val="12DB7359"/>
    <w:rsid w:val="12DC0ED7"/>
    <w:rsid w:val="12DE7825"/>
    <w:rsid w:val="12DF1144"/>
    <w:rsid w:val="12E43A11"/>
    <w:rsid w:val="12F30490"/>
    <w:rsid w:val="12F46724"/>
    <w:rsid w:val="13036097"/>
    <w:rsid w:val="130C6140"/>
    <w:rsid w:val="130D0479"/>
    <w:rsid w:val="132536A6"/>
    <w:rsid w:val="13276632"/>
    <w:rsid w:val="132F0464"/>
    <w:rsid w:val="133F2552"/>
    <w:rsid w:val="134C04FB"/>
    <w:rsid w:val="134F0723"/>
    <w:rsid w:val="1351149E"/>
    <w:rsid w:val="1356393B"/>
    <w:rsid w:val="13665569"/>
    <w:rsid w:val="136C472C"/>
    <w:rsid w:val="13750FF7"/>
    <w:rsid w:val="137C1C8F"/>
    <w:rsid w:val="13833021"/>
    <w:rsid w:val="13880D96"/>
    <w:rsid w:val="138822C1"/>
    <w:rsid w:val="13983EDF"/>
    <w:rsid w:val="139A199E"/>
    <w:rsid w:val="139A420A"/>
    <w:rsid w:val="139B01EE"/>
    <w:rsid w:val="13AE5B37"/>
    <w:rsid w:val="13DD2630"/>
    <w:rsid w:val="13E138F0"/>
    <w:rsid w:val="13E3266A"/>
    <w:rsid w:val="13EF057A"/>
    <w:rsid w:val="14024931"/>
    <w:rsid w:val="14026D79"/>
    <w:rsid w:val="140D6614"/>
    <w:rsid w:val="140E024D"/>
    <w:rsid w:val="141823C0"/>
    <w:rsid w:val="1424570B"/>
    <w:rsid w:val="142B398F"/>
    <w:rsid w:val="142F05CE"/>
    <w:rsid w:val="14360F37"/>
    <w:rsid w:val="143E1B9C"/>
    <w:rsid w:val="145E0C1D"/>
    <w:rsid w:val="14634486"/>
    <w:rsid w:val="14761F8B"/>
    <w:rsid w:val="147B1051"/>
    <w:rsid w:val="14866626"/>
    <w:rsid w:val="148E5193"/>
    <w:rsid w:val="149C17E3"/>
    <w:rsid w:val="14AB3312"/>
    <w:rsid w:val="14DE3932"/>
    <w:rsid w:val="14EE3BC5"/>
    <w:rsid w:val="14F661CA"/>
    <w:rsid w:val="14FE1E2E"/>
    <w:rsid w:val="150A58BF"/>
    <w:rsid w:val="15184959"/>
    <w:rsid w:val="152500E3"/>
    <w:rsid w:val="156416A9"/>
    <w:rsid w:val="156A35F2"/>
    <w:rsid w:val="156F3A17"/>
    <w:rsid w:val="15723A20"/>
    <w:rsid w:val="1574656B"/>
    <w:rsid w:val="157F6158"/>
    <w:rsid w:val="15843AB6"/>
    <w:rsid w:val="15883C49"/>
    <w:rsid w:val="158D1EAF"/>
    <w:rsid w:val="158E095E"/>
    <w:rsid w:val="15A0783F"/>
    <w:rsid w:val="15BC36F9"/>
    <w:rsid w:val="15C90318"/>
    <w:rsid w:val="15CA0979"/>
    <w:rsid w:val="15CA4C2B"/>
    <w:rsid w:val="15D32BC9"/>
    <w:rsid w:val="15D7324D"/>
    <w:rsid w:val="15DA708C"/>
    <w:rsid w:val="15E032BD"/>
    <w:rsid w:val="15F25956"/>
    <w:rsid w:val="16050A35"/>
    <w:rsid w:val="160770CC"/>
    <w:rsid w:val="161D3275"/>
    <w:rsid w:val="161E1735"/>
    <w:rsid w:val="16302E6B"/>
    <w:rsid w:val="16336AFC"/>
    <w:rsid w:val="16352522"/>
    <w:rsid w:val="16432C17"/>
    <w:rsid w:val="164E5DD5"/>
    <w:rsid w:val="16560F6A"/>
    <w:rsid w:val="166167A3"/>
    <w:rsid w:val="16626E25"/>
    <w:rsid w:val="16627091"/>
    <w:rsid w:val="166E558B"/>
    <w:rsid w:val="167339E4"/>
    <w:rsid w:val="169C3C2F"/>
    <w:rsid w:val="169C78F2"/>
    <w:rsid w:val="169D73CA"/>
    <w:rsid w:val="16A13043"/>
    <w:rsid w:val="16A15FC9"/>
    <w:rsid w:val="16B54AF6"/>
    <w:rsid w:val="16FA3DEE"/>
    <w:rsid w:val="16FE5A71"/>
    <w:rsid w:val="170B5EA3"/>
    <w:rsid w:val="171903F8"/>
    <w:rsid w:val="173C0021"/>
    <w:rsid w:val="17476CF7"/>
    <w:rsid w:val="17541FF6"/>
    <w:rsid w:val="175B0F1E"/>
    <w:rsid w:val="175C4625"/>
    <w:rsid w:val="175E7FDF"/>
    <w:rsid w:val="178E4993"/>
    <w:rsid w:val="17A2657D"/>
    <w:rsid w:val="17A70B2D"/>
    <w:rsid w:val="17BF6EB3"/>
    <w:rsid w:val="17D14638"/>
    <w:rsid w:val="17D944CE"/>
    <w:rsid w:val="17E625C2"/>
    <w:rsid w:val="18037F78"/>
    <w:rsid w:val="181F1D92"/>
    <w:rsid w:val="182879E7"/>
    <w:rsid w:val="182B350C"/>
    <w:rsid w:val="182F467F"/>
    <w:rsid w:val="18335364"/>
    <w:rsid w:val="1838659B"/>
    <w:rsid w:val="1848304B"/>
    <w:rsid w:val="184C06E4"/>
    <w:rsid w:val="1858027F"/>
    <w:rsid w:val="18683A26"/>
    <w:rsid w:val="187212AC"/>
    <w:rsid w:val="18730A0F"/>
    <w:rsid w:val="1873245E"/>
    <w:rsid w:val="187C12A5"/>
    <w:rsid w:val="18850101"/>
    <w:rsid w:val="18857913"/>
    <w:rsid w:val="18885AF9"/>
    <w:rsid w:val="18B362B1"/>
    <w:rsid w:val="18B36492"/>
    <w:rsid w:val="18BC027F"/>
    <w:rsid w:val="18CA23FB"/>
    <w:rsid w:val="18CD0567"/>
    <w:rsid w:val="18E02DCF"/>
    <w:rsid w:val="18EC307D"/>
    <w:rsid w:val="18F2497C"/>
    <w:rsid w:val="18FA6A3B"/>
    <w:rsid w:val="19083859"/>
    <w:rsid w:val="1925197F"/>
    <w:rsid w:val="192B5F77"/>
    <w:rsid w:val="194100EF"/>
    <w:rsid w:val="195459C6"/>
    <w:rsid w:val="196F4147"/>
    <w:rsid w:val="197850B7"/>
    <w:rsid w:val="19953E7E"/>
    <w:rsid w:val="199A10B7"/>
    <w:rsid w:val="19A215AC"/>
    <w:rsid w:val="19A67001"/>
    <w:rsid w:val="19BC1F42"/>
    <w:rsid w:val="19BF4C54"/>
    <w:rsid w:val="19C5671B"/>
    <w:rsid w:val="19CF7176"/>
    <w:rsid w:val="19D43730"/>
    <w:rsid w:val="19D47AFD"/>
    <w:rsid w:val="19E64015"/>
    <w:rsid w:val="19EE3DEB"/>
    <w:rsid w:val="19FB6C73"/>
    <w:rsid w:val="1A0216C8"/>
    <w:rsid w:val="1A057D8D"/>
    <w:rsid w:val="1A0F29BA"/>
    <w:rsid w:val="1A161B8C"/>
    <w:rsid w:val="1A1B2B90"/>
    <w:rsid w:val="1A210330"/>
    <w:rsid w:val="1A2A3350"/>
    <w:rsid w:val="1A2B7B75"/>
    <w:rsid w:val="1A4B48BF"/>
    <w:rsid w:val="1A5E0D19"/>
    <w:rsid w:val="1A63295D"/>
    <w:rsid w:val="1A9D028E"/>
    <w:rsid w:val="1AA21277"/>
    <w:rsid w:val="1AAB0427"/>
    <w:rsid w:val="1AAB755C"/>
    <w:rsid w:val="1AB942D9"/>
    <w:rsid w:val="1ABC48F0"/>
    <w:rsid w:val="1ADE40B6"/>
    <w:rsid w:val="1AF51BB0"/>
    <w:rsid w:val="1B272801"/>
    <w:rsid w:val="1B2A271F"/>
    <w:rsid w:val="1B696431"/>
    <w:rsid w:val="1B701236"/>
    <w:rsid w:val="1B8040FA"/>
    <w:rsid w:val="1B86071A"/>
    <w:rsid w:val="1B8607F5"/>
    <w:rsid w:val="1BA22C27"/>
    <w:rsid w:val="1BA23A12"/>
    <w:rsid w:val="1BA80ED1"/>
    <w:rsid w:val="1BA83FAC"/>
    <w:rsid w:val="1BBA4C58"/>
    <w:rsid w:val="1BC5137F"/>
    <w:rsid w:val="1BD50639"/>
    <w:rsid w:val="1BD937BC"/>
    <w:rsid w:val="1BD97A0F"/>
    <w:rsid w:val="1BED0713"/>
    <w:rsid w:val="1BF06A09"/>
    <w:rsid w:val="1BF65128"/>
    <w:rsid w:val="1BFB2BFE"/>
    <w:rsid w:val="1C1945A6"/>
    <w:rsid w:val="1C220782"/>
    <w:rsid w:val="1C2D098F"/>
    <w:rsid w:val="1C2D213C"/>
    <w:rsid w:val="1C4824DF"/>
    <w:rsid w:val="1C584BDC"/>
    <w:rsid w:val="1C5919E2"/>
    <w:rsid w:val="1C5967C2"/>
    <w:rsid w:val="1C656C23"/>
    <w:rsid w:val="1C6A49A0"/>
    <w:rsid w:val="1C6C40F3"/>
    <w:rsid w:val="1C8E7BC6"/>
    <w:rsid w:val="1C9B2DBA"/>
    <w:rsid w:val="1CC27CB8"/>
    <w:rsid w:val="1CD83919"/>
    <w:rsid w:val="1CDE1779"/>
    <w:rsid w:val="1CE046C9"/>
    <w:rsid w:val="1CF06FF7"/>
    <w:rsid w:val="1CF34DD3"/>
    <w:rsid w:val="1CFE11EF"/>
    <w:rsid w:val="1D0667AD"/>
    <w:rsid w:val="1D167C66"/>
    <w:rsid w:val="1D216D78"/>
    <w:rsid w:val="1D2335C0"/>
    <w:rsid w:val="1D3C5C40"/>
    <w:rsid w:val="1D654444"/>
    <w:rsid w:val="1D880AB9"/>
    <w:rsid w:val="1D943902"/>
    <w:rsid w:val="1DA022A7"/>
    <w:rsid w:val="1DB152B3"/>
    <w:rsid w:val="1DB34357"/>
    <w:rsid w:val="1DC67833"/>
    <w:rsid w:val="1DCF5E5C"/>
    <w:rsid w:val="1DDB7C92"/>
    <w:rsid w:val="1DE35471"/>
    <w:rsid w:val="1DEF0B38"/>
    <w:rsid w:val="1DEF6A3A"/>
    <w:rsid w:val="1DF862AF"/>
    <w:rsid w:val="1DFD5F2E"/>
    <w:rsid w:val="1DFF4788"/>
    <w:rsid w:val="1E104ADC"/>
    <w:rsid w:val="1E214C26"/>
    <w:rsid w:val="1E311151"/>
    <w:rsid w:val="1E3913DF"/>
    <w:rsid w:val="1E3A516E"/>
    <w:rsid w:val="1E527DCB"/>
    <w:rsid w:val="1E63486F"/>
    <w:rsid w:val="1E672571"/>
    <w:rsid w:val="1E90231B"/>
    <w:rsid w:val="1E9811D0"/>
    <w:rsid w:val="1E9902EE"/>
    <w:rsid w:val="1EA23DFC"/>
    <w:rsid w:val="1EA47B74"/>
    <w:rsid w:val="1EBE690C"/>
    <w:rsid w:val="1ED21885"/>
    <w:rsid w:val="1ED44638"/>
    <w:rsid w:val="1EDB4773"/>
    <w:rsid w:val="1EF32682"/>
    <w:rsid w:val="1F204D21"/>
    <w:rsid w:val="1F2E743E"/>
    <w:rsid w:val="1F4C48BD"/>
    <w:rsid w:val="1F587B1D"/>
    <w:rsid w:val="1F781744"/>
    <w:rsid w:val="1F880086"/>
    <w:rsid w:val="1F8D5127"/>
    <w:rsid w:val="1F9B1CAC"/>
    <w:rsid w:val="1F9B5F21"/>
    <w:rsid w:val="1FA5702F"/>
    <w:rsid w:val="1FA84DA5"/>
    <w:rsid w:val="1FAA7AC6"/>
    <w:rsid w:val="1FCC13F2"/>
    <w:rsid w:val="1FF34AA4"/>
    <w:rsid w:val="1FF93EF0"/>
    <w:rsid w:val="1FFE79E6"/>
    <w:rsid w:val="2000527E"/>
    <w:rsid w:val="200E1C53"/>
    <w:rsid w:val="201272AB"/>
    <w:rsid w:val="20150283"/>
    <w:rsid w:val="20160AE4"/>
    <w:rsid w:val="201705D3"/>
    <w:rsid w:val="20201F8A"/>
    <w:rsid w:val="202C531B"/>
    <w:rsid w:val="20394BBD"/>
    <w:rsid w:val="204170D1"/>
    <w:rsid w:val="205632FF"/>
    <w:rsid w:val="205A165F"/>
    <w:rsid w:val="205E01F7"/>
    <w:rsid w:val="206433E6"/>
    <w:rsid w:val="20660D56"/>
    <w:rsid w:val="206B493A"/>
    <w:rsid w:val="20780734"/>
    <w:rsid w:val="207A1334"/>
    <w:rsid w:val="207E0F00"/>
    <w:rsid w:val="20875058"/>
    <w:rsid w:val="208C266E"/>
    <w:rsid w:val="20AD01D7"/>
    <w:rsid w:val="20B56069"/>
    <w:rsid w:val="20C55B80"/>
    <w:rsid w:val="20C63E71"/>
    <w:rsid w:val="20CE64F5"/>
    <w:rsid w:val="20D07480"/>
    <w:rsid w:val="20E77339"/>
    <w:rsid w:val="20E9368B"/>
    <w:rsid w:val="20EE0D47"/>
    <w:rsid w:val="21022466"/>
    <w:rsid w:val="210E7527"/>
    <w:rsid w:val="21190A7E"/>
    <w:rsid w:val="212162D9"/>
    <w:rsid w:val="212670CF"/>
    <w:rsid w:val="21284ECA"/>
    <w:rsid w:val="212F00D6"/>
    <w:rsid w:val="21405A66"/>
    <w:rsid w:val="214263BE"/>
    <w:rsid w:val="21495454"/>
    <w:rsid w:val="215F7D83"/>
    <w:rsid w:val="2164651B"/>
    <w:rsid w:val="2168390B"/>
    <w:rsid w:val="216C1524"/>
    <w:rsid w:val="216F6D2C"/>
    <w:rsid w:val="217F21D3"/>
    <w:rsid w:val="2185375B"/>
    <w:rsid w:val="219B3E3F"/>
    <w:rsid w:val="219F0AC7"/>
    <w:rsid w:val="21B062BE"/>
    <w:rsid w:val="21B41808"/>
    <w:rsid w:val="21C1096F"/>
    <w:rsid w:val="21C25398"/>
    <w:rsid w:val="21D04F4E"/>
    <w:rsid w:val="21D35CF0"/>
    <w:rsid w:val="21D4459A"/>
    <w:rsid w:val="21D61AFB"/>
    <w:rsid w:val="21E337CE"/>
    <w:rsid w:val="21E41B09"/>
    <w:rsid w:val="21E77033"/>
    <w:rsid w:val="21EA2970"/>
    <w:rsid w:val="21F47D0E"/>
    <w:rsid w:val="21F7620D"/>
    <w:rsid w:val="21FA4274"/>
    <w:rsid w:val="22135B75"/>
    <w:rsid w:val="221C138B"/>
    <w:rsid w:val="22243500"/>
    <w:rsid w:val="223009B6"/>
    <w:rsid w:val="223571CB"/>
    <w:rsid w:val="22437026"/>
    <w:rsid w:val="22542038"/>
    <w:rsid w:val="226A25E2"/>
    <w:rsid w:val="22730A35"/>
    <w:rsid w:val="227F64D2"/>
    <w:rsid w:val="22843949"/>
    <w:rsid w:val="22923991"/>
    <w:rsid w:val="22A97A73"/>
    <w:rsid w:val="22B10AB2"/>
    <w:rsid w:val="22B16CA5"/>
    <w:rsid w:val="22B304A2"/>
    <w:rsid w:val="22B9267B"/>
    <w:rsid w:val="22D15485"/>
    <w:rsid w:val="22D8603F"/>
    <w:rsid w:val="22F36350"/>
    <w:rsid w:val="22F535FA"/>
    <w:rsid w:val="22FF35CB"/>
    <w:rsid w:val="23336032"/>
    <w:rsid w:val="233C542A"/>
    <w:rsid w:val="233F7DCA"/>
    <w:rsid w:val="23517886"/>
    <w:rsid w:val="23572540"/>
    <w:rsid w:val="235E4422"/>
    <w:rsid w:val="23684505"/>
    <w:rsid w:val="236B10C7"/>
    <w:rsid w:val="23761E48"/>
    <w:rsid w:val="237F77E2"/>
    <w:rsid w:val="23B1063E"/>
    <w:rsid w:val="23B12AA4"/>
    <w:rsid w:val="23B71EA6"/>
    <w:rsid w:val="23BD3F0B"/>
    <w:rsid w:val="23CD542F"/>
    <w:rsid w:val="23FC7B97"/>
    <w:rsid w:val="23FE7D27"/>
    <w:rsid w:val="2407064C"/>
    <w:rsid w:val="24343749"/>
    <w:rsid w:val="243D7784"/>
    <w:rsid w:val="244E0251"/>
    <w:rsid w:val="24571D25"/>
    <w:rsid w:val="245E2574"/>
    <w:rsid w:val="24602064"/>
    <w:rsid w:val="247A7AB3"/>
    <w:rsid w:val="247C0C4C"/>
    <w:rsid w:val="24811DB6"/>
    <w:rsid w:val="24911511"/>
    <w:rsid w:val="249B37C8"/>
    <w:rsid w:val="24AD7A7B"/>
    <w:rsid w:val="24AE73E8"/>
    <w:rsid w:val="24BA07A7"/>
    <w:rsid w:val="24BC7A84"/>
    <w:rsid w:val="24C624D4"/>
    <w:rsid w:val="24E61B03"/>
    <w:rsid w:val="24E70A39"/>
    <w:rsid w:val="24F9018D"/>
    <w:rsid w:val="250A6132"/>
    <w:rsid w:val="251175E6"/>
    <w:rsid w:val="251D63BE"/>
    <w:rsid w:val="252B28DB"/>
    <w:rsid w:val="252B6AA3"/>
    <w:rsid w:val="252C08C4"/>
    <w:rsid w:val="252E36C2"/>
    <w:rsid w:val="253A1288"/>
    <w:rsid w:val="255B7FD2"/>
    <w:rsid w:val="255D6CCF"/>
    <w:rsid w:val="256F36E5"/>
    <w:rsid w:val="257B496A"/>
    <w:rsid w:val="25801456"/>
    <w:rsid w:val="25977095"/>
    <w:rsid w:val="25B215E3"/>
    <w:rsid w:val="25C91AFF"/>
    <w:rsid w:val="25CB3C39"/>
    <w:rsid w:val="25E77DF2"/>
    <w:rsid w:val="26615639"/>
    <w:rsid w:val="266A1B50"/>
    <w:rsid w:val="26A94A89"/>
    <w:rsid w:val="26C05FCE"/>
    <w:rsid w:val="26F1147D"/>
    <w:rsid w:val="26F43A4E"/>
    <w:rsid w:val="270A0791"/>
    <w:rsid w:val="270E4FF8"/>
    <w:rsid w:val="270E5A7D"/>
    <w:rsid w:val="27196C26"/>
    <w:rsid w:val="27264473"/>
    <w:rsid w:val="27333587"/>
    <w:rsid w:val="273E5CC5"/>
    <w:rsid w:val="274831A8"/>
    <w:rsid w:val="274C40D1"/>
    <w:rsid w:val="275A5C38"/>
    <w:rsid w:val="277365BA"/>
    <w:rsid w:val="277F51CC"/>
    <w:rsid w:val="27884E22"/>
    <w:rsid w:val="27886F3F"/>
    <w:rsid w:val="278B4191"/>
    <w:rsid w:val="27935170"/>
    <w:rsid w:val="279622C4"/>
    <w:rsid w:val="27A44A0A"/>
    <w:rsid w:val="27B56DFF"/>
    <w:rsid w:val="27BA17B2"/>
    <w:rsid w:val="27CD3096"/>
    <w:rsid w:val="27E00505"/>
    <w:rsid w:val="27E40B82"/>
    <w:rsid w:val="27EA6062"/>
    <w:rsid w:val="27EB2370"/>
    <w:rsid w:val="27ED0ACA"/>
    <w:rsid w:val="27F2521B"/>
    <w:rsid w:val="27FE28A8"/>
    <w:rsid w:val="27FF1E13"/>
    <w:rsid w:val="280C758F"/>
    <w:rsid w:val="2818512F"/>
    <w:rsid w:val="281C391F"/>
    <w:rsid w:val="281E7FC2"/>
    <w:rsid w:val="28241305"/>
    <w:rsid w:val="28264B24"/>
    <w:rsid w:val="28295336"/>
    <w:rsid w:val="284F0401"/>
    <w:rsid w:val="285154A7"/>
    <w:rsid w:val="2869459F"/>
    <w:rsid w:val="287C2EF0"/>
    <w:rsid w:val="288D7991"/>
    <w:rsid w:val="289609EC"/>
    <w:rsid w:val="289724F8"/>
    <w:rsid w:val="289C5C7B"/>
    <w:rsid w:val="28AD7F89"/>
    <w:rsid w:val="28B25E03"/>
    <w:rsid w:val="28B5562D"/>
    <w:rsid w:val="28D027C1"/>
    <w:rsid w:val="28D5026C"/>
    <w:rsid w:val="28D906B5"/>
    <w:rsid w:val="28DE426D"/>
    <w:rsid w:val="28EB2AD5"/>
    <w:rsid w:val="28ED2578"/>
    <w:rsid w:val="28EE275E"/>
    <w:rsid w:val="28F567A9"/>
    <w:rsid w:val="2912392D"/>
    <w:rsid w:val="29195F6C"/>
    <w:rsid w:val="292946E7"/>
    <w:rsid w:val="292B376C"/>
    <w:rsid w:val="29461678"/>
    <w:rsid w:val="29506674"/>
    <w:rsid w:val="29583A35"/>
    <w:rsid w:val="29724C94"/>
    <w:rsid w:val="2978518A"/>
    <w:rsid w:val="29794BB6"/>
    <w:rsid w:val="29991422"/>
    <w:rsid w:val="299A04BD"/>
    <w:rsid w:val="29BE6110"/>
    <w:rsid w:val="29C16B67"/>
    <w:rsid w:val="29EB48A9"/>
    <w:rsid w:val="29F361E4"/>
    <w:rsid w:val="2A043BBD"/>
    <w:rsid w:val="2A0F4295"/>
    <w:rsid w:val="2A13391B"/>
    <w:rsid w:val="2A4144C9"/>
    <w:rsid w:val="2A6F54DA"/>
    <w:rsid w:val="2A822C2E"/>
    <w:rsid w:val="2A8D6CCA"/>
    <w:rsid w:val="2A9E58A2"/>
    <w:rsid w:val="2AAF0549"/>
    <w:rsid w:val="2AAF4247"/>
    <w:rsid w:val="2AB13DF1"/>
    <w:rsid w:val="2AB21E00"/>
    <w:rsid w:val="2AB33753"/>
    <w:rsid w:val="2AB35CCC"/>
    <w:rsid w:val="2AB97070"/>
    <w:rsid w:val="2ABE1606"/>
    <w:rsid w:val="2AC96DC3"/>
    <w:rsid w:val="2AD73A2C"/>
    <w:rsid w:val="2ADF22B5"/>
    <w:rsid w:val="2AE6630D"/>
    <w:rsid w:val="2AEA0FE0"/>
    <w:rsid w:val="2B0E0E1F"/>
    <w:rsid w:val="2B122C35"/>
    <w:rsid w:val="2B1374E0"/>
    <w:rsid w:val="2B187B09"/>
    <w:rsid w:val="2B367DA6"/>
    <w:rsid w:val="2B3910D2"/>
    <w:rsid w:val="2B391C09"/>
    <w:rsid w:val="2B465B0F"/>
    <w:rsid w:val="2B470F10"/>
    <w:rsid w:val="2B586026"/>
    <w:rsid w:val="2B88197A"/>
    <w:rsid w:val="2B994368"/>
    <w:rsid w:val="2B9C6F0B"/>
    <w:rsid w:val="2BA8442D"/>
    <w:rsid w:val="2BB27FA0"/>
    <w:rsid w:val="2BBA7707"/>
    <w:rsid w:val="2BC165EA"/>
    <w:rsid w:val="2BC50260"/>
    <w:rsid w:val="2BE66223"/>
    <w:rsid w:val="2BFE2C37"/>
    <w:rsid w:val="2C011DB6"/>
    <w:rsid w:val="2C244A8B"/>
    <w:rsid w:val="2C2E3F08"/>
    <w:rsid w:val="2C3241B1"/>
    <w:rsid w:val="2C6A4F4E"/>
    <w:rsid w:val="2C8742DA"/>
    <w:rsid w:val="2C892232"/>
    <w:rsid w:val="2C8B4180"/>
    <w:rsid w:val="2C916537"/>
    <w:rsid w:val="2C9D5C03"/>
    <w:rsid w:val="2CAC29D6"/>
    <w:rsid w:val="2CAE0651"/>
    <w:rsid w:val="2CB04A86"/>
    <w:rsid w:val="2CCA75CA"/>
    <w:rsid w:val="2CCE400E"/>
    <w:rsid w:val="2CCF3A27"/>
    <w:rsid w:val="2D0437AF"/>
    <w:rsid w:val="2D100B28"/>
    <w:rsid w:val="2D177764"/>
    <w:rsid w:val="2D1C02E3"/>
    <w:rsid w:val="2D2A56E9"/>
    <w:rsid w:val="2D31684B"/>
    <w:rsid w:val="2D3E6BDA"/>
    <w:rsid w:val="2D412A32"/>
    <w:rsid w:val="2D4515FA"/>
    <w:rsid w:val="2D4861F3"/>
    <w:rsid w:val="2D4F1427"/>
    <w:rsid w:val="2D5E11CC"/>
    <w:rsid w:val="2D634337"/>
    <w:rsid w:val="2D75726E"/>
    <w:rsid w:val="2D8639BE"/>
    <w:rsid w:val="2D8946C5"/>
    <w:rsid w:val="2D9124BA"/>
    <w:rsid w:val="2DAF13AE"/>
    <w:rsid w:val="2DB57E4B"/>
    <w:rsid w:val="2DB95E33"/>
    <w:rsid w:val="2DDA6624"/>
    <w:rsid w:val="2DDE6D5F"/>
    <w:rsid w:val="2DE00F57"/>
    <w:rsid w:val="2DE011DD"/>
    <w:rsid w:val="2DE549C5"/>
    <w:rsid w:val="2DE649FC"/>
    <w:rsid w:val="2DED7593"/>
    <w:rsid w:val="2DF5120F"/>
    <w:rsid w:val="2E04418C"/>
    <w:rsid w:val="2E074647"/>
    <w:rsid w:val="2E0D0AEF"/>
    <w:rsid w:val="2E1A4D43"/>
    <w:rsid w:val="2E260E34"/>
    <w:rsid w:val="2E281416"/>
    <w:rsid w:val="2E38353A"/>
    <w:rsid w:val="2E434F93"/>
    <w:rsid w:val="2E495E66"/>
    <w:rsid w:val="2E552C39"/>
    <w:rsid w:val="2E660885"/>
    <w:rsid w:val="2E87165C"/>
    <w:rsid w:val="2E8A6294"/>
    <w:rsid w:val="2E9472ED"/>
    <w:rsid w:val="2E9B6172"/>
    <w:rsid w:val="2EA22753"/>
    <w:rsid w:val="2EA260F1"/>
    <w:rsid w:val="2EAE575B"/>
    <w:rsid w:val="2EC7262F"/>
    <w:rsid w:val="2EC868B5"/>
    <w:rsid w:val="2ED31DB0"/>
    <w:rsid w:val="2EDA4419"/>
    <w:rsid w:val="2EE97BBC"/>
    <w:rsid w:val="2F141F2D"/>
    <w:rsid w:val="2F142CBF"/>
    <w:rsid w:val="2F196F28"/>
    <w:rsid w:val="2F441505"/>
    <w:rsid w:val="2F493DF2"/>
    <w:rsid w:val="2F49739F"/>
    <w:rsid w:val="2F5B641F"/>
    <w:rsid w:val="2F655F55"/>
    <w:rsid w:val="2F685351"/>
    <w:rsid w:val="2F6A44C2"/>
    <w:rsid w:val="2F9E2DBA"/>
    <w:rsid w:val="2FAA0D63"/>
    <w:rsid w:val="2FB448F8"/>
    <w:rsid w:val="2FB733C0"/>
    <w:rsid w:val="2FB816AD"/>
    <w:rsid w:val="2FBB1AA8"/>
    <w:rsid w:val="2FBD4963"/>
    <w:rsid w:val="2FBF5CA8"/>
    <w:rsid w:val="2FCB0E21"/>
    <w:rsid w:val="2FE24FA7"/>
    <w:rsid w:val="2FF0369E"/>
    <w:rsid w:val="2FFA0E38"/>
    <w:rsid w:val="2FFC59D3"/>
    <w:rsid w:val="300B2507"/>
    <w:rsid w:val="3021626C"/>
    <w:rsid w:val="30275F10"/>
    <w:rsid w:val="30301F05"/>
    <w:rsid w:val="3037436F"/>
    <w:rsid w:val="30564A47"/>
    <w:rsid w:val="305C65AD"/>
    <w:rsid w:val="30683B2F"/>
    <w:rsid w:val="306F1F66"/>
    <w:rsid w:val="3076557F"/>
    <w:rsid w:val="307C3932"/>
    <w:rsid w:val="30892B1E"/>
    <w:rsid w:val="30972F85"/>
    <w:rsid w:val="30C25639"/>
    <w:rsid w:val="30C776F3"/>
    <w:rsid w:val="30CC1770"/>
    <w:rsid w:val="30D435EB"/>
    <w:rsid w:val="30F0467D"/>
    <w:rsid w:val="3106021B"/>
    <w:rsid w:val="310D7D59"/>
    <w:rsid w:val="31161858"/>
    <w:rsid w:val="311D5636"/>
    <w:rsid w:val="31350C4C"/>
    <w:rsid w:val="313975B2"/>
    <w:rsid w:val="31576C02"/>
    <w:rsid w:val="3159659D"/>
    <w:rsid w:val="31657C27"/>
    <w:rsid w:val="316B0289"/>
    <w:rsid w:val="3182724D"/>
    <w:rsid w:val="319B00D5"/>
    <w:rsid w:val="319E48F7"/>
    <w:rsid w:val="31A10BCE"/>
    <w:rsid w:val="31A81D22"/>
    <w:rsid w:val="31A96FCA"/>
    <w:rsid w:val="31BF1233"/>
    <w:rsid w:val="32034D2A"/>
    <w:rsid w:val="32060A36"/>
    <w:rsid w:val="32074FED"/>
    <w:rsid w:val="32113D64"/>
    <w:rsid w:val="321364C4"/>
    <w:rsid w:val="321F0552"/>
    <w:rsid w:val="323519E6"/>
    <w:rsid w:val="323A673A"/>
    <w:rsid w:val="323E6FAD"/>
    <w:rsid w:val="32451DD6"/>
    <w:rsid w:val="326441CD"/>
    <w:rsid w:val="326B2227"/>
    <w:rsid w:val="326E688F"/>
    <w:rsid w:val="327B2543"/>
    <w:rsid w:val="32B27B21"/>
    <w:rsid w:val="32B75ADF"/>
    <w:rsid w:val="32BB5035"/>
    <w:rsid w:val="32BB69D5"/>
    <w:rsid w:val="32E766E9"/>
    <w:rsid w:val="32F62D0A"/>
    <w:rsid w:val="32FF4A1A"/>
    <w:rsid w:val="33017DE0"/>
    <w:rsid w:val="3304078A"/>
    <w:rsid w:val="33095DA0"/>
    <w:rsid w:val="330A2CAA"/>
    <w:rsid w:val="3317730F"/>
    <w:rsid w:val="33214BD5"/>
    <w:rsid w:val="334221B3"/>
    <w:rsid w:val="336634F1"/>
    <w:rsid w:val="337A79F1"/>
    <w:rsid w:val="33800718"/>
    <w:rsid w:val="3390201E"/>
    <w:rsid w:val="339372CF"/>
    <w:rsid w:val="33976074"/>
    <w:rsid w:val="33BF5BC7"/>
    <w:rsid w:val="33C1667B"/>
    <w:rsid w:val="33D068BE"/>
    <w:rsid w:val="33D67BA6"/>
    <w:rsid w:val="33F94DC0"/>
    <w:rsid w:val="33FA01FD"/>
    <w:rsid w:val="340C3DB5"/>
    <w:rsid w:val="340F73E6"/>
    <w:rsid w:val="342332CA"/>
    <w:rsid w:val="342D5ABF"/>
    <w:rsid w:val="344C3553"/>
    <w:rsid w:val="34537C7A"/>
    <w:rsid w:val="34684EAB"/>
    <w:rsid w:val="34695E56"/>
    <w:rsid w:val="346A286F"/>
    <w:rsid w:val="346F3BA7"/>
    <w:rsid w:val="34740116"/>
    <w:rsid w:val="34966725"/>
    <w:rsid w:val="349A34DB"/>
    <w:rsid w:val="34A30FAF"/>
    <w:rsid w:val="34AC1F5A"/>
    <w:rsid w:val="34CC4B3B"/>
    <w:rsid w:val="34D02F3D"/>
    <w:rsid w:val="34D46417"/>
    <w:rsid w:val="34D966C2"/>
    <w:rsid w:val="34DB0F9E"/>
    <w:rsid w:val="34DD3806"/>
    <w:rsid w:val="34E70AD6"/>
    <w:rsid w:val="34E81CC2"/>
    <w:rsid w:val="351349EA"/>
    <w:rsid w:val="35301450"/>
    <w:rsid w:val="353420AC"/>
    <w:rsid w:val="35367747"/>
    <w:rsid w:val="35456DA7"/>
    <w:rsid w:val="35492DCC"/>
    <w:rsid w:val="35634299"/>
    <w:rsid w:val="357B3576"/>
    <w:rsid w:val="35825E95"/>
    <w:rsid w:val="358A3883"/>
    <w:rsid w:val="359020AA"/>
    <w:rsid w:val="359211D0"/>
    <w:rsid w:val="359E6EB2"/>
    <w:rsid w:val="35B253D4"/>
    <w:rsid w:val="35B7698E"/>
    <w:rsid w:val="35D05C99"/>
    <w:rsid w:val="35DF2B69"/>
    <w:rsid w:val="35E14762"/>
    <w:rsid w:val="35EA789E"/>
    <w:rsid w:val="35FD39EE"/>
    <w:rsid w:val="36051D89"/>
    <w:rsid w:val="36062A6B"/>
    <w:rsid w:val="360665DE"/>
    <w:rsid w:val="36121410"/>
    <w:rsid w:val="3617547E"/>
    <w:rsid w:val="36257395"/>
    <w:rsid w:val="362D011F"/>
    <w:rsid w:val="362D444E"/>
    <w:rsid w:val="362E3E38"/>
    <w:rsid w:val="363965A2"/>
    <w:rsid w:val="363A2180"/>
    <w:rsid w:val="363E3FB3"/>
    <w:rsid w:val="364A0BAA"/>
    <w:rsid w:val="364D63A5"/>
    <w:rsid w:val="36613E2D"/>
    <w:rsid w:val="366F72E7"/>
    <w:rsid w:val="3677147E"/>
    <w:rsid w:val="369D00D4"/>
    <w:rsid w:val="36BA131D"/>
    <w:rsid w:val="36BF2124"/>
    <w:rsid w:val="36F9612C"/>
    <w:rsid w:val="37123A1D"/>
    <w:rsid w:val="372002DC"/>
    <w:rsid w:val="37254F27"/>
    <w:rsid w:val="372C6B38"/>
    <w:rsid w:val="372E0CBA"/>
    <w:rsid w:val="37305F87"/>
    <w:rsid w:val="373238AC"/>
    <w:rsid w:val="375A123A"/>
    <w:rsid w:val="37612A02"/>
    <w:rsid w:val="37620B26"/>
    <w:rsid w:val="37786990"/>
    <w:rsid w:val="377A4B26"/>
    <w:rsid w:val="377E3A62"/>
    <w:rsid w:val="377F601A"/>
    <w:rsid w:val="3788196A"/>
    <w:rsid w:val="378E6E6C"/>
    <w:rsid w:val="37D15681"/>
    <w:rsid w:val="37D806B0"/>
    <w:rsid w:val="37DC6E40"/>
    <w:rsid w:val="37F62DA1"/>
    <w:rsid w:val="37F63171"/>
    <w:rsid w:val="37F720AC"/>
    <w:rsid w:val="380E1CDC"/>
    <w:rsid w:val="3812621F"/>
    <w:rsid w:val="382316B2"/>
    <w:rsid w:val="382947EF"/>
    <w:rsid w:val="382B20B3"/>
    <w:rsid w:val="38407129"/>
    <w:rsid w:val="38430E69"/>
    <w:rsid w:val="384358B1"/>
    <w:rsid w:val="38465EC0"/>
    <w:rsid w:val="38495459"/>
    <w:rsid w:val="384B678A"/>
    <w:rsid w:val="38514792"/>
    <w:rsid w:val="385612CA"/>
    <w:rsid w:val="38590301"/>
    <w:rsid w:val="38731D96"/>
    <w:rsid w:val="3878516B"/>
    <w:rsid w:val="387B504A"/>
    <w:rsid w:val="387D3937"/>
    <w:rsid w:val="38811B39"/>
    <w:rsid w:val="38817344"/>
    <w:rsid w:val="38901104"/>
    <w:rsid w:val="38934A8A"/>
    <w:rsid w:val="389F27CF"/>
    <w:rsid w:val="38A07EEC"/>
    <w:rsid w:val="38B0670F"/>
    <w:rsid w:val="38B20083"/>
    <w:rsid w:val="38B247E4"/>
    <w:rsid w:val="38B7563D"/>
    <w:rsid w:val="38DB7D7B"/>
    <w:rsid w:val="38E82084"/>
    <w:rsid w:val="38EC6170"/>
    <w:rsid w:val="38EE1496"/>
    <w:rsid w:val="38EE3475"/>
    <w:rsid w:val="390A3637"/>
    <w:rsid w:val="390F34AC"/>
    <w:rsid w:val="39115516"/>
    <w:rsid w:val="393D67A4"/>
    <w:rsid w:val="3942025E"/>
    <w:rsid w:val="394E6C03"/>
    <w:rsid w:val="3962620A"/>
    <w:rsid w:val="396665B7"/>
    <w:rsid w:val="3968008B"/>
    <w:rsid w:val="39700425"/>
    <w:rsid w:val="39761CA2"/>
    <w:rsid w:val="3979063A"/>
    <w:rsid w:val="39BB7346"/>
    <w:rsid w:val="39C66799"/>
    <w:rsid w:val="39D1711C"/>
    <w:rsid w:val="39D23254"/>
    <w:rsid w:val="39DB7C91"/>
    <w:rsid w:val="39E336AB"/>
    <w:rsid w:val="39E76710"/>
    <w:rsid w:val="39F62CB4"/>
    <w:rsid w:val="3A002E49"/>
    <w:rsid w:val="3A016013"/>
    <w:rsid w:val="3A1458D0"/>
    <w:rsid w:val="3A1F0DF9"/>
    <w:rsid w:val="3A2A1C47"/>
    <w:rsid w:val="3A3746B0"/>
    <w:rsid w:val="3A503202"/>
    <w:rsid w:val="3A5B11B4"/>
    <w:rsid w:val="3A5C0EAC"/>
    <w:rsid w:val="3A5E3A99"/>
    <w:rsid w:val="3A7F5282"/>
    <w:rsid w:val="3A867485"/>
    <w:rsid w:val="3A8A77C7"/>
    <w:rsid w:val="3A8C22F3"/>
    <w:rsid w:val="3A9806FD"/>
    <w:rsid w:val="3AA86A0D"/>
    <w:rsid w:val="3AB348BE"/>
    <w:rsid w:val="3AC54CA3"/>
    <w:rsid w:val="3ACB7183"/>
    <w:rsid w:val="3AD40EFE"/>
    <w:rsid w:val="3ADC3D9A"/>
    <w:rsid w:val="3AE841F3"/>
    <w:rsid w:val="3AEB7578"/>
    <w:rsid w:val="3AEC7202"/>
    <w:rsid w:val="3AEF3F68"/>
    <w:rsid w:val="3AEF577F"/>
    <w:rsid w:val="3AF73AB8"/>
    <w:rsid w:val="3B1C45EB"/>
    <w:rsid w:val="3B245B39"/>
    <w:rsid w:val="3B285077"/>
    <w:rsid w:val="3B2F2666"/>
    <w:rsid w:val="3B30324C"/>
    <w:rsid w:val="3B4E6769"/>
    <w:rsid w:val="3B51494D"/>
    <w:rsid w:val="3B5504B3"/>
    <w:rsid w:val="3B5B0FEB"/>
    <w:rsid w:val="3B82055A"/>
    <w:rsid w:val="3B9603ED"/>
    <w:rsid w:val="3BA8391B"/>
    <w:rsid w:val="3BAD3B1C"/>
    <w:rsid w:val="3BB92E6A"/>
    <w:rsid w:val="3BC6081E"/>
    <w:rsid w:val="3BD258C9"/>
    <w:rsid w:val="3BDA7340"/>
    <w:rsid w:val="3BF6483D"/>
    <w:rsid w:val="3C0D4B53"/>
    <w:rsid w:val="3C102977"/>
    <w:rsid w:val="3C426758"/>
    <w:rsid w:val="3C5B4A7D"/>
    <w:rsid w:val="3C640468"/>
    <w:rsid w:val="3C6A38E9"/>
    <w:rsid w:val="3C7250F5"/>
    <w:rsid w:val="3C7B37F6"/>
    <w:rsid w:val="3C800A4A"/>
    <w:rsid w:val="3CC2331A"/>
    <w:rsid w:val="3CD0109E"/>
    <w:rsid w:val="3CDA4A63"/>
    <w:rsid w:val="3CE202A8"/>
    <w:rsid w:val="3CF32897"/>
    <w:rsid w:val="3CF81BEF"/>
    <w:rsid w:val="3CFB49AC"/>
    <w:rsid w:val="3D0038A0"/>
    <w:rsid w:val="3D0D132B"/>
    <w:rsid w:val="3D0E66D2"/>
    <w:rsid w:val="3D3E124F"/>
    <w:rsid w:val="3D3F58F7"/>
    <w:rsid w:val="3D4B03B3"/>
    <w:rsid w:val="3D4D7CE3"/>
    <w:rsid w:val="3D567E34"/>
    <w:rsid w:val="3D577B32"/>
    <w:rsid w:val="3D6A1A13"/>
    <w:rsid w:val="3D6A1B31"/>
    <w:rsid w:val="3D730764"/>
    <w:rsid w:val="3D7F7710"/>
    <w:rsid w:val="3D82702B"/>
    <w:rsid w:val="3D874491"/>
    <w:rsid w:val="3D8876AB"/>
    <w:rsid w:val="3D891722"/>
    <w:rsid w:val="3DA601B9"/>
    <w:rsid w:val="3DB6106C"/>
    <w:rsid w:val="3DC217DE"/>
    <w:rsid w:val="3DC9388B"/>
    <w:rsid w:val="3DD76609"/>
    <w:rsid w:val="3DD92D48"/>
    <w:rsid w:val="3DE8773E"/>
    <w:rsid w:val="3DFC778E"/>
    <w:rsid w:val="3E1623DD"/>
    <w:rsid w:val="3E284626"/>
    <w:rsid w:val="3E3344C5"/>
    <w:rsid w:val="3E3948A1"/>
    <w:rsid w:val="3E3D7828"/>
    <w:rsid w:val="3E4619B8"/>
    <w:rsid w:val="3E4E4FAF"/>
    <w:rsid w:val="3E6434BD"/>
    <w:rsid w:val="3E733072"/>
    <w:rsid w:val="3E753DA0"/>
    <w:rsid w:val="3E782353"/>
    <w:rsid w:val="3E82415B"/>
    <w:rsid w:val="3E841CC2"/>
    <w:rsid w:val="3E9E0424"/>
    <w:rsid w:val="3EBA4680"/>
    <w:rsid w:val="3EDA0585"/>
    <w:rsid w:val="3EDC32D1"/>
    <w:rsid w:val="3EF1707F"/>
    <w:rsid w:val="3EF94F1B"/>
    <w:rsid w:val="3F114A11"/>
    <w:rsid w:val="3F23468E"/>
    <w:rsid w:val="3F7971B8"/>
    <w:rsid w:val="3F797482"/>
    <w:rsid w:val="3F7E6CDD"/>
    <w:rsid w:val="3F831FAD"/>
    <w:rsid w:val="3FA52AC5"/>
    <w:rsid w:val="3FAD3F38"/>
    <w:rsid w:val="3FC020EA"/>
    <w:rsid w:val="3FCE1B31"/>
    <w:rsid w:val="3FEA5A99"/>
    <w:rsid w:val="3FED7CA2"/>
    <w:rsid w:val="3FFA719D"/>
    <w:rsid w:val="400222FB"/>
    <w:rsid w:val="400B6359"/>
    <w:rsid w:val="400F3E3C"/>
    <w:rsid w:val="401D10DD"/>
    <w:rsid w:val="40241524"/>
    <w:rsid w:val="40297538"/>
    <w:rsid w:val="4042792B"/>
    <w:rsid w:val="40494582"/>
    <w:rsid w:val="40552DE8"/>
    <w:rsid w:val="40590509"/>
    <w:rsid w:val="40667BD3"/>
    <w:rsid w:val="40816B08"/>
    <w:rsid w:val="408545BD"/>
    <w:rsid w:val="408570E1"/>
    <w:rsid w:val="40953D90"/>
    <w:rsid w:val="40B3559D"/>
    <w:rsid w:val="40B85444"/>
    <w:rsid w:val="40BC357F"/>
    <w:rsid w:val="40C754F7"/>
    <w:rsid w:val="40FA72F2"/>
    <w:rsid w:val="40FD3F09"/>
    <w:rsid w:val="411128F0"/>
    <w:rsid w:val="41151554"/>
    <w:rsid w:val="411D0B8A"/>
    <w:rsid w:val="41281AE7"/>
    <w:rsid w:val="41406E31"/>
    <w:rsid w:val="4141765A"/>
    <w:rsid w:val="414A23D5"/>
    <w:rsid w:val="414D64F1"/>
    <w:rsid w:val="415146FD"/>
    <w:rsid w:val="415575CE"/>
    <w:rsid w:val="41680442"/>
    <w:rsid w:val="417A2E1E"/>
    <w:rsid w:val="417C49FE"/>
    <w:rsid w:val="41853FB5"/>
    <w:rsid w:val="418D5DEE"/>
    <w:rsid w:val="41912189"/>
    <w:rsid w:val="41B50FEC"/>
    <w:rsid w:val="41BC16EE"/>
    <w:rsid w:val="41C5325F"/>
    <w:rsid w:val="41C95161"/>
    <w:rsid w:val="41CA788D"/>
    <w:rsid w:val="41D54B6E"/>
    <w:rsid w:val="41D6139F"/>
    <w:rsid w:val="41D75A95"/>
    <w:rsid w:val="41E71520"/>
    <w:rsid w:val="41EF1CA9"/>
    <w:rsid w:val="42010908"/>
    <w:rsid w:val="420501D1"/>
    <w:rsid w:val="42311C02"/>
    <w:rsid w:val="42341294"/>
    <w:rsid w:val="42390D6B"/>
    <w:rsid w:val="42485ABF"/>
    <w:rsid w:val="424C1F4E"/>
    <w:rsid w:val="42514AB5"/>
    <w:rsid w:val="425F1575"/>
    <w:rsid w:val="426104F4"/>
    <w:rsid w:val="42745707"/>
    <w:rsid w:val="42790521"/>
    <w:rsid w:val="428117D6"/>
    <w:rsid w:val="42831B60"/>
    <w:rsid w:val="42864E6A"/>
    <w:rsid w:val="428D00BE"/>
    <w:rsid w:val="428D4920"/>
    <w:rsid w:val="428D5D39"/>
    <w:rsid w:val="42A67168"/>
    <w:rsid w:val="42A857DD"/>
    <w:rsid w:val="42C24FE5"/>
    <w:rsid w:val="42CC5625"/>
    <w:rsid w:val="42DE14CD"/>
    <w:rsid w:val="42EA4E7C"/>
    <w:rsid w:val="42F43D12"/>
    <w:rsid w:val="42F51E9D"/>
    <w:rsid w:val="42FC322C"/>
    <w:rsid w:val="43017A1A"/>
    <w:rsid w:val="431A74EC"/>
    <w:rsid w:val="431F4B28"/>
    <w:rsid w:val="432378D6"/>
    <w:rsid w:val="43246398"/>
    <w:rsid w:val="433648A6"/>
    <w:rsid w:val="433C0516"/>
    <w:rsid w:val="435412BA"/>
    <w:rsid w:val="43661FA0"/>
    <w:rsid w:val="437234EE"/>
    <w:rsid w:val="4379210B"/>
    <w:rsid w:val="437C1F45"/>
    <w:rsid w:val="4398315F"/>
    <w:rsid w:val="43A24530"/>
    <w:rsid w:val="43B3424D"/>
    <w:rsid w:val="43B83004"/>
    <w:rsid w:val="43BE5699"/>
    <w:rsid w:val="43C0170F"/>
    <w:rsid w:val="43C70F32"/>
    <w:rsid w:val="43C97377"/>
    <w:rsid w:val="43DA0BDE"/>
    <w:rsid w:val="4426182A"/>
    <w:rsid w:val="443570D7"/>
    <w:rsid w:val="44466978"/>
    <w:rsid w:val="4483756A"/>
    <w:rsid w:val="448636F5"/>
    <w:rsid w:val="44A965BC"/>
    <w:rsid w:val="44BD4C3D"/>
    <w:rsid w:val="44D013C9"/>
    <w:rsid w:val="44E707CE"/>
    <w:rsid w:val="44EC5CCB"/>
    <w:rsid w:val="44F70854"/>
    <w:rsid w:val="450100FB"/>
    <w:rsid w:val="450B0DDE"/>
    <w:rsid w:val="451A2516"/>
    <w:rsid w:val="45205788"/>
    <w:rsid w:val="452C6A8B"/>
    <w:rsid w:val="454035AF"/>
    <w:rsid w:val="45437E75"/>
    <w:rsid w:val="454C6C81"/>
    <w:rsid w:val="45542992"/>
    <w:rsid w:val="4574173B"/>
    <w:rsid w:val="45744D38"/>
    <w:rsid w:val="45791E48"/>
    <w:rsid w:val="457C5751"/>
    <w:rsid w:val="45870BF5"/>
    <w:rsid w:val="45941E41"/>
    <w:rsid w:val="459B1F40"/>
    <w:rsid w:val="45A476A5"/>
    <w:rsid w:val="45AD44CA"/>
    <w:rsid w:val="45C11FC0"/>
    <w:rsid w:val="45CA3670"/>
    <w:rsid w:val="45CC3B1D"/>
    <w:rsid w:val="45CC4457"/>
    <w:rsid w:val="45E53D2F"/>
    <w:rsid w:val="45EB054C"/>
    <w:rsid w:val="45EF0817"/>
    <w:rsid w:val="45F16613"/>
    <w:rsid w:val="45FD4563"/>
    <w:rsid w:val="460B5851"/>
    <w:rsid w:val="46134BEC"/>
    <w:rsid w:val="46205D38"/>
    <w:rsid w:val="46233DD8"/>
    <w:rsid w:val="46397351"/>
    <w:rsid w:val="4639745E"/>
    <w:rsid w:val="466068F3"/>
    <w:rsid w:val="466D7E2C"/>
    <w:rsid w:val="4672773F"/>
    <w:rsid w:val="46936A79"/>
    <w:rsid w:val="469F311A"/>
    <w:rsid w:val="46A03143"/>
    <w:rsid w:val="46B004D9"/>
    <w:rsid w:val="46BF6A4A"/>
    <w:rsid w:val="46CE4AC0"/>
    <w:rsid w:val="46D27A40"/>
    <w:rsid w:val="46D317E5"/>
    <w:rsid w:val="46D81852"/>
    <w:rsid w:val="46DF79DE"/>
    <w:rsid w:val="46E266F9"/>
    <w:rsid w:val="46E4161D"/>
    <w:rsid w:val="46F71C75"/>
    <w:rsid w:val="46FA27F5"/>
    <w:rsid w:val="47082F5C"/>
    <w:rsid w:val="47136619"/>
    <w:rsid w:val="47170634"/>
    <w:rsid w:val="471F1551"/>
    <w:rsid w:val="47286238"/>
    <w:rsid w:val="472907B1"/>
    <w:rsid w:val="472943EA"/>
    <w:rsid w:val="473349E9"/>
    <w:rsid w:val="47377783"/>
    <w:rsid w:val="473D3125"/>
    <w:rsid w:val="47474688"/>
    <w:rsid w:val="474B29D4"/>
    <w:rsid w:val="475A3339"/>
    <w:rsid w:val="475A3AFB"/>
    <w:rsid w:val="475C651A"/>
    <w:rsid w:val="476D62AB"/>
    <w:rsid w:val="47710776"/>
    <w:rsid w:val="47882E21"/>
    <w:rsid w:val="47AA5BE6"/>
    <w:rsid w:val="47C74710"/>
    <w:rsid w:val="47D763CD"/>
    <w:rsid w:val="47EE3409"/>
    <w:rsid w:val="48047C9F"/>
    <w:rsid w:val="48146780"/>
    <w:rsid w:val="481D15CA"/>
    <w:rsid w:val="48217765"/>
    <w:rsid w:val="48482A6F"/>
    <w:rsid w:val="484908B9"/>
    <w:rsid w:val="48801426"/>
    <w:rsid w:val="48836B29"/>
    <w:rsid w:val="48A27443"/>
    <w:rsid w:val="48AF05A6"/>
    <w:rsid w:val="48CF2017"/>
    <w:rsid w:val="48D46EED"/>
    <w:rsid w:val="48D549FE"/>
    <w:rsid w:val="48DB640D"/>
    <w:rsid w:val="48DD3E8F"/>
    <w:rsid w:val="48EC21DA"/>
    <w:rsid w:val="49057512"/>
    <w:rsid w:val="492A3500"/>
    <w:rsid w:val="4946002E"/>
    <w:rsid w:val="494A67CC"/>
    <w:rsid w:val="494B016D"/>
    <w:rsid w:val="496F7255"/>
    <w:rsid w:val="497A79CD"/>
    <w:rsid w:val="497D7F2B"/>
    <w:rsid w:val="498875C7"/>
    <w:rsid w:val="499A10F5"/>
    <w:rsid w:val="49AB775A"/>
    <w:rsid w:val="49AD606D"/>
    <w:rsid w:val="49C35B92"/>
    <w:rsid w:val="49D52D22"/>
    <w:rsid w:val="49D722FD"/>
    <w:rsid w:val="49DA03B0"/>
    <w:rsid w:val="49E63551"/>
    <w:rsid w:val="49F57B95"/>
    <w:rsid w:val="49F66FBE"/>
    <w:rsid w:val="49FE565F"/>
    <w:rsid w:val="4A1A65A2"/>
    <w:rsid w:val="4A1D52AD"/>
    <w:rsid w:val="4A306198"/>
    <w:rsid w:val="4A325785"/>
    <w:rsid w:val="4A4929F7"/>
    <w:rsid w:val="4A49623E"/>
    <w:rsid w:val="4A4F4589"/>
    <w:rsid w:val="4A702F34"/>
    <w:rsid w:val="4A706FB0"/>
    <w:rsid w:val="4A73460F"/>
    <w:rsid w:val="4A760DB5"/>
    <w:rsid w:val="4A9B0728"/>
    <w:rsid w:val="4AAD20E9"/>
    <w:rsid w:val="4AB368C6"/>
    <w:rsid w:val="4AC70980"/>
    <w:rsid w:val="4ACA5D28"/>
    <w:rsid w:val="4ACB46C6"/>
    <w:rsid w:val="4AD8223E"/>
    <w:rsid w:val="4AE754DC"/>
    <w:rsid w:val="4B003F4A"/>
    <w:rsid w:val="4B1732F9"/>
    <w:rsid w:val="4B1819B0"/>
    <w:rsid w:val="4B196DF6"/>
    <w:rsid w:val="4B1C72C6"/>
    <w:rsid w:val="4B281166"/>
    <w:rsid w:val="4B3C5DE4"/>
    <w:rsid w:val="4B4D0F13"/>
    <w:rsid w:val="4B610818"/>
    <w:rsid w:val="4B687408"/>
    <w:rsid w:val="4B753559"/>
    <w:rsid w:val="4B761525"/>
    <w:rsid w:val="4B977F95"/>
    <w:rsid w:val="4B984D04"/>
    <w:rsid w:val="4BA803F5"/>
    <w:rsid w:val="4BA96510"/>
    <w:rsid w:val="4BAB3A41"/>
    <w:rsid w:val="4BB212CB"/>
    <w:rsid w:val="4BBA267C"/>
    <w:rsid w:val="4BBD5522"/>
    <w:rsid w:val="4BDD4E1E"/>
    <w:rsid w:val="4BE921D6"/>
    <w:rsid w:val="4BF02C95"/>
    <w:rsid w:val="4BFE6267"/>
    <w:rsid w:val="4C1A14FE"/>
    <w:rsid w:val="4C1E4470"/>
    <w:rsid w:val="4C312059"/>
    <w:rsid w:val="4C3D4BFA"/>
    <w:rsid w:val="4C3E39F1"/>
    <w:rsid w:val="4C4579F1"/>
    <w:rsid w:val="4C7B11C0"/>
    <w:rsid w:val="4C7E23DE"/>
    <w:rsid w:val="4C8066D1"/>
    <w:rsid w:val="4C885B30"/>
    <w:rsid w:val="4C8B19C3"/>
    <w:rsid w:val="4C8B4F98"/>
    <w:rsid w:val="4C983FC5"/>
    <w:rsid w:val="4CC21042"/>
    <w:rsid w:val="4CCB021D"/>
    <w:rsid w:val="4CCD762E"/>
    <w:rsid w:val="4CD4035A"/>
    <w:rsid w:val="4CD46FC7"/>
    <w:rsid w:val="4CE7583B"/>
    <w:rsid w:val="4CE832B7"/>
    <w:rsid w:val="4CE96FFB"/>
    <w:rsid w:val="4CEA2347"/>
    <w:rsid w:val="4CFE6E1B"/>
    <w:rsid w:val="4D046F69"/>
    <w:rsid w:val="4D0535A1"/>
    <w:rsid w:val="4D1122D4"/>
    <w:rsid w:val="4D153FCB"/>
    <w:rsid w:val="4D32197E"/>
    <w:rsid w:val="4D37405A"/>
    <w:rsid w:val="4D3A32CE"/>
    <w:rsid w:val="4D407026"/>
    <w:rsid w:val="4D441783"/>
    <w:rsid w:val="4D517D14"/>
    <w:rsid w:val="4D5C730D"/>
    <w:rsid w:val="4D663D60"/>
    <w:rsid w:val="4D776661"/>
    <w:rsid w:val="4D9C1893"/>
    <w:rsid w:val="4D9D35D8"/>
    <w:rsid w:val="4DA644C0"/>
    <w:rsid w:val="4DB15995"/>
    <w:rsid w:val="4DB36932"/>
    <w:rsid w:val="4DC220FC"/>
    <w:rsid w:val="4DE52644"/>
    <w:rsid w:val="4DFD3D03"/>
    <w:rsid w:val="4E084AD3"/>
    <w:rsid w:val="4E0C632E"/>
    <w:rsid w:val="4E1753BE"/>
    <w:rsid w:val="4E1E73EC"/>
    <w:rsid w:val="4E22735C"/>
    <w:rsid w:val="4E28352F"/>
    <w:rsid w:val="4E2C224E"/>
    <w:rsid w:val="4E2D4BE1"/>
    <w:rsid w:val="4E344D7A"/>
    <w:rsid w:val="4E3715BC"/>
    <w:rsid w:val="4E6472D8"/>
    <w:rsid w:val="4E7F3DD4"/>
    <w:rsid w:val="4E992277"/>
    <w:rsid w:val="4E9F1B16"/>
    <w:rsid w:val="4EA96124"/>
    <w:rsid w:val="4EAA4484"/>
    <w:rsid w:val="4EB1136E"/>
    <w:rsid w:val="4EB34D80"/>
    <w:rsid w:val="4EBC568C"/>
    <w:rsid w:val="4EC004A5"/>
    <w:rsid w:val="4ECE6E37"/>
    <w:rsid w:val="4ED32808"/>
    <w:rsid w:val="4EEB4B2A"/>
    <w:rsid w:val="4EF97E7A"/>
    <w:rsid w:val="4F070255"/>
    <w:rsid w:val="4F0A6251"/>
    <w:rsid w:val="4F251D5C"/>
    <w:rsid w:val="4F324ECD"/>
    <w:rsid w:val="4F3945F3"/>
    <w:rsid w:val="4F4F2935"/>
    <w:rsid w:val="4F5229E7"/>
    <w:rsid w:val="4F534F1F"/>
    <w:rsid w:val="4F6A2069"/>
    <w:rsid w:val="4F7D4D97"/>
    <w:rsid w:val="4F967237"/>
    <w:rsid w:val="4F9C3F94"/>
    <w:rsid w:val="4FAF36BD"/>
    <w:rsid w:val="4FB974DF"/>
    <w:rsid w:val="4FCE5C9A"/>
    <w:rsid w:val="4FCF7747"/>
    <w:rsid w:val="4FD371A0"/>
    <w:rsid w:val="4FEB08C0"/>
    <w:rsid w:val="5016446C"/>
    <w:rsid w:val="501A5098"/>
    <w:rsid w:val="501F67AB"/>
    <w:rsid w:val="50220A01"/>
    <w:rsid w:val="503F4BE9"/>
    <w:rsid w:val="5057296C"/>
    <w:rsid w:val="505E3468"/>
    <w:rsid w:val="507662E0"/>
    <w:rsid w:val="508837C6"/>
    <w:rsid w:val="508D5E0B"/>
    <w:rsid w:val="50976322"/>
    <w:rsid w:val="509C4916"/>
    <w:rsid w:val="50A378A2"/>
    <w:rsid w:val="50AA7D78"/>
    <w:rsid w:val="50AF5037"/>
    <w:rsid w:val="50B17248"/>
    <w:rsid w:val="50D85ABE"/>
    <w:rsid w:val="50E03873"/>
    <w:rsid w:val="50E57528"/>
    <w:rsid w:val="50EE4AFC"/>
    <w:rsid w:val="50FB5EC7"/>
    <w:rsid w:val="51076672"/>
    <w:rsid w:val="510A7E4A"/>
    <w:rsid w:val="51150640"/>
    <w:rsid w:val="512166AA"/>
    <w:rsid w:val="51447518"/>
    <w:rsid w:val="51452CC7"/>
    <w:rsid w:val="5161212D"/>
    <w:rsid w:val="51676676"/>
    <w:rsid w:val="517626ED"/>
    <w:rsid w:val="51A03BEB"/>
    <w:rsid w:val="51A263D9"/>
    <w:rsid w:val="51A407CC"/>
    <w:rsid w:val="51BB2F17"/>
    <w:rsid w:val="51C445D8"/>
    <w:rsid w:val="51CF11FD"/>
    <w:rsid w:val="51F15895"/>
    <w:rsid w:val="51F63E54"/>
    <w:rsid w:val="51FB0B52"/>
    <w:rsid w:val="520B66EF"/>
    <w:rsid w:val="520F4294"/>
    <w:rsid w:val="52290135"/>
    <w:rsid w:val="52295F56"/>
    <w:rsid w:val="5236524B"/>
    <w:rsid w:val="523C3645"/>
    <w:rsid w:val="523D160F"/>
    <w:rsid w:val="52454773"/>
    <w:rsid w:val="52675673"/>
    <w:rsid w:val="5270793F"/>
    <w:rsid w:val="52750905"/>
    <w:rsid w:val="52B225D4"/>
    <w:rsid w:val="52BD243D"/>
    <w:rsid w:val="52CA52DE"/>
    <w:rsid w:val="52E2474C"/>
    <w:rsid w:val="52F13756"/>
    <w:rsid w:val="52F96776"/>
    <w:rsid w:val="52FD403C"/>
    <w:rsid w:val="53005373"/>
    <w:rsid w:val="53010E8A"/>
    <w:rsid w:val="5318567A"/>
    <w:rsid w:val="531D65B2"/>
    <w:rsid w:val="531F097B"/>
    <w:rsid w:val="53360094"/>
    <w:rsid w:val="53370763"/>
    <w:rsid w:val="53371957"/>
    <w:rsid w:val="534031CB"/>
    <w:rsid w:val="535221F5"/>
    <w:rsid w:val="53620EEA"/>
    <w:rsid w:val="53645130"/>
    <w:rsid w:val="537C4E68"/>
    <w:rsid w:val="53826F9C"/>
    <w:rsid w:val="538507EF"/>
    <w:rsid w:val="538A02DC"/>
    <w:rsid w:val="539B265B"/>
    <w:rsid w:val="539F0D5A"/>
    <w:rsid w:val="53C45154"/>
    <w:rsid w:val="53D13541"/>
    <w:rsid w:val="53D928B3"/>
    <w:rsid w:val="53DF24DA"/>
    <w:rsid w:val="53DF2DCB"/>
    <w:rsid w:val="53E13F72"/>
    <w:rsid w:val="53E77510"/>
    <w:rsid w:val="53EE23BF"/>
    <w:rsid w:val="53F71F19"/>
    <w:rsid w:val="54034353"/>
    <w:rsid w:val="5409539E"/>
    <w:rsid w:val="543B086B"/>
    <w:rsid w:val="54547CA3"/>
    <w:rsid w:val="545A206C"/>
    <w:rsid w:val="54643332"/>
    <w:rsid w:val="546B1A94"/>
    <w:rsid w:val="547D3FF0"/>
    <w:rsid w:val="547F1F0F"/>
    <w:rsid w:val="548117E3"/>
    <w:rsid w:val="5486329D"/>
    <w:rsid w:val="549027E7"/>
    <w:rsid w:val="54A71030"/>
    <w:rsid w:val="54A85071"/>
    <w:rsid w:val="54B7270E"/>
    <w:rsid w:val="54BF4C96"/>
    <w:rsid w:val="54DC0407"/>
    <w:rsid w:val="54DC7EEB"/>
    <w:rsid w:val="54EA7388"/>
    <w:rsid w:val="54F009BB"/>
    <w:rsid w:val="54F85523"/>
    <w:rsid w:val="550377AD"/>
    <w:rsid w:val="553A5043"/>
    <w:rsid w:val="55434AC4"/>
    <w:rsid w:val="55470D7F"/>
    <w:rsid w:val="55581D3D"/>
    <w:rsid w:val="55686398"/>
    <w:rsid w:val="556C60B3"/>
    <w:rsid w:val="5596306C"/>
    <w:rsid w:val="55A301BC"/>
    <w:rsid w:val="55B41744"/>
    <w:rsid w:val="55C15291"/>
    <w:rsid w:val="55C91DDF"/>
    <w:rsid w:val="55EB4403"/>
    <w:rsid w:val="55F22EC4"/>
    <w:rsid w:val="5606068F"/>
    <w:rsid w:val="560B7F21"/>
    <w:rsid w:val="56136C26"/>
    <w:rsid w:val="56225E18"/>
    <w:rsid w:val="562C22FC"/>
    <w:rsid w:val="56347BFE"/>
    <w:rsid w:val="56495F4A"/>
    <w:rsid w:val="5659538E"/>
    <w:rsid w:val="565C2946"/>
    <w:rsid w:val="567C6706"/>
    <w:rsid w:val="56890A8D"/>
    <w:rsid w:val="56925C61"/>
    <w:rsid w:val="56930F5A"/>
    <w:rsid w:val="56B92459"/>
    <w:rsid w:val="56CD51B3"/>
    <w:rsid w:val="56D76945"/>
    <w:rsid w:val="56F85B6D"/>
    <w:rsid w:val="571C2584"/>
    <w:rsid w:val="57200092"/>
    <w:rsid w:val="57240661"/>
    <w:rsid w:val="57283E0B"/>
    <w:rsid w:val="5738499B"/>
    <w:rsid w:val="57386209"/>
    <w:rsid w:val="57416CCB"/>
    <w:rsid w:val="57544F8D"/>
    <w:rsid w:val="575651A9"/>
    <w:rsid w:val="57593305"/>
    <w:rsid w:val="57631674"/>
    <w:rsid w:val="57664CC0"/>
    <w:rsid w:val="576B5785"/>
    <w:rsid w:val="576D24F2"/>
    <w:rsid w:val="576E69B6"/>
    <w:rsid w:val="5777402A"/>
    <w:rsid w:val="577775BB"/>
    <w:rsid w:val="57833AC4"/>
    <w:rsid w:val="57956BD8"/>
    <w:rsid w:val="5798743E"/>
    <w:rsid w:val="57B90883"/>
    <w:rsid w:val="57CB092F"/>
    <w:rsid w:val="57EB51CE"/>
    <w:rsid w:val="57F4051E"/>
    <w:rsid w:val="58095D77"/>
    <w:rsid w:val="582F7C9C"/>
    <w:rsid w:val="58337298"/>
    <w:rsid w:val="585440F0"/>
    <w:rsid w:val="585C28AB"/>
    <w:rsid w:val="585C4B66"/>
    <w:rsid w:val="585F62DF"/>
    <w:rsid w:val="586B6A32"/>
    <w:rsid w:val="586E02D0"/>
    <w:rsid w:val="588B5525"/>
    <w:rsid w:val="58940A94"/>
    <w:rsid w:val="589E7E02"/>
    <w:rsid w:val="58B375CF"/>
    <w:rsid w:val="58B74EA2"/>
    <w:rsid w:val="58C1230C"/>
    <w:rsid w:val="58D53867"/>
    <w:rsid w:val="58DB7B6B"/>
    <w:rsid w:val="58E00368"/>
    <w:rsid w:val="58E60B6F"/>
    <w:rsid w:val="58ED4F64"/>
    <w:rsid w:val="590146C8"/>
    <w:rsid w:val="59023065"/>
    <w:rsid w:val="59210902"/>
    <w:rsid w:val="59215B57"/>
    <w:rsid w:val="5935733B"/>
    <w:rsid w:val="593B3F1E"/>
    <w:rsid w:val="593E44C7"/>
    <w:rsid w:val="59517F0B"/>
    <w:rsid w:val="59654336"/>
    <w:rsid w:val="597A4A32"/>
    <w:rsid w:val="597D5C14"/>
    <w:rsid w:val="59915EC1"/>
    <w:rsid w:val="59C23B35"/>
    <w:rsid w:val="59CA084F"/>
    <w:rsid w:val="59EC4523"/>
    <w:rsid w:val="59F21CEF"/>
    <w:rsid w:val="59FC695E"/>
    <w:rsid w:val="5A0B27D6"/>
    <w:rsid w:val="5A152F3F"/>
    <w:rsid w:val="5A1C43A4"/>
    <w:rsid w:val="5A200EB3"/>
    <w:rsid w:val="5A3055F2"/>
    <w:rsid w:val="5A317220"/>
    <w:rsid w:val="5A5B50F2"/>
    <w:rsid w:val="5A5E6059"/>
    <w:rsid w:val="5A6269DE"/>
    <w:rsid w:val="5A766DC7"/>
    <w:rsid w:val="5AA77AC9"/>
    <w:rsid w:val="5AAD49D1"/>
    <w:rsid w:val="5AB820EA"/>
    <w:rsid w:val="5AB865E5"/>
    <w:rsid w:val="5AB96847"/>
    <w:rsid w:val="5AC445F6"/>
    <w:rsid w:val="5AC850CF"/>
    <w:rsid w:val="5AE453BD"/>
    <w:rsid w:val="5AEC5DDC"/>
    <w:rsid w:val="5AF268CC"/>
    <w:rsid w:val="5AF5546C"/>
    <w:rsid w:val="5AFA040B"/>
    <w:rsid w:val="5B035141"/>
    <w:rsid w:val="5B0B373F"/>
    <w:rsid w:val="5B0B4BC0"/>
    <w:rsid w:val="5B1031F0"/>
    <w:rsid w:val="5B1B5005"/>
    <w:rsid w:val="5B265F87"/>
    <w:rsid w:val="5B382831"/>
    <w:rsid w:val="5B3D0088"/>
    <w:rsid w:val="5B3F4DB9"/>
    <w:rsid w:val="5B4535FC"/>
    <w:rsid w:val="5B482F07"/>
    <w:rsid w:val="5B5374D7"/>
    <w:rsid w:val="5B5B3570"/>
    <w:rsid w:val="5B6322AA"/>
    <w:rsid w:val="5B6D01D2"/>
    <w:rsid w:val="5B8529BC"/>
    <w:rsid w:val="5BA109BC"/>
    <w:rsid w:val="5BAD170D"/>
    <w:rsid w:val="5BB573ED"/>
    <w:rsid w:val="5BBC75A4"/>
    <w:rsid w:val="5BF070CD"/>
    <w:rsid w:val="5BFF6ACC"/>
    <w:rsid w:val="5C005C45"/>
    <w:rsid w:val="5C0A6E8C"/>
    <w:rsid w:val="5C0B6EDF"/>
    <w:rsid w:val="5C160B6C"/>
    <w:rsid w:val="5C2A6C04"/>
    <w:rsid w:val="5C4B6C03"/>
    <w:rsid w:val="5C4C0928"/>
    <w:rsid w:val="5C59168D"/>
    <w:rsid w:val="5C6D595B"/>
    <w:rsid w:val="5C6E074F"/>
    <w:rsid w:val="5C797A28"/>
    <w:rsid w:val="5C821129"/>
    <w:rsid w:val="5C8E760E"/>
    <w:rsid w:val="5C91292C"/>
    <w:rsid w:val="5CA0283D"/>
    <w:rsid w:val="5CA34CA4"/>
    <w:rsid w:val="5CA638F7"/>
    <w:rsid w:val="5CBA0E18"/>
    <w:rsid w:val="5CBF4790"/>
    <w:rsid w:val="5CC11316"/>
    <w:rsid w:val="5CDB625F"/>
    <w:rsid w:val="5CE52D57"/>
    <w:rsid w:val="5CFD7060"/>
    <w:rsid w:val="5D072428"/>
    <w:rsid w:val="5D186A5C"/>
    <w:rsid w:val="5D187049"/>
    <w:rsid w:val="5D1F603D"/>
    <w:rsid w:val="5D235F07"/>
    <w:rsid w:val="5D2E6FEF"/>
    <w:rsid w:val="5D344010"/>
    <w:rsid w:val="5D444EF8"/>
    <w:rsid w:val="5D492700"/>
    <w:rsid w:val="5D5C2EEE"/>
    <w:rsid w:val="5D5E09A5"/>
    <w:rsid w:val="5DB32021"/>
    <w:rsid w:val="5DD14A36"/>
    <w:rsid w:val="5DD66B55"/>
    <w:rsid w:val="5DDD3342"/>
    <w:rsid w:val="5DDE31F8"/>
    <w:rsid w:val="5DE80B25"/>
    <w:rsid w:val="5DEE6EAC"/>
    <w:rsid w:val="5DFC702A"/>
    <w:rsid w:val="5E171842"/>
    <w:rsid w:val="5E206824"/>
    <w:rsid w:val="5E2353F1"/>
    <w:rsid w:val="5E24349E"/>
    <w:rsid w:val="5E2D4354"/>
    <w:rsid w:val="5E3E4FA5"/>
    <w:rsid w:val="5E434D76"/>
    <w:rsid w:val="5E581E70"/>
    <w:rsid w:val="5E784311"/>
    <w:rsid w:val="5E80703E"/>
    <w:rsid w:val="5E8A398A"/>
    <w:rsid w:val="5E8E1E22"/>
    <w:rsid w:val="5E8F1627"/>
    <w:rsid w:val="5E9C6E65"/>
    <w:rsid w:val="5ED03A93"/>
    <w:rsid w:val="5ED3350B"/>
    <w:rsid w:val="5EF17565"/>
    <w:rsid w:val="5EF80C19"/>
    <w:rsid w:val="5F0279C4"/>
    <w:rsid w:val="5F0D5B98"/>
    <w:rsid w:val="5F1D12CB"/>
    <w:rsid w:val="5F21397A"/>
    <w:rsid w:val="5F214AB2"/>
    <w:rsid w:val="5F2B1033"/>
    <w:rsid w:val="5F2F20EF"/>
    <w:rsid w:val="5F3129A4"/>
    <w:rsid w:val="5F4D3766"/>
    <w:rsid w:val="5F4D7FB0"/>
    <w:rsid w:val="5F500B60"/>
    <w:rsid w:val="5F6E0BB6"/>
    <w:rsid w:val="5F7206A6"/>
    <w:rsid w:val="5F7573BC"/>
    <w:rsid w:val="5F7D646E"/>
    <w:rsid w:val="5F821A41"/>
    <w:rsid w:val="5F824C39"/>
    <w:rsid w:val="5F8A1E93"/>
    <w:rsid w:val="5F9937E6"/>
    <w:rsid w:val="5FB05B4B"/>
    <w:rsid w:val="5FB46677"/>
    <w:rsid w:val="5FB9411A"/>
    <w:rsid w:val="5FD360B3"/>
    <w:rsid w:val="5FE51FBF"/>
    <w:rsid w:val="5FEA7730"/>
    <w:rsid w:val="5FF217E7"/>
    <w:rsid w:val="600D3631"/>
    <w:rsid w:val="601175DF"/>
    <w:rsid w:val="601D2D07"/>
    <w:rsid w:val="602778B3"/>
    <w:rsid w:val="602D06C2"/>
    <w:rsid w:val="602F47E9"/>
    <w:rsid w:val="60483B33"/>
    <w:rsid w:val="60583D40"/>
    <w:rsid w:val="605C1187"/>
    <w:rsid w:val="606E353A"/>
    <w:rsid w:val="608C0AC2"/>
    <w:rsid w:val="608C4992"/>
    <w:rsid w:val="609C509A"/>
    <w:rsid w:val="60A153C4"/>
    <w:rsid w:val="60AB34EB"/>
    <w:rsid w:val="60B81A42"/>
    <w:rsid w:val="60B81D35"/>
    <w:rsid w:val="60BA67A8"/>
    <w:rsid w:val="60DB3599"/>
    <w:rsid w:val="60DB4284"/>
    <w:rsid w:val="60DB5ADF"/>
    <w:rsid w:val="60F6302D"/>
    <w:rsid w:val="60FF1884"/>
    <w:rsid w:val="61092F57"/>
    <w:rsid w:val="611D00CC"/>
    <w:rsid w:val="6129541F"/>
    <w:rsid w:val="612B059A"/>
    <w:rsid w:val="612E1967"/>
    <w:rsid w:val="613043EA"/>
    <w:rsid w:val="6147186D"/>
    <w:rsid w:val="614918DA"/>
    <w:rsid w:val="6151253D"/>
    <w:rsid w:val="61874157"/>
    <w:rsid w:val="618B6281"/>
    <w:rsid w:val="61A1705B"/>
    <w:rsid w:val="61AC4A11"/>
    <w:rsid w:val="61B424C8"/>
    <w:rsid w:val="61DC79D0"/>
    <w:rsid w:val="61E77AFE"/>
    <w:rsid w:val="61FB138B"/>
    <w:rsid w:val="620A64C0"/>
    <w:rsid w:val="620D6B6D"/>
    <w:rsid w:val="6216077D"/>
    <w:rsid w:val="62241BB2"/>
    <w:rsid w:val="622512E3"/>
    <w:rsid w:val="6226337E"/>
    <w:rsid w:val="625C73EB"/>
    <w:rsid w:val="6263354E"/>
    <w:rsid w:val="62690EB0"/>
    <w:rsid w:val="626C79F6"/>
    <w:rsid w:val="6286585F"/>
    <w:rsid w:val="629038C3"/>
    <w:rsid w:val="629D1473"/>
    <w:rsid w:val="62B17737"/>
    <w:rsid w:val="62C40C89"/>
    <w:rsid w:val="62C918D8"/>
    <w:rsid w:val="62CC4CEE"/>
    <w:rsid w:val="62D1432C"/>
    <w:rsid w:val="62D5531A"/>
    <w:rsid w:val="62DA2E80"/>
    <w:rsid w:val="62DD678E"/>
    <w:rsid w:val="62EB5AF4"/>
    <w:rsid w:val="62F6567B"/>
    <w:rsid w:val="62F835B8"/>
    <w:rsid w:val="62FB78AF"/>
    <w:rsid w:val="631D05B4"/>
    <w:rsid w:val="63217D78"/>
    <w:rsid w:val="63260125"/>
    <w:rsid w:val="63286A2F"/>
    <w:rsid w:val="632C14B3"/>
    <w:rsid w:val="632C5010"/>
    <w:rsid w:val="6336348D"/>
    <w:rsid w:val="633C1073"/>
    <w:rsid w:val="6343168B"/>
    <w:rsid w:val="635E1A4C"/>
    <w:rsid w:val="636C18B0"/>
    <w:rsid w:val="637502A7"/>
    <w:rsid w:val="63831726"/>
    <w:rsid w:val="638508E0"/>
    <w:rsid w:val="63862972"/>
    <w:rsid w:val="63924F84"/>
    <w:rsid w:val="639777C8"/>
    <w:rsid w:val="639E415F"/>
    <w:rsid w:val="63A546A8"/>
    <w:rsid w:val="63A67290"/>
    <w:rsid w:val="63CF24C1"/>
    <w:rsid w:val="63D04A9B"/>
    <w:rsid w:val="63DA1D14"/>
    <w:rsid w:val="63E044E9"/>
    <w:rsid w:val="63E458EA"/>
    <w:rsid w:val="63E84672"/>
    <w:rsid w:val="63EE47BE"/>
    <w:rsid w:val="63F229C9"/>
    <w:rsid w:val="63FF2A81"/>
    <w:rsid w:val="64047D3A"/>
    <w:rsid w:val="640902CB"/>
    <w:rsid w:val="640A0554"/>
    <w:rsid w:val="640F6E0B"/>
    <w:rsid w:val="6410447D"/>
    <w:rsid w:val="64176014"/>
    <w:rsid w:val="64316F8F"/>
    <w:rsid w:val="64370110"/>
    <w:rsid w:val="643B1186"/>
    <w:rsid w:val="643D3D16"/>
    <w:rsid w:val="64501BB2"/>
    <w:rsid w:val="64644617"/>
    <w:rsid w:val="647E189B"/>
    <w:rsid w:val="649F4B61"/>
    <w:rsid w:val="64BB489D"/>
    <w:rsid w:val="64BF5A9A"/>
    <w:rsid w:val="64DE058B"/>
    <w:rsid w:val="64EF587C"/>
    <w:rsid w:val="64F54D3C"/>
    <w:rsid w:val="64FF21BA"/>
    <w:rsid w:val="650E70C3"/>
    <w:rsid w:val="6522377E"/>
    <w:rsid w:val="652906ED"/>
    <w:rsid w:val="6535057F"/>
    <w:rsid w:val="65545499"/>
    <w:rsid w:val="65607B63"/>
    <w:rsid w:val="65751F98"/>
    <w:rsid w:val="658E3D60"/>
    <w:rsid w:val="65B8460A"/>
    <w:rsid w:val="65BD729A"/>
    <w:rsid w:val="65C07C91"/>
    <w:rsid w:val="65D57B0F"/>
    <w:rsid w:val="65D72700"/>
    <w:rsid w:val="65F77B57"/>
    <w:rsid w:val="65FE0EE5"/>
    <w:rsid w:val="66063851"/>
    <w:rsid w:val="661A014E"/>
    <w:rsid w:val="662B5608"/>
    <w:rsid w:val="663D7C4E"/>
    <w:rsid w:val="663F7D97"/>
    <w:rsid w:val="664E25AF"/>
    <w:rsid w:val="66515E31"/>
    <w:rsid w:val="66560D21"/>
    <w:rsid w:val="66627FC1"/>
    <w:rsid w:val="667F0B73"/>
    <w:rsid w:val="66895074"/>
    <w:rsid w:val="668B770A"/>
    <w:rsid w:val="668D2269"/>
    <w:rsid w:val="6695111E"/>
    <w:rsid w:val="6699148D"/>
    <w:rsid w:val="669D2230"/>
    <w:rsid w:val="66A9723B"/>
    <w:rsid w:val="66CE42CE"/>
    <w:rsid w:val="67172DB9"/>
    <w:rsid w:val="671E57CD"/>
    <w:rsid w:val="67497084"/>
    <w:rsid w:val="674F1429"/>
    <w:rsid w:val="675E7762"/>
    <w:rsid w:val="67694A84"/>
    <w:rsid w:val="67874E83"/>
    <w:rsid w:val="678D358E"/>
    <w:rsid w:val="67903CA9"/>
    <w:rsid w:val="679A7B08"/>
    <w:rsid w:val="679B5B59"/>
    <w:rsid w:val="679C6B4C"/>
    <w:rsid w:val="67A01AB6"/>
    <w:rsid w:val="67B0620F"/>
    <w:rsid w:val="67BC7290"/>
    <w:rsid w:val="67C15BC0"/>
    <w:rsid w:val="67DF33E1"/>
    <w:rsid w:val="67EB2223"/>
    <w:rsid w:val="681177B7"/>
    <w:rsid w:val="681C1251"/>
    <w:rsid w:val="681E0D67"/>
    <w:rsid w:val="68447B9A"/>
    <w:rsid w:val="68570D81"/>
    <w:rsid w:val="685C7791"/>
    <w:rsid w:val="685E210F"/>
    <w:rsid w:val="685E3927"/>
    <w:rsid w:val="68664016"/>
    <w:rsid w:val="686E4047"/>
    <w:rsid w:val="68795046"/>
    <w:rsid w:val="687F4C1D"/>
    <w:rsid w:val="68885815"/>
    <w:rsid w:val="68C2756A"/>
    <w:rsid w:val="68CA608A"/>
    <w:rsid w:val="68CB1738"/>
    <w:rsid w:val="68DC298A"/>
    <w:rsid w:val="68E72104"/>
    <w:rsid w:val="68EA08E2"/>
    <w:rsid w:val="690C3F26"/>
    <w:rsid w:val="690D7B44"/>
    <w:rsid w:val="690F0847"/>
    <w:rsid w:val="693D1B33"/>
    <w:rsid w:val="69402C35"/>
    <w:rsid w:val="69763186"/>
    <w:rsid w:val="6978469B"/>
    <w:rsid w:val="69896C65"/>
    <w:rsid w:val="69A85E16"/>
    <w:rsid w:val="69C4101E"/>
    <w:rsid w:val="69C9180A"/>
    <w:rsid w:val="69C97171"/>
    <w:rsid w:val="6A026ACA"/>
    <w:rsid w:val="6A233CFC"/>
    <w:rsid w:val="6A32545A"/>
    <w:rsid w:val="6A3749C6"/>
    <w:rsid w:val="6A3C4858"/>
    <w:rsid w:val="6A3F4919"/>
    <w:rsid w:val="6A45569F"/>
    <w:rsid w:val="6A494992"/>
    <w:rsid w:val="6A503CD9"/>
    <w:rsid w:val="6A6B28C1"/>
    <w:rsid w:val="6A7241DA"/>
    <w:rsid w:val="6A7D0C4F"/>
    <w:rsid w:val="6A8D5D59"/>
    <w:rsid w:val="6ABD7DF6"/>
    <w:rsid w:val="6ACB5C2B"/>
    <w:rsid w:val="6ACD1429"/>
    <w:rsid w:val="6AF208ED"/>
    <w:rsid w:val="6AFD60AE"/>
    <w:rsid w:val="6B1E7C6E"/>
    <w:rsid w:val="6B3772D8"/>
    <w:rsid w:val="6B3B6B50"/>
    <w:rsid w:val="6B3D56C7"/>
    <w:rsid w:val="6B560794"/>
    <w:rsid w:val="6B6C2B07"/>
    <w:rsid w:val="6B817366"/>
    <w:rsid w:val="6B833D5F"/>
    <w:rsid w:val="6B8A0E05"/>
    <w:rsid w:val="6B8D43BC"/>
    <w:rsid w:val="6B902E71"/>
    <w:rsid w:val="6BA43833"/>
    <w:rsid w:val="6BC11D3A"/>
    <w:rsid w:val="6BC8789F"/>
    <w:rsid w:val="6BD35E1F"/>
    <w:rsid w:val="6BDC775D"/>
    <w:rsid w:val="6BE63C18"/>
    <w:rsid w:val="6BFB1A23"/>
    <w:rsid w:val="6C1D002B"/>
    <w:rsid w:val="6C2800AB"/>
    <w:rsid w:val="6C377825"/>
    <w:rsid w:val="6C397724"/>
    <w:rsid w:val="6C3A24EC"/>
    <w:rsid w:val="6C402CDE"/>
    <w:rsid w:val="6C4A194C"/>
    <w:rsid w:val="6C5B710D"/>
    <w:rsid w:val="6C5E1225"/>
    <w:rsid w:val="6C6258FC"/>
    <w:rsid w:val="6C6D2CC1"/>
    <w:rsid w:val="6C700D4E"/>
    <w:rsid w:val="6C7D5CF7"/>
    <w:rsid w:val="6C864FCE"/>
    <w:rsid w:val="6CA1081C"/>
    <w:rsid w:val="6CA47460"/>
    <w:rsid w:val="6CD539FE"/>
    <w:rsid w:val="6D156B14"/>
    <w:rsid w:val="6D1B38C0"/>
    <w:rsid w:val="6D2032E6"/>
    <w:rsid w:val="6D2E22F8"/>
    <w:rsid w:val="6D4D4CA1"/>
    <w:rsid w:val="6D4F2026"/>
    <w:rsid w:val="6D5A5A45"/>
    <w:rsid w:val="6D5D0BE7"/>
    <w:rsid w:val="6D853C9A"/>
    <w:rsid w:val="6D871E5D"/>
    <w:rsid w:val="6D8C744C"/>
    <w:rsid w:val="6D9E721F"/>
    <w:rsid w:val="6DB7708E"/>
    <w:rsid w:val="6DC16B11"/>
    <w:rsid w:val="6DCC05D9"/>
    <w:rsid w:val="6DCD570A"/>
    <w:rsid w:val="6DD54C21"/>
    <w:rsid w:val="6DD8672B"/>
    <w:rsid w:val="6DED0A01"/>
    <w:rsid w:val="6DF8337A"/>
    <w:rsid w:val="6DFB5D0A"/>
    <w:rsid w:val="6E0653B5"/>
    <w:rsid w:val="6E0A2F8E"/>
    <w:rsid w:val="6E0A488C"/>
    <w:rsid w:val="6E1B015A"/>
    <w:rsid w:val="6E1C4E4E"/>
    <w:rsid w:val="6E263F3C"/>
    <w:rsid w:val="6E3F5BBC"/>
    <w:rsid w:val="6E5C5328"/>
    <w:rsid w:val="6E5F649A"/>
    <w:rsid w:val="6E643C75"/>
    <w:rsid w:val="6E664226"/>
    <w:rsid w:val="6E9047F2"/>
    <w:rsid w:val="6EA03737"/>
    <w:rsid w:val="6EA75B94"/>
    <w:rsid w:val="6EA820D0"/>
    <w:rsid w:val="6EAB5352"/>
    <w:rsid w:val="6EB8785E"/>
    <w:rsid w:val="6EB967CD"/>
    <w:rsid w:val="6EC07D65"/>
    <w:rsid w:val="6EC24A7A"/>
    <w:rsid w:val="6EC2772B"/>
    <w:rsid w:val="6ED75D30"/>
    <w:rsid w:val="6ED924EF"/>
    <w:rsid w:val="6EDE1140"/>
    <w:rsid w:val="6EF636D7"/>
    <w:rsid w:val="6EFE4CA9"/>
    <w:rsid w:val="6F12155D"/>
    <w:rsid w:val="6F1D1F2A"/>
    <w:rsid w:val="6F2614AD"/>
    <w:rsid w:val="6F2C698D"/>
    <w:rsid w:val="6F307FBD"/>
    <w:rsid w:val="6F4978A8"/>
    <w:rsid w:val="6F5442DB"/>
    <w:rsid w:val="6F616041"/>
    <w:rsid w:val="6F63000B"/>
    <w:rsid w:val="6F863101"/>
    <w:rsid w:val="6F8D0BCF"/>
    <w:rsid w:val="6F8D5088"/>
    <w:rsid w:val="6FA523D2"/>
    <w:rsid w:val="6FB16FC8"/>
    <w:rsid w:val="6FBA745A"/>
    <w:rsid w:val="6FC14329"/>
    <w:rsid w:val="6FC572DF"/>
    <w:rsid w:val="6FCE5BF7"/>
    <w:rsid w:val="6FDA252A"/>
    <w:rsid w:val="6FDC7D30"/>
    <w:rsid w:val="6FE6276D"/>
    <w:rsid w:val="6FEA6407"/>
    <w:rsid w:val="6FEE127A"/>
    <w:rsid w:val="6FEF7CFF"/>
    <w:rsid w:val="6FF34BBB"/>
    <w:rsid w:val="6FFB78EA"/>
    <w:rsid w:val="700B49D4"/>
    <w:rsid w:val="70175DEF"/>
    <w:rsid w:val="70231548"/>
    <w:rsid w:val="702668B5"/>
    <w:rsid w:val="702A6540"/>
    <w:rsid w:val="70313CB8"/>
    <w:rsid w:val="703968C6"/>
    <w:rsid w:val="704323FB"/>
    <w:rsid w:val="70496947"/>
    <w:rsid w:val="705740AF"/>
    <w:rsid w:val="70641802"/>
    <w:rsid w:val="70673B11"/>
    <w:rsid w:val="7070146C"/>
    <w:rsid w:val="707D7BC3"/>
    <w:rsid w:val="707E7B58"/>
    <w:rsid w:val="7084221D"/>
    <w:rsid w:val="70922E8E"/>
    <w:rsid w:val="70995ECF"/>
    <w:rsid w:val="709A5398"/>
    <w:rsid w:val="70A5670D"/>
    <w:rsid w:val="70A9032F"/>
    <w:rsid w:val="70B825D8"/>
    <w:rsid w:val="70B96EB0"/>
    <w:rsid w:val="70C31153"/>
    <w:rsid w:val="70C70344"/>
    <w:rsid w:val="70E37F25"/>
    <w:rsid w:val="70EC7CA0"/>
    <w:rsid w:val="71094BE2"/>
    <w:rsid w:val="710E3FF5"/>
    <w:rsid w:val="71217BF7"/>
    <w:rsid w:val="71256547"/>
    <w:rsid w:val="71321D8A"/>
    <w:rsid w:val="71327C95"/>
    <w:rsid w:val="715B4FAC"/>
    <w:rsid w:val="715B781E"/>
    <w:rsid w:val="7161477F"/>
    <w:rsid w:val="71717CF1"/>
    <w:rsid w:val="71864957"/>
    <w:rsid w:val="71BB21F2"/>
    <w:rsid w:val="71C72AD3"/>
    <w:rsid w:val="71DF4E18"/>
    <w:rsid w:val="71E21DDA"/>
    <w:rsid w:val="71E8488A"/>
    <w:rsid w:val="71FF7ED8"/>
    <w:rsid w:val="72037475"/>
    <w:rsid w:val="72137BE6"/>
    <w:rsid w:val="72256503"/>
    <w:rsid w:val="7233754A"/>
    <w:rsid w:val="723513B9"/>
    <w:rsid w:val="72401A80"/>
    <w:rsid w:val="724463AD"/>
    <w:rsid w:val="724E1E73"/>
    <w:rsid w:val="726560A9"/>
    <w:rsid w:val="72664F16"/>
    <w:rsid w:val="726B6C00"/>
    <w:rsid w:val="7274164C"/>
    <w:rsid w:val="727448E4"/>
    <w:rsid w:val="728C7879"/>
    <w:rsid w:val="72916253"/>
    <w:rsid w:val="72A4012B"/>
    <w:rsid w:val="72C62D8B"/>
    <w:rsid w:val="72DD1E4B"/>
    <w:rsid w:val="72E63328"/>
    <w:rsid w:val="72F17CFC"/>
    <w:rsid w:val="72F24118"/>
    <w:rsid w:val="72F40210"/>
    <w:rsid w:val="72F518AE"/>
    <w:rsid w:val="72FB2F33"/>
    <w:rsid w:val="73104CD1"/>
    <w:rsid w:val="731358A4"/>
    <w:rsid w:val="73141BD0"/>
    <w:rsid w:val="73173CE2"/>
    <w:rsid w:val="7318787F"/>
    <w:rsid w:val="731C29AB"/>
    <w:rsid w:val="73350EC4"/>
    <w:rsid w:val="734D1AAC"/>
    <w:rsid w:val="73627B42"/>
    <w:rsid w:val="73704370"/>
    <w:rsid w:val="73722F12"/>
    <w:rsid w:val="73856825"/>
    <w:rsid w:val="738A025C"/>
    <w:rsid w:val="73A365F5"/>
    <w:rsid w:val="73A43FCB"/>
    <w:rsid w:val="73BA7DA1"/>
    <w:rsid w:val="73BB0416"/>
    <w:rsid w:val="73BE7EC9"/>
    <w:rsid w:val="73C02D18"/>
    <w:rsid w:val="73CF3EC1"/>
    <w:rsid w:val="73DC4D25"/>
    <w:rsid w:val="73DF2697"/>
    <w:rsid w:val="73F769EC"/>
    <w:rsid w:val="73FA1FF9"/>
    <w:rsid w:val="740F0761"/>
    <w:rsid w:val="7431777C"/>
    <w:rsid w:val="74427D56"/>
    <w:rsid w:val="744A3547"/>
    <w:rsid w:val="744D5640"/>
    <w:rsid w:val="74532FFA"/>
    <w:rsid w:val="745436E9"/>
    <w:rsid w:val="7457660D"/>
    <w:rsid w:val="74602D6B"/>
    <w:rsid w:val="74755293"/>
    <w:rsid w:val="74AA2238"/>
    <w:rsid w:val="74AA75F9"/>
    <w:rsid w:val="74C07934"/>
    <w:rsid w:val="74D459A3"/>
    <w:rsid w:val="74D8487D"/>
    <w:rsid w:val="74DD616A"/>
    <w:rsid w:val="74F776C4"/>
    <w:rsid w:val="75027639"/>
    <w:rsid w:val="75286516"/>
    <w:rsid w:val="752E10BB"/>
    <w:rsid w:val="75392297"/>
    <w:rsid w:val="753F1B7D"/>
    <w:rsid w:val="755203BF"/>
    <w:rsid w:val="7557416E"/>
    <w:rsid w:val="75752846"/>
    <w:rsid w:val="75773950"/>
    <w:rsid w:val="757C3BD5"/>
    <w:rsid w:val="758139DD"/>
    <w:rsid w:val="758B61EE"/>
    <w:rsid w:val="75933184"/>
    <w:rsid w:val="75A85F2A"/>
    <w:rsid w:val="75B21260"/>
    <w:rsid w:val="75B4308D"/>
    <w:rsid w:val="75B855D2"/>
    <w:rsid w:val="75C379FA"/>
    <w:rsid w:val="75C557F6"/>
    <w:rsid w:val="75D5010C"/>
    <w:rsid w:val="75D85BF4"/>
    <w:rsid w:val="75F36C4E"/>
    <w:rsid w:val="75FC7182"/>
    <w:rsid w:val="760F2C9B"/>
    <w:rsid w:val="76110225"/>
    <w:rsid w:val="761A519B"/>
    <w:rsid w:val="761E13BE"/>
    <w:rsid w:val="762A0827"/>
    <w:rsid w:val="762F086F"/>
    <w:rsid w:val="763F668E"/>
    <w:rsid w:val="76404A9A"/>
    <w:rsid w:val="7651358C"/>
    <w:rsid w:val="765A05BC"/>
    <w:rsid w:val="76692EF4"/>
    <w:rsid w:val="76811F39"/>
    <w:rsid w:val="768D36A0"/>
    <w:rsid w:val="7692064E"/>
    <w:rsid w:val="76942D56"/>
    <w:rsid w:val="76A32480"/>
    <w:rsid w:val="76AB1F30"/>
    <w:rsid w:val="76BC4822"/>
    <w:rsid w:val="76BD6FDB"/>
    <w:rsid w:val="76BF7545"/>
    <w:rsid w:val="76C727DF"/>
    <w:rsid w:val="76C97A91"/>
    <w:rsid w:val="76CC50C9"/>
    <w:rsid w:val="76D774B4"/>
    <w:rsid w:val="76E64FE9"/>
    <w:rsid w:val="76EF1C48"/>
    <w:rsid w:val="77142F60"/>
    <w:rsid w:val="771C4561"/>
    <w:rsid w:val="77531CCD"/>
    <w:rsid w:val="775539A8"/>
    <w:rsid w:val="77564CDE"/>
    <w:rsid w:val="775E2719"/>
    <w:rsid w:val="775E513F"/>
    <w:rsid w:val="77626DFA"/>
    <w:rsid w:val="7789311B"/>
    <w:rsid w:val="778B45B5"/>
    <w:rsid w:val="77993325"/>
    <w:rsid w:val="77A11407"/>
    <w:rsid w:val="77B60070"/>
    <w:rsid w:val="77BA496D"/>
    <w:rsid w:val="77CD1C66"/>
    <w:rsid w:val="77CE623E"/>
    <w:rsid w:val="77EA751B"/>
    <w:rsid w:val="77FD2A21"/>
    <w:rsid w:val="77FF6F6D"/>
    <w:rsid w:val="781F2BD4"/>
    <w:rsid w:val="78221177"/>
    <w:rsid w:val="782243C2"/>
    <w:rsid w:val="782C0497"/>
    <w:rsid w:val="782C5A36"/>
    <w:rsid w:val="78322C70"/>
    <w:rsid w:val="783D7B2B"/>
    <w:rsid w:val="78462D34"/>
    <w:rsid w:val="784819C4"/>
    <w:rsid w:val="784C2545"/>
    <w:rsid w:val="785146D1"/>
    <w:rsid w:val="787162D7"/>
    <w:rsid w:val="78A2565B"/>
    <w:rsid w:val="78A72782"/>
    <w:rsid w:val="78B2790D"/>
    <w:rsid w:val="78B57F30"/>
    <w:rsid w:val="78BD7DA6"/>
    <w:rsid w:val="78C22246"/>
    <w:rsid w:val="78CD4747"/>
    <w:rsid w:val="78D32B02"/>
    <w:rsid w:val="78DB3EA2"/>
    <w:rsid w:val="78E45957"/>
    <w:rsid w:val="78E75AE5"/>
    <w:rsid w:val="78EE4DE9"/>
    <w:rsid w:val="78F10E72"/>
    <w:rsid w:val="79227A7B"/>
    <w:rsid w:val="792C5350"/>
    <w:rsid w:val="792E7AF3"/>
    <w:rsid w:val="79367373"/>
    <w:rsid w:val="79531F9E"/>
    <w:rsid w:val="795A1D59"/>
    <w:rsid w:val="796327E2"/>
    <w:rsid w:val="797A042B"/>
    <w:rsid w:val="797A1FA2"/>
    <w:rsid w:val="797E740A"/>
    <w:rsid w:val="79876F3B"/>
    <w:rsid w:val="798A7BD5"/>
    <w:rsid w:val="7998005B"/>
    <w:rsid w:val="799B1884"/>
    <w:rsid w:val="799C2B4F"/>
    <w:rsid w:val="79A951B4"/>
    <w:rsid w:val="79AD451C"/>
    <w:rsid w:val="79C35BD3"/>
    <w:rsid w:val="79C46D96"/>
    <w:rsid w:val="79C771E2"/>
    <w:rsid w:val="79D93F3B"/>
    <w:rsid w:val="79DE5972"/>
    <w:rsid w:val="79E24222"/>
    <w:rsid w:val="79E91C76"/>
    <w:rsid w:val="79F30AC2"/>
    <w:rsid w:val="7A1A5A52"/>
    <w:rsid w:val="7A395F1E"/>
    <w:rsid w:val="7A3A5E0C"/>
    <w:rsid w:val="7A5645B6"/>
    <w:rsid w:val="7A7E4EC0"/>
    <w:rsid w:val="7A873E11"/>
    <w:rsid w:val="7A8862F4"/>
    <w:rsid w:val="7A8D2C6B"/>
    <w:rsid w:val="7A97759F"/>
    <w:rsid w:val="7A9A52A7"/>
    <w:rsid w:val="7A9E639B"/>
    <w:rsid w:val="7AA72AC7"/>
    <w:rsid w:val="7AB129FA"/>
    <w:rsid w:val="7AC11083"/>
    <w:rsid w:val="7ACF0C4A"/>
    <w:rsid w:val="7ACF2BC4"/>
    <w:rsid w:val="7AF4478C"/>
    <w:rsid w:val="7AFB3C1A"/>
    <w:rsid w:val="7AFD11E3"/>
    <w:rsid w:val="7B0668C9"/>
    <w:rsid w:val="7B214E0C"/>
    <w:rsid w:val="7B334F2B"/>
    <w:rsid w:val="7B3D0893"/>
    <w:rsid w:val="7B464E52"/>
    <w:rsid w:val="7B4A041A"/>
    <w:rsid w:val="7B547823"/>
    <w:rsid w:val="7B5E4E76"/>
    <w:rsid w:val="7B673063"/>
    <w:rsid w:val="7B68690A"/>
    <w:rsid w:val="7B875081"/>
    <w:rsid w:val="7BA060D4"/>
    <w:rsid w:val="7BB01186"/>
    <w:rsid w:val="7BB247B2"/>
    <w:rsid w:val="7BB9038F"/>
    <w:rsid w:val="7BB94695"/>
    <w:rsid w:val="7BC57FE0"/>
    <w:rsid w:val="7BCD5D1B"/>
    <w:rsid w:val="7BE25BDD"/>
    <w:rsid w:val="7BEC38D9"/>
    <w:rsid w:val="7BF5725C"/>
    <w:rsid w:val="7BFA7BD8"/>
    <w:rsid w:val="7C002D82"/>
    <w:rsid w:val="7C0641F8"/>
    <w:rsid w:val="7C136AD9"/>
    <w:rsid w:val="7C2B0D47"/>
    <w:rsid w:val="7C350120"/>
    <w:rsid w:val="7C3F1A61"/>
    <w:rsid w:val="7C52757C"/>
    <w:rsid w:val="7C645E16"/>
    <w:rsid w:val="7C683DA8"/>
    <w:rsid w:val="7C6C4AD6"/>
    <w:rsid w:val="7C731F58"/>
    <w:rsid w:val="7C774A79"/>
    <w:rsid w:val="7C776EA4"/>
    <w:rsid w:val="7C835C3D"/>
    <w:rsid w:val="7C8B6052"/>
    <w:rsid w:val="7C99506C"/>
    <w:rsid w:val="7C9E0335"/>
    <w:rsid w:val="7C9E3E54"/>
    <w:rsid w:val="7CBC3B7A"/>
    <w:rsid w:val="7CD24A22"/>
    <w:rsid w:val="7CEF6506"/>
    <w:rsid w:val="7CF66AAB"/>
    <w:rsid w:val="7CFA011A"/>
    <w:rsid w:val="7CFE4B12"/>
    <w:rsid w:val="7D1312C2"/>
    <w:rsid w:val="7D295CBC"/>
    <w:rsid w:val="7D330928"/>
    <w:rsid w:val="7D3464FC"/>
    <w:rsid w:val="7D6D684D"/>
    <w:rsid w:val="7D7A78C1"/>
    <w:rsid w:val="7D803A05"/>
    <w:rsid w:val="7DA00E09"/>
    <w:rsid w:val="7DAB40FD"/>
    <w:rsid w:val="7DB13C66"/>
    <w:rsid w:val="7DB464AC"/>
    <w:rsid w:val="7DB87202"/>
    <w:rsid w:val="7DB96B10"/>
    <w:rsid w:val="7DBD5199"/>
    <w:rsid w:val="7DD91C18"/>
    <w:rsid w:val="7DDB54AC"/>
    <w:rsid w:val="7DDD55F7"/>
    <w:rsid w:val="7E11330D"/>
    <w:rsid w:val="7E1C7D03"/>
    <w:rsid w:val="7E207BF6"/>
    <w:rsid w:val="7E244E09"/>
    <w:rsid w:val="7E2E180D"/>
    <w:rsid w:val="7E3674EB"/>
    <w:rsid w:val="7E387D5F"/>
    <w:rsid w:val="7E4F55C6"/>
    <w:rsid w:val="7E66786C"/>
    <w:rsid w:val="7E732ADF"/>
    <w:rsid w:val="7E9B04B9"/>
    <w:rsid w:val="7E9E5C9C"/>
    <w:rsid w:val="7ED44A14"/>
    <w:rsid w:val="7ED7474C"/>
    <w:rsid w:val="7EE229FD"/>
    <w:rsid w:val="7EED4F50"/>
    <w:rsid w:val="7EF73E05"/>
    <w:rsid w:val="7EF779F9"/>
    <w:rsid w:val="7EFB3DBC"/>
    <w:rsid w:val="7F0B7248"/>
    <w:rsid w:val="7F34163C"/>
    <w:rsid w:val="7F483778"/>
    <w:rsid w:val="7F4A3EAE"/>
    <w:rsid w:val="7F4B0FBD"/>
    <w:rsid w:val="7F695182"/>
    <w:rsid w:val="7F6D0EB3"/>
    <w:rsid w:val="7F893CFD"/>
    <w:rsid w:val="7F8C615F"/>
    <w:rsid w:val="7F8E749F"/>
    <w:rsid w:val="7F994716"/>
    <w:rsid w:val="7FA6638C"/>
    <w:rsid w:val="7FB9175C"/>
    <w:rsid w:val="7FC67363"/>
    <w:rsid w:val="7FCE327F"/>
    <w:rsid w:val="7FCE5757"/>
    <w:rsid w:val="7FD871C8"/>
    <w:rsid w:val="7FE83C65"/>
    <w:rsid w:val="7FE9630A"/>
    <w:rsid w:val="7FEA293C"/>
    <w:rsid w:val="7FF7186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0"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1"/>
    <w:basedOn w:val="1"/>
    <w:next w:val="4"/>
    <w:link w:val="54"/>
    <w:qFormat/>
    <w:uiPriority w:val="9"/>
    <w:pPr>
      <w:keepNext/>
      <w:keepLines/>
      <w:numPr>
        <w:ilvl w:val="0"/>
        <w:numId w:val="1"/>
      </w:numPr>
      <w:adjustRightInd w:val="0"/>
      <w:spacing w:before="160" w:after="160" w:line="160" w:lineRule="atLeast"/>
      <w:textAlignment w:val="baseline"/>
      <w:outlineLvl w:val="0"/>
    </w:pPr>
    <w:rPr>
      <w:b/>
      <w:bCs/>
      <w:kern w:val="44"/>
      <w:sz w:val="44"/>
      <w:szCs w:val="44"/>
    </w:rPr>
  </w:style>
  <w:style w:type="paragraph" w:styleId="5">
    <w:name w:val="heading 2"/>
    <w:basedOn w:val="1"/>
    <w:next w:val="1"/>
    <w:link w:val="55"/>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paragraph" w:styleId="6">
    <w:name w:val="heading 3"/>
    <w:basedOn w:val="1"/>
    <w:next w:val="4"/>
    <w:link w:val="56"/>
    <w:qFormat/>
    <w:uiPriority w:val="9"/>
    <w:pPr>
      <w:keepNext/>
      <w:keepLines/>
      <w:numPr>
        <w:ilvl w:val="2"/>
        <w:numId w:val="1"/>
      </w:numPr>
      <w:tabs>
        <w:tab w:val="left" w:pos="360"/>
      </w:tabs>
      <w:adjustRightInd w:val="0"/>
      <w:spacing w:before="160" w:after="160" w:line="160" w:lineRule="atLeast"/>
      <w:ind w:hanging="284"/>
      <w:textAlignment w:val="baseline"/>
      <w:outlineLvl w:val="2"/>
    </w:pPr>
    <w:rPr>
      <w:b/>
      <w:bCs/>
      <w:kern w:val="0"/>
      <w:sz w:val="32"/>
      <w:szCs w:val="32"/>
    </w:rPr>
  </w:style>
  <w:style w:type="paragraph" w:styleId="7">
    <w:name w:val="heading 4"/>
    <w:basedOn w:val="1"/>
    <w:next w:val="1"/>
    <w:link w:val="57"/>
    <w:qFormat/>
    <w:uiPriority w:val="9"/>
    <w:pPr>
      <w:keepNext/>
      <w:keepLines/>
      <w:numPr>
        <w:ilvl w:val="3"/>
        <w:numId w:val="1"/>
      </w:numPr>
      <w:tabs>
        <w:tab w:val="left" w:pos="0"/>
        <w:tab w:val="left" w:pos="360"/>
      </w:tabs>
      <w:adjustRightInd w:val="0"/>
      <w:spacing w:before="280" w:after="290" w:line="376" w:lineRule="atLeast"/>
      <w:textAlignment w:val="baseline"/>
      <w:outlineLvl w:val="3"/>
    </w:pPr>
    <w:rPr>
      <w:rFonts w:ascii="Cambria" w:hAnsi="Cambria"/>
      <w:b/>
      <w:bCs/>
      <w:kern w:val="0"/>
      <w:sz w:val="28"/>
      <w:szCs w:val="28"/>
    </w:rPr>
  </w:style>
  <w:style w:type="paragraph" w:styleId="8">
    <w:name w:val="heading 5"/>
    <w:basedOn w:val="1"/>
    <w:next w:val="1"/>
    <w:link w:val="58"/>
    <w:qFormat/>
    <w:uiPriority w:val="9"/>
    <w:pPr>
      <w:keepNext/>
      <w:keepLines/>
      <w:numPr>
        <w:ilvl w:val="4"/>
        <w:numId w:val="1"/>
      </w:numPr>
      <w:tabs>
        <w:tab w:val="left" w:pos="0"/>
        <w:tab w:val="left" w:pos="360"/>
      </w:tabs>
      <w:adjustRightInd w:val="0"/>
      <w:spacing w:before="280" w:after="290" w:line="376" w:lineRule="atLeast"/>
      <w:textAlignment w:val="baseline"/>
      <w:outlineLvl w:val="4"/>
    </w:pPr>
    <w:rPr>
      <w:b/>
      <w:bCs/>
      <w:kern w:val="0"/>
      <w:sz w:val="28"/>
      <w:szCs w:val="28"/>
    </w:rPr>
  </w:style>
  <w:style w:type="paragraph" w:styleId="9">
    <w:name w:val="heading 6"/>
    <w:basedOn w:val="1"/>
    <w:next w:val="1"/>
    <w:link w:val="59"/>
    <w:qFormat/>
    <w:uiPriority w:val="9"/>
    <w:pPr>
      <w:keepNext/>
      <w:keepLines/>
      <w:numPr>
        <w:ilvl w:val="5"/>
        <w:numId w:val="1"/>
      </w:numPr>
      <w:tabs>
        <w:tab w:val="left" w:pos="0"/>
        <w:tab w:val="left" w:pos="360"/>
      </w:tabs>
      <w:adjustRightInd w:val="0"/>
      <w:spacing w:before="240" w:after="64" w:line="320" w:lineRule="atLeast"/>
      <w:textAlignment w:val="baseline"/>
      <w:outlineLvl w:val="5"/>
    </w:pPr>
    <w:rPr>
      <w:rFonts w:ascii="Cambria" w:hAnsi="Cambria"/>
      <w:b/>
      <w:bCs/>
      <w:kern w:val="0"/>
      <w:szCs w:val="24"/>
    </w:rPr>
  </w:style>
  <w:style w:type="paragraph" w:styleId="10">
    <w:name w:val="heading 7"/>
    <w:basedOn w:val="1"/>
    <w:next w:val="1"/>
    <w:link w:val="60"/>
    <w:qFormat/>
    <w:uiPriority w:val="9"/>
    <w:pPr>
      <w:keepNext/>
      <w:keepLines/>
      <w:numPr>
        <w:ilvl w:val="6"/>
        <w:numId w:val="1"/>
      </w:numPr>
      <w:tabs>
        <w:tab w:val="left" w:pos="0"/>
        <w:tab w:val="left" w:pos="360"/>
      </w:tabs>
      <w:adjustRightInd w:val="0"/>
      <w:spacing w:before="240" w:after="64" w:line="320" w:lineRule="atLeast"/>
      <w:textAlignment w:val="baseline"/>
      <w:outlineLvl w:val="6"/>
    </w:pPr>
    <w:rPr>
      <w:b/>
      <w:bCs/>
      <w:kern w:val="0"/>
      <w:szCs w:val="24"/>
    </w:rPr>
  </w:style>
  <w:style w:type="paragraph" w:styleId="11">
    <w:name w:val="heading 8"/>
    <w:basedOn w:val="1"/>
    <w:next w:val="1"/>
    <w:link w:val="61"/>
    <w:qFormat/>
    <w:uiPriority w:val="9"/>
    <w:pPr>
      <w:keepNext/>
      <w:keepLines/>
      <w:numPr>
        <w:ilvl w:val="7"/>
        <w:numId w:val="1"/>
      </w:numPr>
      <w:tabs>
        <w:tab w:val="left" w:pos="0"/>
        <w:tab w:val="left" w:pos="360"/>
      </w:tabs>
      <w:adjustRightInd w:val="0"/>
      <w:spacing w:before="240" w:after="64" w:line="320" w:lineRule="atLeast"/>
      <w:textAlignment w:val="baseline"/>
      <w:outlineLvl w:val="7"/>
    </w:pPr>
    <w:rPr>
      <w:rFonts w:ascii="Cambria" w:hAnsi="Cambria"/>
      <w:kern w:val="0"/>
      <w:szCs w:val="24"/>
    </w:rPr>
  </w:style>
  <w:style w:type="paragraph" w:styleId="12">
    <w:name w:val="heading 9"/>
    <w:basedOn w:val="1"/>
    <w:next w:val="1"/>
    <w:link w:val="62"/>
    <w:qFormat/>
    <w:uiPriority w:val="9"/>
    <w:pPr>
      <w:keepNext/>
      <w:keepLines/>
      <w:numPr>
        <w:ilvl w:val="8"/>
        <w:numId w:val="1"/>
      </w:numPr>
      <w:tabs>
        <w:tab w:val="left" w:pos="0"/>
        <w:tab w:val="left" w:pos="360"/>
      </w:tabs>
      <w:adjustRightInd w:val="0"/>
      <w:spacing w:before="240" w:after="64" w:line="320" w:lineRule="atLeast"/>
      <w:textAlignment w:val="baseline"/>
      <w:outlineLvl w:val="8"/>
    </w:pPr>
    <w:rPr>
      <w:rFonts w:ascii="Cambria" w:hAnsi="Cambria"/>
      <w:kern w:val="0"/>
      <w:sz w:val="2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4">
    <w:name w:val="文档正文"/>
    <w:basedOn w:val="1"/>
    <w:qFormat/>
    <w:uiPriority w:val="99"/>
    <w:pPr>
      <w:adjustRightInd w:val="0"/>
      <w:spacing w:line="480" w:lineRule="atLeast"/>
      <w:ind w:firstLine="567"/>
      <w:textAlignment w:val="baseline"/>
    </w:pPr>
    <w:rPr>
      <w:rFonts w:ascii="仿宋_GB2312" w:eastAsia="仿宋_GB2312"/>
      <w:kern w:val="0"/>
      <w:sz w:val="28"/>
      <w:szCs w:val="20"/>
    </w:rPr>
  </w:style>
  <w:style w:type="paragraph" w:styleId="13">
    <w:name w:val="List 3"/>
    <w:basedOn w:val="1"/>
    <w:qFormat/>
    <w:uiPriority w:val="99"/>
    <w:pPr>
      <w:ind w:left="600" w:leftChars="400" w:hanging="200" w:hangingChars="200"/>
    </w:pPr>
    <w:rPr>
      <w:rFonts w:ascii="Times New Roman" w:hAnsi="Times New Roman"/>
      <w:szCs w:val="20"/>
    </w:rPr>
  </w:style>
  <w:style w:type="paragraph" w:styleId="14">
    <w:name w:val="Normal Indent"/>
    <w:basedOn w:val="1"/>
    <w:qFormat/>
    <w:uiPriority w:val="0"/>
    <w:pPr>
      <w:ind w:firstLine="420"/>
    </w:pPr>
    <w:rPr>
      <w:rFonts w:ascii="Times New Roman" w:hAnsi="Times New Roman"/>
      <w:sz w:val="28"/>
      <w:szCs w:val="20"/>
    </w:rPr>
  </w:style>
  <w:style w:type="paragraph" w:styleId="15">
    <w:name w:val="caption"/>
    <w:basedOn w:val="1"/>
    <w:next w:val="1"/>
    <w:qFormat/>
    <w:uiPriority w:val="99"/>
    <w:pPr>
      <w:spacing w:before="152" w:after="160"/>
    </w:pPr>
    <w:rPr>
      <w:rFonts w:ascii="Arial" w:hAnsi="Arial" w:eastAsia="黑体" w:cs="Arial"/>
      <w:sz w:val="20"/>
      <w:szCs w:val="20"/>
    </w:rPr>
  </w:style>
  <w:style w:type="paragraph" w:styleId="16">
    <w:name w:val="annotation text"/>
    <w:basedOn w:val="1"/>
    <w:next w:val="14"/>
    <w:link w:val="63"/>
    <w:qFormat/>
    <w:uiPriority w:val="0"/>
    <w:pPr>
      <w:jc w:val="left"/>
    </w:pPr>
    <w:rPr>
      <w:kern w:val="0"/>
      <w:sz w:val="20"/>
      <w:szCs w:val="20"/>
    </w:rPr>
  </w:style>
  <w:style w:type="paragraph" w:styleId="17">
    <w:name w:val="Body Text 3"/>
    <w:basedOn w:val="1"/>
    <w:link w:val="65"/>
    <w:qFormat/>
    <w:uiPriority w:val="99"/>
    <w:pPr>
      <w:spacing w:after="120"/>
    </w:pPr>
    <w:rPr>
      <w:kern w:val="0"/>
      <w:sz w:val="16"/>
      <w:szCs w:val="16"/>
    </w:rPr>
  </w:style>
  <w:style w:type="paragraph" w:styleId="18">
    <w:name w:val="Body Text"/>
    <w:basedOn w:val="1"/>
    <w:next w:val="19"/>
    <w:link w:val="66"/>
    <w:qFormat/>
    <w:uiPriority w:val="99"/>
    <w:pPr>
      <w:spacing w:line="360" w:lineRule="auto"/>
    </w:pPr>
    <w:rPr>
      <w:kern w:val="0"/>
      <w:sz w:val="20"/>
      <w:szCs w:val="20"/>
    </w:rPr>
  </w:style>
  <w:style w:type="paragraph" w:customStyle="1" w:styleId="19">
    <w:name w:val="Default"/>
    <w:next w:val="20"/>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大标题"/>
    <w:basedOn w:val="1"/>
    <w:next w:val="21"/>
    <w:qFormat/>
    <w:uiPriority w:val="0"/>
    <w:pPr>
      <w:jc w:val="center"/>
    </w:pPr>
    <w:rPr>
      <w:rFonts w:ascii="Arial" w:hAnsi="Arial"/>
      <w:b/>
      <w:sz w:val="28"/>
      <w:szCs w:val="24"/>
    </w:rPr>
  </w:style>
  <w:style w:type="paragraph" w:styleId="21">
    <w:name w:val="Body Text First Indent 2"/>
    <w:basedOn w:val="22"/>
    <w:next w:val="18"/>
    <w:qFormat/>
    <w:locked/>
    <w:uiPriority w:val="0"/>
    <w:pPr>
      <w:ind w:firstLine="0"/>
    </w:pPr>
  </w:style>
  <w:style w:type="paragraph" w:styleId="22">
    <w:name w:val="Body Text Indent"/>
    <w:basedOn w:val="1"/>
    <w:next w:val="18"/>
    <w:link w:val="67"/>
    <w:qFormat/>
    <w:uiPriority w:val="99"/>
    <w:pPr>
      <w:ind w:firstLine="645"/>
    </w:pPr>
    <w:rPr>
      <w:kern w:val="0"/>
      <w:sz w:val="20"/>
      <w:szCs w:val="20"/>
    </w:rPr>
  </w:style>
  <w:style w:type="paragraph" w:styleId="23">
    <w:name w:val="List 2"/>
    <w:basedOn w:val="1"/>
    <w:qFormat/>
    <w:uiPriority w:val="99"/>
    <w:pPr>
      <w:ind w:left="400" w:leftChars="200" w:hanging="200" w:hangingChars="200"/>
    </w:pPr>
    <w:rPr>
      <w:rFonts w:ascii="Times New Roman" w:hAnsi="Times New Roman"/>
      <w:szCs w:val="20"/>
    </w:rPr>
  </w:style>
  <w:style w:type="paragraph" w:styleId="24">
    <w:name w:val="Block Text"/>
    <w:basedOn w:val="1"/>
    <w:qFormat/>
    <w:locked/>
    <w:uiPriority w:val="0"/>
    <w:pPr>
      <w:autoSpaceDE w:val="0"/>
      <w:autoSpaceDN w:val="0"/>
      <w:adjustRightInd w:val="0"/>
      <w:spacing w:line="500" w:lineRule="exact"/>
      <w:ind w:left="391" w:right="246"/>
    </w:pPr>
    <w:rPr>
      <w:rFonts w:ascii="仿宋_GB2312" w:hAnsi="Times New Roman" w:eastAsia="仿宋_GB2312"/>
      <w:kern w:val="0"/>
      <w:szCs w:val="24"/>
    </w:rPr>
  </w:style>
  <w:style w:type="paragraph" w:styleId="25">
    <w:name w:val="toc 3"/>
    <w:basedOn w:val="1"/>
    <w:next w:val="1"/>
    <w:qFormat/>
    <w:uiPriority w:val="99"/>
    <w:pPr>
      <w:tabs>
        <w:tab w:val="right" w:leader="dot" w:pos="8776"/>
      </w:tabs>
      <w:spacing w:line="400" w:lineRule="exact"/>
      <w:ind w:left="400" w:leftChars="400" w:firstLine="200" w:firstLineChars="200"/>
    </w:pPr>
    <w:rPr>
      <w:rFonts w:ascii="宋体"/>
      <w:bCs/>
      <w:sz w:val="18"/>
      <w:szCs w:val="18"/>
    </w:rPr>
  </w:style>
  <w:style w:type="paragraph" w:styleId="26">
    <w:name w:val="Plain Text"/>
    <w:basedOn w:val="1"/>
    <w:link w:val="68"/>
    <w:qFormat/>
    <w:uiPriority w:val="99"/>
    <w:pPr>
      <w:spacing w:line="360" w:lineRule="auto"/>
      <w:ind w:firstLine="200" w:firstLineChars="200"/>
    </w:pPr>
    <w:rPr>
      <w:rFonts w:ascii="宋体" w:hAnsi="Courier New"/>
      <w:kern w:val="0"/>
      <w:sz w:val="20"/>
      <w:szCs w:val="21"/>
    </w:rPr>
  </w:style>
  <w:style w:type="paragraph" w:styleId="27">
    <w:name w:val="Date"/>
    <w:basedOn w:val="1"/>
    <w:next w:val="1"/>
    <w:link w:val="69"/>
    <w:qFormat/>
    <w:uiPriority w:val="99"/>
    <w:pPr>
      <w:ind w:left="2500" w:leftChars="2500"/>
    </w:pPr>
    <w:rPr>
      <w:kern w:val="0"/>
      <w:sz w:val="20"/>
      <w:szCs w:val="20"/>
    </w:rPr>
  </w:style>
  <w:style w:type="paragraph" w:styleId="28">
    <w:name w:val="Body Text Indent 2"/>
    <w:basedOn w:val="1"/>
    <w:link w:val="70"/>
    <w:qFormat/>
    <w:uiPriority w:val="99"/>
    <w:pPr>
      <w:ind w:firstLine="630"/>
    </w:pPr>
    <w:rPr>
      <w:kern w:val="0"/>
      <w:sz w:val="20"/>
      <w:szCs w:val="20"/>
    </w:rPr>
  </w:style>
  <w:style w:type="paragraph" w:styleId="29">
    <w:name w:val="List Continue 5"/>
    <w:basedOn w:val="1"/>
    <w:qFormat/>
    <w:uiPriority w:val="99"/>
    <w:pPr>
      <w:spacing w:after="120"/>
      <w:ind w:left="1000" w:leftChars="1000"/>
    </w:pPr>
    <w:rPr>
      <w:rFonts w:ascii="Times New Roman" w:hAnsi="Times New Roman"/>
      <w:szCs w:val="20"/>
    </w:rPr>
  </w:style>
  <w:style w:type="paragraph" w:styleId="30">
    <w:name w:val="Balloon Text"/>
    <w:basedOn w:val="1"/>
    <w:link w:val="71"/>
    <w:qFormat/>
    <w:uiPriority w:val="99"/>
    <w:rPr>
      <w:kern w:val="0"/>
      <w:sz w:val="0"/>
      <w:szCs w:val="0"/>
    </w:rPr>
  </w:style>
  <w:style w:type="paragraph" w:styleId="31">
    <w:name w:val="footer"/>
    <w:basedOn w:val="1"/>
    <w:link w:val="72"/>
    <w:qFormat/>
    <w:uiPriority w:val="99"/>
    <w:pPr>
      <w:tabs>
        <w:tab w:val="center" w:pos="4153"/>
        <w:tab w:val="right" w:pos="8306"/>
      </w:tabs>
      <w:snapToGrid w:val="0"/>
      <w:jc w:val="left"/>
    </w:pPr>
    <w:rPr>
      <w:kern w:val="0"/>
      <w:sz w:val="18"/>
      <w:szCs w:val="18"/>
    </w:rPr>
  </w:style>
  <w:style w:type="paragraph" w:styleId="32">
    <w:name w:val="header"/>
    <w:basedOn w:val="1"/>
    <w:link w:val="73"/>
    <w:qFormat/>
    <w:uiPriority w:val="99"/>
    <w:pPr>
      <w:pBdr>
        <w:bottom w:val="single" w:color="auto" w:sz="6" w:space="1"/>
      </w:pBdr>
      <w:tabs>
        <w:tab w:val="center" w:pos="4153"/>
        <w:tab w:val="right" w:pos="8306"/>
      </w:tabs>
      <w:snapToGrid w:val="0"/>
      <w:jc w:val="center"/>
    </w:pPr>
    <w:rPr>
      <w:kern w:val="0"/>
      <w:sz w:val="18"/>
      <w:szCs w:val="18"/>
    </w:rPr>
  </w:style>
  <w:style w:type="paragraph" w:styleId="33">
    <w:name w:val="toc 1"/>
    <w:basedOn w:val="1"/>
    <w:next w:val="1"/>
    <w:qFormat/>
    <w:uiPriority w:val="39"/>
    <w:pPr>
      <w:tabs>
        <w:tab w:val="right" w:leader="dot" w:pos="8776"/>
      </w:tabs>
      <w:spacing w:line="360" w:lineRule="exact"/>
      <w:ind w:firstLine="200" w:firstLineChars="200"/>
    </w:pPr>
    <w:rPr>
      <w:rFonts w:ascii="华文中宋" w:eastAsia="华文中宋"/>
      <w:b/>
      <w:szCs w:val="24"/>
    </w:rPr>
  </w:style>
  <w:style w:type="paragraph" w:styleId="34">
    <w:name w:val="List Continue 4"/>
    <w:basedOn w:val="1"/>
    <w:qFormat/>
    <w:uiPriority w:val="99"/>
    <w:pPr>
      <w:spacing w:after="120"/>
      <w:ind w:left="800" w:leftChars="800"/>
    </w:pPr>
    <w:rPr>
      <w:rFonts w:ascii="Times New Roman" w:hAnsi="Times New Roman"/>
      <w:szCs w:val="20"/>
    </w:rPr>
  </w:style>
  <w:style w:type="paragraph" w:styleId="35">
    <w:name w:val="List"/>
    <w:basedOn w:val="1"/>
    <w:qFormat/>
    <w:uiPriority w:val="99"/>
    <w:pPr>
      <w:ind w:left="200" w:hanging="200" w:hangingChars="200"/>
    </w:pPr>
    <w:rPr>
      <w:rFonts w:ascii="Times New Roman" w:hAnsi="Times New Roman"/>
      <w:szCs w:val="20"/>
    </w:rPr>
  </w:style>
  <w:style w:type="paragraph" w:styleId="36">
    <w:name w:val="footnote text"/>
    <w:basedOn w:val="1"/>
    <w:link w:val="74"/>
    <w:qFormat/>
    <w:uiPriority w:val="99"/>
    <w:pPr>
      <w:adjustRightInd w:val="0"/>
      <w:spacing w:line="312" w:lineRule="atLeast"/>
      <w:jc w:val="left"/>
    </w:pPr>
    <w:rPr>
      <w:kern w:val="0"/>
      <w:sz w:val="18"/>
      <w:szCs w:val="18"/>
    </w:rPr>
  </w:style>
  <w:style w:type="paragraph" w:styleId="37">
    <w:name w:val="List 5"/>
    <w:basedOn w:val="1"/>
    <w:qFormat/>
    <w:uiPriority w:val="99"/>
    <w:pPr>
      <w:ind w:left="1000" w:leftChars="800" w:hanging="200" w:hangingChars="200"/>
    </w:pPr>
    <w:rPr>
      <w:rFonts w:ascii="Times New Roman" w:hAnsi="Times New Roman"/>
      <w:szCs w:val="20"/>
    </w:rPr>
  </w:style>
  <w:style w:type="paragraph" w:styleId="38">
    <w:name w:val="Body Text Indent 3"/>
    <w:basedOn w:val="1"/>
    <w:link w:val="75"/>
    <w:qFormat/>
    <w:uiPriority w:val="99"/>
    <w:pPr>
      <w:spacing w:line="360" w:lineRule="auto"/>
      <w:ind w:firstLine="468"/>
    </w:pPr>
    <w:rPr>
      <w:kern w:val="0"/>
      <w:sz w:val="16"/>
      <w:szCs w:val="16"/>
    </w:rPr>
  </w:style>
  <w:style w:type="paragraph" w:styleId="39">
    <w:name w:val="toc 2"/>
    <w:basedOn w:val="1"/>
    <w:next w:val="1"/>
    <w:qFormat/>
    <w:uiPriority w:val="39"/>
    <w:pPr>
      <w:tabs>
        <w:tab w:val="right" w:leader="dot" w:pos="8776"/>
      </w:tabs>
      <w:spacing w:line="360" w:lineRule="auto"/>
      <w:ind w:left="200" w:leftChars="200" w:firstLine="200" w:firstLineChars="200"/>
      <w:jc w:val="distribute"/>
    </w:pPr>
    <w:rPr>
      <w:rFonts w:ascii="华文中宋" w:eastAsia="华文中宋"/>
      <w:szCs w:val="24"/>
    </w:rPr>
  </w:style>
  <w:style w:type="paragraph" w:styleId="40">
    <w:name w:val="Body Text 2"/>
    <w:basedOn w:val="1"/>
    <w:link w:val="76"/>
    <w:qFormat/>
    <w:uiPriority w:val="99"/>
    <w:pPr>
      <w:spacing w:after="120" w:line="480" w:lineRule="auto"/>
    </w:pPr>
    <w:rPr>
      <w:kern w:val="0"/>
      <w:sz w:val="20"/>
      <w:szCs w:val="20"/>
    </w:rPr>
  </w:style>
  <w:style w:type="paragraph" w:styleId="41">
    <w:name w:val="List 4"/>
    <w:basedOn w:val="1"/>
    <w:qFormat/>
    <w:uiPriority w:val="99"/>
    <w:pPr>
      <w:ind w:left="800" w:leftChars="600" w:hanging="200" w:hangingChars="200"/>
    </w:pPr>
    <w:rPr>
      <w:rFonts w:ascii="Times New Roman" w:hAnsi="Times New Roman"/>
      <w:szCs w:val="20"/>
    </w:rPr>
  </w:style>
  <w:style w:type="paragraph" w:styleId="42">
    <w:name w:val="List Continue 2"/>
    <w:basedOn w:val="1"/>
    <w:qFormat/>
    <w:uiPriority w:val="99"/>
    <w:pPr>
      <w:spacing w:after="120"/>
      <w:ind w:left="400" w:leftChars="400"/>
    </w:pPr>
    <w:rPr>
      <w:rFonts w:ascii="Times New Roman" w:hAnsi="Times New Roman"/>
      <w:szCs w:val="20"/>
    </w:rPr>
  </w:style>
  <w:style w:type="paragraph" w:styleId="43">
    <w:name w:val="Normal (Web)"/>
    <w:basedOn w:val="1"/>
    <w:qFormat/>
    <w:uiPriority w:val="99"/>
    <w:pPr>
      <w:widowControl/>
      <w:spacing w:before="100" w:beforeAutospacing="1" w:after="100" w:afterAutospacing="1"/>
      <w:jc w:val="left"/>
    </w:pPr>
    <w:rPr>
      <w:rFonts w:ascii="宋体"/>
      <w:kern w:val="0"/>
      <w:szCs w:val="24"/>
    </w:rPr>
  </w:style>
  <w:style w:type="paragraph" w:styleId="44">
    <w:name w:val="List Continue 3"/>
    <w:basedOn w:val="1"/>
    <w:qFormat/>
    <w:uiPriority w:val="99"/>
    <w:pPr>
      <w:spacing w:after="120"/>
      <w:ind w:left="600" w:leftChars="600"/>
    </w:pPr>
    <w:rPr>
      <w:rFonts w:ascii="Times New Roman" w:hAnsi="Times New Roman"/>
      <w:szCs w:val="20"/>
    </w:rPr>
  </w:style>
  <w:style w:type="paragraph" w:styleId="45">
    <w:name w:val="annotation subject"/>
    <w:basedOn w:val="16"/>
    <w:next w:val="16"/>
    <w:link w:val="64"/>
    <w:qFormat/>
    <w:uiPriority w:val="99"/>
    <w:rPr>
      <w:b/>
      <w:bCs/>
    </w:rPr>
  </w:style>
  <w:style w:type="table" w:styleId="47">
    <w:name w:val="Table Grid"/>
    <w:basedOn w:val="46"/>
    <w:qFormat/>
    <w:locked/>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page number"/>
    <w:qFormat/>
    <w:uiPriority w:val="0"/>
    <w:rPr>
      <w:rFonts w:cs="Times New Roman"/>
    </w:rPr>
  </w:style>
  <w:style w:type="character" w:styleId="50">
    <w:name w:val="FollowedHyperlink"/>
    <w:qFormat/>
    <w:uiPriority w:val="99"/>
    <w:rPr>
      <w:rFonts w:cs="Times New Roman"/>
      <w:color w:val="800080"/>
      <w:u w:val="single"/>
    </w:rPr>
  </w:style>
  <w:style w:type="character" w:styleId="51">
    <w:name w:val="Hyperlink"/>
    <w:qFormat/>
    <w:uiPriority w:val="99"/>
    <w:rPr>
      <w:rFonts w:cs="Times New Roman"/>
      <w:color w:val="0000FF"/>
      <w:u w:val="single"/>
    </w:rPr>
  </w:style>
  <w:style w:type="character" w:styleId="52">
    <w:name w:val="annotation reference"/>
    <w:qFormat/>
    <w:uiPriority w:val="99"/>
    <w:rPr>
      <w:rFonts w:cs="Times New Roman"/>
      <w:sz w:val="21"/>
      <w:szCs w:val="21"/>
    </w:rPr>
  </w:style>
  <w:style w:type="paragraph" w:customStyle="1" w:styleId="53">
    <w:name w:val="无间隔1"/>
    <w:basedOn w:val="1"/>
    <w:qFormat/>
    <w:uiPriority w:val="1"/>
    <w:pPr>
      <w:spacing w:line="400" w:lineRule="exact"/>
    </w:pPr>
  </w:style>
  <w:style w:type="character" w:customStyle="1" w:styleId="54">
    <w:name w:val="标题 1 字符"/>
    <w:link w:val="3"/>
    <w:qFormat/>
    <w:uiPriority w:val="9"/>
    <w:rPr>
      <w:rFonts w:ascii="Calibri" w:hAnsi="Calibri"/>
      <w:b/>
      <w:bCs/>
      <w:kern w:val="44"/>
      <w:sz w:val="44"/>
      <w:szCs w:val="44"/>
    </w:rPr>
  </w:style>
  <w:style w:type="character" w:customStyle="1" w:styleId="55">
    <w:name w:val="标题 2 字符"/>
    <w:link w:val="5"/>
    <w:semiHidden/>
    <w:qFormat/>
    <w:uiPriority w:val="9"/>
    <w:rPr>
      <w:rFonts w:ascii="Cambria" w:hAnsi="Cambria" w:eastAsia="宋体" w:cs="Times New Roman"/>
      <w:b/>
      <w:bCs/>
      <w:sz w:val="32"/>
      <w:szCs w:val="32"/>
    </w:rPr>
  </w:style>
  <w:style w:type="character" w:customStyle="1" w:styleId="56">
    <w:name w:val="标题 3 字符"/>
    <w:link w:val="6"/>
    <w:semiHidden/>
    <w:qFormat/>
    <w:uiPriority w:val="9"/>
    <w:rPr>
      <w:rFonts w:ascii="Calibri" w:hAnsi="Calibri"/>
      <w:b/>
      <w:bCs/>
      <w:sz w:val="32"/>
      <w:szCs w:val="32"/>
    </w:rPr>
  </w:style>
  <w:style w:type="character" w:customStyle="1" w:styleId="57">
    <w:name w:val="标题 4 字符"/>
    <w:link w:val="7"/>
    <w:semiHidden/>
    <w:qFormat/>
    <w:uiPriority w:val="9"/>
    <w:rPr>
      <w:rFonts w:ascii="Cambria" w:hAnsi="Cambria" w:eastAsia="宋体" w:cs="Times New Roman"/>
      <w:b/>
      <w:bCs/>
      <w:sz w:val="28"/>
      <w:szCs w:val="28"/>
    </w:rPr>
  </w:style>
  <w:style w:type="character" w:customStyle="1" w:styleId="58">
    <w:name w:val="标题 5 字符"/>
    <w:link w:val="8"/>
    <w:semiHidden/>
    <w:qFormat/>
    <w:uiPriority w:val="9"/>
    <w:rPr>
      <w:rFonts w:ascii="Calibri" w:hAnsi="Calibri"/>
      <w:b/>
      <w:bCs/>
      <w:sz w:val="28"/>
      <w:szCs w:val="28"/>
    </w:rPr>
  </w:style>
  <w:style w:type="character" w:customStyle="1" w:styleId="59">
    <w:name w:val="标题 6 字符"/>
    <w:link w:val="9"/>
    <w:semiHidden/>
    <w:qFormat/>
    <w:uiPriority w:val="9"/>
    <w:rPr>
      <w:rFonts w:ascii="Cambria" w:hAnsi="Cambria" w:eastAsia="宋体" w:cs="Times New Roman"/>
      <w:b/>
      <w:bCs/>
      <w:sz w:val="24"/>
      <w:szCs w:val="24"/>
    </w:rPr>
  </w:style>
  <w:style w:type="character" w:customStyle="1" w:styleId="60">
    <w:name w:val="标题 7 字符"/>
    <w:link w:val="10"/>
    <w:semiHidden/>
    <w:qFormat/>
    <w:uiPriority w:val="9"/>
    <w:rPr>
      <w:rFonts w:ascii="Calibri" w:hAnsi="Calibri"/>
      <w:b/>
      <w:bCs/>
      <w:sz w:val="24"/>
      <w:szCs w:val="24"/>
    </w:rPr>
  </w:style>
  <w:style w:type="character" w:customStyle="1" w:styleId="61">
    <w:name w:val="标题 8 字符"/>
    <w:link w:val="11"/>
    <w:semiHidden/>
    <w:qFormat/>
    <w:uiPriority w:val="9"/>
    <w:rPr>
      <w:rFonts w:ascii="Cambria" w:hAnsi="Cambria" w:eastAsia="宋体" w:cs="Times New Roman"/>
      <w:sz w:val="24"/>
      <w:szCs w:val="24"/>
    </w:rPr>
  </w:style>
  <w:style w:type="character" w:customStyle="1" w:styleId="62">
    <w:name w:val="标题 9 字符"/>
    <w:link w:val="12"/>
    <w:semiHidden/>
    <w:qFormat/>
    <w:uiPriority w:val="9"/>
    <w:rPr>
      <w:rFonts w:ascii="Cambria" w:hAnsi="Cambria" w:eastAsia="宋体" w:cs="Times New Roman"/>
      <w:szCs w:val="21"/>
    </w:rPr>
  </w:style>
  <w:style w:type="character" w:customStyle="1" w:styleId="63">
    <w:name w:val="批注文字 字符"/>
    <w:link w:val="16"/>
    <w:qFormat/>
    <w:uiPriority w:val="0"/>
    <w:rPr>
      <w:rFonts w:ascii="Calibri" w:hAnsi="Calibri"/>
    </w:rPr>
  </w:style>
  <w:style w:type="character" w:customStyle="1" w:styleId="64">
    <w:name w:val="批注主题 字符"/>
    <w:link w:val="45"/>
    <w:semiHidden/>
    <w:qFormat/>
    <w:uiPriority w:val="99"/>
    <w:rPr>
      <w:rFonts w:ascii="Calibri" w:hAnsi="Calibri"/>
      <w:b/>
      <w:bCs/>
    </w:rPr>
  </w:style>
  <w:style w:type="character" w:customStyle="1" w:styleId="65">
    <w:name w:val="正文文本 3 字符"/>
    <w:link w:val="17"/>
    <w:semiHidden/>
    <w:qFormat/>
    <w:uiPriority w:val="99"/>
    <w:rPr>
      <w:rFonts w:ascii="Calibri" w:hAnsi="Calibri"/>
      <w:sz w:val="16"/>
      <w:szCs w:val="16"/>
    </w:rPr>
  </w:style>
  <w:style w:type="character" w:customStyle="1" w:styleId="66">
    <w:name w:val="正文文本 字符"/>
    <w:link w:val="18"/>
    <w:semiHidden/>
    <w:qFormat/>
    <w:uiPriority w:val="99"/>
    <w:rPr>
      <w:rFonts w:ascii="Calibri" w:hAnsi="Calibri"/>
    </w:rPr>
  </w:style>
  <w:style w:type="character" w:customStyle="1" w:styleId="67">
    <w:name w:val="正文文本缩进 字符"/>
    <w:link w:val="22"/>
    <w:semiHidden/>
    <w:qFormat/>
    <w:uiPriority w:val="99"/>
    <w:rPr>
      <w:rFonts w:ascii="Calibri" w:hAnsi="Calibri"/>
    </w:rPr>
  </w:style>
  <w:style w:type="character" w:customStyle="1" w:styleId="68">
    <w:name w:val="纯文本 字符"/>
    <w:link w:val="26"/>
    <w:semiHidden/>
    <w:qFormat/>
    <w:uiPriority w:val="99"/>
    <w:rPr>
      <w:rFonts w:ascii="宋体" w:hAnsi="Courier New" w:cs="Courier New"/>
      <w:szCs w:val="21"/>
    </w:rPr>
  </w:style>
  <w:style w:type="character" w:customStyle="1" w:styleId="69">
    <w:name w:val="日期 字符"/>
    <w:link w:val="27"/>
    <w:semiHidden/>
    <w:qFormat/>
    <w:uiPriority w:val="99"/>
    <w:rPr>
      <w:rFonts w:ascii="Calibri" w:hAnsi="Calibri"/>
    </w:rPr>
  </w:style>
  <w:style w:type="character" w:customStyle="1" w:styleId="70">
    <w:name w:val="正文文本缩进 2 字符"/>
    <w:link w:val="28"/>
    <w:semiHidden/>
    <w:qFormat/>
    <w:uiPriority w:val="99"/>
    <w:rPr>
      <w:rFonts w:ascii="Calibri" w:hAnsi="Calibri"/>
    </w:rPr>
  </w:style>
  <w:style w:type="character" w:customStyle="1" w:styleId="71">
    <w:name w:val="批注框文本 字符"/>
    <w:link w:val="30"/>
    <w:semiHidden/>
    <w:qFormat/>
    <w:uiPriority w:val="99"/>
    <w:rPr>
      <w:rFonts w:ascii="Calibri" w:hAnsi="Calibri"/>
      <w:sz w:val="0"/>
      <w:szCs w:val="0"/>
    </w:rPr>
  </w:style>
  <w:style w:type="character" w:customStyle="1" w:styleId="72">
    <w:name w:val="页脚 字符"/>
    <w:link w:val="31"/>
    <w:qFormat/>
    <w:uiPriority w:val="99"/>
    <w:rPr>
      <w:rFonts w:ascii="Calibri" w:hAnsi="Calibri"/>
      <w:sz w:val="18"/>
      <w:szCs w:val="18"/>
    </w:rPr>
  </w:style>
  <w:style w:type="character" w:customStyle="1" w:styleId="73">
    <w:name w:val="页眉 字符"/>
    <w:link w:val="32"/>
    <w:semiHidden/>
    <w:qFormat/>
    <w:uiPriority w:val="99"/>
    <w:rPr>
      <w:rFonts w:ascii="Calibri" w:hAnsi="Calibri"/>
      <w:sz w:val="18"/>
      <w:szCs w:val="18"/>
    </w:rPr>
  </w:style>
  <w:style w:type="character" w:customStyle="1" w:styleId="74">
    <w:name w:val="脚注文本 字符"/>
    <w:link w:val="36"/>
    <w:semiHidden/>
    <w:qFormat/>
    <w:uiPriority w:val="99"/>
    <w:rPr>
      <w:rFonts w:ascii="Calibri" w:hAnsi="Calibri"/>
      <w:sz w:val="18"/>
      <w:szCs w:val="18"/>
    </w:rPr>
  </w:style>
  <w:style w:type="character" w:customStyle="1" w:styleId="75">
    <w:name w:val="正文文本缩进 3 字符"/>
    <w:link w:val="38"/>
    <w:semiHidden/>
    <w:qFormat/>
    <w:uiPriority w:val="99"/>
    <w:rPr>
      <w:rFonts w:ascii="Calibri" w:hAnsi="Calibri"/>
      <w:sz w:val="16"/>
      <w:szCs w:val="16"/>
    </w:rPr>
  </w:style>
  <w:style w:type="character" w:customStyle="1" w:styleId="76">
    <w:name w:val="正文文本 2 字符"/>
    <w:link w:val="40"/>
    <w:semiHidden/>
    <w:qFormat/>
    <w:uiPriority w:val="99"/>
    <w:rPr>
      <w:rFonts w:ascii="Calibri" w:hAnsi="Calibri"/>
    </w:rPr>
  </w:style>
  <w:style w:type="paragraph" w:customStyle="1" w:styleId="77">
    <w:name w:val="表格"/>
    <w:basedOn w:val="1"/>
    <w:qFormat/>
    <w:uiPriority w:val="0"/>
    <w:pPr>
      <w:adjustRightInd w:val="0"/>
      <w:spacing w:line="400" w:lineRule="atLeast"/>
      <w:textAlignment w:val="baseline"/>
    </w:pPr>
    <w:rPr>
      <w:rFonts w:ascii="仿宋_GB2312" w:eastAsia="仿宋_GB2312"/>
      <w:kern w:val="0"/>
      <w:sz w:val="28"/>
      <w:szCs w:val="20"/>
    </w:rPr>
  </w:style>
  <w:style w:type="paragraph" w:customStyle="1" w:styleId="78">
    <w:name w:val="简单回函地址"/>
    <w:basedOn w:val="1"/>
    <w:qFormat/>
    <w:uiPriority w:val="99"/>
    <w:rPr>
      <w:rFonts w:ascii="Times New Roman" w:hAnsi="Times New Roman"/>
      <w:szCs w:val="20"/>
    </w:rPr>
  </w:style>
  <w:style w:type="paragraph" w:customStyle="1" w:styleId="79">
    <w:name w:val="Blockquote"/>
    <w:basedOn w:val="1"/>
    <w:qFormat/>
    <w:uiPriority w:val="99"/>
    <w:pPr>
      <w:autoSpaceDE w:val="0"/>
      <w:autoSpaceDN w:val="0"/>
      <w:adjustRightInd w:val="0"/>
      <w:spacing w:before="100" w:after="100"/>
      <w:ind w:left="360" w:right="360"/>
      <w:jc w:val="left"/>
    </w:pPr>
    <w:rPr>
      <w:rFonts w:ascii="Times New Roman" w:hAnsi="Times New Roman"/>
      <w:kern w:val="0"/>
      <w:szCs w:val="20"/>
    </w:rPr>
  </w:style>
  <w:style w:type="paragraph" w:customStyle="1" w:styleId="80">
    <w:name w:val="font5"/>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Cs w:val="24"/>
    </w:rPr>
  </w:style>
  <w:style w:type="paragraph" w:customStyle="1" w:styleId="81">
    <w:name w:val="font6"/>
    <w:basedOn w:val="1"/>
    <w:qFormat/>
    <w:uiPriority w:val="99"/>
    <w:pPr>
      <w:widowControl/>
      <w:spacing w:before="100" w:beforeAutospacing="1" w:after="100" w:afterAutospacing="1" w:line="360" w:lineRule="auto"/>
      <w:ind w:firstLine="200" w:firstLineChars="200"/>
      <w:jc w:val="left"/>
    </w:pPr>
    <w:rPr>
      <w:rFonts w:ascii="宋体" w:hAnsi="宋体" w:eastAsia="仿宋_GB2312" w:cs="Arial Unicode MS"/>
      <w:kern w:val="0"/>
      <w:sz w:val="18"/>
      <w:szCs w:val="18"/>
    </w:rPr>
  </w:style>
  <w:style w:type="paragraph" w:customStyle="1" w:styleId="82">
    <w:name w:val="font7"/>
    <w:basedOn w:val="1"/>
    <w:qFormat/>
    <w:uiPriority w:val="99"/>
    <w:pPr>
      <w:widowControl/>
      <w:spacing w:before="100" w:beforeAutospacing="1" w:after="100" w:afterAutospacing="1" w:line="360" w:lineRule="auto"/>
      <w:ind w:firstLine="200" w:firstLineChars="200"/>
      <w:jc w:val="left"/>
    </w:pPr>
    <w:rPr>
      <w:rFonts w:ascii="仿宋_GB2312" w:hAnsi="Times New Roman" w:eastAsia="仿宋_GB2312"/>
      <w:kern w:val="0"/>
      <w:szCs w:val="24"/>
    </w:rPr>
  </w:style>
  <w:style w:type="paragraph" w:customStyle="1" w:styleId="83">
    <w:name w:val="xl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center"/>
    </w:pPr>
    <w:rPr>
      <w:rFonts w:ascii="Arial Unicode MS" w:eastAsia="Times New Roman" w:cs="Arial Unicode MS"/>
      <w:kern w:val="0"/>
      <w:szCs w:val="24"/>
    </w:rPr>
  </w:style>
  <w:style w:type="paragraph" w:customStyle="1" w:styleId="84">
    <w:name w:val="xl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ind w:firstLine="200" w:firstLineChars="200"/>
      <w:jc w:val="left"/>
    </w:pPr>
    <w:rPr>
      <w:rFonts w:ascii="Arial Unicode MS" w:eastAsia="Times New Roman" w:cs="Arial Unicode MS"/>
      <w:kern w:val="0"/>
      <w:szCs w:val="24"/>
    </w:rPr>
  </w:style>
  <w:style w:type="paragraph" w:customStyle="1" w:styleId="85">
    <w:name w:val="xl26"/>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line="360" w:lineRule="auto"/>
      <w:ind w:firstLine="200" w:firstLineChars="200"/>
      <w:jc w:val="center"/>
    </w:pPr>
    <w:rPr>
      <w:rFonts w:ascii="Arial Unicode MS" w:eastAsia="Times New Roman" w:cs="Arial Unicode MS"/>
      <w:kern w:val="0"/>
      <w:sz w:val="18"/>
      <w:szCs w:val="18"/>
    </w:rPr>
  </w:style>
  <w:style w:type="paragraph" w:customStyle="1" w:styleId="86">
    <w:name w:val="正文内容"/>
    <w:basedOn w:val="1"/>
    <w:qFormat/>
    <w:uiPriority w:val="99"/>
    <w:pPr>
      <w:widowControl/>
      <w:jc w:val="left"/>
    </w:pPr>
    <w:rPr>
      <w:rFonts w:ascii="宋体" w:cs="宋体"/>
      <w:kern w:val="0"/>
      <w:sz w:val="28"/>
      <w:szCs w:val="24"/>
    </w:rPr>
  </w:style>
  <w:style w:type="paragraph" w:customStyle="1" w:styleId="87">
    <w:name w:val="Default Text"/>
    <w:basedOn w:val="1"/>
    <w:qFormat/>
    <w:uiPriority w:val="99"/>
    <w:pPr>
      <w:widowControl/>
      <w:overflowPunct w:val="0"/>
      <w:autoSpaceDE w:val="0"/>
      <w:autoSpaceDN w:val="0"/>
      <w:adjustRightInd w:val="0"/>
      <w:jc w:val="left"/>
      <w:textAlignment w:val="baseline"/>
    </w:pPr>
    <w:rPr>
      <w:rFonts w:ascii="Times New Roman" w:hAnsi="Times New Roman"/>
      <w:kern w:val="0"/>
      <w:szCs w:val="24"/>
    </w:rPr>
  </w:style>
  <w:style w:type="paragraph" w:customStyle="1" w:styleId="88">
    <w:name w:val="_Style 6"/>
    <w:basedOn w:val="1"/>
    <w:qFormat/>
    <w:uiPriority w:val="99"/>
    <w:pPr>
      <w:adjustRightInd w:val="0"/>
      <w:spacing w:line="360" w:lineRule="atLeast"/>
    </w:pPr>
    <w:rPr>
      <w:rFonts w:ascii="Times New Roman" w:hAnsi="Times New Roman"/>
      <w:szCs w:val="24"/>
    </w:rPr>
  </w:style>
  <w:style w:type="paragraph" w:customStyle="1" w:styleId="89">
    <w:name w:val="p0"/>
    <w:basedOn w:val="1"/>
    <w:qFormat/>
    <w:uiPriority w:val="99"/>
    <w:pPr>
      <w:widowControl/>
    </w:pPr>
    <w:rPr>
      <w:rFonts w:ascii="Times New Roman" w:hAnsi="Times New Roman"/>
      <w:kern w:val="0"/>
      <w:szCs w:val="21"/>
    </w:rPr>
  </w:style>
  <w:style w:type="character" w:customStyle="1" w:styleId="90">
    <w:name w:val="1051"/>
    <w:qFormat/>
    <w:uiPriority w:val="99"/>
    <w:rPr>
      <w:rFonts w:cs="Times New Roman"/>
      <w:sz w:val="21"/>
      <w:szCs w:val="21"/>
    </w:rPr>
  </w:style>
  <w:style w:type="character" w:customStyle="1" w:styleId="91">
    <w:name w:val="ca-10"/>
    <w:basedOn w:val="48"/>
    <w:qFormat/>
    <w:uiPriority w:val="0"/>
  </w:style>
  <w:style w:type="character" w:customStyle="1" w:styleId="92">
    <w:name w:val="ca-12"/>
    <w:basedOn w:val="48"/>
    <w:qFormat/>
    <w:uiPriority w:val="0"/>
  </w:style>
  <w:style w:type="character" w:customStyle="1" w:styleId="93">
    <w:name w:val="页眉 Char"/>
    <w:qFormat/>
    <w:uiPriority w:val="0"/>
    <w:rPr>
      <w:sz w:val="18"/>
      <w:szCs w:val="18"/>
    </w:rPr>
  </w:style>
  <w:style w:type="character" w:customStyle="1" w:styleId="94">
    <w:name w:val="页脚 Char"/>
    <w:qFormat/>
    <w:uiPriority w:val="99"/>
    <w:rPr>
      <w:sz w:val="18"/>
      <w:szCs w:val="18"/>
    </w:rPr>
  </w:style>
  <w:style w:type="paragraph" w:styleId="95">
    <w:name w:val="List Paragraph"/>
    <w:basedOn w:val="1"/>
    <w:qFormat/>
    <w:uiPriority w:val="34"/>
    <w:pPr>
      <w:widowControl/>
      <w:spacing w:after="160" w:line="259" w:lineRule="auto"/>
      <w:ind w:left="720"/>
      <w:contextualSpacing/>
      <w:jc w:val="left"/>
    </w:pPr>
    <w:rPr>
      <w:kern w:val="0"/>
      <w:sz w:val="22"/>
      <w:lang w:bidi="he-IL"/>
    </w:rPr>
  </w:style>
  <w:style w:type="character" w:customStyle="1" w:styleId="96">
    <w:name w:val="font141"/>
    <w:basedOn w:val="48"/>
    <w:qFormat/>
    <w:uiPriority w:val="0"/>
    <w:rPr>
      <w:rFonts w:hint="eastAsia" w:ascii="宋体" w:hAnsi="宋体" w:eastAsia="宋体" w:cs="宋体"/>
      <w:b/>
      <w:bCs/>
      <w:color w:val="000000"/>
      <w:sz w:val="18"/>
      <w:szCs w:val="18"/>
      <w:u w:val="none"/>
    </w:rPr>
  </w:style>
  <w:style w:type="character" w:customStyle="1" w:styleId="97">
    <w:name w:val="font81"/>
    <w:basedOn w:val="48"/>
    <w:qFormat/>
    <w:uiPriority w:val="0"/>
    <w:rPr>
      <w:rFonts w:hint="eastAsia" w:ascii="宋体" w:hAnsi="宋体" w:eastAsia="宋体" w:cs="宋体"/>
      <w:b/>
      <w:bCs/>
      <w:color w:val="000000"/>
      <w:sz w:val="18"/>
      <w:szCs w:val="18"/>
      <w:u w:val="single"/>
    </w:rPr>
  </w:style>
  <w:style w:type="character" w:customStyle="1" w:styleId="98">
    <w:name w:val="font122"/>
    <w:basedOn w:val="48"/>
    <w:qFormat/>
    <w:uiPriority w:val="0"/>
    <w:rPr>
      <w:rFonts w:ascii="??" w:hAnsi="??" w:eastAsia="??" w:cs="??"/>
      <w:b/>
      <w:bCs/>
      <w:color w:val="000000"/>
      <w:sz w:val="18"/>
      <w:szCs w:val="18"/>
      <w:u w:val="none"/>
    </w:rPr>
  </w:style>
  <w:style w:type="paragraph" w:customStyle="1" w:styleId="99">
    <w:name w:val="修订1"/>
    <w:hidden/>
    <w:semiHidden/>
    <w:qFormat/>
    <w:uiPriority w:val="99"/>
    <w:rPr>
      <w:rFonts w:ascii="Calibri" w:hAnsi="Calibri" w:eastAsia="宋体" w:cs="Times New Roman"/>
      <w:kern w:val="2"/>
      <w:sz w:val="24"/>
      <w:szCs w:val="22"/>
      <w:lang w:val="en-US" w:eastAsia="zh-CN" w:bidi="ar-SA"/>
    </w:rPr>
  </w:style>
  <w:style w:type="character" w:customStyle="1" w:styleId="100">
    <w:name w:val="font11"/>
    <w:basedOn w:val="4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24514-045B-47F6-93BD-77FA1E4039D4}">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17</Pages>
  <Words>12159</Words>
  <Characters>12638</Characters>
  <Lines>152</Lines>
  <Paragraphs>43</Paragraphs>
  <TotalTime>3</TotalTime>
  <ScaleCrop>false</ScaleCrop>
  <LinksUpToDate>false</LinksUpToDate>
  <CharactersWithSpaces>13061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2015-03-17T03:45:00Z</dcterms:created>
  <dc:creator>张鹏飞</dc:creator>
  <cp:lastModifiedBy>胡小婷</cp:lastModifiedBy>
  <cp:lastPrinted>2021-02-25T09:35:00Z</cp:lastPrinted>
  <dcterms:modified xsi:type="dcterms:W3CDTF">2024-07-23T09:43:55Z</dcterms:modified>
  <dc:title>洛</dc:title>
  <cp:revision>630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67C1DD29FA9A472EBE0CBBF19961ADD4</vt:lpwstr>
  </property>
</Properties>
</file>