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FC3EB">
      <w:pPr>
        <w:pStyle w:val="25"/>
        <w:rPr>
          <w:rFonts w:hint="eastAsia" w:asciiTheme="majorEastAsia" w:hAnsiTheme="majorEastAsia" w:eastAsiaTheme="majorEastAsia" w:cstheme="majorEastAsia"/>
          <w:color w:val="auto"/>
          <w:sz w:val="24"/>
          <w:szCs w:val="24"/>
          <w:highlight w:val="none"/>
        </w:rPr>
      </w:pPr>
    </w:p>
    <w:p w14:paraId="0C74E91E">
      <w:pPr>
        <w:pStyle w:val="25"/>
        <w:rPr>
          <w:rFonts w:hint="eastAsia" w:asciiTheme="majorEastAsia" w:hAnsiTheme="majorEastAsia" w:eastAsiaTheme="majorEastAsia" w:cstheme="majorEastAsia"/>
          <w:color w:val="auto"/>
          <w:sz w:val="24"/>
          <w:szCs w:val="24"/>
          <w:highlight w:val="none"/>
        </w:rPr>
      </w:pPr>
    </w:p>
    <w:p w14:paraId="127271A7">
      <w:pPr>
        <w:pStyle w:val="25"/>
        <w:rPr>
          <w:rFonts w:hint="eastAsia" w:asciiTheme="majorEastAsia" w:hAnsiTheme="majorEastAsia" w:eastAsiaTheme="majorEastAsia" w:cstheme="majorEastAsia"/>
          <w:color w:val="auto"/>
          <w:sz w:val="24"/>
          <w:szCs w:val="24"/>
          <w:highlight w:val="none"/>
        </w:rPr>
      </w:pPr>
    </w:p>
    <w:p w14:paraId="024F7979">
      <w:pPr>
        <w:pStyle w:val="25"/>
        <w:rPr>
          <w:rFonts w:hint="eastAsia" w:asciiTheme="majorEastAsia" w:hAnsiTheme="majorEastAsia" w:eastAsiaTheme="majorEastAsia" w:cstheme="majorEastAsia"/>
          <w:color w:val="auto"/>
          <w:sz w:val="24"/>
          <w:szCs w:val="24"/>
          <w:highlight w:val="none"/>
        </w:rPr>
      </w:pPr>
    </w:p>
    <w:p w14:paraId="26B0AFC2">
      <w:pPr>
        <w:pStyle w:val="25"/>
        <w:rPr>
          <w:rFonts w:hint="eastAsia" w:asciiTheme="majorEastAsia" w:hAnsiTheme="majorEastAsia" w:eastAsiaTheme="majorEastAsia" w:cstheme="majorEastAsia"/>
          <w:color w:val="auto"/>
          <w:sz w:val="24"/>
          <w:szCs w:val="24"/>
          <w:highlight w:val="none"/>
        </w:rPr>
      </w:pPr>
    </w:p>
    <w:p w14:paraId="0F72B364">
      <w:pPr>
        <w:pStyle w:val="25"/>
        <w:rPr>
          <w:rFonts w:hint="eastAsia" w:asciiTheme="majorEastAsia" w:hAnsiTheme="majorEastAsia" w:eastAsiaTheme="majorEastAsia" w:cstheme="majorEastAsia"/>
          <w:color w:val="auto"/>
          <w:sz w:val="24"/>
          <w:szCs w:val="24"/>
          <w:highlight w:val="none"/>
        </w:rPr>
      </w:pPr>
    </w:p>
    <w:p w14:paraId="124B5AA3">
      <w:pPr>
        <w:pStyle w:val="34"/>
        <w:autoSpaceDN w:val="0"/>
        <w:jc w:val="center"/>
        <w:rPr>
          <w:rFonts w:hint="eastAsia"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sz w:val="36"/>
          <w:szCs w:val="36"/>
          <w:highlight w:val="none"/>
          <w:lang w:eastAsia="zh-CN"/>
        </w:rPr>
        <w:t>悠然居项目团购区门窗制作及安装工程</w:t>
      </w:r>
      <w:r>
        <w:rPr>
          <w:rFonts w:hint="eastAsia" w:asciiTheme="majorEastAsia" w:hAnsiTheme="majorEastAsia" w:eastAsiaTheme="majorEastAsia" w:cstheme="majorEastAsia"/>
          <w:b/>
          <w:color w:val="auto"/>
          <w:sz w:val="36"/>
          <w:szCs w:val="36"/>
          <w:highlight w:val="none"/>
        </w:rPr>
        <w:t>合同</w:t>
      </w:r>
    </w:p>
    <w:p w14:paraId="2F4282F0">
      <w:pPr>
        <w:pStyle w:val="34"/>
        <w:autoSpaceDN w:val="0"/>
        <w:jc w:val="center"/>
        <w:rPr>
          <w:rFonts w:hint="eastAsia" w:asciiTheme="majorEastAsia" w:hAnsiTheme="majorEastAsia" w:eastAsiaTheme="majorEastAsia" w:cstheme="majorEastAsia"/>
          <w:b/>
          <w:color w:val="auto"/>
          <w:sz w:val="36"/>
          <w:szCs w:val="36"/>
          <w:highlight w:val="none"/>
        </w:rPr>
      </w:pPr>
    </w:p>
    <w:p w14:paraId="0AE496AB">
      <w:pPr>
        <w:autoSpaceDN w:val="0"/>
        <w:spacing w:line="500" w:lineRule="exact"/>
        <w:ind w:firstLine="960" w:firstLineChars="4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p>
    <w:p w14:paraId="70B5F85D">
      <w:pPr>
        <w:autoSpaceDN w:val="0"/>
        <w:spacing w:line="500" w:lineRule="exact"/>
        <w:ind w:firstLine="2520" w:firstLineChars="105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p>
    <w:p w14:paraId="193428CD">
      <w:pPr>
        <w:pStyle w:val="26"/>
        <w:rPr>
          <w:rFonts w:hint="eastAsia" w:asciiTheme="majorEastAsia" w:hAnsiTheme="majorEastAsia" w:eastAsiaTheme="majorEastAsia" w:cstheme="majorEastAsia"/>
          <w:color w:val="auto"/>
          <w:sz w:val="24"/>
          <w:szCs w:val="24"/>
          <w:highlight w:val="none"/>
        </w:rPr>
      </w:pPr>
    </w:p>
    <w:p w14:paraId="7E9C4362">
      <w:pPr>
        <w:pStyle w:val="7"/>
        <w:rPr>
          <w:rFonts w:hint="eastAsia" w:asciiTheme="majorEastAsia" w:hAnsiTheme="majorEastAsia" w:eastAsiaTheme="majorEastAsia" w:cstheme="majorEastAsia"/>
          <w:color w:val="auto"/>
          <w:sz w:val="24"/>
          <w:szCs w:val="24"/>
          <w:highlight w:val="none"/>
        </w:rPr>
      </w:pPr>
    </w:p>
    <w:p w14:paraId="216F3838">
      <w:pPr>
        <w:autoSpaceDN w:val="0"/>
        <w:spacing w:line="360" w:lineRule="auto"/>
        <w:rPr>
          <w:rFonts w:hint="eastAsia" w:asciiTheme="majorEastAsia" w:hAnsiTheme="majorEastAsia" w:eastAsiaTheme="majorEastAsia" w:cstheme="majorEastAsia"/>
          <w:b/>
          <w:bCs/>
          <w:color w:val="auto"/>
          <w:sz w:val="24"/>
          <w:szCs w:val="24"/>
          <w:highlight w:val="none"/>
        </w:rPr>
      </w:pPr>
    </w:p>
    <w:p w14:paraId="0EB925CE">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t xml:space="preserve">   </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b/>
          <w:bCs/>
          <w:color w:val="auto"/>
          <w:sz w:val="28"/>
          <w:szCs w:val="28"/>
          <w:highlight w:val="none"/>
        </w:rPr>
        <w:t>成本代码：</w:t>
      </w:r>
      <w:r>
        <w:rPr>
          <w:rFonts w:hint="eastAsia" w:asciiTheme="majorEastAsia" w:hAnsiTheme="majorEastAsia" w:eastAsiaTheme="majorEastAsia" w:cstheme="majorEastAsia"/>
          <w:b/>
          <w:bCs/>
          <w:color w:val="auto"/>
          <w:sz w:val="28"/>
          <w:szCs w:val="28"/>
          <w:highlight w:val="none"/>
          <w:lang w:val="en-US" w:eastAsia="zh-CN"/>
        </w:rPr>
        <w:t>3.2.9</w:t>
      </w:r>
    </w:p>
    <w:p w14:paraId="643A96E9">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rPr>
        <w:t xml:space="preserve">  </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b/>
          <w:bCs/>
          <w:color w:val="auto"/>
          <w:sz w:val="28"/>
          <w:szCs w:val="28"/>
          <w:highlight w:val="none"/>
        </w:rPr>
        <w:t xml:space="preserve"> 合同编号：BLT.JA.0</w:t>
      </w:r>
      <w:r>
        <w:rPr>
          <w:rFonts w:hint="eastAsia" w:asciiTheme="majorEastAsia" w:hAnsiTheme="majorEastAsia" w:eastAsiaTheme="majorEastAsia" w:cstheme="majorEastAsia"/>
          <w:b/>
          <w:bCs/>
          <w:color w:val="auto"/>
          <w:sz w:val="28"/>
          <w:szCs w:val="28"/>
          <w:highlight w:val="none"/>
          <w:lang w:val="en-US" w:eastAsia="zh-CN"/>
        </w:rPr>
        <w:t xml:space="preserve">70 </w:t>
      </w:r>
    </w:p>
    <w:p w14:paraId="279D444C">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val="en-US" w:eastAsia="zh-CN"/>
        </w:rPr>
        <w:t xml:space="preserve"> </w:t>
      </w:r>
    </w:p>
    <w:p w14:paraId="2D1824FC">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p>
    <w:p w14:paraId="384DD5D8">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p>
    <w:p w14:paraId="4721F95D">
      <w:pPr>
        <w:pStyle w:val="7"/>
        <w:rPr>
          <w:rFonts w:hint="eastAsia" w:asciiTheme="majorEastAsia" w:hAnsiTheme="majorEastAsia" w:eastAsiaTheme="majorEastAsia" w:cstheme="majorEastAsia"/>
          <w:b/>
          <w:bCs/>
          <w:color w:val="auto"/>
          <w:sz w:val="28"/>
          <w:szCs w:val="28"/>
          <w:highlight w:val="none"/>
        </w:rPr>
      </w:pPr>
    </w:p>
    <w:p w14:paraId="4607D990">
      <w:pPr>
        <w:pStyle w:val="26"/>
        <w:rPr>
          <w:rFonts w:hint="eastAsia" w:asciiTheme="majorEastAsia" w:hAnsiTheme="majorEastAsia" w:eastAsiaTheme="majorEastAsia" w:cstheme="majorEastAsia"/>
          <w:b/>
          <w:bCs/>
          <w:color w:val="auto"/>
          <w:sz w:val="28"/>
          <w:szCs w:val="28"/>
          <w:highlight w:val="none"/>
        </w:rPr>
      </w:pPr>
    </w:p>
    <w:p w14:paraId="2CB34EC7">
      <w:pPr>
        <w:pStyle w:val="26"/>
        <w:rPr>
          <w:rFonts w:hint="eastAsia" w:asciiTheme="majorEastAsia" w:hAnsiTheme="majorEastAsia" w:eastAsiaTheme="majorEastAsia" w:cstheme="majorEastAsia"/>
          <w:b/>
          <w:bCs/>
          <w:color w:val="auto"/>
          <w:sz w:val="28"/>
          <w:szCs w:val="28"/>
          <w:highlight w:val="none"/>
        </w:rPr>
      </w:pPr>
    </w:p>
    <w:p w14:paraId="7B8C3A1D">
      <w:pPr>
        <w:pStyle w:val="26"/>
        <w:rPr>
          <w:rFonts w:hint="eastAsia" w:asciiTheme="majorEastAsia" w:hAnsiTheme="majorEastAsia" w:eastAsiaTheme="majorEastAsia" w:cstheme="majorEastAsia"/>
          <w:b/>
          <w:bCs/>
          <w:color w:val="auto"/>
          <w:sz w:val="28"/>
          <w:szCs w:val="28"/>
          <w:highlight w:val="none"/>
        </w:rPr>
      </w:pPr>
    </w:p>
    <w:p w14:paraId="1FE7B874">
      <w:pPr>
        <w:autoSpaceDN w:val="0"/>
        <w:spacing w:line="360" w:lineRule="auto"/>
        <w:ind w:firstLine="0" w:firstLineChars="0"/>
        <w:rPr>
          <w:rFonts w:hint="eastAsia" w:asciiTheme="majorEastAsia" w:hAnsiTheme="majorEastAsia" w:eastAsiaTheme="majorEastAsia" w:cstheme="majorEastAsia"/>
          <w:b/>
          <w:bCs/>
          <w:color w:val="auto"/>
          <w:sz w:val="28"/>
          <w:szCs w:val="28"/>
          <w:highlight w:val="none"/>
        </w:rPr>
      </w:pPr>
    </w:p>
    <w:p w14:paraId="52CBD26D">
      <w:pPr>
        <w:autoSpaceDN w:val="0"/>
        <w:spacing w:line="360" w:lineRule="auto"/>
        <w:ind w:firstLine="1344" w:firstLineChars="478"/>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发 包 人：</w:t>
      </w:r>
      <w:r>
        <w:rPr>
          <w:rFonts w:hint="eastAsia" w:asciiTheme="majorEastAsia" w:hAnsiTheme="majorEastAsia" w:eastAsiaTheme="majorEastAsia" w:cstheme="majorEastAsia"/>
          <w:b/>
          <w:bCs/>
          <w:color w:val="auto"/>
          <w:sz w:val="28"/>
          <w:szCs w:val="28"/>
          <w:highlight w:val="none"/>
          <w:lang w:eastAsia="zh-CN"/>
        </w:rPr>
        <w:t xml:space="preserve">河南浩德龙瑞置业有限公司 </w:t>
      </w:r>
      <w:r>
        <w:rPr>
          <w:rFonts w:hint="eastAsia" w:asciiTheme="majorEastAsia" w:hAnsiTheme="majorEastAsia" w:eastAsiaTheme="majorEastAsia" w:cstheme="majorEastAsia"/>
          <w:b/>
          <w:bCs/>
          <w:color w:val="auto"/>
          <w:sz w:val="28"/>
          <w:szCs w:val="28"/>
          <w:highlight w:val="none"/>
        </w:rPr>
        <w:t xml:space="preserve">  </w:t>
      </w:r>
    </w:p>
    <w:p w14:paraId="083A7D25">
      <w:pPr>
        <w:autoSpaceDN w:val="0"/>
        <w:spacing w:line="360" w:lineRule="auto"/>
        <w:ind w:firstLine="1344" w:firstLineChars="478"/>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t>承 包 人：</w:t>
      </w:r>
      <w:r>
        <w:rPr>
          <w:rFonts w:hint="eastAsia" w:asciiTheme="majorEastAsia" w:hAnsiTheme="majorEastAsia" w:eastAsiaTheme="majorEastAsia" w:cstheme="majorEastAsia"/>
          <w:b/>
          <w:bCs/>
          <w:color w:val="auto"/>
          <w:sz w:val="28"/>
          <w:szCs w:val="28"/>
          <w:highlight w:val="none"/>
          <w:lang w:eastAsia="zh-CN"/>
        </w:rPr>
        <w:t>河南金龙幕墙有限公司</w:t>
      </w:r>
    </w:p>
    <w:p w14:paraId="6C1DFB62">
      <w:pPr>
        <w:autoSpaceDN w:val="0"/>
        <w:spacing w:line="360" w:lineRule="auto"/>
        <w:ind w:firstLine="1344" w:firstLineChars="478"/>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rPr>
        <w:t>工程名称：</w:t>
      </w:r>
      <w:r>
        <w:rPr>
          <w:rFonts w:hint="eastAsia" w:asciiTheme="majorEastAsia" w:hAnsiTheme="majorEastAsia" w:eastAsiaTheme="majorEastAsia" w:cstheme="majorEastAsia"/>
          <w:b/>
          <w:bCs/>
          <w:color w:val="auto"/>
          <w:sz w:val="28"/>
          <w:szCs w:val="28"/>
          <w:highlight w:val="none"/>
          <w:lang w:eastAsia="zh-CN"/>
        </w:rPr>
        <w:t>悠然居项目团购区门窗制作及安装工程</w:t>
      </w:r>
    </w:p>
    <w:p w14:paraId="132A9ABC">
      <w:pPr>
        <w:autoSpaceDN w:val="0"/>
        <w:spacing w:line="360" w:lineRule="auto"/>
        <w:ind w:firstLine="1344" w:firstLineChars="478"/>
        <w:jc w:val="left"/>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t>签订日期：</w:t>
      </w:r>
      <w:r>
        <w:rPr>
          <w:rFonts w:hint="eastAsia" w:asciiTheme="majorEastAsia" w:hAnsiTheme="majorEastAsia" w:eastAsiaTheme="majorEastAsia" w:cstheme="majorEastAsia"/>
          <w:b/>
          <w:bCs/>
          <w:color w:val="auto"/>
          <w:sz w:val="28"/>
          <w:szCs w:val="28"/>
          <w:highlight w:val="none"/>
          <w:lang w:eastAsia="zh-CN"/>
        </w:rPr>
        <w:t>2024年</w:t>
      </w:r>
      <w:r>
        <w:rPr>
          <w:rFonts w:hint="eastAsia" w:asciiTheme="majorEastAsia" w:hAnsiTheme="majorEastAsia" w:eastAsiaTheme="majorEastAsia" w:cstheme="majorEastAsia"/>
          <w:b/>
          <w:bCs/>
          <w:color w:val="auto"/>
          <w:sz w:val="28"/>
          <w:szCs w:val="28"/>
          <w:highlight w:val="none"/>
          <w:lang w:val="en-US" w:eastAsia="zh-CN"/>
        </w:rPr>
        <w:t>7月25日</w:t>
      </w:r>
    </w:p>
    <w:p w14:paraId="2AF94E70">
      <w:pPr>
        <w:autoSpaceDN w:val="0"/>
        <w:spacing w:line="360" w:lineRule="auto"/>
        <w:ind w:firstLine="1536" w:firstLineChars="478"/>
        <w:jc w:val="left"/>
        <w:rPr>
          <w:rFonts w:hint="eastAsia" w:asciiTheme="majorEastAsia" w:hAnsiTheme="majorEastAsia" w:eastAsiaTheme="majorEastAsia" w:cstheme="majorEastAsia"/>
          <w:color w:val="auto"/>
          <w:sz w:val="32"/>
          <w:szCs w:val="32"/>
          <w:highlight w:val="none"/>
        </w:rPr>
      </w:pPr>
      <w:r>
        <w:rPr>
          <w:rFonts w:hint="eastAsia" w:asciiTheme="majorEastAsia" w:hAnsiTheme="majorEastAsia" w:eastAsiaTheme="majorEastAsia" w:cstheme="majorEastAsia"/>
          <w:b/>
          <w:bCs/>
          <w:color w:val="auto"/>
          <w:sz w:val="32"/>
          <w:szCs w:val="32"/>
          <w:highlight w:val="none"/>
          <w:lang w:eastAsia="zh-CN"/>
        </w:rPr>
        <w:t xml:space="preserve"> 悠然居项目团购区门窗制作及安装工程</w:t>
      </w:r>
      <w:r>
        <w:rPr>
          <w:rFonts w:hint="eastAsia" w:asciiTheme="majorEastAsia" w:hAnsiTheme="majorEastAsia" w:eastAsiaTheme="majorEastAsia" w:cstheme="majorEastAsia"/>
          <w:b/>
          <w:bCs/>
          <w:color w:val="auto"/>
          <w:sz w:val="32"/>
          <w:szCs w:val="32"/>
          <w:highlight w:val="none"/>
        </w:rPr>
        <w:t>合同</w:t>
      </w:r>
    </w:p>
    <w:p w14:paraId="1C781E6B">
      <w:pPr>
        <w:autoSpaceDN/>
        <w:spacing w:line="580" w:lineRule="exact"/>
        <w:ind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发包人：</w:t>
      </w:r>
      <w:r>
        <w:rPr>
          <w:rFonts w:hint="eastAsia" w:asciiTheme="minorEastAsia" w:hAnsiTheme="minorEastAsia" w:eastAsiaTheme="minorEastAsia" w:cstheme="minorEastAsia"/>
          <w:b/>
          <w:bCs/>
          <w:color w:val="auto"/>
          <w:sz w:val="24"/>
          <w:szCs w:val="24"/>
          <w:highlight w:val="none"/>
          <w:lang w:val="en-US" w:eastAsia="zh-CN"/>
        </w:rPr>
        <w:t>河南浩德龙瑞置业有限公司</w:t>
      </w:r>
      <w:r>
        <w:rPr>
          <w:rFonts w:hint="eastAsia" w:asciiTheme="minorEastAsia" w:hAnsiTheme="minorEastAsia" w:eastAsiaTheme="minorEastAsia" w:cstheme="minorEastAsia"/>
          <w:b/>
          <w:color w:val="auto"/>
          <w:sz w:val="24"/>
          <w:szCs w:val="24"/>
          <w:highlight w:val="none"/>
        </w:rPr>
        <w:t>（以下简称甲方）</w:t>
      </w:r>
    </w:p>
    <w:p w14:paraId="4E83B4E2">
      <w:pPr>
        <w:spacing w:line="360" w:lineRule="auto"/>
        <w:rPr>
          <w:rFonts w:hint="eastAsia" w:asciiTheme="majorEastAsia" w:hAnsiTheme="majorEastAsia" w:eastAsiaTheme="majorEastAsia" w:cstheme="majorEastAsia"/>
          <w:color w:val="auto"/>
          <w:szCs w:val="24"/>
          <w:highlight w:val="none"/>
        </w:rPr>
      </w:pPr>
      <w:r>
        <w:rPr>
          <w:rFonts w:hint="eastAsia" w:asciiTheme="minorEastAsia" w:hAnsiTheme="minorEastAsia" w:eastAsiaTheme="minorEastAsia" w:cstheme="minorEastAsia"/>
          <w:b/>
          <w:bCs/>
          <w:color w:val="auto"/>
          <w:sz w:val="24"/>
          <w:szCs w:val="24"/>
          <w:highlight w:val="none"/>
        </w:rPr>
        <w:t>统一社会信用代码：</w:t>
      </w:r>
      <w:r>
        <w:rPr>
          <w:rFonts w:hint="eastAsia" w:asciiTheme="minorEastAsia" w:hAnsiTheme="minorEastAsia" w:eastAsiaTheme="minorEastAsia" w:cstheme="minorEastAsia"/>
          <w:b/>
          <w:bCs/>
          <w:color w:val="auto"/>
          <w:kern w:val="2"/>
          <w:position w:val="0"/>
          <w:sz w:val="24"/>
          <w:szCs w:val="24"/>
          <w:highlight w:val="none"/>
          <w:u w:val="none"/>
        </w:rPr>
        <w:t>91410300MA9MYURF5B</w:t>
      </w:r>
      <w:r>
        <w:rPr>
          <w:rFonts w:hint="eastAsia" w:asciiTheme="majorEastAsia" w:hAnsiTheme="majorEastAsia" w:eastAsiaTheme="majorEastAsia" w:cstheme="majorEastAsia"/>
          <w:color w:val="auto"/>
          <w:szCs w:val="24"/>
          <w:highlight w:val="none"/>
        </w:rPr>
        <w:t xml:space="preserve">       </w:t>
      </w:r>
    </w:p>
    <w:p w14:paraId="725A0056">
      <w:pPr>
        <w:spacing w:line="360" w:lineRule="auto"/>
        <w:rPr>
          <w:rFonts w:hint="eastAsia" w:asciiTheme="majorEastAsia" w:hAnsiTheme="majorEastAsia" w:eastAsiaTheme="majorEastAsia" w:cstheme="majorEastAsia"/>
          <w:b/>
          <w:bCs/>
          <w:color w:val="auto"/>
          <w:sz w:val="24"/>
          <w:szCs w:val="24"/>
          <w:highlight w:val="none"/>
          <w:u w:val="none"/>
        </w:rPr>
      </w:pPr>
      <w:r>
        <w:rPr>
          <w:rFonts w:hint="eastAsia" w:asciiTheme="majorEastAsia" w:hAnsiTheme="majorEastAsia" w:eastAsiaTheme="majorEastAsia" w:cstheme="majorEastAsia"/>
          <w:b/>
          <w:bCs/>
          <w:color w:val="auto"/>
          <w:sz w:val="24"/>
          <w:szCs w:val="24"/>
          <w:highlight w:val="none"/>
          <w:u w:val="none"/>
        </w:rPr>
        <w:t>承包方：</w:t>
      </w:r>
      <w:r>
        <w:rPr>
          <w:rFonts w:hint="eastAsia" w:asciiTheme="majorEastAsia" w:hAnsiTheme="majorEastAsia" w:eastAsiaTheme="majorEastAsia" w:cstheme="majorEastAsia"/>
          <w:b/>
          <w:bCs/>
          <w:color w:val="auto"/>
          <w:sz w:val="24"/>
          <w:szCs w:val="24"/>
          <w:highlight w:val="none"/>
          <w:u w:val="none"/>
          <w:lang w:val="en-US" w:eastAsia="zh-CN"/>
        </w:rPr>
        <w:t>河南金龙幕墙有限公司</w:t>
      </w:r>
      <w:r>
        <w:rPr>
          <w:rFonts w:hint="eastAsia" w:asciiTheme="majorEastAsia" w:hAnsiTheme="majorEastAsia" w:eastAsiaTheme="majorEastAsia" w:cstheme="majorEastAsia"/>
          <w:b/>
          <w:bCs/>
          <w:color w:val="auto"/>
          <w:sz w:val="24"/>
          <w:szCs w:val="24"/>
          <w:highlight w:val="none"/>
          <w:u w:val="none"/>
        </w:rPr>
        <w:t>（以下简称乙方）</w:t>
      </w:r>
    </w:p>
    <w:p w14:paraId="13B23ED9">
      <w:pPr>
        <w:pStyle w:val="25"/>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bCs/>
          <w:color w:val="auto"/>
          <w:sz w:val="24"/>
          <w:szCs w:val="24"/>
          <w:highlight w:val="none"/>
          <w:u w:val="none"/>
        </w:rPr>
        <w:t>统一社会信用代码：91410106MA3XDE5N1Y</w:t>
      </w:r>
      <w:r>
        <w:rPr>
          <w:rFonts w:hint="eastAsia" w:asciiTheme="majorEastAsia" w:hAnsiTheme="majorEastAsia" w:eastAsiaTheme="majorEastAsia" w:cstheme="majorEastAsia"/>
          <w:color w:val="auto"/>
          <w:szCs w:val="24"/>
          <w:highlight w:val="none"/>
          <w:u w:val="none"/>
        </w:rPr>
        <w:t xml:space="preserve">  </w:t>
      </w:r>
      <w:r>
        <w:rPr>
          <w:rFonts w:hint="eastAsia" w:asciiTheme="majorEastAsia" w:hAnsiTheme="majorEastAsia" w:eastAsiaTheme="majorEastAsia" w:cstheme="majorEastAsia"/>
          <w:color w:val="auto"/>
          <w:szCs w:val="24"/>
          <w:highlight w:val="none"/>
        </w:rPr>
        <w:t xml:space="preserve">      </w:t>
      </w:r>
    </w:p>
    <w:p w14:paraId="50DB0970">
      <w:pPr>
        <w:autoSpaceDN w:val="0"/>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依照《中华人民共和国民法典》、《中华人民共和国建筑法》及其他有关法律、行政法规，遵循平等、自愿、公平和诚实信用的原则，双方就本</w:t>
      </w:r>
      <w:r>
        <w:rPr>
          <w:rFonts w:hint="eastAsia" w:asciiTheme="majorEastAsia" w:hAnsiTheme="majorEastAsia" w:eastAsiaTheme="majorEastAsia" w:cstheme="majorEastAsia"/>
          <w:b w:val="0"/>
          <w:color w:val="auto"/>
          <w:sz w:val="24"/>
          <w:szCs w:val="24"/>
          <w:highlight w:val="none"/>
        </w:rPr>
        <w:t>悠然居项目</w:t>
      </w:r>
      <w:r>
        <w:rPr>
          <w:rFonts w:hint="eastAsia" w:asciiTheme="majorEastAsia" w:hAnsiTheme="majorEastAsia" w:eastAsiaTheme="majorEastAsia" w:cstheme="majorEastAsia"/>
          <w:b w:val="0"/>
          <w:color w:val="auto"/>
          <w:sz w:val="24"/>
          <w:szCs w:val="24"/>
          <w:highlight w:val="none"/>
          <w:lang w:eastAsia="zh-CN"/>
        </w:rPr>
        <w:t>团购区门窗制作及安装工程</w:t>
      </w:r>
      <w:r>
        <w:rPr>
          <w:rFonts w:hint="eastAsia" w:asciiTheme="majorEastAsia" w:hAnsiTheme="majorEastAsia" w:eastAsiaTheme="majorEastAsia" w:cstheme="majorEastAsia"/>
          <w:color w:val="auto"/>
          <w:sz w:val="24"/>
          <w:szCs w:val="24"/>
          <w:highlight w:val="none"/>
        </w:rPr>
        <w:t>事项协商一致，订立本合同。</w:t>
      </w:r>
    </w:p>
    <w:p w14:paraId="11523F03">
      <w:pPr>
        <w:numPr>
          <w:ilvl w:val="0"/>
          <w:numId w:val="3"/>
        </w:numPr>
        <w:autoSpaceDN w:val="0"/>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工程概况</w:t>
      </w:r>
    </w:p>
    <w:p w14:paraId="4F62960A">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合同名称：</w:t>
      </w:r>
      <w:r>
        <w:rPr>
          <w:rFonts w:hint="eastAsia" w:asciiTheme="majorEastAsia" w:hAnsiTheme="majorEastAsia" w:eastAsiaTheme="majorEastAsia" w:cstheme="majorEastAsia"/>
          <w:color w:val="auto"/>
          <w:sz w:val="24"/>
          <w:szCs w:val="24"/>
          <w:highlight w:val="none"/>
          <w:lang w:eastAsia="zh-CN"/>
        </w:rPr>
        <w:t xml:space="preserve"> 悠然居项目团购区门窗制作及安装工程</w:t>
      </w:r>
      <w:r>
        <w:rPr>
          <w:rFonts w:hint="eastAsia" w:asciiTheme="majorEastAsia" w:hAnsiTheme="majorEastAsia" w:eastAsiaTheme="majorEastAsia" w:cstheme="majorEastAsia"/>
          <w:color w:val="auto"/>
          <w:sz w:val="24"/>
          <w:szCs w:val="24"/>
          <w:highlight w:val="none"/>
        </w:rPr>
        <w:t>合同</w:t>
      </w:r>
      <w:r>
        <w:rPr>
          <w:rFonts w:hint="eastAsia" w:asciiTheme="majorEastAsia" w:hAnsiTheme="majorEastAsia" w:eastAsiaTheme="majorEastAsia" w:cstheme="majorEastAsia"/>
          <w:color w:val="auto"/>
          <w:sz w:val="24"/>
          <w:szCs w:val="24"/>
          <w:highlight w:val="none"/>
          <w:lang w:eastAsia="zh-CN"/>
        </w:rPr>
        <w:t>。</w:t>
      </w:r>
    </w:p>
    <w:p w14:paraId="49FB8BBD">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工程地点：河南省洛阳市文景路与渠东路交叉口东南角</w:t>
      </w:r>
      <w:r>
        <w:rPr>
          <w:rFonts w:hint="eastAsia" w:asciiTheme="majorEastAsia" w:hAnsiTheme="majorEastAsia" w:eastAsiaTheme="majorEastAsia" w:cstheme="majorEastAsia"/>
          <w:color w:val="auto"/>
          <w:sz w:val="24"/>
          <w:szCs w:val="24"/>
          <w:highlight w:val="none"/>
          <w:lang w:eastAsia="zh-CN"/>
        </w:rPr>
        <w:t>。</w:t>
      </w:r>
    </w:p>
    <w:p w14:paraId="29049427">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资金来源：自筹</w:t>
      </w:r>
      <w:r>
        <w:rPr>
          <w:rFonts w:hint="eastAsia" w:asciiTheme="majorEastAsia" w:hAnsiTheme="majorEastAsia" w:eastAsiaTheme="majorEastAsia" w:cstheme="majorEastAsia"/>
          <w:color w:val="auto"/>
          <w:sz w:val="24"/>
          <w:szCs w:val="24"/>
          <w:highlight w:val="none"/>
          <w:lang w:eastAsia="zh-CN"/>
        </w:rPr>
        <w:t>资金。</w:t>
      </w:r>
    </w:p>
    <w:p w14:paraId="7DA2C167">
      <w:pPr>
        <w:numPr>
          <w:ilvl w:val="0"/>
          <w:numId w:val="4"/>
        </w:numPr>
        <w:autoSpaceDN w:val="0"/>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工程承包范围</w:t>
      </w:r>
    </w:p>
    <w:p w14:paraId="32378BF5">
      <w:pPr>
        <w:widowControl/>
        <w:autoSpaceDN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乙方承担</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悠然居项目门窗工程招标</w:t>
      </w:r>
      <w:r>
        <w:rPr>
          <w:rFonts w:hint="eastAsia" w:asciiTheme="majorEastAsia" w:hAnsiTheme="majorEastAsia" w:eastAsiaTheme="majorEastAsia" w:cstheme="majorEastAsia"/>
          <w:color w:val="auto"/>
          <w:sz w:val="24"/>
          <w:szCs w:val="24"/>
          <w:highlight w:val="none"/>
        </w:rPr>
        <w:t>图纸</w:t>
      </w:r>
      <w:r>
        <w:rPr>
          <w:rFonts w:hint="eastAsia" w:asciiTheme="majorEastAsia" w:hAnsiTheme="majorEastAsia" w:eastAsiaTheme="majorEastAsia" w:cstheme="majorEastAsia"/>
          <w:color w:val="auto"/>
          <w:sz w:val="24"/>
          <w:szCs w:val="24"/>
          <w:highlight w:val="none"/>
          <w:lang w:eastAsia="zh-CN"/>
        </w:rPr>
        <w:t>内的</w:t>
      </w:r>
      <w:r>
        <w:rPr>
          <w:rFonts w:hint="eastAsia" w:asciiTheme="majorEastAsia" w:hAnsiTheme="majorEastAsia" w:eastAsiaTheme="majorEastAsia" w:cstheme="majorEastAsia"/>
          <w:color w:val="auto"/>
          <w:sz w:val="24"/>
          <w:szCs w:val="24"/>
          <w:highlight w:val="none"/>
        </w:rPr>
        <w:t>的</w:t>
      </w:r>
      <w:r>
        <w:rPr>
          <w:rFonts w:hint="eastAsia" w:asciiTheme="majorEastAsia" w:hAnsiTheme="majorEastAsia" w:eastAsiaTheme="majorEastAsia" w:cstheme="majorEastAsia"/>
          <w:color w:val="auto"/>
          <w:sz w:val="24"/>
          <w:szCs w:val="24"/>
          <w:highlight w:val="none"/>
          <w:lang w:val="en-US" w:eastAsia="zh-CN"/>
        </w:rPr>
        <w:t>铝合金窗、幕墙窗、阳台推拉门、百叶、采光井顶盖</w:t>
      </w:r>
      <w:r>
        <w:rPr>
          <w:rFonts w:hint="eastAsia" w:asciiTheme="majorEastAsia" w:hAnsiTheme="majorEastAsia" w:eastAsiaTheme="majorEastAsia" w:cstheme="majorEastAsia"/>
          <w:color w:val="auto"/>
          <w:sz w:val="24"/>
          <w:szCs w:val="24"/>
          <w:highlight w:val="none"/>
          <w:lang w:val="en-US" w:eastAsia="zh-CN" w:bidi="ar"/>
        </w:rPr>
        <w:t>制作及安装工程的</w:t>
      </w:r>
      <w:r>
        <w:rPr>
          <w:rFonts w:hint="eastAsia" w:asciiTheme="majorEastAsia" w:hAnsiTheme="majorEastAsia" w:eastAsiaTheme="majorEastAsia" w:cstheme="majorEastAsia"/>
          <w:color w:val="auto"/>
          <w:sz w:val="24"/>
          <w:szCs w:val="24"/>
          <w:highlight w:val="none"/>
        </w:rPr>
        <w:t>全部内容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招标图纸中所包含的</w:t>
      </w:r>
      <w:r>
        <w:rPr>
          <w:rFonts w:hint="eastAsia" w:asciiTheme="majorEastAsia" w:hAnsiTheme="majorEastAsia" w:eastAsiaTheme="majorEastAsia" w:cstheme="majorEastAsia"/>
          <w:color w:val="auto"/>
          <w:sz w:val="24"/>
          <w:szCs w:val="24"/>
          <w:highlight w:val="none"/>
          <w:lang w:val="en-US" w:eastAsia="zh-CN"/>
        </w:rPr>
        <w:t>铝合金窗、幕墙窗、阳台推拉门、百叶、采光井顶盖</w:t>
      </w:r>
      <w:r>
        <w:rPr>
          <w:rFonts w:hint="eastAsia" w:asciiTheme="majorEastAsia" w:hAnsiTheme="majorEastAsia" w:eastAsiaTheme="majorEastAsia" w:cstheme="majorEastAsia"/>
          <w:color w:val="auto"/>
          <w:sz w:val="24"/>
          <w:szCs w:val="24"/>
          <w:highlight w:val="none"/>
          <w:lang w:val="en-US" w:eastAsia="zh-CN" w:bidi="ar"/>
        </w:rPr>
        <w:t>图纸</w:t>
      </w:r>
      <w:r>
        <w:rPr>
          <w:rFonts w:hint="eastAsia" w:asciiTheme="majorEastAsia" w:hAnsiTheme="majorEastAsia" w:eastAsiaTheme="majorEastAsia" w:cstheme="majorEastAsia"/>
          <w:color w:val="auto"/>
          <w:sz w:val="24"/>
          <w:szCs w:val="24"/>
          <w:highlight w:val="none"/>
        </w:rPr>
        <w:t>的</w:t>
      </w:r>
      <w:r>
        <w:rPr>
          <w:rFonts w:hint="eastAsia" w:asciiTheme="majorEastAsia" w:hAnsiTheme="majorEastAsia" w:eastAsiaTheme="majorEastAsia" w:cstheme="majorEastAsia"/>
          <w:color w:val="auto"/>
          <w:sz w:val="24"/>
          <w:szCs w:val="24"/>
          <w:highlight w:val="none"/>
          <w:lang w:val="en-US" w:eastAsia="zh-CN"/>
        </w:rPr>
        <w:t>深化</w:t>
      </w:r>
      <w:r>
        <w:rPr>
          <w:rFonts w:hint="eastAsia" w:asciiTheme="majorEastAsia" w:hAnsiTheme="majorEastAsia" w:eastAsiaTheme="majorEastAsia" w:cstheme="majorEastAsia"/>
          <w:color w:val="auto"/>
          <w:sz w:val="24"/>
          <w:szCs w:val="24"/>
          <w:highlight w:val="none"/>
        </w:rPr>
        <w:t>设计、加工制作、储运、安装（安装内容包括不限于：门窗</w:t>
      </w:r>
      <w:r>
        <w:rPr>
          <w:rFonts w:hint="eastAsia" w:asciiTheme="majorEastAsia" w:hAnsiTheme="majorEastAsia" w:eastAsiaTheme="majorEastAsia" w:cstheme="majorEastAsia"/>
          <w:color w:val="auto"/>
          <w:sz w:val="24"/>
          <w:szCs w:val="24"/>
          <w:highlight w:val="none"/>
          <w:lang w:eastAsia="zh-CN"/>
        </w:rPr>
        <w:t>等的</w:t>
      </w:r>
      <w:r>
        <w:rPr>
          <w:rFonts w:hint="eastAsia" w:asciiTheme="majorEastAsia" w:hAnsiTheme="majorEastAsia" w:eastAsiaTheme="majorEastAsia" w:cstheme="majorEastAsia"/>
          <w:color w:val="auto"/>
          <w:sz w:val="24"/>
          <w:szCs w:val="24"/>
          <w:highlight w:val="none"/>
        </w:rPr>
        <w:t>卸货、搬运、就位，打膨胀栓，窗框与墙体接缝处打发泡剂，室内外双面打中性硅酮密封胶、玻璃安装、五金件安装）及安装措施、铝合金门窗的清理、成品保护（自带</w:t>
      </w:r>
      <w:r>
        <w:rPr>
          <w:rFonts w:hint="eastAsia" w:asciiTheme="majorEastAsia" w:hAnsiTheme="majorEastAsia" w:eastAsiaTheme="majorEastAsia" w:cstheme="majorEastAsia"/>
          <w:color w:val="auto"/>
          <w:sz w:val="24"/>
          <w:szCs w:val="24"/>
          <w:highlight w:val="none"/>
          <w:lang w:val="en-US" w:eastAsia="zh-CN"/>
        </w:rPr>
        <w:t>双向</w:t>
      </w:r>
      <w:r>
        <w:rPr>
          <w:rFonts w:hint="eastAsia" w:asciiTheme="majorEastAsia" w:hAnsiTheme="majorEastAsia" w:eastAsiaTheme="majorEastAsia" w:cstheme="majorEastAsia"/>
          <w:color w:val="auto"/>
          <w:sz w:val="24"/>
          <w:szCs w:val="24"/>
          <w:highlight w:val="none"/>
        </w:rPr>
        <w:t>保护膜</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含保护膜的清除</w:t>
      </w:r>
      <w:r>
        <w:rPr>
          <w:rFonts w:hint="eastAsia" w:asciiTheme="majorEastAsia" w:hAnsiTheme="majorEastAsia" w:eastAsiaTheme="majorEastAsia" w:cstheme="majorEastAsia"/>
          <w:color w:val="auto"/>
          <w:sz w:val="24"/>
          <w:szCs w:val="24"/>
          <w:highlight w:val="none"/>
        </w:rPr>
        <w:t>）、与总包单位现场协调施工用电</w:t>
      </w:r>
      <w:r>
        <w:rPr>
          <w:rFonts w:hint="eastAsia" w:asciiTheme="majorEastAsia" w:hAnsiTheme="majorEastAsia" w:eastAsiaTheme="majorEastAsia" w:cstheme="majorEastAsia"/>
          <w:color w:val="auto"/>
          <w:sz w:val="24"/>
          <w:szCs w:val="24"/>
          <w:highlight w:val="none"/>
          <w:lang w:eastAsia="zh-CN"/>
        </w:rPr>
        <w:t>、用水</w:t>
      </w:r>
      <w:r>
        <w:rPr>
          <w:rFonts w:hint="eastAsia" w:asciiTheme="majorEastAsia" w:hAnsiTheme="majorEastAsia" w:eastAsiaTheme="majorEastAsia" w:cstheme="majorEastAsia"/>
          <w:color w:val="auto"/>
          <w:sz w:val="24"/>
          <w:szCs w:val="24"/>
          <w:highlight w:val="none"/>
        </w:rPr>
        <w:t>（费用乙方自理）、</w:t>
      </w:r>
      <w:r>
        <w:rPr>
          <w:rFonts w:hint="eastAsia" w:asciiTheme="majorEastAsia" w:hAnsiTheme="majorEastAsia" w:eastAsiaTheme="majorEastAsia" w:cstheme="majorEastAsia"/>
          <w:color w:val="auto"/>
          <w:sz w:val="24"/>
          <w:szCs w:val="24"/>
          <w:highlight w:val="none"/>
          <w:lang w:eastAsia="zh-CN"/>
        </w:rPr>
        <w:t>门窗淋水试验，</w:t>
      </w:r>
      <w:r>
        <w:rPr>
          <w:rFonts w:hint="eastAsia" w:asciiTheme="majorEastAsia" w:hAnsiTheme="majorEastAsia" w:eastAsiaTheme="majorEastAsia" w:cstheme="majorEastAsia"/>
          <w:color w:val="auto"/>
          <w:sz w:val="24"/>
          <w:szCs w:val="24"/>
          <w:highlight w:val="none"/>
        </w:rPr>
        <w:t>通过验收、因质量问题引起的维修和更换；检测</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含样板间已施工部分门窗检测</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抗风压、水密、气密性、保温、</w:t>
      </w:r>
      <w:r>
        <w:rPr>
          <w:rFonts w:hint="eastAsia" w:asciiTheme="majorEastAsia" w:hAnsiTheme="majorEastAsia" w:eastAsiaTheme="majorEastAsia" w:cstheme="majorEastAsia"/>
          <w:bCs w:val="0"/>
          <w:color w:val="auto"/>
          <w:sz w:val="24"/>
          <w:szCs w:val="24"/>
          <w:highlight w:val="none"/>
        </w:rPr>
        <w:t>隔音</w:t>
      </w:r>
      <w:r>
        <w:rPr>
          <w:rFonts w:hint="eastAsia" w:asciiTheme="majorEastAsia" w:hAnsiTheme="majorEastAsia" w:eastAsiaTheme="majorEastAsia" w:cstheme="majorEastAsia"/>
          <w:color w:val="auto"/>
          <w:sz w:val="24"/>
          <w:szCs w:val="24"/>
          <w:highlight w:val="none"/>
        </w:rPr>
        <w:t>等检测）、保修、防雷接地连接、垃圾清理清运等。乙方加工前须自行核对门窗清单、设计图纸及变更，并在现场实地踏勘且进行门窗洞口复核，确认无误后再进行制作加工，包括为完成上述内容而有必要采取的隐含的所有施工及安全等各方面的措施等，同时包括与本工程其他相关施工单位的配合等。</w:t>
      </w:r>
    </w:p>
    <w:p w14:paraId="45350560">
      <w:pPr>
        <w:widowControl/>
        <w:autoSpaceDN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乙方严格按照图纸及规范进行详细深化设计（包括计算书），详细设计包括但不限于对外窗和连窗进行平剖面节点（窗框与混凝土墙体的连接方式，窗框与保温位置的处理，固定设置飘窗的拐角处处理、防水处理）分楼详细设计；详细设计应在合同签订后</w:t>
      </w:r>
      <w:r>
        <w:rPr>
          <w:rFonts w:hint="eastAsia" w:asciiTheme="majorEastAsia" w:hAnsiTheme="majorEastAsia" w:eastAsiaTheme="majorEastAsia" w:cstheme="majorEastAsia"/>
          <w:color w:val="auto"/>
          <w:sz w:val="24"/>
          <w:szCs w:val="24"/>
          <w:highlight w:val="none"/>
          <w:lang w:val="en-US" w:eastAsia="zh-CN"/>
        </w:rPr>
        <w:t>7</w:t>
      </w:r>
      <w:r>
        <w:rPr>
          <w:rFonts w:hint="eastAsia" w:asciiTheme="majorEastAsia" w:hAnsiTheme="majorEastAsia" w:eastAsiaTheme="majorEastAsia" w:cstheme="majorEastAsia"/>
          <w:color w:val="auto"/>
          <w:sz w:val="24"/>
          <w:szCs w:val="24"/>
          <w:highlight w:val="none"/>
        </w:rPr>
        <w:t>日内提供窗型详图。详细设计图经甲方确认后方可组织加工生产、安装等后续工作。由于乙方详细设计图纸不完善或未到现场实地踏勘、未进行门窗洞口复核所造成的相关安全、设计缺陷、质量缺陷、验收责任问题由乙方承担。</w:t>
      </w:r>
    </w:p>
    <w:p w14:paraId="6DE9F866">
      <w:pPr>
        <w:widowControl/>
        <w:autoSpaceDN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3、乙方须现场复核洞口尺寸及土建方提供的三线准确性，门窗渗漏责任由乙方负责。</w:t>
      </w:r>
    </w:p>
    <w:p w14:paraId="2583293A">
      <w:pPr>
        <w:widowControl/>
        <w:autoSpaceDN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4、本工程采用净口安装</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如现场需毛口安装，则甲方提前书面通知施工单位</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，如避雷接地等电位金属片已覆盖，总包负责找出等电位金属片，乙方负责连接。安装前乙方需要至现场准确核对洞口尺寸，并由甲方工程部或监理、乙方、总包三方对粉刷后的洞口净尺寸签字确认。</w:t>
      </w:r>
    </w:p>
    <w:p w14:paraId="6FBDB220">
      <w:pPr>
        <w:numPr>
          <w:ilvl w:val="-1"/>
          <w:numId w:val="0"/>
        </w:num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5、界面划分：</w:t>
      </w:r>
    </w:p>
    <w:p w14:paraId="5F13C694">
      <w:pPr>
        <w:autoSpaceDN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bidi="ar"/>
        </w:rPr>
      </w:pPr>
      <w:r>
        <w:rPr>
          <w:rFonts w:hint="eastAsia" w:asciiTheme="majorEastAsia" w:hAnsiTheme="majorEastAsia" w:eastAsiaTheme="majorEastAsia" w:cstheme="majorEastAsia"/>
          <w:color w:val="auto"/>
          <w:sz w:val="24"/>
          <w:szCs w:val="24"/>
          <w:highlight w:val="none"/>
          <w:lang w:bidi="ar"/>
        </w:rPr>
        <w:t>本工程承包范围与其他专业的界面划分如下：</w:t>
      </w:r>
    </w:p>
    <w:p w14:paraId="0ACB5043">
      <w:pPr>
        <w:widowControl/>
        <w:autoSpaceDN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bidi="ar"/>
        </w:rPr>
      </w:pPr>
      <w:r>
        <w:rPr>
          <w:rFonts w:hint="eastAsia" w:asciiTheme="majorEastAsia" w:hAnsiTheme="majorEastAsia" w:eastAsiaTheme="majorEastAsia" w:cstheme="majorEastAsia"/>
          <w:color w:val="auto"/>
          <w:sz w:val="24"/>
          <w:szCs w:val="24"/>
          <w:highlight w:val="none"/>
          <w:lang w:val="en-US" w:eastAsia="zh-CN" w:bidi="ar"/>
        </w:rPr>
        <w:t>5.1与土建工程划分：洞口抹灰由总包施工（含推拉门底口砼反坎浇筑）；打胶收口、发泡胶的封堵、门框下槛及两侧300高范围内防水砂浆填塞由乙方施工</w:t>
      </w:r>
      <w:r>
        <w:rPr>
          <w:rFonts w:hint="eastAsia" w:asciiTheme="majorEastAsia" w:hAnsiTheme="majorEastAsia" w:eastAsiaTheme="majorEastAsia" w:cstheme="majorEastAsia"/>
          <w:color w:val="auto"/>
          <w:sz w:val="24"/>
          <w:szCs w:val="24"/>
          <w:highlight w:val="none"/>
          <w:lang w:bidi="ar"/>
        </w:rPr>
        <w:t>。</w:t>
      </w:r>
    </w:p>
    <w:p w14:paraId="66893AEF">
      <w:pPr>
        <w:autoSpaceDN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US" w:eastAsia="zh-CN" w:bidi="ar"/>
        </w:rPr>
      </w:pPr>
      <w:r>
        <w:rPr>
          <w:rFonts w:hint="eastAsia" w:asciiTheme="majorEastAsia" w:hAnsiTheme="majorEastAsia" w:eastAsiaTheme="majorEastAsia" w:cstheme="majorEastAsia"/>
          <w:color w:val="auto"/>
          <w:sz w:val="24"/>
          <w:szCs w:val="24"/>
          <w:highlight w:val="none"/>
          <w:lang w:val="en-US" w:eastAsia="zh-CN" w:bidi="ar"/>
        </w:rPr>
        <w:t>5.2与机电工程划分：前期门窗工程的防雷预埋由总包施工；</w:t>
      </w:r>
      <w:r>
        <w:rPr>
          <w:rFonts w:hint="eastAsia" w:asciiTheme="majorEastAsia" w:hAnsiTheme="majorEastAsia" w:eastAsiaTheme="majorEastAsia" w:cstheme="majorEastAsia"/>
          <w:color w:val="auto"/>
          <w:sz w:val="24"/>
          <w:szCs w:val="24"/>
          <w:highlight w:val="none"/>
          <w:lang w:bidi="ar"/>
        </w:rPr>
        <w:t>如避雷接地等电位金属片已覆盖，总包负责找出等电位金属片，</w:t>
      </w:r>
      <w:r>
        <w:rPr>
          <w:rFonts w:hint="eastAsia" w:asciiTheme="majorEastAsia" w:hAnsiTheme="majorEastAsia" w:eastAsiaTheme="majorEastAsia" w:cstheme="majorEastAsia"/>
          <w:color w:val="auto"/>
          <w:sz w:val="24"/>
          <w:szCs w:val="24"/>
          <w:highlight w:val="none"/>
          <w:lang w:val="en-US" w:eastAsia="zh-CN" w:bidi="ar"/>
        </w:rPr>
        <w:t>乙方</w:t>
      </w:r>
      <w:r>
        <w:rPr>
          <w:rFonts w:hint="eastAsia" w:asciiTheme="majorEastAsia" w:hAnsiTheme="majorEastAsia" w:eastAsiaTheme="majorEastAsia" w:cstheme="majorEastAsia"/>
          <w:color w:val="auto"/>
          <w:sz w:val="24"/>
          <w:szCs w:val="24"/>
          <w:highlight w:val="none"/>
          <w:lang w:bidi="ar"/>
        </w:rPr>
        <w:t>负责连接。安装前</w:t>
      </w:r>
      <w:r>
        <w:rPr>
          <w:rFonts w:hint="eastAsia" w:asciiTheme="majorEastAsia" w:hAnsiTheme="majorEastAsia" w:eastAsiaTheme="majorEastAsia" w:cstheme="majorEastAsia"/>
          <w:color w:val="auto"/>
          <w:sz w:val="24"/>
          <w:szCs w:val="24"/>
          <w:highlight w:val="none"/>
          <w:lang w:val="en-US" w:eastAsia="zh-CN" w:bidi="ar"/>
        </w:rPr>
        <w:t>乙方</w:t>
      </w:r>
      <w:r>
        <w:rPr>
          <w:rFonts w:hint="eastAsia" w:asciiTheme="majorEastAsia" w:hAnsiTheme="majorEastAsia" w:eastAsiaTheme="majorEastAsia" w:cstheme="majorEastAsia"/>
          <w:color w:val="auto"/>
          <w:sz w:val="24"/>
          <w:szCs w:val="24"/>
          <w:highlight w:val="none"/>
          <w:lang w:bidi="ar"/>
        </w:rPr>
        <w:t>需要至现场准确核对洞口尺寸，并</w:t>
      </w:r>
      <w:r>
        <w:rPr>
          <w:rFonts w:hint="eastAsia" w:asciiTheme="majorEastAsia" w:hAnsiTheme="majorEastAsia" w:eastAsiaTheme="majorEastAsia" w:cstheme="majorEastAsia"/>
          <w:color w:val="auto"/>
          <w:sz w:val="24"/>
          <w:szCs w:val="24"/>
          <w:highlight w:val="none"/>
          <w:lang w:val="en-US" w:eastAsia="zh-CN" w:bidi="ar"/>
        </w:rPr>
        <w:t>由甲方工程部或监理、乙方、总包三方对粉刷后的洞口净尺寸签字确认。</w:t>
      </w:r>
    </w:p>
    <w:p w14:paraId="01C992FF">
      <w:pPr>
        <w:autoSpaceDN w:val="0"/>
        <w:spacing w:line="360" w:lineRule="auto"/>
        <w:ind w:firstLine="0" w:firstLineChars="0"/>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三、承包方式</w:t>
      </w:r>
    </w:p>
    <w:p w14:paraId="18ED740B">
      <w:pPr>
        <w:widowControl/>
        <w:spacing w:line="500" w:lineRule="exact"/>
        <w:ind w:firstLine="352" w:firstLineChars="147"/>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1、本合同约定采用</w:t>
      </w:r>
      <w:r>
        <w:rPr>
          <w:rFonts w:hint="eastAsia" w:asciiTheme="majorEastAsia" w:hAnsiTheme="majorEastAsia" w:eastAsiaTheme="majorEastAsia" w:cstheme="majorEastAsia"/>
          <w:color w:val="auto"/>
          <w:sz w:val="24"/>
          <w:szCs w:val="24"/>
          <w:highlight w:val="none"/>
          <w:lang w:eastAsia="zh-CN"/>
        </w:rPr>
        <w:t>暂</w:t>
      </w:r>
      <w:r>
        <w:rPr>
          <w:rFonts w:hint="eastAsia" w:asciiTheme="majorEastAsia" w:hAnsiTheme="majorEastAsia" w:eastAsiaTheme="majorEastAsia" w:cstheme="majorEastAsia"/>
          <w:color w:val="auto"/>
          <w:sz w:val="24"/>
          <w:szCs w:val="24"/>
          <w:highlight w:val="none"/>
        </w:rPr>
        <w:t>定综合单价的承包方式，固定综合单价</w:t>
      </w:r>
      <w:r>
        <w:rPr>
          <w:rFonts w:hint="eastAsia" w:asciiTheme="majorEastAsia" w:hAnsiTheme="majorEastAsia" w:eastAsiaTheme="majorEastAsia" w:cstheme="majorEastAsia"/>
          <w:color w:val="auto"/>
          <w:sz w:val="24"/>
          <w:szCs w:val="24"/>
          <w:highlight w:val="none"/>
          <w:lang w:bidi="ar"/>
        </w:rPr>
        <w:t>应包含门窗制作、安装工程的全部费用，包括但不限于施工所需的人工费、材料费、机械费、加工制作费、按要求配置辅材件、运输费、装卸费、施工安装费、施工水电费、安全文明施工费、成品及半成品保护费、检测费、垃圾清运费、门窗清洁费、风险、质保、管理费、利润、税金等全部费用</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bidi="ar"/>
        </w:rPr>
        <w:t>甲方仅承担针对总承包方的配合费。</w:t>
      </w:r>
    </w:p>
    <w:p w14:paraId="116B4679">
      <w:pPr>
        <w:widowControl/>
        <w:spacing w:line="500" w:lineRule="exact"/>
        <w:ind w:firstLine="352" w:firstLineChars="147"/>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2、采取本合同约定的标准，包工包料、包质量、包验收、包制作安装、包工期、包风险、包售后服务等承包方式，按照甲方确认的设计施工图、材料，承包合同约定范围内门窗工程的制作及安装。</w:t>
      </w:r>
    </w:p>
    <w:p w14:paraId="5060FB69">
      <w:pPr>
        <w:pStyle w:val="2"/>
        <w:numPr>
          <w:ilvl w:val="0"/>
          <w:numId w:val="0"/>
        </w:numPr>
        <w:spacing w:line="24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四、工期要求</w:t>
      </w:r>
    </w:p>
    <w:p w14:paraId="5BDCAE8E">
      <w:pPr>
        <w:widowControl/>
        <w:spacing w:line="500" w:lineRule="exact"/>
        <w:ind w:firstLine="352" w:firstLineChars="147"/>
        <w:rPr>
          <w:rFonts w:hint="eastAsia" w:ascii="宋体" w:hAnsi="宋体" w:cs="宋体"/>
          <w:sz w:val="24"/>
          <w:szCs w:val="24"/>
          <w:lang w:val="en-US" w:eastAsia="zh-CN"/>
        </w:rPr>
      </w:pPr>
      <w:r>
        <w:rPr>
          <w:rFonts w:hint="eastAsia" w:ascii="宋体" w:hAnsi="宋体" w:cs="宋体"/>
          <w:sz w:val="24"/>
          <w:szCs w:val="24"/>
          <w:lang w:val="en-US" w:eastAsia="zh-CN"/>
        </w:rPr>
        <w:t>本工程分批次制作与安装，每批次生产安装周期40日历天。</w:t>
      </w:r>
    </w:p>
    <w:p w14:paraId="62736C38">
      <w:pPr>
        <w:widowControl/>
        <w:spacing w:line="500" w:lineRule="exact"/>
        <w:ind w:firstLine="352" w:firstLineChars="147"/>
        <w:rPr>
          <w:rFonts w:hint="eastAsia" w:asciiTheme="majorEastAsia" w:hAnsiTheme="majorEastAsia" w:eastAsiaTheme="majorEastAsia" w:cstheme="majorEastAsia"/>
          <w:b w:val="0"/>
          <w:bCs w:val="0"/>
          <w:color w:val="auto"/>
          <w:sz w:val="24"/>
          <w:szCs w:val="24"/>
          <w:highlight w:val="none"/>
          <w:lang w:bidi="ar"/>
        </w:rPr>
      </w:pPr>
      <w:r>
        <w:rPr>
          <w:rFonts w:hint="eastAsia" w:asciiTheme="majorEastAsia" w:hAnsiTheme="majorEastAsia" w:eastAsiaTheme="majorEastAsia" w:cstheme="majorEastAsia"/>
          <w:b w:val="0"/>
          <w:bCs w:val="0"/>
          <w:color w:val="auto"/>
          <w:sz w:val="24"/>
          <w:szCs w:val="24"/>
          <w:highlight w:val="none"/>
          <w:lang w:bidi="ar"/>
        </w:rPr>
        <w:t>1、</w:t>
      </w:r>
      <w:r>
        <w:rPr>
          <w:rFonts w:hint="eastAsia" w:asciiTheme="majorEastAsia" w:hAnsiTheme="majorEastAsia" w:eastAsiaTheme="majorEastAsia" w:cstheme="majorEastAsia"/>
          <w:b w:val="0"/>
          <w:bCs w:val="0"/>
          <w:color w:val="auto"/>
          <w:sz w:val="24"/>
          <w:szCs w:val="24"/>
          <w:highlight w:val="none"/>
          <w:lang w:val="en-US" w:eastAsia="zh-CN" w:bidi="ar"/>
        </w:rPr>
        <w:t>开工时间：</w:t>
      </w:r>
      <w:r>
        <w:rPr>
          <w:rFonts w:hint="eastAsia" w:ascii="宋体" w:hAnsi="宋体" w:cs="宋体"/>
          <w:sz w:val="24"/>
          <w:szCs w:val="24"/>
          <w:lang w:val="en-US" w:eastAsia="zh-CN"/>
        </w:rPr>
        <w:t>团购区6#、7#、8#、9#、10#、12#楼暂定2024年7月10日进场，</w:t>
      </w:r>
      <w:r>
        <w:rPr>
          <w:rFonts w:hint="eastAsia" w:asciiTheme="majorEastAsia" w:hAnsiTheme="majorEastAsia" w:eastAsiaTheme="majorEastAsia" w:cstheme="majorEastAsia"/>
          <w:b w:val="0"/>
          <w:bCs w:val="0"/>
          <w:color w:val="auto"/>
          <w:sz w:val="24"/>
          <w:szCs w:val="24"/>
          <w:highlight w:val="none"/>
          <w:lang w:eastAsia="zh-CN" w:bidi="ar"/>
        </w:rPr>
        <w:t>具体以甲方书面通知为准。</w:t>
      </w:r>
    </w:p>
    <w:p w14:paraId="7628FD83">
      <w:pPr>
        <w:widowControl/>
        <w:spacing w:line="500" w:lineRule="exact"/>
        <w:ind w:firstLine="352" w:firstLineChars="147"/>
        <w:rPr>
          <w:rFonts w:hint="eastAsia" w:asciiTheme="majorEastAsia" w:hAnsiTheme="majorEastAsia" w:eastAsiaTheme="majorEastAsia" w:cstheme="majorEastAsia"/>
          <w:b w:val="0"/>
          <w:bCs w:val="0"/>
          <w:color w:val="auto"/>
          <w:sz w:val="24"/>
          <w:szCs w:val="24"/>
          <w:highlight w:val="none"/>
          <w:lang w:bidi="ar"/>
        </w:rPr>
      </w:pPr>
      <w:r>
        <w:rPr>
          <w:rFonts w:hint="eastAsia" w:asciiTheme="majorEastAsia" w:hAnsiTheme="majorEastAsia" w:eastAsiaTheme="majorEastAsia" w:cstheme="majorEastAsia"/>
          <w:b w:val="0"/>
          <w:bCs w:val="0"/>
          <w:color w:val="auto"/>
          <w:sz w:val="24"/>
          <w:szCs w:val="24"/>
          <w:highlight w:val="none"/>
          <w:lang w:val="en-US" w:eastAsia="zh-CN" w:bidi="ar"/>
        </w:rPr>
        <w:t>2</w:t>
      </w:r>
      <w:r>
        <w:rPr>
          <w:rFonts w:hint="eastAsia" w:asciiTheme="majorEastAsia" w:hAnsiTheme="majorEastAsia" w:eastAsiaTheme="majorEastAsia" w:cstheme="majorEastAsia"/>
          <w:b w:val="0"/>
          <w:bCs w:val="0"/>
          <w:color w:val="auto"/>
          <w:sz w:val="24"/>
          <w:szCs w:val="24"/>
          <w:highlight w:val="none"/>
          <w:lang w:bidi="ar"/>
        </w:rPr>
        <w:t>、工程施工进度计划</w:t>
      </w:r>
      <w:ins w:id="0" w:author="Ms.h" w:date="2024-07-31T16:23:10Z">
        <w:r>
          <w:rPr>
            <w:rFonts w:hint="eastAsia" w:asciiTheme="majorEastAsia" w:hAnsiTheme="majorEastAsia" w:eastAsiaTheme="majorEastAsia" w:cstheme="majorEastAsia"/>
            <w:b w:val="0"/>
            <w:bCs w:val="0"/>
            <w:color w:val="auto"/>
            <w:sz w:val="24"/>
            <w:szCs w:val="24"/>
            <w:highlight w:val="none"/>
            <w:lang w:val="en-US" w:eastAsia="zh-CN" w:bidi="ar"/>
          </w:rPr>
          <w:t>详见</w:t>
        </w:r>
      </w:ins>
      <w:ins w:id="1" w:author="Ms.h" w:date="2024-07-31T16:23:24Z">
        <w:r>
          <w:rPr>
            <w:rFonts w:hint="eastAsia" w:asciiTheme="majorEastAsia" w:hAnsiTheme="majorEastAsia" w:eastAsiaTheme="majorEastAsia" w:cstheme="majorEastAsia"/>
            <w:b w:val="0"/>
            <w:bCs w:val="0"/>
            <w:color w:val="auto"/>
            <w:sz w:val="24"/>
            <w:szCs w:val="24"/>
            <w:highlight w:val="none"/>
            <w:lang w:val="en-US" w:eastAsia="zh-CN" w:bidi="ar"/>
          </w:rPr>
          <w:t>双方</w:t>
        </w:r>
      </w:ins>
      <w:ins w:id="2" w:author="Ms.h" w:date="2024-07-31T16:32:24Z">
        <w:r>
          <w:rPr>
            <w:rFonts w:hint="eastAsia" w:asciiTheme="majorEastAsia" w:hAnsiTheme="majorEastAsia" w:eastAsiaTheme="majorEastAsia" w:cstheme="majorEastAsia"/>
            <w:b w:val="0"/>
            <w:bCs w:val="0"/>
            <w:color w:val="auto"/>
            <w:sz w:val="24"/>
            <w:szCs w:val="24"/>
            <w:highlight w:val="none"/>
            <w:lang w:val="en-US" w:eastAsia="zh-CN" w:bidi="ar"/>
          </w:rPr>
          <w:t>最终</w:t>
        </w:r>
      </w:ins>
      <w:ins w:id="3" w:author="Ms.h" w:date="2024-07-31T16:32:26Z">
        <w:r>
          <w:rPr>
            <w:rFonts w:hint="eastAsia" w:asciiTheme="majorEastAsia" w:hAnsiTheme="majorEastAsia" w:eastAsiaTheme="majorEastAsia" w:cstheme="majorEastAsia"/>
            <w:b w:val="0"/>
            <w:bCs w:val="0"/>
            <w:color w:val="auto"/>
            <w:sz w:val="24"/>
            <w:szCs w:val="24"/>
            <w:highlight w:val="none"/>
            <w:lang w:val="en-US" w:eastAsia="zh-CN" w:bidi="ar"/>
          </w:rPr>
          <w:t>确认的</w:t>
        </w:r>
      </w:ins>
      <w:del w:id="4" w:author="Ms.h" w:date="2024-07-31T16:23:01Z">
        <w:r>
          <w:rPr>
            <w:rFonts w:hint="eastAsia" w:asciiTheme="majorEastAsia" w:hAnsiTheme="majorEastAsia" w:eastAsiaTheme="majorEastAsia" w:cstheme="majorEastAsia"/>
            <w:b w:val="0"/>
            <w:bCs w:val="0"/>
            <w:color w:val="auto"/>
            <w:sz w:val="24"/>
            <w:szCs w:val="24"/>
            <w:highlight w:val="none"/>
            <w:lang w:bidi="ar"/>
          </w:rPr>
          <w:delText>详见附件</w:delText>
        </w:r>
      </w:del>
      <w:del w:id="5" w:author="Ms.h" w:date="2024-07-31T16:32:27Z">
        <w:r>
          <w:rPr>
            <w:rFonts w:hint="eastAsia" w:asciiTheme="majorEastAsia" w:hAnsiTheme="majorEastAsia" w:eastAsiaTheme="majorEastAsia" w:cstheme="majorEastAsia"/>
            <w:b w:val="0"/>
            <w:bCs w:val="0"/>
            <w:color w:val="auto"/>
            <w:sz w:val="24"/>
            <w:szCs w:val="24"/>
            <w:highlight w:val="none"/>
            <w:lang w:val="en-US" w:eastAsia="zh-CN" w:bidi="ar"/>
          </w:rPr>
          <w:delText xml:space="preserve"> </w:delText>
        </w:r>
      </w:del>
      <w:del w:id="6" w:author="Ms.h" w:date="2024-07-31T16:32:28Z">
        <w:r>
          <w:rPr>
            <w:rFonts w:hint="eastAsia" w:asciiTheme="majorEastAsia" w:hAnsiTheme="majorEastAsia" w:eastAsiaTheme="majorEastAsia" w:cstheme="majorEastAsia"/>
            <w:b w:val="0"/>
            <w:bCs w:val="0"/>
            <w:color w:val="auto"/>
            <w:sz w:val="24"/>
            <w:szCs w:val="24"/>
            <w:highlight w:val="none"/>
            <w:lang w:bidi="ar"/>
          </w:rPr>
          <w:delText>：</w:delText>
        </w:r>
      </w:del>
      <w:ins w:id="7" w:author="Ms.h" w:date="2024-07-31T16:32:29Z">
        <w:r>
          <w:rPr>
            <w:rFonts w:hint="eastAsia" w:asciiTheme="majorEastAsia" w:hAnsiTheme="majorEastAsia" w:eastAsiaTheme="majorEastAsia" w:cstheme="majorEastAsia"/>
            <w:b w:val="0"/>
            <w:bCs w:val="0"/>
            <w:color w:val="auto"/>
            <w:sz w:val="24"/>
            <w:szCs w:val="24"/>
            <w:highlight w:val="none"/>
            <w:lang w:eastAsia="zh-CN" w:bidi="ar"/>
          </w:rPr>
          <w:t>《</w:t>
        </w:r>
      </w:ins>
      <w:r>
        <w:rPr>
          <w:rFonts w:hint="eastAsia" w:asciiTheme="majorEastAsia" w:hAnsiTheme="majorEastAsia" w:eastAsiaTheme="majorEastAsia" w:cstheme="majorEastAsia"/>
          <w:b w:val="0"/>
          <w:bCs w:val="0"/>
          <w:color w:val="auto"/>
          <w:sz w:val="24"/>
          <w:szCs w:val="24"/>
          <w:highlight w:val="none"/>
          <w:lang w:eastAsia="zh-CN" w:bidi="ar"/>
        </w:rPr>
        <w:t>团购区门窗制作及安装工程</w:t>
      </w:r>
      <w:r>
        <w:rPr>
          <w:rFonts w:hint="eastAsia" w:asciiTheme="majorEastAsia" w:hAnsiTheme="majorEastAsia" w:eastAsiaTheme="majorEastAsia" w:cstheme="majorEastAsia"/>
          <w:b w:val="0"/>
          <w:bCs w:val="0"/>
          <w:color w:val="auto"/>
          <w:sz w:val="24"/>
          <w:szCs w:val="24"/>
          <w:highlight w:val="none"/>
          <w:lang w:bidi="ar"/>
        </w:rPr>
        <w:t>进度计划表</w:t>
      </w:r>
      <w:ins w:id="8" w:author="Ms.h" w:date="2024-07-31T16:32:32Z">
        <w:r>
          <w:rPr>
            <w:rFonts w:hint="eastAsia" w:asciiTheme="majorEastAsia" w:hAnsiTheme="majorEastAsia" w:eastAsiaTheme="majorEastAsia" w:cstheme="majorEastAsia"/>
            <w:b w:val="0"/>
            <w:bCs w:val="0"/>
            <w:color w:val="auto"/>
            <w:sz w:val="24"/>
            <w:szCs w:val="24"/>
            <w:highlight w:val="none"/>
            <w:lang w:eastAsia="zh-CN" w:bidi="ar"/>
          </w:rPr>
          <w:t>》</w:t>
        </w:r>
      </w:ins>
      <w:r>
        <w:rPr>
          <w:rFonts w:hint="eastAsia" w:asciiTheme="majorEastAsia" w:hAnsiTheme="majorEastAsia" w:eastAsiaTheme="majorEastAsia" w:cstheme="majorEastAsia"/>
          <w:b w:val="0"/>
          <w:bCs w:val="0"/>
          <w:color w:val="auto"/>
          <w:sz w:val="24"/>
          <w:szCs w:val="24"/>
          <w:highlight w:val="none"/>
          <w:lang w:bidi="ar"/>
        </w:rPr>
        <w:t>。</w:t>
      </w:r>
    </w:p>
    <w:p w14:paraId="61E349A9">
      <w:pPr>
        <w:widowControl/>
        <w:spacing w:line="500" w:lineRule="exact"/>
        <w:ind w:firstLine="352" w:firstLineChars="147"/>
        <w:rPr>
          <w:rFonts w:hint="eastAsia" w:asciiTheme="majorEastAsia" w:hAnsiTheme="majorEastAsia" w:eastAsiaTheme="majorEastAsia" w:cstheme="majorEastAsia"/>
          <w:b w:val="0"/>
          <w:bCs w:val="0"/>
          <w:color w:val="auto"/>
          <w:sz w:val="24"/>
          <w:szCs w:val="24"/>
          <w:highlight w:val="none"/>
          <w:lang w:bidi="ar"/>
        </w:rPr>
      </w:pPr>
      <w:r>
        <w:rPr>
          <w:rFonts w:hint="eastAsia" w:asciiTheme="majorEastAsia" w:hAnsiTheme="majorEastAsia" w:eastAsiaTheme="majorEastAsia" w:cstheme="majorEastAsia"/>
          <w:b w:val="0"/>
          <w:bCs w:val="0"/>
          <w:color w:val="auto"/>
          <w:sz w:val="24"/>
          <w:szCs w:val="24"/>
          <w:highlight w:val="none"/>
          <w:lang w:val="en-US" w:eastAsia="zh-CN" w:bidi="ar"/>
        </w:rPr>
        <w:t>3</w:t>
      </w:r>
      <w:r>
        <w:rPr>
          <w:rFonts w:hint="eastAsia" w:asciiTheme="majorEastAsia" w:hAnsiTheme="majorEastAsia" w:eastAsiaTheme="majorEastAsia" w:cstheme="majorEastAsia"/>
          <w:b w:val="0"/>
          <w:bCs w:val="0"/>
          <w:color w:val="auto"/>
          <w:sz w:val="24"/>
          <w:szCs w:val="24"/>
          <w:highlight w:val="none"/>
          <w:lang w:bidi="ar"/>
        </w:rPr>
        <w:t>、施工过程中如遇甲方责任或不可抗力等因素所延误的工期，经甲、乙双方签字认可调整，以此确定完工日期。</w:t>
      </w:r>
      <w:bookmarkStart w:id="0" w:name="_Hlt503692535"/>
      <w:bookmarkEnd w:id="0"/>
    </w:p>
    <w:p w14:paraId="7EBA2459">
      <w:pPr>
        <w:widowControl/>
        <w:spacing w:line="500" w:lineRule="exact"/>
        <w:ind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五、合同价格</w:t>
      </w:r>
    </w:p>
    <w:p w14:paraId="5E8F688E">
      <w:pPr>
        <w:pStyle w:val="25"/>
        <w:spacing w:line="360" w:lineRule="auto"/>
        <w:ind w:firstLine="240" w:firstLineChars="100"/>
        <w:rPr>
          <w:rFonts w:hint="eastAsia" w:asciiTheme="majorEastAsia" w:hAnsiTheme="majorEastAsia" w:eastAsiaTheme="majorEastAsia" w:cstheme="majorEastAsia"/>
          <w:b w:val="0"/>
          <w:bCs/>
          <w:color w:val="auto"/>
          <w:szCs w:val="24"/>
          <w:highlight w:val="none"/>
        </w:rPr>
      </w:pPr>
      <w:r>
        <w:rPr>
          <w:rFonts w:hint="eastAsia" w:asciiTheme="majorEastAsia" w:hAnsiTheme="majorEastAsia" w:eastAsiaTheme="majorEastAsia" w:cstheme="majorEastAsia"/>
          <w:b w:val="0"/>
          <w:bCs/>
          <w:color w:val="auto"/>
          <w:szCs w:val="24"/>
          <w:highlight w:val="none"/>
        </w:rPr>
        <w:t>1、合同含税</w:t>
      </w:r>
      <w:r>
        <w:rPr>
          <w:rFonts w:hint="eastAsia" w:asciiTheme="majorEastAsia" w:hAnsiTheme="majorEastAsia" w:eastAsiaTheme="majorEastAsia" w:cstheme="majorEastAsia"/>
          <w:b w:val="0"/>
          <w:bCs/>
          <w:color w:val="auto"/>
          <w:szCs w:val="24"/>
          <w:highlight w:val="none"/>
          <w:lang w:eastAsia="zh-CN"/>
        </w:rPr>
        <w:t>暂</w:t>
      </w:r>
      <w:r>
        <w:rPr>
          <w:rFonts w:hint="eastAsia" w:asciiTheme="majorEastAsia" w:hAnsiTheme="majorEastAsia" w:eastAsiaTheme="majorEastAsia" w:cstheme="majorEastAsia"/>
          <w:b w:val="0"/>
          <w:bCs/>
          <w:color w:val="auto"/>
          <w:szCs w:val="24"/>
          <w:highlight w:val="none"/>
        </w:rPr>
        <w:t>定总价</w:t>
      </w:r>
      <w:r>
        <w:rPr>
          <w:rFonts w:hint="eastAsia" w:asciiTheme="majorEastAsia" w:hAnsiTheme="majorEastAsia" w:eastAsiaTheme="majorEastAsia" w:cstheme="majorEastAsia"/>
          <w:b w:val="0"/>
          <w:bCs/>
          <w:color w:val="auto"/>
          <w:szCs w:val="24"/>
          <w:highlight w:val="none"/>
          <w:u w:val="single"/>
        </w:rPr>
        <w:t>为¥</w:t>
      </w:r>
      <w:r>
        <w:rPr>
          <w:rFonts w:hint="eastAsia" w:asciiTheme="majorEastAsia" w:hAnsiTheme="majorEastAsia" w:eastAsiaTheme="majorEastAsia" w:cstheme="majorEastAsia"/>
          <w:b w:val="0"/>
          <w:bCs/>
          <w:color w:val="auto"/>
          <w:szCs w:val="24"/>
          <w:highlight w:val="none"/>
          <w:u w:val="single"/>
          <w:lang w:val="en-US" w:eastAsia="zh-CN"/>
        </w:rPr>
        <w:t xml:space="preserve"> </w:t>
      </w:r>
      <w:r>
        <w:rPr>
          <w:rFonts w:hint="eastAsia" w:asciiTheme="majorEastAsia" w:hAnsiTheme="majorEastAsia" w:eastAsiaTheme="majorEastAsia" w:cstheme="majorEastAsia"/>
          <w:b w:val="0"/>
          <w:bCs/>
          <w:i w:val="0"/>
          <w:iCs w:val="0"/>
          <w:color w:val="auto"/>
          <w:kern w:val="0"/>
          <w:sz w:val="24"/>
          <w:szCs w:val="24"/>
          <w:highlight w:val="none"/>
          <w:u w:val="single"/>
          <w:lang w:val="en-US" w:eastAsia="zh-CN" w:bidi="ar"/>
        </w:rPr>
        <w:t xml:space="preserve">6519695.01 </w:t>
      </w:r>
      <w:r>
        <w:rPr>
          <w:rFonts w:hint="eastAsia" w:asciiTheme="majorEastAsia" w:hAnsiTheme="majorEastAsia" w:eastAsiaTheme="majorEastAsia" w:cstheme="majorEastAsia"/>
          <w:b w:val="0"/>
          <w:bCs/>
          <w:color w:val="auto"/>
          <w:szCs w:val="24"/>
          <w:highlight w:val="none"/>
          <w:u w:val="single"/>
          <w:lang w:val="en-US" w:eastAsia="zh-CN"/>
        </w:rPr>
        <w:t xml:space="preserve"> </w:t>
      </w:r>
      <w:r>
        <w:rPr>
          <w:rFonts w:hint="eastAsia" w:asciiTheme="majorEastAsia" w:hAnsiTheme="majorEastAsia" w:eastAsiaTheme="majorEastAsia" w:cstheme="majorEastAsia"/>
          <w:b w:val="0"/>
          <w:bCs/>
          <w:color w:val="auto"/>
          <w:szCs w:val="24"/>
          <w:highlight w:val="none"/>
          <w:u w:val="single"/>
        </w:rPr>
        <w:t>元</w:t>
      </w:r>
      <w:r>
        <w:rPr>
          <w:rFonts w:hint="eastAsia" w:asciiTheme="majorEastAsia" w:hAnsiTheme="majorEastAsia" w:eastAsiaTheme="majorEastAsia" w:cstheme="majorEastAsia"/>
          <w:b w:val="0"/>
          <w:bCs/>
          <w:color w:val="auto"/>
          <w:szCs w:val="24"/>
          <w:highlight w:val="none"/>
        </w:rPr>
        <w:t>（</w:t>
      </w:r>
      <w:r>
        <w:rPr>
          <w:rFonts w:hint="eastAsia" w:asciiTheme="majorEastAsia" w:hAnsiTheme="majorEastAsia" w:eastAsiaTheme="majorEastAsia" w:cstheme="majorEastAsia"/>
          <w:b w:val="0"/>
          <w:bCs/>
          <w:color w:val="auto"/>
          <w:szCs w:val="24"/>
          <w:highlight w:val="none"/>
          <w:u w:val="single"/>
        </w:rPr>
        <w:t>大写人民币</w:t>
      </w:r>
      <w:r>
        <w:rPr>
          <w:rFonts w:hint="eastAsia" w:asciiTheme="majorEastAsia" w:hAnsiTheme="majorEastAsia" w:eastAsiaTheme="majorEastAsia" w:cstheme="majorEastAsia"/>
          <w:b w:val="0"/>
          <w:bCs/>
          <w:color w:val="auto"/>
          <w:sz w:val="24"/>
          <w:szCs w:val="24"/>
          <w:highlight w:val="none"/>
          <w:u w:val="single"/>
          <w:lang w:val="en-US" w:eastAsia="zh-CN"/>
        </w:rPr>
        <w:t>陆佰伍拾壹万玖仟陆佰玖拾伍元零壹分</w:t>
      </w:r>
      <w:r>
        <w:rPr>
          <w:rFonts w:hint="eastAsia" w:asciiTheme="majorEastAsia" w:hAnsiTheme="majorEastAsia" w:eastAsiaTheme="majorEastAsia" w:cstheme="majorEastAsia"/>
          <w:b w:val="0"/>
          <w:bCs/>
          <w:color w:val="auto"/>
          <w:szCs w:val="24"/>
          <w:highlight w:val="none"/>
        </w:rPr>
        <w:t>（以下简称“合同总价”）。其中不含税金额为¥</w:t>
      </w:r>
      <w:r>
        <w:rPr>
          <w:rFonts w:hint="eastAsia" w:asciiTheme="majorEastAsia" w:hAnsiTheme="majorEastAsia" w:eastAsiaTheme="majorEastAsia" w:cstheme="majorEastAsia"/>
          <w:b w:val="0"/>
          <w:bCs/>
          <w:color w:val="auto"/>
          <w:szCs w:val="24"/>
          <w:highlight w:val="none"/>
          <w:u w:val="single"/>
          <w:lang w:val="en-US" w:eastAsia="zh-CN"/>
        </w:rPr>
        <w:t>5769641.60</w:t>
      </w:r>
      <w:r>
        <w:rPr>
          <w:rFonts w:hint="eastAsia" w:asciiTheme="majorEastAsia" w:hAnsiTheme="majorEastAsia" w:eastAsiaTheme="majorEastAsia" w:cstheme="majorEastAsia"/>
          <w:b w:val="0"/>
          <w:bCs/>
          <w:color w:val="auto"/>
          <w:szCs w:val="24"/>
          <w:highlight w:val="none"/>
        </w:rPr>
        <w:t>元</w:t>
      </w:r>
      <w:r>
        <w:rPr>
          <w:rFonts w:hint="eastAsia" w:asciiTheme="majorEastAsia" w:hAnsiTheme="majorEastAsia" w:eastAsiaTheme="majorEastAsia" w:cstheme="majorEastAsia"/>
          <w:b w:val="0"/>
          <w:bCs/>
          <w:color w:val="auto"/>
          <w:szCs w:val="24"/>
          <w:highlight w:val="none"/>
          <w:lang w:val="en-US" w:eastAsia="zh-CN"/>
        </w:rPr>
        <w:t xml:space="preserve"> </w:t>
      </w:r>
      <w:r>
        <w:rPr>
          <w:rFonts w:hint="eastAsia" w:asciiTheme="majorEastAsia" w:hAnsiTheme="majorEastAsia" w:eastAsiaTheme="majorEastAsia" w:cstheme="majorEastAsia"/>
          <w:b w:val="0"/>
          <w:bCs/>
          <w:color w:val="auto"/>
          <w:szCs w:val="24"/>
          <w:highlight w:val="none"/>
        </w:rPr>
        <w:t>，增值税税金为¥</w:t>
      </w:r>
      <w:r>
        <w:rPr>
          <w:rFonts w:hint="eastAsia" w:asciiTheme="majorEastAsia" w:hAnsiTheme="majorEastAsia" w:eastAsiaTheme="majorEastAsia" w:cstheme="majorEastAsia"/>
          <w:b w:val="0"/>
          <w:bCs/>
          <w:color w:val="auto"/>
          <w:szCs w:val="24"/>
          <w:highlight w:val="none"/>
          <w:lang w:val="en-US" w:eastAsia="zh-CN"/>
        </w:rPr>
        <w:t>750053.41</w:t>
      </w:r>
      <w:r>
        <w:rPr>
          <w:rFonts w:hint="eastAsia" w:asciiTheme="majorEastAsia" w:hAnsiTheme="majorEastAsia" w:eastAsiaTheme="majorEastAsia" w:cstheme="majorEastAsia"/>
          <w:b w:val="0"/>
          <w:bCs/>
          <w:color w:val="auto"/>
          <w:szCs w:val="24"/>
          <w:highlight w:val="none"/>
        </w:rPr>
        <w:t>元</w:t>
      </w:r>
      <w:r>
        <w:rPr>
          <w:rFonts w:hint="eastAsia" w:asciiTheme="majorEastAsia" w:hAnsiTheme="majorEastAsia" w:eastAsiaTheme="majorEastAsia" w:cstheme="majorEastAsia"/>
          <w:b w:val="0"/>
          <w:bCs/>
          <w:color w:val="auto"/>
          <w:szCs w:val="24"/>
          <w:highlight w:val="none"/>
          <w:lang w:val="en-US" w:eastAsia="zh-CN"/>
        </w:rPr>
        <w:t xml:space="preserve"> </w:t>
      </w:r>
      <w:r>
        <w:rPr>
          <w:rFonts w:hint="eastAsia" w:asciiTheme="majorEastAsia" w:hAnsiTheme="majorEastAsia" w:eastAsiaTheme="majorEastAsia" w:cstheme="majorEastAsia"/>
          <w:b w:val="0"/>
          <w:bCs/>
          <w:color w:val="auto"/>
          <w:szCs w:val="24"/>
          <w:highlight w:val="none"/>
        </w:rPr>
        <w:t>，税率</w:t>
      </w:r>
      <w:r>
        <w:rPr>
          <w:rFonts w:hint="eastAsia" w:asciiTheme="majorEastAsia" w:hAnsiTheme="majorEastAsia" w:eastAsiaTheme="majorEastAsia" w:cstheme="majorEastAsia"/>
          <w:b w:val="0"/>
          <w:bCs/>
          <w:color w:val="auto"/>
          <w:szCs w:val="24"/>
          <w:highlight w:val="none"/>
          <w:u w:val="single"/>
          <w:lang w:val="en-US" w:eastAsia="zh-CN"/>
        </w:rPr>
        <w:t>13</w:t>
      </w:r>
      <w:r>
        <w:rPr>
          <w:rFonts w:hint="eastAsia" w:asciiTheme="majorEastAsia" w:hAnsiTheme="majorEastAsia" w:eastAsiaTheme="majorEastAsia" w:cstheme="majorEastAsia"/>
          <w:b w:val="0"/>
          <w:bCs/>
          <w:color w:val="auto"/>
          <w:szCs w:val="24"/>
          <w:highlight w:val="none"/>
        </w:rPr>
        <w:t>%。详见附件《价格清单》。</w:t>
      </w:r>
    </w:p>
    <w:p w14:paraId="10E5B428">
      <w:pPr>
        <w:spacing w:line="360" w:lineRule="auto"/>
        <w:ind w:firstLine="0" w:firstLineChars="0"/>
        <w:rPr>
          <w:rFonts w:hint="eastAsia" w:asciiTheme="majorEastAsia" w:hAnsiTheme="majorEastAsia" w:eastAsiaTheme="majorEastAsia" w:cstheme="majorEastAsia"/>
          <w:bCs/>
          <w:color w:val="auto"/>
          <w:kern w:val="0"/>
          <w:position w:val="-10"/>
          <w:sz w:val="24"/>
          <w:szCs w:val="24"/>
          <w:highlight w:val="none"/>
          <w:lang w:val="en-US" w:eastAsia="zh-CN"/>
        </w:rPr>
      </w:pPr>
      <w:r>
        <w:rPr>
          <w:rFonts w:hint="eastAsia" w:asciiTheme="majorEastAsia" w:hAnsiTheme="majorEastAsia" w:eastAsiaTheme="majorEastAsia" w:cstheme="majorEastAsia"/>
          <w:bCs/>
          <w:color w:val="auto"/>
          <w:kern w:val="0"/>
          <w:position w:val="-10"/>
          <w:sz w:val="24"/>
          <w:szCs w:val="24"/>
          <w:highlight w:val="none"/>
        </w:rPr>
        <w:t xml:space="preserve">2、增值税税率说明： </w:t>
      </w:r>
    </w:p>
    <w:p w14:paraId="1F14B7C1">
      <w:pPr>
        <w:spacing w:line="360" w:lineRule="auto"/>
        <w:ind w:firstLine="240" w:firstLineChars="100"/>
        <w:rPr>
          <w:rFonts w:hint="eastAsia" w:asciiTheme="majorEastAsia" w:hAnsiTheme="majorEastAsia" w:eastAsiaTheme="majorEastAsia" w:cstheme="majorEastAsia"/>
          <w:bCs/>
          <w:color w:val="auto"/>
          <w:kern w:val="0"/>
          <w:position w:val="-10"/>
          <w:sz w:val="24"/>
          <w:szCs w:val="24"/>
          <w:highlight w:val="none"/>
        </w:rPr>
      </w:pPr>
      <w:r>
        <w:rPr>
          <w:rFonts w:hint="eastAsia" w:asciiTheme="majorEastAsia" w:hAnsiTheme="majorEastAsia" w:eastAsiaTheme="majorEastAsia" w:cstheme="majorEastAsia"/>
          <w:bCs/>
          <w:color w:val="auto"/>
          <w:kern w:val="0"/>
          <w:position w:val="-10"/>
          <w:sz w:val="24"/>
          <w:szCs w:val="24"/>
          <w:highlight w:val="none"/>
        </w:rPr>
        <w:t>2.1、合同价增值税税率按</w:t>
      </w:r>
      <w:r>
        <w:rPr>
          <w:rFonts w:hint="eastAsia" w:asciiTheme="majorEastAsia" w:hAnsiTheme="majorEastAsia" w:eastAsiaTheme="majorEastAsia" w:cstheme="majorEastAsia"/>
          <w:bCs/>
          <w:color w:val="auto"/>
          <w:kern w:val="0"/>
          <w:position w:val="-10"/>
          <w:sz w:val="24"/>
          <w:szCs w:val="24"/>
          <w:highlight w:val="none"/>
          <w:u w:val="single"/>
          <w:lang w:val="en-US" w:eastAsia="zh-CN"/>
        </w:rPr>
        <w:t>13</w:t>
      </w:r>
      <w:r>
        <w:rPr>
          <w:rFonts w:hint="eastAsia" w:asciiTheme="majorEastAsia" w:hAnsiTheme="majorEastAsia" w:eastAsiaTheme="majorEastAsia" w:cstheme="majorEastAsia"/>
          <w:bCs/>
          <w:color w:val="auto"/>
          <w:kern w:val="0"/>
          <w:position w:val="-10"/>
          <w:sz w:val="24"/>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4D3EB4C8">
      <w:pPr>
        <w:spacing w:line="360" w:lineRule="auto"/>
        <w:ind w:firstLine="240" w:firstLineChars="100"/>
        <w:rPr>
          <w:rFonts w:hint="eastAsia" w:asciiTheme="majorEastAsia" w:hAnsiTheme="majorEastAsia" w:eastAsiaTheme="majorEastAsia" w:cstheme="majorEastAsia"/>
          <w:bCs/>
          <w:color w:val="auto"/>
          <w:kern w:val="0"/>
          <w:position w:val="-10"/>
          <w:sz w:val="24"/>
          <w:szCs w:val="24"/>
          <w:highlight w:val="none"/>
        </w:rPr>
      </w:pPr>
      <w:r>
        <w:rPr>
          <w:rFonts w:hint="eastAsia" w:asciiTheme="majorEastAsia" w:hAnsiTheme="majorEastAsia" w:eastAsiaTheme="majorEastAsia" w:cstheme="majorEastAsia"/>
          <w:bCs/>
          <w:color w:val="auto"/>
          <w:kern w:val="0"/>
          <w:position w:val="-10"/>
          <w:sz w:val="24"/>
          <w:szCs w:val="24"/>
          <w:highlight w:val="none"/>
        </w:rPr>
        <w:t>2.2、如因乙方纳税资格变更引起增值税税率变化，风险由乙方自行承担（税率增加的，甲方仍按原税率支付税金；税率减小的，甲方按减小后的税率支付税金）。</w:t>
      </w:r>
    </w:p>
    <w:p w14:paraId="2867877A">
      <w:pPr>
        <w:pStyle w:val="2"/>
        <w:numPr>
          <w:ilvl w:val="0"/>
          <w:numId w:val="0"/>
        </w:num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六、工程价款支付 </w:t>
      </w:r>
    </w:p>
    <w:p w14:paraId="1DCA8F79">
      <w:p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bidi="ar"/>
        </w:rPr>
      </w:pPr>
      <w:r>
        <w:rPr>
          <w:rFonts w:hint="eastAsia" w:asciiTheme="majorEastAsia" w:hAnsiTheme="majorEastAsia" w:eastAsiaTheme="majorEastAsia" w:cstheme="majorEastAsia"/>
          <w:bCs/>
          <w:color w:val="auto"/>
          <w:kern w:val="0"/>
          <w:position w:val="-10"/>
          <w:sz w:val="24"/>
          <w:szCs w:val="24"/>
          <w:highlight w:val="none"/>
          <w:lang w:bidi="ar"/>
        </w:rPr>
        <w:t>1、本合同不安排预付款；</w:t>
      </w:r>
    </w:p>
    <w:p w14:paraId="4646CDD1">
      <w:p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bidi="ar"/>
        </w:rPr>
      </w:pPr>
      <w:r>
        <w:rPr>
          <w:rFonts w:hint="eastAsia" w:asciiTheme="majorEastAsia" w:hAnsiTheme="majorEastAsia" w:eastAsiaTheme="majorEastAsia" w:cstheme="majorEastAsia"/>
          <w:bCs/>
          <w:color w:val="auto"/>
          <w:kern w:val="0"/>
          <w:position w:val="-10"/>
          <w:sz w:val="24"/>
          <w:szCs w:val="24"/>
          <w:highlight w:val="none"/>
          <w:lang w:bidi="ar"/>
        </w:rPr>
        <w:t>2、分批施工，分批付款。</w:t>
      </w:r>
    </w:p>
    <w:p w14:paraId="38F9B5BD">
      <w:p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val="en-US" w:eastAsia="zh-CN" w:bidi="ar"/>
        </w:rPr>
      </w:pPr>
      <w:r>
        <w:rPr>
          <w:rFonts w:hint="eastAsia" w:asciiTheme="majorEastAsia" w:hAnsiTheme="majorEastAsia" w:eastAsiaTheme="majorEastAsia" w:cstheme="majorEastAsia"/>
          <w:bCs/>
          <w:color w:val="auto"/>
          <w:kern w:val="0"/>
          <w:position w:val="-10"/>
          <w:sz w:val="24"/>
          <w:szCs w:val="24"/>
          <w:highlight w:val="none"/>
          <w:lang w:val="en-US" w:eastAsia="zh-CN" w:bidi="ar"/>
        </w:rPr>
        <w:t>3、</w:t>
      </w:r>
      <w:r>
        <w:rPr>
          <w:rFonts w:hint="eastAsia" w:asciiTheme="majorEastAsia" w:hAnsiTheme="majorEastAsia" w:eastAsiaTheme="majorEastAsia" w:cstheme="majorEastAsia"/>
          <w:bCs/>
          <w:color w:val="auto"/>
          <w:kern w:val="0"/>
          <w:position w:val="-10"/>
          <w:sz w:val="24"/>
          <w:szCs w:val="24"/>
          <w:highlight w:val="none"/>
          <w:lang w:bidi="ar"/>
        </w:rPr>
        <w:t>每</w:t>
      </w:r>
      <w:r>
        <w:rPr>
          <w:rFonts w:hint="eastAsia" w:asciiTheme="majorEastAsia" w:hAnsiTheme="majorEastAsia" w:eastAsiaTheme="majorEastAsia" w:cstheme="majorEastAsia"/>
          <w:bCs/>
          <w:color w:val="auto"/>
          <w:kern w:val="0"/>
          <w:position w:val="-10"/>
          <w:sz w:val="24"/>
          <w:szCs w:val="24"/>
          <w:highlight w:val="none"/>
          <w:lang w:eastAsia="zh-CN" w:bidi="ar"/>
        </w:rPr>
        <w:t>批次</w:t>
      </w:r>
      <w:r>
        <w:rPr>
          <w:rFonts w:hint="eastAsia" w:asciiTheme="majorEastAsia" w:hAnsiTheme="majorEastAsia" w:eastAsiaTheme="majorEastAsia" w:cstheme="majorEastAsia"/>
          <w:bCs/>
          <w:color w:val="auto"/>
          <w:kern w:val="0"/>
          <w:position w:val="-10"/>
          <w:sz w:val="24"/>
          <w:szCs w:val="24"/>
          <w:highlight w:val="none"/>
          <w:lang w:val="en-US" w:eastAsia="zh-CN" w:bidi="ar"/>
        </w:rPr>
        <w:t>门及窗框安装完成（</w:t>
      </w:r>
      <w:r>
        <w:rPr>
          <w:rFonts w:hint="eastAsia" w:asciiTheme="majorEastAsia" w:hAnsiTheme="majorEastAsia" w:eastAsiaTheme="majorEastAsia" w:cstheme="majorEastAsia"/>
          <w:b w:val="0"/>
          <w:bCs/>
          <w:color w:val="auto"/>
          <w:kern w:val="0"/>
          <w:position w:val="-10"/>
          <w:sz w:val="24"/>
          <w:szCs w:val="24"/>
          <w:highlight w:val="none"/>
          <w:lang w:val="en-US" w:eastAsia="zh-CN" w:bidi="ar"/>
        </w:rPr>
        <w:t>不含施工洞口及不具备工作面部位</w:t>
      </w:r>
      <w:r>
        <w:rPr>
          <w:rFonts w:hint="eastAsia" w:asciiTheme="majorEastAsia" w:hAnsiTheme="majorEastAsia" w:eastAsiaTheme="majorEastAsia" w:cstheme="majorEastAsia"/>
          <w:bCs/>
          <w:color w:val="auto"/>
          <w:kern w:val="0"/>
          <w:position w:val="-10"/>
          <w:sz w:val="24"/>
          <w:szCs w:val="24"/>
          <w:highlight w:val="none"/>
          <w:lang w:val="en-US" w:eastAsia="zh-CN" w:bidi="ar"/>
        </w:rPr>
        <w:t>）并经甲方、监理验收合格后，支付至已完工程对应门窗总造价的40%；</w:t>
      </w:r>
    </w:p>
    <w:p w14:paraId="1E195742">
      <w:pPr>
        <w:numPr>
          <w:ilvl w:val="0"/>
          <w:numId w:val="0"/>
        </w:num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val="en-US" w:eastAsia="zh-CN" w:bidi="ar"/>
        </w:rPr>
      </w:pPr>
      <w:r>
        <w:rPr>
          <w:rFonts w:hint="eastAsia" w:asciiTheme="majorEastAsia" w:hAnsiTheme="majorEastAsia" w:eastAsiaTheme="majorEastAsia" w:cstheme="majorEastAsia"/>
          <w:bCs/>
          <w:color w:val="auto"/>
          <w:kern w:val="0"/>
          <w:position w:val="-10"/>
          <w:sz w:val="24"/>
          <w:szCs w:val="24"/>
          <w:highlight w:val="none"/>
          <w:lang w:val="en-US" w:eastAsia="zh-CN" w:bidi="ar"/>
        </w:rPr>
        <w:t>4、每批次百叶窗及采光井安装完成，支付至对应已完工程造价的80%</w:t>
      </w:r>
    </w:p>
    <w:p w14:paraId="03170F5E">
      <w:p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val="en-US" w:eastAsia="zh-CN" w:bidi="ar"/>
        </w:rPr>
      </w:pPr>
      <w:r>
        <w:rPr>
          <w:rFonts w:hint="eastAsia" w:asciiTheme="majorEastAsia" w:hAnsiTheme="majorEastAsia" w:eastAsiaTheme="majorEastAsia" w:cstheme="majorEastAsia"/>
          <w:bCs/>
          <w:color w:val="auto"/>
          <w:kern w:val="0"/>
          <w:position w:val="-10"/>
          <w:sz w:val="24"/>
          <w:szCs w:val="24"/>
          <w:highlight w:val="none"/>
          <w:lang w:val="en-US" w:eastAsia="zh-CN" w:bidi="ar"/>
        </w:rPr>
        <w:t>5、</w:t>
      </w:r>
      <w:r>
        <w:rPr>
          <w:rFonts w:hint="eastAsia" w:asciiTheme="majorEastAsia" w:hAnsiTheme="majorEastAsia" w:eastAsiaTheme="majorEastAsia" w:cstheme="majorEastAsia"/>
          <w:bCs/>
          <w:color w:val="auto"/>
          <w:kern w:val="0"/>
          <w:position w:val="-10"/>
          <w:sz w:val="24"/>
          <w:szCs w:val="24"/>
          <w:highlight w:val="none"/>
          <w:lang w:bidi="ar"/>
        </w:rPr>
        <w:t>每</w:t>
      </w:r>
      <w:r>
        <w:rPr>
          <w:rFonts w:hint="eastAsia" w:asciiTheme="majorEastAsia" w:hAnsiTheme="majorEastAsia" w:eastAsiaTheme="majorEastAsia" w:cstheme="majorEastAsia"/>
          <w:bCs/>
          <w:color w:val="auto"/>
          <w:kern w:val="0"/>
          <w:position w:val="-10"/>
          <w:sz w:val="24"/>
          <w:szCs w:val="24"/>
          <w:highlight w:val="none"/>
          <w:lang w:eastAsia="zh-CN" w:bidi="ar"/>
        </w:rPr>
        <w:t>批次</w:t>
      </w:r>
      <w:r>
        <w:rPr>
          <w:rFonts w:hint="eastAsia" w:asciiTheme="majorEastAsia" w:hAnsiTheme="majorEastAsia" w:eastAsiaTheme="majorEastAsia" w:cstheme="majorEastAsia"/>
          <w:bCs/>
          <w:color w:val="auto"/>
          <w:kern w:val="0"/>
          <w:position w:val="-10"/>
          <w:sz w:val="24"/>
          <w:szCs w:val="24"/>
          <w:highlight w:val="none"/>
          <w:lang w:val="en-US" w:eastAsia="zh-CN" w:bidi="ar"/>
        </w:rPr>
        <w:t>门及窗扇、玻璃安装完成（</w:t>
      </w:r>
      <w:r>
        <w:rPr>
          <w:rFonts w:hint="eastAsia" w:asciiTheme="majorEastAsia" w:hAnsiTheme="majorEastAsia" w:eastAsiaTheme="majorEastAsia" w:cstheme="majorEastAsia"/>
          <w:b w:val="0"/>
          <w:bCs/>
          <w:color w:val="auto"/>
          <w:kern w:val="0"/>
          <w:position w:val="-10"/>
          <w:sz w:val="24"/>
          <w:szCs w:val="24"/>
          <w:highlight w:val="none"/>
          <w:lang w:val="en-US" w:eastAsia="zh-CN" w:bidi="ar"/>
        </w:rPr>
        <w:t>不含施工洞口及不具备工作面部位</w:t>
      </w:r>
      <w:r>
        <w:rPr>
          <w:rFonts w:hint="eastAsia" w:asciiTheme="majorEastAsia" w:hAnsiTheme="majorEastAsia" w:eastAsiaTheme="majorEastAsia" w:cstheme="majorEastAsia"/>
          <w:bCs/>
          <w:color w:val="auto"/>
          <w:kern w:val="0"/>
          <w:position w:val="-10"/>
          <w:sz w:val="24"/>
          <w:szCs w:val="24"/>
          <w:highlight w:val="none"/>
          <w:lang w:val="en-US" w:eastAsia="zh-CN" w:bidi="ar"/>
        </w:rPr>
        <w:t>）并经甲方、监理验收合格后，支付至已完工程对应门窗总造价的80%；</w:t>
      </w:r>
    </w:p>
    <w:p w14:paraId="66F98933">
      <w:p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val="en-US" w:eastAsia="zh-CN" w:bidi="ar"/>
        </w:rPr>
      </w:pPr>
      <w:r>
        <w:rPr>
          <w:rFonts w:hint="eastAsia" w:asciiTheme="majorEastAsia" w:hAnsiTheme="majorEastAsia" w:eastAsiaTheme="majorEastAsia" w:cstheme="majorEastAsia"/>
          <w:bCs/>
          <w:color w:val="auto"/>
          <w:kern w:val="0"/>
          <w:position w:val="-10"/>
          <w:sz w:val="24"/>
          <w:szCs w:val="24"/>
          <w:highlight w:val="none"/>
          <w:lang w:val="en-US" w:eastAsia="zh-CN" w:bidi="ar"/>
        </w:rPr>
        <w:t>6、工程全部完工后并验收合格，乙方应向甲方提交竣工资料支付至已完工程90%；</w:t>
      </w:r>
    </w:p>
    <w:p w14:paraId="2BE6A756">
      <w:p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val="en-US" w:eastAsia="zh-CN" w:bidi="ar"/>
        </w:rPr>
      </w:pPr>
      <w:r>
        <w:rPr>
          <w:rFonts w:hint="eastAsia" w:asciiTheme="majorEastAsia" w:hAnsiTheme="majorEastAsia" w:eastAsiaTheme="majorEastAsia" w:cstheme="majorEastAsia"/>
          <w:bCs/>
          <w:color w:val="auto"/>
          <w:kern w:val="0"/>
          <w:position w:val="-10"/>
          <w:sz w:val="24"/>
          <w:szCs w:val="24"/>
          <w:highlight w:val="none"/>
          <w:lang w:val="en-US" w:eastAsia="zh-CN" w:bidi="ar"/>
        </w:rPr>
        <w:t>7、结算等所有文件并经甲方确认,办理正式竣工验收合格和配合甲方完成结算手续后付至结算金额的97%。</w:t>
      </w:r>
    </w:p>
    <w:p w14:paraId="735040C8">
      <w:pPr>
        <w:widowControl/>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rPr>
      </w:pPr>
      <w:r>
        <w:rPr>
          <w:rFonts w:hint="eastAsia" w:asciiTheme="majorEastAsia" w:hAnsiTheme="majorEastAsia" w:eastAsiaTheme="majorEastAsia" w:cstheme="majorEastAsia"/>
          <w:bCs/>
          <w:color w:val="auto"/>
          <w:kern w:val="0"/>
          <w:position w:val="-10"/>
          <w:sz w:val="24"/>
          <w:szCs w:val="24"/>
          <w:highlight w:val="none"/>
          <w:lang w:val="en-US" w:eastAsia="zh-CN" w:bidi="ar"/>
        </w:rPr>
        <w:t>8、工程剩余金额（即结算金额的3%）留为质保金。工程质保期为2年，自工程全部施工完成，并经甲方</w:t>
      </w:r>
      <w:ins w:id="9" w:author="Ms.h" w:date="2024-07-31T16:34:21Z">
        <w:r>
          <w:rPr>
            <w:rFonts w:hint="eastAsia" w:asciiTheme="majorEastAsia" w:hAnsiTheme="majorEastAsia" w:eastAsiaTheme="majorEastAsia" w:cstheme="majorEastAsia"/>
            <w:bCs/>
            <w:color w:val="auto"/>
            <w:kern w:val="0"/>
            <w:position w:val="-10"/>
            <w:sz w:val="24"/>
            <w:szCs w:val="24"/>
            <w:highlight w:val="none"/>
            <w:lang w:val="en-US" w:eastAsia="zh-CN" w:bidi="ar"/>
          </w:rPr>
          <w:t>、</w:t>
        </w:r>
      </w:ins>
      <w:ins w:id="10" w:author="Ms.h" w:date="2024-07-31T16:34:23Z">
        <w:r>
          <w:rPr>
            <w:rFonts w:hint="eastAsia" w:asciiTheme="majorEastAsia" w:hAnsiTheme="majorEastAsia" w:eastAsiaTheme="majorEastAsia" w:cstheme="majorEastAsia"/>
            <w:bCs/>
            <w:color w:val="auto"/>
            <w:kern w:val="0"/>
            <w:position w:val="-10"/>
            <w:sz w:val="24"/>
            <w:szCs w:val="24"/>
            <w:highlight w:val="none"/>
            <w:lang w:val="en-US" w:eastAsia="zh-CN" w:bidi="ar"/>
          </w:rPr>
          <w:t>监理</w:t>
        </w:r>
      </w:ins>
      <w:ins w:id="11" w:author="Ms.h" w:date="2024-07-31T16:34:24Z">
        <w:r>
          <w:rPr>
            <w:rFonts w:hint="eastAsia" w:asciiTheme="majorEastAsia" w:hAnsiTheme="majorEastAsia" w:eastAsiaTheme="majorEastAsia" w:cstheme="majorEastAsia"/>
            <w:bCs/>
            <w:color w:val="auto"/>
            <w:kern w:val="0"/>
            <w:position w:val="-10"/>
            <w:sz w:val="24"/>
            <w:szCs w:val="24"/>
            <w:highlight w:val="none"/>
            <w:lang w:val="en-US" w:eastAsia="zh-CN" w:bidi="ar"/>
          </w:rPr>
          <w:t>及</w:t>
        </w:r>
      </w:ins>
      <w:ins w:id="12" w:author="Ms.h" w:date="2024-07-31T16:34:28Z">
        <w:r>
          <w:rPr>
            <w:rFonts w:hint="eastAsia" w:asciiTheme="majorEastAsia" w:hAnsiTheme="majorEastAsia" w:eastAsiaTheme="majorEastAsia" w:cstheme="majorEastAsia"/>
            <w:bCs/>
            <w:color w:val="auto"/>
            <w:kern w:val="0"/>
            <w:position w:val="-10"/>
            <w:sz w:val="24"/>
            <w:szCs w:val="24"/>
            <w:highlight w:val="none"/>
            <w:lang w:val="en-US" w:eastAsia="zh-CN" w:bidi="ar"/>
          </w:rPr>
          <w:t>相关</w:t>
        </w:r>
      </w:ins>
      <w:ins w:id="13" w:author="Ms.h" w:date="2024-07-31T16:34:29Z">
        <w:r>
          <w:rPr>
            <w:rFonts w:hint="eastAsia" w:asciiTheme="majorEastAsia" w:hAnsiTheme="majorEastAsia" w:eastAsiaTheme="majorEastAsia" w:cstheme="majorEastAsia"/>
            <w:bCs/>
            <w:color w:val="auto"/>
            <w:kern w:val="0"/>
            <w:position w:val="-10"/>
            <w:sz w:val="24"/>
            <w:szCs w:val="24"/>
            <w:highlight w:val="none"/>
            <w:lang w:val="en-US" w:eastAsia="zh-CN" w:bidi="ar"/>
          </w:rPr>
          <w:t>部门</w:t>
        </w:r>
      </w:ins>
      <w:r>
        <w:rPr>
          <w:rFonts w:hint="eastAsia" w:asciiTheme="majorEastAsia" w:hAnsiTheme="majorEastAsia" w:eastAsiaTheme="majorEastAsia" w:cstheme="majorEastAsia"/>
          <w:bCs/>
          <w:color w:val="auto"/>
          <w:kern w:val="0"/>
          <w:position w:val="-10"/>
          <w:sz w:val="24"/>
          <w:szCs w:val="24"/>
          <w:highlight w:val="none"/>
          <w:lang w:val="en-US" w:eastAsia="zh-CN" w:bidi="ar"/>
        </w:rPr>
        <w:t>验收合格之日起开始计算。</w:t>
      </w:r>
      <w:r>
        <w:rPr>
          <w:rFonts w:hint="eastAsia" w:asciiTheme="majorEastAsia" w:hAnsiTheme="majorEastAsia" w:eastAsiaTheme="majorEastAsia" w:cstheme="majorEastAsia"/>
          <w:bCs/>
          <w:color w:val="auto"/>
          <w:kern w:val="0"/>
          <w:position w:val="-10"/>
          <w:sz w:val="24"/>
          <w:szCs w:val="24"/>
          <w:highlight w:val="none"/>
        </w:rPr>
        <w:t>质保期满且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w:t>
      </w:r>
    </w:p>
    <w:p w14:paraId="34565C4A">
      <w:pPr>
        <w:spacing w:line="360" w:lineRule="auto"/>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、每次付款前及/或选择以工抵方式支付的，乙方应按甲方要求出具合法有效的增值税专用发票。</w:t>
      </w:r>
      <w:ins w:id="14" w:author="Ms.h" w:date="2024-07-31T16:34:45Z">
        <w:r>
          <w:rPr>
            <w:rFonts w:hint="eastAsia" w:asciiTheme="majorEastAsia" w:hAnsiTheme="majorEastAsia" w:eastAsiaTheme="majorEastAsia" w:cstheme="majorEastAsia"/>
            <w:color w:val="auto"/>
            <w:sz w:val="24"/>
            <w:szCs w:val="24"/>
            <w:highlight w:val="none"/>
            <w:lang w:val="en-US" w:eastAsia="zh-CN"/>
          </w:rPr>
          <w:t>乙方</w:t>
        </w:r>
      </w:ins>
      <w:ins w:id="15" w:author="Ms.h" w:date="2024-07-31T16:34:46Z">
        <w:r>
          <w:rPr>
            <w:rFonts w:hint="eastAsia" w:asciiTheme="majorEastAsia" w:hAnsiTheme="majorEastAsia" w:eastAsiaTheme="majorEastAsia" w:cstheme="majorEastAsia"/>
            <w:color w:val="auto"/>
            <w:sz w:val="24"/>
            <w:szCs w:val="24"/>
            <w:highlight w:val="none"/>
            <w:lang w:val="en-US" w:eastAsia="zh-CN"/>
          </w:rPr>
          <w:t>延期</w:t>
        </w:r>
      </w:ins>
      <w:ins w:id="16" w:author="Ms.h" w:date="2024-07-31T16:34:47Z">
        <w:r>
          <w:rPr>
            <w:rFonts w:hint="eastAsia" w:asciiTheme="majorEastAsia" w:hAnsiTheme="majorEastAsia" w:eastAsiaTheme="majorEastAsia" w:cstheme="majorEastAsia"/>
            <w:color w:val="auto"/>
            <w:sz w:val="24"/>
            <w:szCs w:val="24"/>
            <w:highlight w:val="none"/>
            <w:lang w:val="en-US" w:eastAsia="zh-CN"/>
          </w:rPr>
          <w:t>开具</w:t>
        </w:r>
      </w:ins>
      <w:ins w:id="17" w:author="Ms.h" w:date="2024-07-31T16:34:48Z">
        <w:r>
          <w:rPr>
            <w:rFonts w:hint="eastAsia" w:asciiTheme="majorEastAsia" w:hAnsiTheme="majorEastAsia" w:eastAsiaTheme="majorEastAsia" w:cstheme="majorEastAsia"/>
            <w:color w:val="auto"/>
            <w:sz w:val="24"/>
            <w:szCs w:val="24"/>
            <w:highlight w:val="none"/>
            <w:lang w:val="en-US" w:eastAsia="zh-CN"/>
          </w:rPr>
          <w:t>发票或</w:t>
        </w:r>
      </w:ins>
      <w:ins w:id="18" w:author="Ms.h" w:date="2024-07-31T16:34:49Z">
        <w:r>
          <w:rPr>
            <w:rFonts w:hint="eastAsia" w:asciiTheme="majorEastAsia" w:hAnsiTheme="majorEastAsia" w:eastAsiaTheme="majorEastAsia" w:cstheme="majorEastAsia"/>
            <w:color w:val="auto"/>
            <w:sz w:val="24"/>
            <w:szCs w:val="24"/>
            <w:highlight w:val="none"/>
            <w:lang w:val="en-US" w:eastAsia="zh-CN"/>
          </w:rPr>
          <w:t>开具的</w:t>
        </w:r>
      </w:ins>
      <w:ins w:id="19" w:author="Ms.h" w:date="2024-07-31T16:34:50Z">
        <w:r>
          <w:rPr>
            <w:rFonts w:hint="eastAsia" w:asciiTheme="majorEastAsia" w:hAnsiTheme="majorEastAsia" w:eastAsiaTheme="majorEastAsia" w:cstheme="majorEastAsia"/>
            <w:color w:val="auto"/>
            <w:sz w:val="24"/>
            <w:szCs w:val="24"/>
            <w:highlight w:val="none"/>
            <w:lang w:val="en-US" w:eastAsia="zh-CN"/>
          </w:rPr>
          <w:t>发票</w:t>
        </w:r>
      </w:ins>
      <w:ins w:id="20" w:author="Ms.h" w:date="2024-07-31T16:34:52Z">
        <w:r>
          <w:rPr>
            <w:rFonts w:hint="eastAsia" w:asciiTheme="majorEastAsia" w:hAnsiTheme="majorEastAsia" w:eastAsiaTheme="majorEastAsia" w:cstheme="majorEastAsia"/>
            <w:color w:val="auto"/>
            <w:sz w:val="24"/>
            <w:szCs w:val="24"/>
            <w:highlight w:val="none"/>
            <w:lang w:val="en-US" w:eastAsia="zh-CN"/>
          </w:rPr>
          <w:t>有瑕疵，</w:t>
        </w:r>
      </w:ins>
      <w:ins w:id="21" w:author="Ms.h" w:date="2024-07-31T16:34:53Z">
        <w:r>
          <w:rPr>
            <w:rFonts w:hint="eastAsia" w:asciiTheme="majorEastAsia" w:hAnsiTheme="majorEastAsia" w:eastAsiaTheme="majorEastAsia" w:cstheme="majorEastAsia"/>
            <w:color w:val="auto"/>
            <w:sz w:val="24"/>
            <w:szCs w:val="24"/>
            <w:highlight w:val="none"/>
            <w:lang w:val="en-US" w:eastAsia="zh-CN"/>
          </w:rPr>
          <w:t>甲方可</w:t>
        </w:r>
      </w:ins>
      <w:ins w:id="22" w:author="Ms.h" w:date="2024-07-31T16:34:55Z">
        <w:r>
          <w:rPr>
            <w:rFonts w:hint="eastAsia" w:asciiTheme="majorEastAsia" w:hAnsiTheme="majorEastAsia" w:eastAsiaTheme="majorEastAsia" w:cstheme="majorEastAsia"/>
            <w:color w:val="auto"/>
            <w:sz w:val="24"/>
            <w:szCs w:val="24"/>
            <w:highlight w:val="none"/>
            <w:lang w:val="en-US" w:eastAsia="zh-CN"/>
          </w:rPr>
          <w:t>延迟付款</w:t>
        </w:r>
      </w:ins>
      <w:ins w:id="23" w:author="Ms.h" w:date="2024-07-31T16:34:56Z">
        <w:r>
          <w:rPr>
            <w:rFonts w:hint="eastAsia" w:asciiTheme="majorEastAsia" w:hAnsiTheme="majorEastAsia" w:eastAsiaTheme="majorEastAsia" w:cstheme="majorEastAsia"/>
            <w:color w:val="auto"/>
            <w:sz w:val="24"/>
            <w:szCs w:val="24"/>
            <w:highlight w:val="none"/>
            <w:lang w:val="en-US" w:eastAsia="zh-CN"/>
          </w:rPr>
          <w:t>且</w:t>
        </w:r>
      </w:ins>
      <w:ins w:id="24" w:author="Ms.h" w:date="2024-07-31T16:34:58Z">
        <w:r>
          <w:rPr>
            <w:rFonts w:hint="eastAsia" w:asciiTheme="majorEastAsia" w:hAnsiTheme="majorEastAsia" w:eastAsiaTheme="majorEastAsia" w:cstheme="majorEastAsia"/>
            <w:color w:val="auto"/>
            <w:sz w:val="24"/>
            <w:szCs w:val="24"/>
            <w:highlight w:val="none"/>
            <w:lang w:val="en-US" w:eastAsia="zh-CN"/>
          </w:rPr>
          <w:t>不视为</w:t>
        </w:r>
      </w:ins>
      <w:ins w:id="25" w:author="Ms.h" w:date="2024-07-31T16:34:59Z">
        <w:r>
          <w:rPr>
            <w:rFonts w:hint="eastAsia" w:asciiTheme="majorEastAsia" w:hAnsiTheme="majorEastAsia" w:eastAsiaTheme="majorEastAsia" w:cstheme="majorEastAsia"/>
            <w:color w:val="auto"/>
            <w:sz w:val="24"/>
            <w:szCs w:val="24"/>
            <w:highlight w:val="none"/>
            <w:lang w:val="en-US" w:eastAsia="zh-CN"/>
          </w:rPr>
          <w:t>违约</w:t>
        </w:r>
      </w:ins>
      <w:ins w:id="26" w:author="Ms.h" w:date="2024-07-31T16:35:00Z">
        <w:r>
          <w:rPr>
            <w:rFonts w:hint="eastAsia" w:asciiTheme="majorEastAsia" w:hAnsiTheme="majorEastAsia" w:eastAsiaTheme="majorEastAsia" w:cstheme="majorEastAsia"/>
            <w:color w:val="auto"/>
            <w:sz w:val="24"/>
            <w:szCs w:val="24"/>
            <w:highlight w:val="none"/>
            <w:lang w:val="en-US" w:eastAsia="zh-CN"/>
          </w:rPr>
          <w:t>。</w:t>
        </w:r>
      </w:ins>
      <w:r>
        <w:rPr>
          <w:rFonts w:hint="eastAsia" w:asciiTheme="majorEastAsia" w:hAnsiTheme="majorEastAsia" w:eastAsiaTheme="majorEastAsia" w:cstheme="majorEastAsia"/>
          <w:color w:val="auto"/>
          <w:sz w:val="24"/>
          <w:szCs w:val="24"/>
          <w:highlight w:val="none"/>
        </w:rPr>
        <w:t>当甲方向乙方累计支付款项至本合同结算价款的97％时，乙方须向甲方开具结算价款100％的合法有效的增值税专用发票，否则甲方除扣留质保金外，还有权延迟支付该批次工程款且不视为违约。乙方应在开票之后5个工作日内将发票送达甲方，甲方签收发票的日期为发票的送达日期。</w:t>
      </w:r>
      <w:r>
        <w:rPr>
          <w:rFonts w:hint="eastAsia" w:asciiTheme="majorEastAsia" w:hAnsiTheme="majorEastAsia" w:eastAsiaTheme="majorEastAsia" w:cstheme="majorEastAsia"/>
          <w:color w:val="auto"/>
          <w:sz w:val="24"/>
          <w:szCs w:val="24"/>
          <w:highlight w:val="none"/>
        </w:rPr>
        <w:tab/>
      </w:r>
    </w:p>
    <w:p w14:paraId="3D8F96A4">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1C0C28D6">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、对发票不合规的约定：</w:t>
      </w:r>
    </w:p>
    <w:p w14:paraId="0518EAE1">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.1、乙方提供的发票为增值税专用发票的，因乙方迟延送达、开具错误等原因导致其提供的增值税专用发票没有通过税务部门认证，造成甲方不能抵扣的，甲方有权拒绝接收。</w:t>
      </w:r>
    </w:p>
    <w:p w14:paraId="2B333004">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2、乙方开具虚假、作废（因正常业务需要作废发票，乙方不需要承担责任；如乙方提供作废发票未告知甲方由甲方或其他部门人发现的，要求重新开具并要承担责任）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2038A3FD">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12</w:t>
      </w:r>
      <w:r>
        <w:rPr>
          <w:rFonts w:hint="eastAsia" w:asciiTheme="majorEastAsia" w:hAnsiTheme="majorEastAsia" w:eastAsiaTheme="majorEastAsia" w:cstheme="majorEastAsia"/>
          <w:color w:val="auto"/>
          <w:sz w:val="24"/>
          <w:szCs w:val="24"/>
          <w:highlight w:val="none"/>
        </w:rPr>
        <w:t>、其他税务风险的合同约定：</w:t>
      </w:r>
    </w:p>
    <w:p w14:paraId="656E3A29">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12</w:t>
      </w:r>
      <w:r>
        <w:rPr>
          <w:rFonts w:hint="eastAsia" w:asciiTheme="majorEastAsia" w:hAnsiTheme="majorEastAsia" w:eastAsiaTheme="majorEastAsia" w:cstheme="majorEastAsia"/>
          <w:color w:val="auto"/>
          <w:sz w:val="24"/>
          <w:szCs w:val="24"/>
          <w:highlight w:val="none"/>
        </w:rPr>
        <w:t>.1、如果甲方丢失增值税专用发票联和抵扣联，乙方应向甲方提供专用发票记账联复印件，并加盖乙方发票专用章。如因甲方丢失发票原因导致乙方被税务机关处罚的，甲方应承担由此产生的后果及费用。</w:t>
      </w:r>
    </w:p>
    <w:p w14:paraId="3C501362">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12</w:t>
      </w:r>
      <w:r>
        <w:rPr>
          <w:rFonts w:hint="eastAsia" w:asciiTheme="majorEastAsia" w:hAnsiTheme="majorEastAsia" w:eastAsiaTheme="majorEastAsia" w:cstheme="majorEastAsia"/>
          <w:color w:val="auto"/>
          <w:sz w:val="24"/>
          <w:szCs w:val="24"/>
          <w:highlight w:val="none"/>
        </w:rPr>
        <w:t>.2、如果获得开具的汇总专用发票，则乙方应提供其防伪税控系统开具的《销售货物或者提供应税劳务清单》，并加盖发票专用章。</w:t>
      </w:r>
    </w:p>
    <w:p w14:paraId="3A23DFB6">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13</w:t>
      </w:r>
      <w:r>
        <w:rPr>
          <w:rFonts w:hint="eastAsia" w:asciiTheme="majorEastAsia" w:hAnsiTheme="majorEastAsia" w:eastAsiaTheme="majorEastAsia" w:cstheme="majorEastAsia"/>
          <w:color w:val="auto"/>
          <w:sz w:val="24"/>
          <w:szCs w:val="24"/>
          <w:highlight w:val="none"/>
        </w:rPr>
        <w:t>、真实发生且合理合规的设计变更、现场签证事项，在按甲方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14:paraId="55AD4E61">
      <w:pPr>
        <w:widowControl/>
        <w:spacing w:line="500" w:lineRule="exac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七</w:t>
      </w:r>
      <w:r>
        <w:rPr>
          <w:rFonts w:hint="eastAsia" w:asciiTheme="majorEastAsia" w:hAnsiTheme="majorEastAsia" w:eastAsiaTheme="majorEastAsia" w:cstheme="majorEastAsia"/>
          <w:b/>
          <w:bCs/>
          <w:color w:val="auto"/>
          <w:sz w:val="24"/>
          <w:szCs w:val="24"/>
          <w:highlight w:val="none"/>
        </w:rPr>
        <w:t>、技术质量要求</w:t>
      </w:r>
    </w:p>
    <w:p w14:paraId="13BAEB00">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门窗</w:t>
      </w:r>
      <w:r>
        <w:rPr>
          <w:rFonts w:hint="eastAsia" w:asciiTheme="majorEastAsia" w:hAnsiTheme="majorEastAsia" w:eastAsiaTheme="majorEastAsia" w:cstheme="majorEastAsia"/>
          <w:color w:val="auto"/>
          <w:sz w:val="24"/>
          <w:szCs w:val="24"/>
          <w:highlight w:val="none"/>
        </w:rPr>
        <w:t>执行施工及验收规范</w:t>
      </w:r>
    </w:p>
    <w:p w14:paraId="31E2031C">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应符合现行国家、行业及地方等相关技术标准及规范</w:t>
      </w:r>
    </w:p>
    <w:p w14:paraId="73B3E727">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2、主要材料品牌要求</w:t>
      </w:r>
    </w:p>
    <w:p w14:paraId="56F3E15C">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2.1型材选用：选用(品牌及要求)    </w:t>
      </w:r>
    </w:p>
    <w:p w14:paraId="251CC3BF">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2.2玻璃原片：选用(品牌及要求)</w:t>
      </w:r>
    </w:p>
    <w:p w14:paraId="2325607F">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2.3五金配件：采用(品牌及要求)</w:t>
      </w:r>
    </w:p>
    <w:p w14:paraId="5F831001">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2.4密封胶：采用(品牌及要求)</w:t>
      </w:r>
    </w:p>
    <w:p w14:paraId="2F9E1167">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2.5发泡胶：采用(品牌及要求)</w:t>
      </w:r>
    </w:p>
    <w:p w14:paraId="74FEA325">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2.6密封胶条：选用(品牌及要求)</w:t>
      </w:r>
    </w:p>
    <w:tbl>
      <w:tblPr>
        <w:tblStyle w:val="19"/>
        <w:tblpPr w:leftFromText="180" w:rightFromText="180" w:vertAnchor="text" w:horzAnchor="page" w:tblpX="1069" w:tblpY="483"/>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053"/>
        <w:gridCol w:w="5736"/>
      </w:tblGrid>
      <w:tr w14:paraId="2C14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4" w:type="dxa"/>
            <w:vAlign w:val="center"/>
          </w:tcPr>
          <w:p w14:paraId="3EBC8DD8">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序号</w:t>
            </w:r>
          </w:p>
        </w:tc>
        <w:tc>
          <w:tcPr>
            <w:tcW w:w="3053" w:type="dxa"/>
            <w:vAlign w:val="center"/>
          </w:tcPr>
          <w:p w14:paraId="5FDCB000">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材料名称</w:t>
            </w:r>
          </w:p>
        </w:tc>
        <w:tc>
          <w:tcPr>
            <w:tcW w:w="5736" w:type="dxa"/>
            <w:vAlign w:val="center"/>
          </w:tcPr>
          <w:p w14:paraId="4870202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品牌或产地</w:t>
            </w:r>
          </w:p>
        </w:tc>
      </w:tr>
      <w:tr w14:paraId="5C38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24" w:type="dxa"/>
            <w:vAlign w:val="center"/>
          </w:tcPr>
          <w:p w14:paraId="0D1A6D72">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p>
        </w:tc>
        <w:tc>
          <w:tcPr>
            <w:tcW w:w="3053" w:type="dxa"/>
            <w:vAlign w:val="center"/>
          </w:tcPr>
          <w:p w14:paraId="2BF27467">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型材（国产尼龙隔热条）</w:t>
            </w:r>
          </w:p>
        </w:tc>
        <w:tc>
          <w:tcPr>
            <w:tcW w:w="5736" w:type="dxa"/>
            <w:vAlign w:val="center"/>
          </w:tcPr>
          <w:p w14:paraId="25EDDDF2">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兴发、南山、凤铝</w:t>
            </w:r>
          </w:p>
        </w:tc>
      </w:tr>
      <w:tr w14:paraId="20F1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3F6678BE">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w:t>
            </w:r>
          </w:p>
        </w:tc>
        <w:tc>
          <w:tcPr>
            <w:tcW w:w="3053" w:type="dxa"/>
            <w:vAlign w:val="center"/>
          </w:tcPr>
          <w:p w14:paraId="4259400B">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玻璃</w:t>
            </w:r>
            <w:r>
              <w:rPr>
                <w:rFonts w:hint="eastAsia" w:asciiTheme="majorEastAsia" w:hAnsiTheme="majorEastAsia" w:eastAsiaTheme="majorEastAsia" w:cstheme="majorEastAsia"/>
                <w:color w:val="auto"/>
                <w:sz w:val="24"/>
                <w:szCs w:val="24"/>
                <w:highlight w:val="none"/>
                <w:lang w:eastAsia="zh-CN"/>
              </w:rPr>
              <w:t>原片</w:t>
            </w:r>
          </w:p>
        </w:tc>
        <w:tc>
          <w:tcPr>
            <w:tcW w:w="5736" w:type="dxa"/>
            <w:vAlign w:val="center"/>
          </w:tcPr>
          <w:p w14:paraId="1837F26D">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北玻</w:t>
            </w:r>
            <w:r>
              <w:rPr>
                <w:rFonts w:hint="eastAsia" w:asciiTheme="majorEastAsia" w:hAnsiTheme="majorEastAsia" w:eastAsiaTheme="majorEastAsia" w:cstheme="majorEastAsia"/>
                <w:color w:val="auto"/>
                <w:sz w:val="24"/>
                <w:szCs w:val="24"/>
                <w:highlight w:val="none"/>
                <w:lang w:eastAsia="zh-CN"/>
              </w:rPr>
              <w:t>、南玻、信义</w:t>
            </w:r>
          </w:p>
        </w:tc>
      </w:tr>
      <w:tr w14:paraId="723A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05E3D14C">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w:t>
            </w:r>
          </w:p>
        </w:tc>
        <w:tc>
          <w:tcPr>
            <w:tcW w:w="3053" w:type="dxa"/>
            <w:vAlign w:val="center"/>
          </w:tcPr>
          <w:p w14:paraId="45032FC2">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五金配件</w:t>
            </w:r>
          </w:p>
        </w:tc>
        <w:tc>
          <w:tcPr>
            <w:tcW w:w="5736" w:type="dxa"/>
            <w:vAlign w:val="center"/>
          </w:tcPr>
          <w:p w14:paraId="16823284">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坚朗、国强</w:t>
            </w:r>
          </w:p>
        </w:tc>
      </w:tr>
      <w:tr w14:paraId="230A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38750B9A">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w:t>
            </w:r>
          </w:p>
        </w:tc>
        <w:tc>
          <w:tcPr>
            <w:tcW w:w="3053" w:type="dxa"/>
            <w:vAlign w:val="center"/>
          </w:tcPr>
          <w:p w14:paraId="177941A5">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密封胶</w:t>
            </w:r>
          </w:p>
        </w:tc>
        <w:tc>
          <w:tcPr>
            <w:tcW w:w="5736" w:type="dxa"/>
            <w:vAlign w:val="center"/>
          </w:tcPr>
          <w:p w14:paraId="6B2A5D0F">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广州白云、之江、成都硅宝</w:t>
            </w:r>
            <w:r>
              <w:rPr>
                <w:rFonts w:hint="eastAsia" w:asciiTheme="majorEastAsia" w:hAnsiTheme="majorEastAsia" w:eastAsiaTheme="majorEastAsia" w:cstheme="majorEastAsia"/>
                <w:color w:val="auto"/>
                <w:sz w:val="24"/>
                <w:szCs w:val="24"/>
                <w:highlight w:val="none"/>
                <w:lang w:eastAsia="zh-CN"/>
              </w:rPr>
              <w:t>及同等品牌</w:t>
            </w:r>
          </w:p>
        </w:tc>
      </w:tr>
      <w:tr w14:paraId="646F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1C823D30">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w:t>
            </w:r>
          </w:p>
        </w:tc>
        <w:tc>
          <w:tcPr>
            <w:tcW w:w="3053" w:type="dxa"/>
            <w:vAlign w:val="center"/>
          </w:tcPr>
          <w:p w14:paraId="419FF353">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发泡胶</w:t>
            </w:r>
          </w:p>
        </w:tc>
        <w:tc>
          <w:tcPr>
            <w:tcW w:w="5736" w:type="dxa"/>
            <w:vAlign w:val="center"/>
          </w:tcPr>
          <w:p w14:paraId="02FF2D8E">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北京斯科瑞、中天氟硅、广州安泰</w:t>
            </w:r>
            <w:r>
              <w:rPr>
                <w:rFonts w:hint="eastAsia" w:asciiTheme="majorEastAsia" w:hAnsiTheme="majorEastAsia" w:eastAsiaTheme="majorEastAsia" w:cstheme="majorEastAsia"/>
                <w:color w:val="auto"/>
                <w:sz w:val="24"/>
                <w:szCs w:val="24"/>
                <w:highlight w:val="none"/>
                <w:lang w:eastAsia="zh-CN"/>
              </w:rPr>
              <w:t>及同等品牌</w:t>
            </w:r>
          </w:p>
        </w:tc>
      </w:tr>
      <w:tr w14:paraId="4FAC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4088CD7A">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w:t>
            </w:r>
          </w:p>
        </w:tc>
        <w:tc>
          <w:tcPr>
            <w:tcW w:w="3053" w:type="dxa"/>
            <w:vAlign w:val="center"/>
          </w:tcPr>
          <w:p w14:paraId="5A73607F">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密封胶条</w:t>
            </w:r>
          </w:p>
        </w:tc>
        <w:tc>
          <w:tcPr>
            <w:tcW w:w="5736" w:type="dxa"/>
            <w:vAlign w:val="center"/>
          </w:tcPr>
          <w:p w14:paraId="1C4E4426">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浙江新安东、江阴海达、开封龙亭</w:t>
            </w:r>
            <w:r>
              <w:rPr>
                <w:rFonts w:hint="eastAsia" w:asciiTheme="majorEastAsia" w:hAnsiTheme="majorEastAsia" w:eastAsiaTheme="majorEastAsia" w:cstheme="majorEastAsia"/>
                <w:color w:val="auto"/>
                <w:sz w:val="24"/>
                <w:szCs w:val="24"/>
                <w:highlight w:val="none"/>
                <w:lang w:eastAsia="zh-CN"/>
              </w:rPr>
              <w:t>及同等品牌</w:t>
            </w:r>
          </w:p>
        </w:tc>
      </w:tr>
    </w:tbl>
    <w:p w14:paraId="1A545A02">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2.7隐形纱窗：</w:t>
      </w:r>
      <w:r>
        <w:rPr>
          <w:rFonts w:hint="eastAsia" w:asciiTheme="majorEastAsia" w:hAnsiTheme="majorEastAsia" w:eastAsiaTheme="majorEastAsia" w:cstheme="majorEastAsia"/>
          <w:color w:val="auto"/>
          <w:sz w:val="24"/>
          <w:szCs w:val="24"/>
          <w:highlight w:val="none"/>
          <w:lang w:eastAsia="zh-CN"/>
        </w:rPr>
        <w:t>无</w:t>
      </w:r>
    </w:p>
    <w:p w14:paraId="660A7400">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3、玻璃技术要求</w:t>
      </w:r>
    </w:p>
    <w:p w14:paraId="3D2DC563">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3.1工程所采用的各种玻璃（钢化玻璃、中空玻璃</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low_e玻璃</w:t>
      </w:r>
      <w:r>
        <w:rPr>
          <w:rFonts w:hint="eastAsia" w:asciiTheme="majorEastAsia" w:hAnsiTheme="majorEastAsia" w:eastAsiaTheme="majorEastAsia" w:cstheme="majorEastAsia"/>
          <w:color w:val="auto"/>
          <w:sz w:val="24"/>
          <w:szCs w:val="24"/>
          <w:highlight w:val="none"/>
        </w:rPr>
        <w:t>）其外观质量及相关性能必须符合国家及当地现行标准。钢化玻璃必须在任意一角可视位置标注3C标志。</w:t>
      </w:r>
    </w:p>
    <w:p w14:paraId="088C0830">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3.2安全玻璃：玻璃是否采用安全玻璃应按照部位、设计图纸、材料结构计算和规范要求确定，钢化玻璃为双面钢化。如有防火要求，必须达到国家、地方规范要求的耐火极限；</w:t>
      </w:r>
    </w:p>
    <w:p w14:paraId="1EF82035">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3.3中空玻璃符合国家标准“GB/T11944—2012”的规定;单层玻璃符合国家标准“JGJ113-2009”的规定;</w:t>
      </w:r>
    </w:p>
    <w:p w14:paraId="520C020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3.4玻璃厚度及其他特殊要求详见甲方审核批准的设计图纸要求</w:t>
      </w:r>
      <w:r>
        <w:rPr>
          <w:rFonts w:hint="eastAsia" w:asciiTheme="majorEastAsia" w:hAnsiTheme="majorEastAsia" w:eastAsiaTheme="majorEastAsia" w:cstheme="majorEastAsia"/>
          <w:color w:val="auto"/>
          <w:sz w:val="24"/>
          <w:szCs w:val="24"/>
          <w:highlight w:val="none"/>
          <w:lang w:eastAsia="zh-CN"/>
        </w:rPr>
        <w:t>，具体</w:t>
      </w:r>
      <w:r>
        <w:rPr>
          <w:rFonts w:hint="eastAsia" w:asciiTheme="majorEastAsia" w:hAnsiTheme="majorEastAsia" w:eastAsiaTheme="majorEastAsia" w:cstheme="majorEastAsia"/>
          <w:color w:val="auto"/>
          <w:sz w:val="24"/>
          <w:szCs w:val="24"/>
          <w:highlight w:val="none"/>
        </w:rPr>
        <w:t>以甲方审核封样样品为准</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品种、性能指标</w:t>
      </w:r>
      <w:r>
        <w:rPr>
          <w:rFonts w:hint="eastAsia" w:asciiTheme="majorEastAsia" w:hAnsiTheme="majorEastAsia" w:eastAsiaTheme="majorEastAsia" w:cstheme="majorEastAsia"/>
          <w:color w:val="auto"/>
          <w:sz w:val="24"/>
          <w:szCs w:val="24"/>
          <w:highlight w:val="none"/>
          <w:lang w:val="en-US" w:eastAsia="zh-CN"/>
        </w:rPr>
        <w:t>满足施工图纸等相关规范技术要求</w:t>
      </w:r>
      <w:r>
        <w:rPr>
          <w:rFonts w:hint="eastAsia" w:asciiTheme="majorEastAsia" w:hAnsiTheme="majorEastAsia" w:eastAsiaTheme="majorEastAsia" w:cstheme="majorEastAsia"/>
          <w:color w:val="auto"/>
          <w:sz w:val="24"/>
          <w:szCs w:val="24"/>
          <w:highlight w:val="none"/>
        </w:rPr>
        <w:t>。不同部位的玻璃使用必须符合设计图纸、建筑玻璃应用技术规范（JGJ113-2009）、建筑安全玻璃管理规定（发改运行［2003］2116号）及相关规范地方规定之要求。</w:t>
      </w:r>
    </w:p>
    <w:p w14:paraId="6FB530AB">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4、型材技术要求</w:t>
      </w:r>
    </w:p>
    <w:p w14:paraId="0AA43ED8">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4.1铝合金门窗为隔热断桥铝合金型材，型材的材质由优质铝锭加工而成,不能掺夹其它材质的材料，铝合金型材的强度、壁厚、硬度等指标应该符合国家规范GB 5237.1~6-2008（2012）的要求。如有防火要求，必须达到现行国家、地方要求的耐火极限。</w:t>
      </w:r>
    </w:p>
    <w:p w14:paraId="6886B555">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4.2铝型材表面处理采用静电粉末喷涂，最薄处不小于40μm，具体颜色及表面效果详见甲方已确认的材料样板。</w:t>
      </w:r>
    </w:p>
    <w:p w14:paraId="2126763A">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4.3铝合金型材壁厚应符合国家规范及图纸和招标单位要求，执行按照GB/T84T8-2020《铝合金门窗》规范:其中门型材截面主要受力部位最小实测壁厚不小于2.2mm，窗型材截面主要受力部位最小实测壁厚不小于 1.8mm，门窗型材乙方提供具体参数及样品，甲方进行认样；玻璃幕墙型材厚度按设计图纸。</w:t>
      </w:r>
    </w:p>
    <w:p w14:paraId="751264A7">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4.4型材系列:隔热断桥</w:t>
      </w:r>
      <w:r>
        <w:rPr>
          <w:rFonts w:hint="eastAsia" w:asciiTheme="majorEastAsia" w:hAnsiTheme="majorEastAsia" w:eastAsiaTheme="majorEastAsia" w:cstheme="majorEastAsia"/>
          <w:color w:val="auto"/>
          <w:sz w:val="24"/>
          <w:szCs w:val="24"/>
          <w:highlight w:val="none"/>
          <w:lang w:val="en-US" w:eastAsia="zh-CN"/>
        </w:rPr>
        <w:t>铝合金</w:t>
      </w:r>
      <w:r>
        <w:rPr>
          <w:rFonts w:hint="eastAsia" w:asciiTheme="majorEastAsia" w:hAnsiTheme="majorEastAsia" w:eastAsiaTheme="majorEastAsia" w:cstheme="majorEastAsia"/>
          <w:color w:val="auto"/>
          <w:sz w:val="24"/>
          <w:szCs w:val="24"/>
          <w:highlight w:val="none"/>
        </w:rPr>
        <w:t>窗采用6</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系列</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其中阳、露台推拉门采用120系列、楼梯间</w:t>
      </w:r>
      <w:r>
        <w:rPr>
          <w:rFonts w:hint="eastAsia" w:asciiTheme="minorEastAsia" w:hAnsiTheme="minorEastAsia" w:eastAsiaTheme="minorEastAsia" w:cstheme="minorEastAsia"/>
          <w:color w:val="0000FF"/>
          <w:sz w:val="24"/>
          <w:szCs w:val="24"/>
          <w:highlight w:val="none"/>
          <w:lang w:val="en-US" w:eastAsia="zh-CN"/>
        </w:rPr>
        <w:t>推拉窗全部使用90系列推拉窗配5+9+5单银low-e钢化玻璃</w:t>
      </w:r>
      <w:del w:id="27" w:author="Ms.h" w:date="2024-07-31T16:35:20Z">
        <w:r>
          <w:rPr>
            <w:rFonts w:hint="eastAsia" w:asciiTheme="majorEastAsia" w:hAnsiTheme="majorEastAsia" w:eastAsiaTheme="majorEastAsia" w:cstheme="majorEastAsia"/>
            <w:color w:val="auto"/>
            <w:sz w:val="24"/>
            <w:szCs w:val="24"/>
            <w:highlight w:val="none"/>
          </w:rPr>
          <w:delText>，</w:delText>
        </w:r>
      </w:del>
      <w:ins w:id="28" w:author="Ms.h" w:date="2024-07-31T16:35:20Z">
        <w:r>
          <w:rPr>
            <w:rFonts w:hint="eastAsia" w:asciiTheme="majorEastAsia" w:hAnsiTheme="majorEastAsia" w:eastAsiaTheme="majorEastAsia" w:cstheme="majorEastAsia"/>
            <w:color w:val="auto"/>
            <w:sz w:val="24"/>
            <w:szCs w:val="24"/>
            <w:highlight w:val="none"/>
            <w:lang w:eastAsia="zh-CN"/>
          </w:rPr>
          <w:t>。</w:t>
        </w:r>
      </w:ins>
    </w:p>
    <w:p w14:paraId="6F7BEE51">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4.5隔热条：隔热条采用14.8mm</w:t>
      </w:r>
      <w:r>
        <w:rPr>
          <w:rFonts w:hint="eastAsia" w:asciiTheme="majorEastAsia" w:hAnsiTheme="majorEastAsia" w:eastAsiaTheme="majorEastAsia" w:cstheme="majorEastAsia"/>
          <w:color w:val="auto"/>
          <w:sz w:val="24"/>
          <w:szCs w:val="24"/>
          <w:highlight w:val="none"/>
          <w:lang w:val="en-US" w:eastAsia="zh-CN"/>
        </w:rPr>
        <w:t>-24mm</w:t>
      </w:r>
      <w:r>
        <w:rPr>
          <w:rFonts w:hint="eastAsia" w:asciiTheme="majorEastAsia" w:hAnsiTheme="majorEastAsia" w:eastAsiaTheme="majorEastAsia" w:cstheme="majorEastAsia"/>
          <w:color w:val="auto"/>
          <w:sz w:val="24"/>
          <w:szCs w:val="24"/>
          <w:highlight w:val="none"/>
        </w:rPr>
        <w:t>聚酰胺66（国产PA66）隔热条，其品质必须符合GB/T23615—2009《铝合金建筑型材用辅助材料》和EN1424—2004《隔热金属型材性能要求和测试试验》规定，统一由型材厂家穿入型材后发货。甲方不接受由门窗厂组装隔热条的型材。</w:t>
      </w:r>
    </w:p>
    <w:p w14:paraId="0E0F406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5、五金配件技术要求</w:t>
      </w:r>
    </w:p>
    <w:p w14:paraId="11C02E49">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5.1所有配件必须满足行业标准及相关规范。</w:t>
      </w:r>
    </w:p>
    <w:p w14:paraId="000C3649">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5.2两点锁或多点锁：平开门采用面板门执手及带锁芯的锁盒；推拉窗用月牙锁或手动勾锁；平开窗用两点联动锁，所有把手要求固定牢靠，锁把手表面涂层厚度要求大于60μm。锁点和锁扣采用锌合金制作，铝型材需考虑与多点锁连杆配套的欧标槽，保证型材与多点锁配套一致，启闭灵活。</w:t>
      </w:r>
    </w:p>
    <w:p w14:paraId="449204DE">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5.3铰链：外平开窗采用摩擦铰链，材质要求采用304不锈钢制作，摩擦铰链采用方槽，槽宽度一般要达到22mm；方槽不锈钢厚度为1.2mm，铰链片宽度19mm，厚度3mm，活动块与链片连接采用二点连接，方槽、活动块和链片应采用304不锈钢。上悬窗除摩擦铰链外还应根据窗扇的尺寸配风撑，开启角度及开启距离应符合规范要求。内平开窗除铰链外配固定风撑，平开门采用标准门合页（三个合页）。</w:t>
      </w:r>
    </w:p>
    <w:p w14:paraId="0355B0FA">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5.4固定螺栓、螺钉：必须为不锈钢制品</w:t>
      </w:r>
      <w:r>
        <w:rPr>
          <w:rFonts w:hint="eastAsia" w:asciiTheme="majorEastAsia" w:hAnsiTheme="majorEastAsia" w:eastAsiaTheme="majorEastAsia" w:cstheme="majorEastAsia"/>
          <w:color w:val="auto"/>
          <w:sz w:val="24"/>
          <w:szCs w:val="24"/>
          <w:highlight w:val="none"/>
          <w:lang w:eastAsia="zh-CN"/>
        </w:rPr>
        <w:t>，型材螺栓孔采用同色装饰盖封堵</w:t>
      </w:r>
      <w:r>
        <w:rPr>
          <w:rFonts w:hint="eastAsia" w:asciiTheme="majorEastAsia" w:hAnsiTheme="majorEastAsia" w:eastAsiaTheme="majorEastAsia" w:cstheme="majorEastAsia"/>
          <w:color w:val="auto"/>
          <w:sz w:val="24"/>
          <w:szCs w:val="24"/>
          <w:highlight w:val="none"/>
        </w:rPr>
        <w:t>。</w:t>
      </w:r>
    </w:p>
    <w:p w14:paraId="57FA2136">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5.5密封胶条：采用三元乙丙密封胶条</w:t>
      </w:r>
      <w:r>
        <w:rPr>
          <w:rFonts w:hint="eastAsia" w:asciiTheme="majorEastAsia" w:hAnsiTheme="majorEastAsia" w:eastAsiaTheme="majorEastAsia" w:cstheme="majorEastAsia"/>
          <w:color w:val="auto"/>
          <w:sz w:val="24"/>
          <w:szCs w:val="24"/>
          <w:highlight w:val="none"/>
          <w:lang w:eastAsia="zh-CN"/>
        </w:rPr>
        <w:t>（窗开启扇采用复合密封条）</w:t>
      </w:r>
      <w:r>
        <w:rPr>
          <w:rFonts w:hint="eastAsia" w:asciiTheme="majorEastAsia" w:hAnsiTheme="majorEastAsia" w:eastAsiaTheme="majorEastAsia" w:cstheme="majorEastAsia"/>
          <w:color w:val="auto"/>
          <w:sz w:val="24"/>
          <w:szCs w:val="24"/>
          <w:highlight w:val="none"/>
        </w:rPr>
        <w:t>，含胶量不低于30％，质量应符合国家现行标准要求。转角胶条必须切断时要求使用转角料（转角接头）；转角处胶条没有必要切断的，不允许切断，且只允许有一个接口留在窗上口。</w:t>
      </w:r>
    </w:p>
    <w:p w14:paraId="65430AF0">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5.6密封毛条：门窗用密封毛条应经过硅化处理的丙纶纤维防水型夹片密封毛条，并应符合现行行业标准《建筑门窗密封毛条技术条件》JC／T635中规定，密封条安装时应留有比门窗的装配边长20～30mm的余量，转角处应斜面断开，并用胶粘剂粘贴牢固，避免收缩产生缝隙。</w:t>
      </w:r>
    </w:p>
    <w:p w14:paraId="13BFCB9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5.7地弹簧：选用优质配套产品，地弹簧应符合承重要求。</w:t>
      </w:r>
    </w:p>
    <w:p w14:paraId="4B21D44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5.8发泡剂：铝框与墙体间填充聚氨酯发泡剂，发泡剂的膨胀量应为50-60倍。</w:t>
      </w:r>
    </w:p>
    <w:p w14:paraId="6F581D85">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5.9防雷连接：铝合金门窗防雷用连接件应采用厚度≥2mm的热镀锌扁钢或可靠的连接导体与主体连接，应采用专门的防雷连接件与窗框进行可靠的螺钉或铆钉机械连接。建筑外窗的防雷设计，应符合现行国家标准《建筑物防雷设计规范》（GB50057）的规定。一、二、三类防雷建筑物，其建筑高度分别在30m、45m、60m及以上的外墙窗户，应采取防侧击和等电位保护措施，与建筑物防雷装置进行连接。</w:t>
      </w:r>
    </w:p>
    <w:p w14:paraId="182B5E09">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5.10金属连接件：门窗框扇连接处所用螺钉、铆钉要求采用不锈钢螺钉或不锈钢拉铆钉，螺钉连接处需打胶密封。平开窗框料及窗扇料采用铝合金角码用撞角机撞角连接，连接处须采用不锈钢加强钢片及微膨胀组角胶、断面胶密封，中挺需采用专用角码及销钉或型材丝道连接不得采用角铝。</w:t>
      </w:r>
    </w:p>
    <w:p w14:paraId="0B1053B9">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5.11固定点：门窗框与墙体连接必须牢固，固定点应距窗角、中竖框150~200mm，固定点间距应小于500mm，且不得打在砖缝内。在砌体上安装门窗严禁用钉和射钉固定。</w:t>
      </w:r>
    </w:p>
    <w:p w14:paraId="51C6A166">
      <w:pPr>
        <w:widowControl/>
        <w:spacing w:line="500" w:lineRule="exact"/>
        <w:ind w:firstLine="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5.12钢附框安装部位：飘窗及卫生间上悬窗与外保温碰口处，与外墙大面保温板交接处，影响开启的窗型需增加钢副框。钢副框选用6</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*50*1.5mm/6</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*30*1.5mm镀锌钢管国产优质产品。</w:t>
      </w:r>
    </w:p>
    <w:p w14:paraId="2595E9EA">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5.13窗户型材组角留下的组角孔、压条拼缝、组角缝须用同型材颜色的硅酮密封胶涂抹至无缝隙外露。窗框与墙体打孔固定后，孔洞必须用同颜色材料封闭，不允许螺钉帽外露</w:t>
      </w:r>
      <w:ins w:id="29" w:author="Ms.h" w:date="2024-07-31T16:38:04Z">
        <w:r>
          <w:rPr>
            <w:rFonts w:hint="eastAsia" w:asciiTheme="majorEastAsia" w:hAnsiTheme="majorEastAsia" w:eastAsiaTheme="majorEastAsia" w:cstheme="majorEastAsia"/>
            <w:color w:val="auto"/>
            <w:sz w:val="24"/>
            <w:szCs w:val="24"/>
            <w:highlight w:val="none"/>
            <w:lang w:val="en-US" w:eastAsia="zh-CN"/>
          </w:rPr>
          <w:t>。</w:t>
        </w:r>
      </w:ins>
    </w:p>
    <w:p w14:paraId="7D23FD8E">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6、门窗性能及其它要求</w:t>
      </w:r>
    </w:p>
    <w:tbl>
      <w:tblPr>
        <w:tblStyle w:val="19"/>
        <w:tblpPr w:leftFromText="180" w:rightFromText="180" w:vertAnchor="text" w:horzAnchor="page" w:tblpX="1217" w:tblpY="535"/>
        <w:tblOverlap w:val="never"/>
        <w:tblW w:w="94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3462"/>
        <w:gridCol w:w="1840"/>
        <w:gridCol w:w="1397"/>
      </w:tblGrid>
      <w:tr w14:paraId="4A9A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07" w:type="dxa"/>
            <w:vAlign w:val="center"/>
          </w:tcPr>
          <w:p w14:paraId="35D1B8AF">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部位</w:t>
            </w:r>
          </w:p>
        </w:tc>
        <w:tc>
          <w:tcPr>
            <w:tcW w:w="3462" w:type="dxa"/>
            <w:vAlign w:val="center"/>
          </w:tcPr>
          <w:p w14:paraId="27EBFD1F">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断桥铝合金型材系列</w:t>
            </w:r>
          </w:p>
        </w:tc>
        <w:tc>
          <w:tcPr>
            <w:tcW w:w="1840" w:type="dxa"/>
            <w:vAlign w:val="center"/>
          </w:tcPr>
          <w:p w14:paraId="2ED8D850">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扣条方式</w:t>
            </w:r>
          </w:p>
        </w:tc>
        <w:tc>
          <w:tcPr>
            <w:tcW w:w="1397" w:type="dxa"/>
            <w:vAlign w:val="center"/>
          </w:tcPr>
          <w:p w14:paraId="6C271498">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纱扇</w:t>
            </w:r>
          </w:p>
        </w:tc>
      </w:tr>
      <w:tr w14:paraId="7E59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707" w:type="dxa"/>
            <w:vAlign w:val="center"/>
          </w:tcPr>
          <w:p w14:paraId="4EDE4B63">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外窗、平开门</w:t>
            </w:r>
          </w:p>
        </w:tc>
        <w:tc>
          <w:tcPr>
            <w:tcW w:w="3462" w:type="dxa"/>
            <w:vAlign w:val="center"/>
          </w:tcPr>
          <w:p w14:paraId="2806DE85">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65</w:t>
            </w:r>
            <w:r>
              <w:rPr>
                <w:rFonts w:hint="eastAsia" w:asciiTheme="majorEastAsia" w:hAnsiTheme="majorEastAsia" w:eastAsiaTheme="majorEastAsia" w:cstheme="majorEastAsia"/>
                <w:color w:val="auto"/>
                <w:sz w:val="24"/>
                <w:szCs w:val="24"/>
                <w:highlight w:val="none"/>
              </w:rPr>
              <w:t>系列</w:t>
            </w:r>
          </w:p>
        </w:tc>
        <w:tc>
          <w:tcPr>
            <w:tcW w:w="1840" w:type="dxa"/>
            <w:vAlign w:val="center"/>
          </w:tcPr>
          <w:p w14:paraId="2EDD0B2B">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按图纸要求</w:t>
            </w:r>
          </w:p>
        </w:tc>
        <w:tc>
          <w:tcPr>
            <w:tcW w:w="1397" w:type="dxa"/>
            <w:vAlign w:val="center"/>
          </w:tcPr>
          <w:p w14:paraId="54BCC6D1">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无</w:t>
            </w:r>
          </w:p>
        </w:tc>
      </w:tr>
      <w:tr w14:paraId="3828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707" w:type="dxa"/>
            <w:vAlign w:val="center"/>
          </w:tcPr>
          <w:p w14:paraId="365BFB51">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阳、露台推拉门</w:t>
            </w:r>
          </w:p>
        </w:tc>
        <w:tc>
          <w:tcPr>
            <w:tcW w:w="3462" w:type="dxa"/>
            <w:vAlign w:val="center"/>
          </w:tcPr>
          <w:p w14:paraId="57FB86DE">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120系列</w:t>
            </w:r>
          </w:p>
        </w:tc>
        <w:tc>
          <w:tcPr>
            <w:tcW w:w="1840" w:type="dxa"/>
            <w:vAlign w:val="center"/>
          </w:tcPr>
          <w:p w14:paraId="643DD13B">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按图纸要求</w:t>
            </w:r>
          </w:p>
        </w:tc>
        <w:tc>
          <w:tcPr>
            <w:tcW w:w="1397" w:type="dxa"/>
            <w:vAlign w:val="center"/>
          </w:tcPr>
          <w:p w14:paraId="26BEA4AE">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p>
        </w:tc>
      </w:tr>
      <w:tr w14:paraId="3DC6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707" w:type="dxa"/>
            <w:vAlign w:val="center"/>
          </w:tcPr>
          <w:p w14:paraId="00CC60D3">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楼梯间窗户</w:t>
            </w:r>
          </w:p>
        </w:tc>
        <w:tc>
          <w:tcPr>
            <w:tcW w:w="3462" w:type="dxa"/>
            <w:vAlign w:val="center"/>
          </w:tcPr>
          <w:p w14:paraId="7EC7D17C">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90</w:t>
            </w:r>
            <w:r>
              <w:rPr>
                <w:rFonts w:hint="eastAsia" w:asciiTheme="majorEastAsia" w:hAnsiTheme="majorEastAsia" w:eastAsiaTheme="majorEastAsia" w:cstheme="majorEastAsia"/>
                <w:color w:val="auto"/>
                <w:sz w:val="24"/>
                <w:szCs w:val="24"/>
                <w:highlight w:val="none"/>
              </w:rPr>
              <w:t>系列</w:t>
            </w:r>
          </w:p>
        </w:tc>
        <w:tc>
          <w:tcPr>
            <w:tcW w:w="1840" w:type="dxa"/>
            <w:vAlign w:val="center"/>
          </w:tcPr>
          <w:p w14:paraId="4CA4D4DD">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按图纸要求</w:t>
            </w:r>
          </w:p>
        </w:tc>
        <w:tc>
          <w:tcPr>
            <w:tcW w:w="1397" w:type="dxa"/>
            <w:vAlign w:val="center"/>
          </w:tcPr>
          <w:p w14:paraId="2A6CF480">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p>
        </w:tc>
      </w:tr>
    </w:tbl>
    <w:p w14:paraId="675D377E">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本工程所用玻璃要求</w:t>
      </w:r>
    </w:p>
    <w:p w14:paraId="297F055A">
      <w:pPr>
        <w:rPr>
          <w:rFonts w:hint="eastAsia" w:asciiTheme="majorEastAsia" w:hAnsiTheme="majorEastAsia" w:eastAsiaTheme="majorEastAsia" w:cstheme="majorEastAsia"/>
          <w:color w:val="auto"/>
          <w:kern w:val="2"/>
          <w:sz w:val="21"/>
          <w:szCs w:val="22"/>
          <w:highlight w:val="none"/>
          <w:lang w:val="en-US" w:eastAsia="zh-CN" w:bidi="ar-SA"/>
        </w:rPr>
      </w:pPr>
    </w:p>
    <w:tbl>
      <w:tblPr>
        <w:tblStyle w:val="19"/>
        <w:tblpPr w:leftFromText="180" w:rightFromText="180" w:vertAnchor="text" w:horzAnchor="page" w:tblpX="1015" w:tblpY="989"/>
        <w:tblOverlap w:val="never"/>
        <w:tblW w:w="9368" w:type="dxa"/>
        <w:tblInd w:w="0" w:type="dxa"/>
        <w:tblLayout w:type="fixed"/>
        <w:tblCellMar>
          <w:top w:w="0" w:type="dxa"/>
          <w:left w:w="108" w:type="dxa"/>
          <w:bottom w:w="0" w:type="dxa"/>
          <w:right w:w="108" w:type="dxa"/>
        </w:tblCellMar>
      </w:tblPr>
      <w:tblGrid>
        <w:gridCol w:w="1788"/>
        <w:gridCol w:w="7580"/>
      </w:tblGrid>
      <w:tr w14:paraId="4D1D1F49">
        <w:tblPrEx>
          <w:tblCellMar>
            <w:top w:w="0" w:type="dxa"/>
            <w:left w:w="108" w:type="dxa"/>
            <w:bottom w:w="0" w:type="dxa"/>
            <w:right w:w="108" w:type="dxa"/>
          </w:tblCellMar>
        </w:tblPrEx>
        <w:trPr>
          <w:trHeight w:val="292" w:hRule="atLeast"/>
        </w:trPr>
        <w:tc>
          <w:tcPr>
            <w:tcW w:w="1788" w:type="dxa"/>
            <w:tcBorders>
              <w:top w:val="single" w:color="auto" w:sz="4" w:space="0"/>
              <w:left w:val="single" w:color="auto" w:sz="4" w:space="0"/>
              <w:bottom w:val="single" w:color="auto" w:sz="4" w:space="0"/>
              <w:right w:val="single" w:color="auto" w:sz="4" w:space="0"/>
            </w:tcBorders>
            <w:vAlign w:val="center"/>
          </w:tcPr>
          <w:p w14:paraId="706B497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楼号</w:t>
            </w:r>
          </w:p>
        </w:tc>
        <w:tc>
          <w:tcPr>
            <w:tcW w:w="7580" w:type="dxa"/>
            <w:tcBorders>
              <w:top w:val="single" w:color="auto" w:sz="4" w:space="0"/>
              <w:left w:val="nil"/>
              <w:bottom w:val="single" w:color="auto" w:sz="4" w:space="0"/>
              <w:right w:val="single" w:color="000000" w:sz="4" w:space="0"/>
            </w:tcBorders>
            <w:vAlign w:val="center"/>
          </w:tcPr>
          <w:p w14:paraId="23CA9CE6">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玻璃规格</w:t>
            </w:r>
          </w:p>
        </w:tc>
      </w:tr>
      <w:tr w14:paraId="15F86B87">
        <w:tblPrEx>
          <w:tblCellMar>
            <w:top w:w="0" w:type="dxa"/>
            <w:left w:w="108" w:type="dxa"/>
            <w:bottom w:w="0" w:type="dxa"/>
            <w:right w:w="108" w:type="dxa"/>
          </w:tblCellMar>
        </w:tblPrEx>
        <w:trPr>
          <w:trHeight w:val="769" w:hRule="atLeast"/>
        </w:trPr>
        <w:tc>
          <w:tcPr>
            <w:tcW w:w="1788" w:type="dxa"/>
            <w:vMerge w:val="restart"/>
            <w:tcBorders>
              <w:top w:val="single" w:color="auto" w:sz="4" w:space="0"/>
              <w:left w:val="single" w:color="auto" w:sz="4" w:space="0"/>
              <w:bottom w:val="single" w:color="auto" w:sz="4" w:space="0"/>
              <w:right w:val="single" w:color="auto" w:sz="4" w:space="0"/>
            </w:tcBorders>
            <w:vAlign w:val="center"/>
          </w:tcPr>
          <w:p w14:paraId="6F055EA6">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1#2#3#5#6#7#8#9#10#11#12#13#</w:t>
            </w:r>
          </w:p>
        </w:tc>
        <w:tc>
          <w:tcPr>
            <w:tcW w:w="7580" w:type="dxa"/>
            <w:tcBorders>
              <w:top w:val="single" w:color="auto" w:sz="4" w:space="0"/>
              <w:left w:val="nil"/>
              <w:bottom w:val="single" w:color="auto" w:sz="4" w:space="0"/>
              <w:right w:val="single" w:color="auto" w:sz="4" w:space="0"/>
            </w:tcBorders>
            <w:vAlign w:val="center"/>
          </w:tcPr>
          <w:p w14:paraId="496A82DA">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120</w:t>
            </w:r>
            <w:r>
              <w:rPr>
                <w:rFonts w:hint="eastAsia" w:asciiTheme="majorEastAsia" w:hAnsiTheme="majorEastAsia" w:eastAsiaTheme="majorEastAsia" w:cstheme="majorEastAsia"/>
                <w:color w:val="auto"/>
                <w:sz w:val="24"/>
                <w:szCs w:val="24"/>
                <w:highlight w:val="none"/>
              </w:rPr>
              <w:t>系列断桥铝铝合金门联窗</w:t>
            </w:r>
            <w:r>
              <w:rPr>
                <w:rFonts w:hint="eastAsia" w:asciiTheme="majorEastAsia" w:hAnsiTheme="majorEastAsia" w:eastAsiaTheme="majorEastAsia" w:cstheme="majorEastAsia"/>
                <w:color w:val="auto"/>
                <w:sz w:val="24"/>
                <w:szCs w:val="24"/>
                <w:highlight w:val="none"/>
                <w:lang w:val="en-US" w:eastAsia="zh-CN"/>
              </w:rPr>
              <w:t>/幕墙窗5</w:t>
            </w:r>
            <w:r>
              <w:rPr>
                <w:rFonts w:hint="eastAsia" w:asciiTheme="majorEastAsia" w:hAnsiTheme="majorEastAsia" w:eastAsiaTheme="majorEastAsia" w:cstheme="majorEastAsia"/>
                <w:color w:val="auto"/>
                <w:sz w:val="24"/>
                <w:szCs w:val="24"/>
                <w:highlight w:val="none"/>
              </w:rPr>
              <w:t>Low-e+</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A+</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A+</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中空玻璃</w:t>
            </w:r>
          </w:p>
        </w:tc>
      </w:tr>
      <w:tr w14:paraId="67AC5B16">
        <w:tblPrEx>
          <w:tblCellMar>
            <w:top w:w="0" w:type="dxa"/>
            <w:left w:w="108" w:type="dxa"/>
            <w:bottom w:w="0" w:type="dxa"/>
            <w:right w:w="108" w:type="dxa"/>
          </w:tblCellMar>
        </w:tblPrEx>
        <w:trPr>
          <w:trHeight w:val="769" w:hRule="atLeast"/>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290182EB">
            <w:pPr>
              <w:widowControl/>
              <w:spacing w:line="500" w:lineRule="exact"/>
              <w:rPr>
                <w:rFonts w:hint="eastAsia" w:asciiTheme="majorEastAsia" w:hAnsiTheme="majorEastAsia" w:eastAsiaTheme="majorEastAsia" w:cstheme="majorEastAsia"/>
                <w:color w:val="auto"/>
                <w:sz w:val="24"/>
                <w:szCs w:val="24"/>
                <w:highlight w:val="none"/>
              </w:rPr>
            </w:pPr>
          </w:p>
        </w:tc>
        <w:tc>
          <w:tcPr>
            <w:tcW w:w="7580" w:type="dxa"/>
            <w:tcBorders>
              <w:top w:val="single" w:color="auto" w:sz="4" w:space="0"/>
              <w:left w:val="nil"/>
              <w:bottom w:val="single" w:color="auto" w:sz="4" w:space="0"/>
              <w:right w:val="single" w:color="auto" w:sz="4" w:space="0"/>
            </w:tcBorders>
            <w:vAlign w:val="center"/>
          </w:tcPr>
          <w:p w14:paraId="7E28077E">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55</w:t>
            </w:r>
            <w:r>
              <w:rPr>
                <w:rFonts w:hint="eastAsia" w:asciiTheme="majorEastAsia" w:hAnsiTheme="majorEastAsia" w:eastAsiaTheme="majorEastAsia" w:cstheme="majorEastAsia"/>
                <w:color w:val="auto"/>
                <w:sz w:val="24"/>
                <w:szCs w:val="24"/>
                <w:highlight w:val="none"/>
              </w:rPr>
              <w:t>系列断桥铝铝合金</w:t>
            </w:r>
            <w:r>
              <w:rPr>
                <w:rFonts w:hint="eastAsia" w:asciiTheme="majorEastAsia" w:hAnsiTheme="majorEastAsia" w:eastAsiaTheme="majorEastAsia" w:cstheme="majorEastAsia"/>
                <w:color w:val="auto"/>
                <w:sz w:val="24"/>
                <w:szCs w:val="24"/>
                <w:highlight w:val="none"/>
                <w:lang w:val="en-US" w:eastAsia="zh-CN"/>
              </w:rPr>
              <w:t>推拉</w:t>
            </w:r>
            <w:r>
              <w:rPr>
                <w:rFonts w:hint="eastAsia" w:asciiTheme="majorEastAsia" w:hAnsiTheme="majorEastAsia" w:eastAsiaTheme="majorEastAsia" w:cstheme="majorEastAsia"/>
                <w:color w:val="auto"/>
                <w:sz w:val="24"/>
                <w:szCs w:val="24"/>
                <w:highlight w:val="none"/>
              </w:rPr>
              <w:t>窗</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Low-e+</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A+</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中空玻璃</w:t>
            </w:r>
          </w:p>
        </w:tc>
      </w:tr>
      <w:tr w14:paraId="2D452EDB">
        <w:tblPrEx>
          <w:tblCellMar>
            <w:top w:w="0" w:type="dxa"/>
            <w:left w:w="108" w:type="dxa"/>
            <w:bottom w:w="0" w:type="dxa"/>
            <w:right w:w="108" w:type="dxa"/>
          </w:tblCellMar>
        </w:tblPrEx>
        <w:trPr>
          <w:trHeight w:val="769" w:hRule="atLeast"/>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37DC988D">
            <w:pPr>
              <w:widowControl/>
              <w:spacing w:line="500" w:lineRule="exact"/>
              <w:rPr>
                <w:rFonts w:hint="eastAsia" w:asciiTheme="majorEastAsia" w:hAnsiTheme="majorEastAsia" w:eastAsiaTheme="majorEastAsia" w:cstheme="majorEastAsia"/>
                <w:color w:val="auto"/>
                <w:sz w:val="24"/>
                <w:szCs w:val="24"/>
                <w:highlight w:val="none"/>
              </w:rPr>
            </w:pPr>
          </w:p>
        </w:tc>
        <w:tc>
          <w:tcPr>
            <w:tcW w:w="7580" w:type="dxa"/>
            <w:tcBorders>
              <w:top w:val="single" w:color="auto" w:sz="4" w:space="0"/>
              <w:left w:val="nil"/>
              <w:bottom w:val="single" w:color="auto" w:sz="4" w:space="0"/>
              <w:right w:val="single" w:color="auto" w:sz="4" w:space="0"/>
            </w:tcBorders>
            <w:vAlign w:val="center"/>
          </w:tcPr>
          <w:p w14:paraId="43DED588">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65</w:t>
            </w:r>
            <w:r>
              <w:rPr>
                <w:rFonts w:hint="eastAsia" w:asciiTheme="majorEastAsia" w:hAnsiTheme="majorEastAsia" w:eastAsiaTheme="majorEastAsia" w:cstheme="majorEastAsia"/>
                <w:color w:val="auto"/>
                <w:sz w:val="24"/>
                <w:szCs w:val="24"/>
                <w:highlight w:val="none"/>
              </w:rPr>
              <w:t>系列断热铝合金多腔密封三玻节能</w:t>
            </w:r>
            <w:r>
              <w:rPr>
                <w:rFonts w:hint="eastAsia" w:asciiTheme="majorEastAsia" w:hAnsiTheme="majorEastAsia" w:eastAsiaTheme="majorEastAsia" w:cstheme="majorEastAsia"/>
                <w:color w:val="auto"/>
                <w:sz w:val="24"/>
                <w:szCs w:val="24"/>
                <w:highlight w:val="none"/>
                <w:lang w:val="en-US" w:eastAsia="zh-CN"/>
              </w:rPr>
              <w:t>外</w:t>
            </w:r>
            <w:r>
              <w:rPr>
                <w:rFonts w:hint="eastAsia" w:asciiTheme="majorEastAsia" w:hAnsiTheme="majorEastAsia" w:eastAsiaTheme="majorEastAsia" w:cstheme="majorEastAsia"/>
                <w:color w:val="auto"/>
                <w:sz w:val="24"/>
                <w:szCs w:val="24"/>
                <w:highlight w:val="none"/>
              </w:rPr>
              <w:t>平开窗</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Low-e+</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A+5+</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A+5</w:t>
            </w:r>
            <w:r>
              <w:rPr>
                <w:rFonts w:hint="eastAsia" w:asciiTheme="majorEastAsia" w:hAnsiTheme="majorEastAsia" w:eastAsiaTheme="majorEastAsia" w:cstheme="majorEastAsia"/>
                <w:color w:val="auto"/>
                <w:sz w:val="24"/>
                <w:szCs w:val="24"/>
                <w:highlight w:val="none"/>
                <w:lang w:eastAsia="zh-CN"/>
              </w:rPr>
              <w:t>。</w:t>
            </w:r>
          </w:p>
        </w:tc>
      </w:tr>
      <w:tr w14:paraId="6320A221">
        <w:tblPrEx>
          <w:tblCellMar>
            <w:top w:w="0" w:type="dxa"/>
            <w:left w:w="108" w:type="dxa"/>
            <w:bottom w:w="0" w:type="dxa"/>
            <w:right w:w="108" w:type="dxa"/>
          </w:tblCellMar>
        </w:tblPrEx>
        <w:trPr>
          <w:trHeight w:val="769" w:hRule="atLeast"/>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756B1E2D">
            <w:pPr>
              <w:widowControl/>
              <w:spacing w:line="500" w:lineRule="exact"/>
              <w:rPr>
                <w:rFonts w:hint="eastAsia" w:asciiTheme="majorEastAsia" w:hAnsiTheme="majorEastAsia" w:eastAsiaTheme="majorEastAsia" w:cstheme="majorEastAsia"/>
                <w:color w:val="auto"/>
                <w:sz w:val="24"/>
                <w:szCs w:val="24"/>
                <w:highlight w:val="none"/>
              </w:rPr>
            </w:pPr>
          </w:p>
        </w:tc>
        <w:tc>
          <w:tcPr>
            <w:tcW w:w="7580" w:type="dxa"/>
            <w:tcBorders>
              <w:top w:val="single" w:color="auto" w:sz="4" w:space="0"/>
              <w:left w:val="nil"/>
              <w:bottom w:val="single" w:color="auto" w:sz="4" w:space="0"/>
              <w:right w:val="single" w:color="auto" w:sz="4" w:space="0"/>
            </w:tcBorders>
            <w:vAlign w:val="center"/>
          </w:tcPr>
          <w:p w14:paraId="2A4BB757">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系列</w:t>
            </w:r>
            <w:r>
              <w:rPr>
                <w:rFonts w:hint="eastAsia" w:asciiTheme="majorEastAsia" w:hAnsiTheme="majorEastAsia" w:eastAsiaTheme="majorEastAsia" w:cstheme="majorEastAsia"/>
                <w:color w:val="auto"/>
                <w:sz w:val="24"/>
                <w:szCs w:val="24"/>
                <w:highlight w:val="none"/>
                <w:lang w:val="en-US" w:eastAsia="zh-CN"/>
              </w:rPr>
              <w:t>断桥铝三玻窗(Low-E 中空SuperSE-I)5mm+9A+5mm+9A+5mm窗</w:t>
            </w:r>
            <w:r>
              <w:rPr>
                <w:rFonts w:hint="eastAsia" w:asciiTheme="majorEastAsia" w:hAnsiTheme="majorEastAsia" w:eastAsiaTheme="majorEastAsia" w:cstheme="majorEastAsia"/>
                <w:color w:val="auto"/>
                <w:sz w:val="24"/>
                <w:szCs w:val="24"/>
                <w:highlight w:val="none"/>
              </w:rPr>
              <w:t>传热系数≤2.0W/m(㎡.K)</w:t>
            </w:r>
          </w:p>
          <w:p w14:paraId="098984DC">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55系列断桥窗框(Low-E 中空SuperSE-I)5mm+9A+5mm</w:t>
            </w: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W/m(㎡.K)</w:t>
            </w:r>
            <w:r>
              <w:rPr>
                <w:rFonts w:hint="eastAsia" w:asciiTheme="majorEastAsia" w:hAnsiTheme="majorEastAsia" w:eastAsiaTheme="majorEastAsia" w:cstheme="majorEastAsia"/>
                <w:color w:val="auto"/>
                <w:sz w:val="24"/>
                <w:szCs w:val="24"/>
                <w:highlight w:val="none"/>
                <w:lang w:eastAsia="zh-CN"/>
              </w:rPr>
              <w:t>。</w:t>
            </w:r>
          </w:p>
          <w:p w14:paraId="335C61E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当外窗为安全玻璃时玻璃面积＞2㎡，需采用6mm厚钢化玻璃。</w:t>
            </w:r>
          </w:p>
        </w:tc>
      </w:tr>
      <w:tr w14:paraId="5CC23522">
        <w:tblPrEx>
          <w:tblCellMar>
            <w:top w:w="0" w:type="dxa"/>
            <w:left w:w="108" w:type="dxa"/>
            <w:bottom w:w="0" w:type="dxa"/>
            <w:right w:w="108" w:type="dxa"/>
          </w:tblCellMar>
        </w:tblPrEx>
        <w:trPr>
          <w:trHeight w:val="541" w:hRule="atLeast"/>
        </w:trPr>
        <w:tc>
          <w:tcPr>
            <w:tcW w:w="1788" w:type="dxa"/>
            <w:tcBorders>
              <w:top w:val="single" w:color="auto" w:sz="4" w:space="0"/>
              <w:left w:val="single" w:color="auto" w:sz="4" w:space="0"/>
              <w:bottom w:val="single" w:color="auto" w:sz="4" w:space="0"/>
              <w:right w:val="single" w:color="auto" w:sz="4" w:space="0"/>
            </w:tcBorders>
            <w:vAlign w:val="center"/>
          </w:tcPr>
          <w:p w14:paraId="4FAD8A08">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p>
        </w:tc>
        <w:tc>
          <w:tcPr>
            <w:tcW w:w="7580" w:type="dxa"/>
            <w:tcBorders>
              <w:top w:val="single" w:color="auto" w:sz="4" w:space="0"/>
              <w:left w:val="nil"/>
              <w:bottom w:val="single" w:color="auto" w:sz="4" w:space="0"/>
              <w:right w:val="single" w:color="auto" w:sz="4" w:space="0"/>
            </w:tcBorders>
            <w:vAlign w:val="center"/>
          </w:tcPr>
          <w:p w14:paraId="3D2CC6A4">
            <w:pPr>
              <w:widowControl/>
              <w:spacing w:line="500" w:lineRule="exact"/>
              <w:rPr>
                <w:rFonts w:hint="eastAsia" w:asciiTheme="majorEastAsia" w:hAnsiTheme="majorEastAsia" w:eastAsiaTheme="majorEastAsia" w:cstheme="majorEastAsia"/>
                <w:color w:val="auto"/>
                <w:sz w:val="24"/>
                <w:szCs w:val="24"/>
                <w:highlight w:val="none"/>
              </w:rPr>
            </w:pPr>
          </w:p>
        </w:tc>
      </w:tr>
    </w:tbl>
    <w:p w14:paraId="6F8D3F72">
      <w:pPr>
        <w:widowControl/>
        <w:spacing w:line="500" w:lineRule="exact"/>
        <w:rPr>
          <w:rFonts w:hint="eastAsia" w:asciiTheme="majorEastAsia" w:hAnsiTheme="majorEastAsia" w:eastAsiaTheme="majorEastAsia" w:cstheme="majorEastAsia"/>
          <w:color w:val="auto"/>
          <w:sz w:val="24"/>
          <w:szCs w:val="24"/>
          <w:highlight w:val="none"/>
        </w:rPr>
      </w:pPr>
    </w:p>
    <w:p w14:paraId="6CD8A3A9">
      <w:pPr>
        <w:widowControl/>
        <w:spacing w:line="500" w:lineRule="exact"/>
        <w:rPr>
          <w:rFonts w:hint="eastAsia" w:asciiTheme="majorEastAsia" w:hAnsiTheme="majorEastAsia" w:eastAsiaTheme="majorEastAsia" w:cstheme="majorEastAsia"/>
          <w:color w:val="auto"/>
          <w:sz w:val="24"/>
          <w:szCs w:val="24"/>
          <w:highlight w:val="none"/>
        </w:rPr>
      </w:pPr>
    </w:p>
    <w:p w14:paraId="23BFC96F">
      <w:pPr>
        <w:widowControl/>
        <w:spacing w:line="500" w:lineRule="exact"/>
        <w:rPr>
          <w:rFonts w:hint="eastAsia" w:asciiTheme="majorEastAsia" w:hAnsiTheme="majorEastAsia" w:eastAsiaTheme="majorEastAsia" w:cstheme="majorEastAsia"/>
          <w:color w:val="auto"/>
          <w:sz w:val="24"/>
          <w:szCs w:val="24"/>
          <w:highlight w:val="none"/>
        </w:rPr>
      </w:pPr>
    </w:p>
    <w:p w14:paraId="40031738">
      <w:pPr>
        <w:widowControl/>
        <w:spacing w:line="500" w:lineRule="exact"/>
        <w:rPr>
          <w:rFonts w:hint="eastAsia" w:asciiTheme="majorEastAsia" w:hAnsiTheme="majorEastAsia" w:eastAsiaTheme="majorEastAsia" w:cstheme="majorEastAsia"/>
          <w:color w:val="auto"/>
          <w:sz w:val="24"/>
          <w:szCs w:val="24"/>
          <w:highlight w:val="none"/>
        </w:rPr>
      </w:pPr>
    </w:p>
    <w:p w14:paraId="5A77CE69">
      <w:pPr>
        <w:widowControl/>
        <w:spacing w:line="500" w:lineRule="exact"/>
        <w:rPr>
          <w:rFonts w:hint="eastAsia" w:asciiTheme="majorEastAsia" w:hAnsiTheme="majorEastAsia" w:eastAsiaTheme="majorEastAsia" w:cstheme="majorEastAsia"/>
          <w:color w:val="auto"/>
          <w:sz w:val="24"/>
          <w:szCs w:val="24"/>
          <w:highlight w:val="none"/>
        </w:rPr>
      </w:pPr>
    </w:p>
    <w:p w14:paraId="2F99160E">
      <w:pPr>
        <w:widowControl/>
        <w:spacing w:line="500" w:lineRule="exact"/>
        <w:rPr>
          <w:rFonts w:hint="eastAsia" w:asciiTheme="majorEastAsia" w:hAnsiTheme="majorEastAsia" w:eastAsiaTheme="majorEastAsia" w:cstheme="majorEastAsia"/>
          <w:color w:val="auto"/>
          <w:sz w:val="24"/>
          <w:szCs w:val="24"/>
          <w:highlight w:val="none"/>
        </w:rPr>
      </w:pPr>
    </w:p>
    <w:p w14:paraId="18C52CC7">
      <w:pPr>
        <w:widowControl/>
        <w:spacing w:line="500" w:lineRule="exact"/>
        <w:rPr>
          <w:rFonts w:hint="eastAsia" w:asciiTheme="majorEastAsia" w:hAnsiTheme="majorEastAsia" w:eastAsiaTheme="majorEastAsia" w:cstheme="majorEastAsia"/>
          <w:color w:val="auto"/>
          <w:sz w:val="24"/>
          <w:szCs w:val="24"/>
          <w:highlight w:val="none"/>
        </w:rPr>
      </w:pPr>
    </w:p>
    <w:p w14:paraId="5C16F05C">
      <w:pPr>
        <w:widowControl/>
        <w:spacing w:line="500" w:lineRule="exact"/>
        <w:rPr>
          <w:rFonts w:hint="eastAsia" w:asciiTheme="majorEastAsia" w:hAnsiTheme="majorEastAsia" w:eastAsiaTheme="majorEastAsia" w:cstheme="majorEastAsia"/>
          <w:color w:val="auto"/>
          <w:sz w:val="24"/>
          <w:szCs w:val="24"/>
          <w:highlight w:val="none"/>
        </w:rPr>
      </w:pPr>
    </w:p>
    <w:p w14:paraId="6812789C">
      <w:pPr>
        <w:widowControl/>
        <w:spacing w:line="500" w:lineRule="exact"/>
        <w:rPr>
          <w:rFonts w:hint="eastAsia" w:asciiTheme="majorEastAsia" w:hAnsiTheme="majorEastAsia" w:eastAsiaTheme="majorEastAsia" w:cstheme="majorEastAsia"/>
          <w:color w:val="auto"/>
          <w:sz w:val="24"/>
          <w:szCs w:val="24"/>
          <w:highlight w:val="none"/>
        </w:rPr>
      </w:pPr>
    </w:p>
    <w:p w14:paraId="025206A7">
      <w:pPr>
        <w:widowControl/>
        <w:spacing w:line="500" w:lineRule="exact"/>
        <w:rPr>
          <w:rFonts w:hint="eastAsia" w:asciiTheme="majorEastAsia" w:hAnsiTheme="majorEastAsia" w:eastAsiaTheme="majorEastAsia" w:cstheme="majorEastAsia"/>
          <w:color w:val="auto"/>
          <w:sz w:val="24"/>
          <w:szCs w:val="24"/>
          <w:highlight w:val="none"/>
        </w:rPr>
      </w:pPr>
    </w:p>
    <w:p w14:paraId="56E44D75">
      <w:pPr>
        <w:widowControl/>
        <w:spacing w:line="500" w:lineRule="exact"/>
        <w:rPr>
          <w:rFonts w:hint="eastAsia" w:asciiTheme="majorEastAsia" w:hAnsiTheme="majorEastAsia" w:eastAsiaTheme="majorEastAsia" w:cstheme="majorEastAsia"/>
          <w:color w:val="auto"/>
          <w:sz w:val="24"/>
          <w:szCs w:val="24"/>
          <w:highlight w:val="none"/>
        </w:rPr>
      </w:pPr>
    </w:p>
    <w:p w14:paraId="194C206C">
      <w:pPr>
        <w:widowControl/>
        <w:spacing w:line="500" w:lineRule="exact"/>
        <w:rPr>
          <w:rFonts w:hint="eastAsia" w:asciiTheme="majorEastAsia" w:hAnsiTheme="majorEastAsia" w:eastAsiaTheme="majorEastAsia" w:cstheme="majorEastAsia"/>
          <w:color w:val="auto"/>
          <w:sz w:val="24"/>
          <w:szCs w:val="24"/>
          <w:highlight w:val="none"/>
        </w:rPr>
      </w:pPr>
    </w:p>
    <w:p w14:paraId="068FED74">
      <w:pPr>
        <w:widowControl/>
        <w:spacing w:line="500" w:lineRule="exact"/>
        <w:rPr>
          <w:ins w:id="30" w:author="Ms.h" w:date="2024-07-31T16:38:17Z"/>
          <w:rFonts w:hint="eastAsia" w:asciiTheme="majorEastAsia" w:hAnsiTheme="majorEastAsia" w:eastAsiaTheme="majorEastAsia" w:cstheme="majorEastAsia"/>
          <w:color w:val="auto"/>
          <w:sz w:val="24"/>
          <w:szCs w:val="24"/>
          <w:highlight w:val="none"/>
        </w:rPr>
      </w:pPr>
    </w:p>
    <w:p w14:paraId="1145C747">
      <w:pPr>
        <w:widowControl/>
        <w:spacing w:line="500" w:lineRule="exact"/>
        <w:ind w:firstLine="0" w:firstLineChars="0"/>
        <w:rPr>
          <w:rFonts w:hint="eastAsia" w:asciiTheme="majorEastAsia" w:hAnsiTheme="majorEastAsia" w:eastAsiaTheme="majorEastAsia" w:cstheme="majorEastAsia"/>
          <w:color w:val="auto"/>
          <w:sz w:val="24"/>
          <w:szCs w:val="24"/>
          <w:highlight w:val="none"/>
        </w:rPr>
        <w:pPrChange w:id="31" w:author="Ms.h" w:date="2024-07-31T16:38:24Z">
          <w:pPr>
            <w:widowControl/>
            <w:spacing w:line="500" w:lineRule="exact"/>
          </w:pPr>
        </w:pPrChange>
      </w:pPr>
      <w:r>
        <w:rPr>
          <w:rFonts w:hint="eastAsia" w:asciiTheme="majorEastAsia" w:hAnsiTheme="majorEastAsia" w:eastAsiaTheme="majorEastAsia" w:cstheme="majorEastAsia"/>
          <w:color w:val="auto"/>
          <w:sz w:val="24"/>
          <w:szCs w:val="24"/>
          <w:highlight w:val="none"/>
        </w:rPr>
        <w:t>7、 材料进场及施工要求</w:t>
      </w:r>
    </w:p>
    <w:p w14:paraId="32FF105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所有材料必须先送样品供甲方、监理及设计人员确认并封样后，方可进场施工。各种材料的技术等级、光泽度、外观等质量应符合设计图纸、甲方封板要求及国家现行行业标准优等品的要求。材料送样须包括但不限于以下材料：</w:t>
      </w:r>
    </w:p>
    <w:p w14:paraId="152BDD8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A、热浸镀锌拉片</w:t>
      </w:r>
    </w:p>
    <w:p w14:paraId="059532B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B、型材：各不同型号300mm长</w:t>
      </w:r>
    </w:p>
    <w:p w14:paraId="19FFC3ED">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C、玻璃：各不同型号600mmx600mm</w:t>
      </w:r>
    </w:p>
    <w:p w14:paraId="580F5A4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D、五金配件</w:t>
      </w:r>
    </w:p>
    <w:p w14:paraId="3D60846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E、毛条：300mm长</w:t>
      </w:r>
    </w:p>
    <w:p w14:paraId="2B26085A">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 xml:space="preserve">F、发泡胶 </w:t>
      </w:r>
    </w:p>
    <w:p w14:paraId="520F5C1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G、密封胶：300mm长</w:t>
      </w:r>
    </w:p>
    <w:p w14:paraId="3191C67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H、密封胶条：300mm长</w:t>
      </w:r>
    </w:p>
    <w:p w14:paraId="48D6F39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I、铝材色卡</w:t>
      </w:r>
    </w:p>
    <w:p w14:paraId="36D1FB9D">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G、防雷连接件</w:t>
      </w:r>
    </w:p>
    <w:p w14:paraId="07A4119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K、把手</w:t>
      </w:r>
    </w:p>
    <w:p w14:paraId="127C0F6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L、锁具</w:t>
      </w:r>
    </w:p>
    <w:p w14:paraId="4307557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M、不锈钢螺钉</w:t>
      </w:r>
    </w:p>
    <w:p w14:paraId="1169F55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上述材料除须同时提交相关厂家资料及检测报告，所有封样材料必须进行三方会签方可使用。乙方应确保所有进场施工材料之厂家、规格、型号为甲方及监理所审批认可。</w:t>
      </w:r>
    </w:p>
    <w:p w14:paraId="007AFD4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7.2材料半成品（框料、衬钢、防水、五金、扇料、玻璃、胶条、密封胶等材料）进场必须经过监理、甲方工程师按合同要求履行验收手续（保留验收手续，以备查验），并按有关规定进行取样送检。铝型材、玻璃、各种配件、胶和防水材料等都必须提供合格证。窗框和扇框组角位置必须打组角胶。</w:t>
      </w:r>
    </w:p>
    <w:p w14:paraId="4E1F0EF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7.3门窗施工前应按当地的有关规定抽验，进行抗风压、气密、水密、保温、隔音等性能的检测试验，合格后方可大面积施工。</w:t>
      </w:r>
    </w:p>
    <w:p w14:paraId="17F6C04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7.4乙方施工进度及顺序应满足总包的要求和管理，采用净口安装，从上到下分层施工。</w:t>
      </w:r>
    </w:p>
    <w:p w14:paraId="4517406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7.5图纸深化及洞口量尺要求：</w:t>
      </w:r>
    </w:p>
    <w:p w14:paraId="7B8042F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7.5.1本工程的所有合约及提示图所表示的仅是设计示意及概念图，乙方须按照合约及招标图结合有关当地部门、国家及行业规范或标准、工程的建筑结构及机电施工图的要求进行深化施工图及大样设计完善工作，包括：设计说明、门窗大样图、主要节点图、计算书等，加强中挺、安全玻璃须在图纸中注明。乙方须通过深化图审批，甲方签字确认后方可按有关图纸进行加工工作，否则所有返工将由乙方负责。</w:t>
      </w:r>
    </w:p>
    <w:p w14:paraId="1751CE8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7.5.2所有门窗的尺寸和数量均需经现场复核洞口，并对设计进行相应的调整。若因现场尺寸与设计图纸不符造成返工的，费用由乙方负责。若有临时发生的现场变更和增补工程，乙方承诺尽快完成变更和增补工程的设计，并须经现场监理和甲方的确认后开始施工。</w:t>
      </w:r>
    </w:p>
    <w:p w14:paraId="7B8A84BA">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7.6乙方安装门窗前，需核对图纸查验门窗开启是否与结构梁或各种管道有打架、碰撞的情况，如遇到该情况，需及时向监理及甲方汇报，否则，因为该项失误造成的经济损失，甲方概不负责，均由乙方自理。</w:t>
      </w:r>
    </w:p>
    <w:p w14:paraId="14193F5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7.7防水性能要求</w:t>
      </w:r>
    </w:p>
    <w:p w14:paraId="1D63CD2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7.7.1铝合金外门窗铝型材接缝处均应打上防水胶做防水处理，并应保持美观；所有型材对接和螺钉、拉铆钉固定处要求打玻璃胶</w:t>
      </w:r>
      <w:r>
        <w:rPr>
          <w:rFonts w:hint="eastAsia" w:asciiTheme="majorEastAsia" w:hAnsiTheme="majorEastAsia" w:eastAsiaTheme="majorEastAsia" w:cstheme="majorEastAsia"/>
          <w:bCs/>
          <w:color w:val="auto"/>
          <w:sz w:val="24"/>
          <w:szCs w:val="24"/>
          <w:highlight w:val="none"/>
          <w:lang w:eastAsia="zh-CN"/>
        </w:rPr>
        <w:t>，推拉门门框安装时下槛及两侧</w:t>
      </w:r>
      <w:r>
        <w:rPr>
          <w:rFonts w:hint="eastAsia" w:asciiTheme="majorEastAsia" w:hAnsiTheme="majorEastAsia" w:eastAsiaTheme="majorEastAsia" w:cstheme="majorEastAsia"/>
          <w:bCs/>
          <w:color w:val="auto"/>
          <w:sz w:val="24"/>
          <w:szCs w:val="24"/>
          <w:highlight w:val="none"/>
          <w:lang w:val="en-US" w:eastAsia="zh-CN"/>
        </w:rPr>
        <w:t>300mm高范围内应填塞防水砂浆，推拉门下槛应配备门槛保护卡</w:t>
      </w:r>
      <w:r>
        <w:rPr>
          <w:rFonts w:hint="eastAsia" w:asciiTheme="majorEastAsia" w:hAnsiTheme="majorEastAsia" w:eastAsiaTheme="majorEastAsia" w:cstheme="majorEastAsia"/>
          <w:bCs/>
          <w:color w:val="auto"/>
          <w:sz w:val="24"/>
          <w:szCs w:val="24"/>
          <w:highlight w:val="none"/>
        </w:rPr>
        <w:t>。</w:t>
      </w:r>
    </w:p>
    <w:p w14:paraId="269F825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7.7.2铝合金外门窗框料的适当处设置排水孔；</w:t>
      </w:r>
    </w:p>
    <w:p w14:paraId="6528370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7.7.3方通上端头须封堵，避免方通内积水；</w:t>
      </w:r>
    </w:p>
    <w:p w14:paraId="67E7F80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7.8现场安装所有门窗塞缝完毕后应通知监理工程师检查验收作好隐蔽记录。</w:t>
      </w:r>
    </w:p>
    <w:p w14:paraId="2356D37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7.9乙方须先做样品门窗提交甲方审核后方可在工厂批量加工，甲方将不定期到工厂检查加工的质量和进度。所有门、窗框与墙体连接处室外需打防水耐候胶密封（必须填充聚氨酯发泡剂），室内需打嵌缝胶密封。</w:t>
      </w:r>
    </w:p>
    <w:p w14:paraId="4AAB2BF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7.10推拉门和推拉窗要求装防盗块（防风掉落块）、防撞块、铝滑轨，在光、勾企（扇竖料）处上下密封有漏洞处加装密封件密封。</w:t>
      </w:r>
    </w:p>
    <w:p w14:paraId="3B41B7D3">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7.11现场安装（包括周边塞缝和防水）必须先做实体，经过总包、甲方及监理工程师的验收后才可大面积施工。</w:t>
      </w:r>
    </w:p>
    <w:p w14:paraId="560C04FD">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7.12乙方铝材表面要作好成品保护直至工程竣工验收后移交完毕。</w:t>
      </w:r>
    </w:p>
    <w:p w14:paraId="0D09EEA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7.13工程完工后，除按规范、标准要求验收外，外门窗还必须进行淋水试验验收</w:t>
      </w:r>
      <w:r>
        <w:rPr>
          <w:rFonts w:hint="eastAsia" w:asciiTheme="majorEastAsia" w:hAnsiTheme="majorEastAsia" w:eastAsiaTheme="majorEastAsia" w:cstheme="majorEastAsia"/>
          <w:bCs/>
          <w:color w:val="auto"/>
          <w:sz w:val="24"/>
          <w:szCs w:val="24"/>
          <w:highlight w:val="none"/>
          <w:lang w:eastAsia="zh-CN"/>
        </w:rPr>
        <w:t>，</w:t>
      </w:r>
      <w:r>
        <w:rPr>
          <w:rFonts w:hint="eastAsia" w:asciiTheme="majorEastAsia" w:hAnsiTheme="majorEastAsia" w:eastAsiaTheme="majorEastAsia" w:cstheme="majorEastAsia"/>
          <w:bCs/>
          <w:color w:val="auto"/>
          <w:sz w:val="24"/>
          <w:szCs w:val="24"/>
          <w:highlight w:val="none"/>
        </w:rPr>
        <w:t>（乙方提前报淋水方案报甲方、监理审核）。在移交给业主前，全部门窗进行清洁（仅一次）、调整、达到正常使用功能并符合相应的国家及地方规范要求。</w:t>
      </w:r>
    </w:p>
    <w:p w14:paraId="6EA772B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7.14送审要求</w:t>
      </w:r>
    </w:p>
    <w:p w14:paraId="5C61072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在正式大规模施工前，乙方必须通过甲方及监理对下列项目之审批方可进行大面积施工：</w:t>
      </w:r>
    </w:p>
    <w:p w14:paraId="0508D997">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A、性能测试合格报告(此项施工单可与施工同步进行但须负责因日后报告不合格所发生之所有责任)</w:t>
      </w:r>
    </w:p>
    <w:p w14:paraId="3C82C7A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B、施工组织设计（施工单位总工签字盖章的质量控制体系、质量控制措施、成品保护措施、工期保证措施必须具备）</w:t>
      </w:r>
    </w:p>
    <w:p w14:paraId="49796541">
      <w:pPr>
        <w:spacing w:line="360" w:lineRule="auto"/>
        <w:ind w:firstLine="547" w:firstLineChars="228"/>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rPr>
        <w:t>C、材料送审、实体模型、现场样板层工艺样板</w:t>
      </w:r>
      <w:r>
        <w:rPr>
          <w:rFonts w:hint="eastAsia" w:asciiTheme="majorEastAsia" w:hAnsiTheme="majorEastAsia" w:eastAsiaTheme="majorEastAsia" w:cstheme="majorEastAsia"/>
          <w:bCs/>
          <w:color w:val="auto"/>
          <w:sz w:val="24"/>
          <w:szCs w:val="24"/>
          <w:highlight w:val="none"/>
          <w:lang w:eastAsia="zh-CN"/>
        </w:rPr>
        <w:t>，乙方按甲方要求，遵守样板先行原则。</w:t>
      </w:r>
    </w:p>
    <w:p w14:paraId="6537C68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D、深化施工图、结构计算书</w:t>
      </w:r>
    </w:p>
    <w:p w14:paraId="35EC393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E、玻璃生产厂家报告</w:t>
      </w:r>
    </w:p>
    <w:p w14:paraId="7D5E183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F、铝材生产厂家报告</w:t>
      </w:r>
    </w:p>
    <w:p w14:paraId="0CBE4EF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G、胶条生产厂家报告</w:t>
      </w:r>
    </w:p>
    <w:p w14:paraId="00D8897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H、硅酮胶生产厂家报告</w:t>
      </w:r>
    </w:p>
    <w:p w14:paraId="78E0FA3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7.15 施工组织设计</w:t>
      </w:r>
    </w:p>
    <w:p w14:paraId="44B482A3">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乙方应于进场施工时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包括完工清洗计划和相应措施及其他人员配置。</w:t>
      </w:r>
    </w:p>
    <w:p w14:paraId="66FC79D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7.16乙方须按合同要求提供整套实物原大样板包括窗框及窗扇及其它配件以便观察各构件及配件之安装情况予甲方及监理审批。</w:t>
      </w:r>
    </w:p>
    <w:p w14:paraId="5D6D8F6F">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7.17工程完工后，除按规范、标准要求验收外，外门窗还必须进行淋水试验验收。试水位置主要包括窗周边，施工单位须提供淋水试验的相关人员、材料及工具并提交所须淋水方案予以审批，内容包括：</w:t>
      </w:r>
    </w:p>
    <w:p w14:paraId="4D27782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A、淋水流程</w:t>
      </w:r>
    </w:p>
    <w:p w14:paraId="21A4FB6A">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B、人手、水泵、供水及喷水量要求</w:t>
      </w:r>
    </w:p>
    <w:p w14:paraId="7C7110F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C、压力要求</w:t>
      </w:r>
    </w:p>
    <w:p w14:paraId="7F4155E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D、每樘窗试水时间要求</w:t>
      </w:r>
    </w:p>
    <w:p w14:paraId="4BB2B97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E、渗漏分析及整改方案</w:t>
      </w:r>
    </w:p>
    <w:p w14:paraId="52E4152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F、安全及文明施工保证措施</w:t>
      </w:r>
    </w:p>
    <w:p w14:paraId="24362D2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7.18所有未能通过验收之施工必须进行整改工作，整改工作必须有全过程记录包括过程照片记录。整改工作完成后乙方须提交有关资料予甲方及监理要求复检，复检验收合格后方可进行下一度工序。</w:t>
      </w:r>
      <w:r>
        <w:rPr>
          <w:rFonts w:hint="eastAsia" w:asciiTheme="majorEastAsia" w:hAnsiTheme="majorEastAsia" w:eastAsiaTheme="majorEastAsia" w:cstheme="majorEastAsia"/>
          <w:bCs/>
          <w:color w:val="auto"/>
          <w:sz w:val="24"/>
          <w:szCs w:val="24"/>
          <w:highlight w:val="none"/>
          <w:lang w:eastAsia="zh-CN"/>
        </w:rPr>
        <w:t>乙方</w:t>
      </w:r>
      <w:r>
        <w:rPr>
          <w:rFonts w:hint="eastAsia" w:asciiTheme="majorEastAsia" w:hAnsiTheme="majorEastAsia" w:eastAsiaTheme="majorEastAsia" w:cstheme="majorEastAsia"/>
          <w:bCs/>
          <w:color w:val="auto"/>
          <w:sz w:val="24"/>
          <w:szCs w:val="24"/>
          <w:highlight w:val="none"/>
        </w:rPr>
        <w:t>须妥善保存所有施工记录包括自检及整改记录。甲方及监理将定时抽查。乙方必须针对甲方或监理发出有关整改之函件及时作出回复，否则将按违约进行处理。</w:t>
      </w:r>
    </w:p>
    <w:p w14:paraId="5F85D36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7.19每周进度报告内容应包括形象进度照片、加工厂进度、材料运输进场进度、材料及资料送审及审批进度、每周施工计划、施工问题、施工进度统计(上一周及累计)包括核对洞口、窗框安装进度、发泡剂施工进度、收口进度以及调试进度等。</w:t>
      </w:r>
    </w:p>
    <w:p w14:paraId="24A50B3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7.20乙方必须</w:t>
      </w:r>
      <w:r>
        <w:rPr>
          <w:rFonts w:hint="eastAsia" w:asciiTheme="majorEastAsia" w:hAnsiTheme="majorEastAsia" w:eastAsiaTheme="majorEastAsia" w:cstheme="majorEastAsia"/>
          <w:bCs/>
          <w:color w:val="auto"/>
          <w:sz w:val="24"/>
          <w:szCs w:val="24"/>
          <w:highlight w:val="none"/>
          <w:lang w:eastAsia="zh-CN"/>
        </w:rPr>
        <w:t>按照</w:t>
      </w:r>
      <w:r>
        <w:rPr>
          <w:rFonts w:hint="eastAsia" w:asciiTheme="majorEastAsia" w:hAnsiTheme="majorEastAsia" w:eastAsiaTheme="majorEastAsia" w:cstheme="majorEastAsia"/>
          <w:bCs/>
          <w:color w:val="auto"/>
          <w:sz w:val="24"/>
          <w:szCs w:val="24"/>
          <w:highlight w:val="none"/>
        </w:rPr>
        <w:t>验收程序</w:t>
      </w:r>
      <w:r>
        <w:rPr>
          <w:rFonts w:hint="eastAsia" w:asciiTheme="majorEastAsia" w:hAnsiTheme="majorEastAsia" w:eastAsiaTheme="majorEastAsia" w:cstheme="majorEastAsia"/>
          <w:bCs/>
          <w:color w:val="auto"/>
          <w:sz w:val="24"/>
          <w:szCs w:val="24"/>
          <w:highlight w:val="none"/>
          <w:lang w:eastAsia="zh-CN"/>
        </w:rPr>
        <w:t>验收</w:t>
      </w:r>
      <w:r>
        <w:rPr>
          <w:rFonts w:hint="eastAsia" w:asciiTheme="majorEastAsia" w:hAnsiTheme="majorEastAsia" w:eastAsiaTheme="majorEastAsia" w:cstheme="majorEastAsia"/>
          <w:bCs/>
          <w:color w:val="auto"/>
          <w:sz w:val="24"/>
          <w:szCs w:val="24"/>
          <w:highlight w:val="none"/>
        </w:rPr>
        <w:t>方。当有关规范、法规、标准或合同内出现差异及矛盾时，应以现行的规范为准。</w:t>
      </w:r>
    </w:p>
    <w:p w14:paraId="43CCE4FF">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7.21洞口检查</w:t>
      </w:r>
    </w:p>
    <w:p w14:paraId="1D4ED39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A、在进行任何加工工作之前，乙方应对现有土建结构洞口进行尺寸复核并提交相关报告予甲方及监理审核。</w:t>
      </w:r>
    </w:p>
    <w:p w14:paraId="321CBC9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B、检查水平线，划垂直线、进出线。</w:t>
      </w:r>
    </w:p>
    <w:p w14:paraId="4371811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C、检查洞口基层是否滿足安装要求。</w:t>
      </w:r>
    </w:p>
    <w:p w14:paraId="528DBA5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D、制作各户窗表，方便现场检查及核对各窗形尺寸。</w:t>
      </w:r>
    </w:p>
    <w:p w14:paraId="7E29C99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E、窗框与洞口之间隙不得少于1</w:t>
      </w:r>
      <w:r>
        <w:rPr>
          <w:rFonts w:hint="eastAsia" w:asciiTheme="majorEastAsia" w:hAnsiTheme="majorEastAsia" w:eastAsiaTheme="majorEastAsia" w:cstheme="majorEastAsia"/>
          <w:bCs/>
          <w:color w:val="auto"/>
          <w:sz w:val="24"/>
          <w:szCs w:val="24"/>
          <w:highlight w:val="none"/>
          <w:lang w:val="en-US" w:eastAsia="zh-CN"/>
        </w:rPr>
        <w:t>0</w:t>
      </w:r>
      <w:r>
        <w:rPr>
          <w:rFonts w:hint="eastAsia" w:asciiTheme="majorEastAsia" w:hAnsiTheme="majorEastAsia" w:eastAsiaTheme="majorEastAsia" w:cstheme="majorEastAsia"/>
          <w:bCs/>
          <w:color w:val="auto"/>
          <w:sz w:val="24"/>
          <w:szCs w:val="24"/>
          <w:highlight w:val="none"/>
        </w:rPr>
        <w:t>mm不得超过30mm。过大之洞口必须使用同标号细石混凝土填塞后方可进行窗框安装工作。</w:t>
      </w:r>
    </w:p>
    <w:p w14:paraId="7A9617E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F、所有普查及整改工作必须有全过程记录。</w:t>
      </w:r>
    </w:p>
    <w:p w14:paraId="7902828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7.22</w:t>
      </w:r>
      <w:r>
        <w:rPr>
          <w:rFonts w:hint="eastAsia" w:asciiTheme="majorEastAsia" w:hAnsiTheme="majorEastAsia" w:eastAsiaTheme="majorEastAsia" w:cstheme="majorEastAsia"/>
          <w:bCs/>
          <w:color w:val="auto"/>
          <w:sz w:val="24"/>
          <w:szCs w:val="24"/>
          <w:highlight w:val="none"/>
        </w:rPr>
        <w:t>铝门窗框安装及锚固件</w:t>
      </w:r>
    </w:p>
    <w:p w14:paraId="2E48CE7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A、检查水平线，划垂直线、进出线。</w:t>
      </w:r>
    </w:p>
    <w:p w14:paraId="1A528C3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B、检查平整度、垂直度及对角度。</w:t>
      </w:r>
    </w:p>
    <w:p w14:paraId="5682B40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C、窗框安装必须牢固，膨胀螺栓不能牢固于抹灰及砖缝上。</w:t>
      </w:r>
    </w:p>
    <w:p w14:paraId="2D900FC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D、固定拉片射钉位置应在钢筋混凝土位置或预制混凝土块，否则必须采用膨胀螺钉固定。</w:t>
      </w:r>
    </w:p>
    <w:p w14:paraId="560364DF">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E、固定拉片必须为热镀锌，并检查是否有生锈现象。</w:t>
      </w:r>
    </w:p>
    <w:p w14:paraId="121A336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F、锚固件之间的间距不应大于500mm，锚固件距墙角不得大于200mm。</w:t>
      </w:r>
    </w:p>
    <w:p w14:paraId="1D86E4F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G、外框成品保护必须采用三面包裝方式，如保护膜脱落必须重新补贴。</w:t>
      </w:r>
    </w:p>
    <w:p w14:paraId="4C20733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H、防雷连接必须满足有关要求。</w:t>
      </w:r>
    </w:p>
    <w:p w14:paraId="36AE161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I、乙方须核对窗及门扇之开启方向并确定窗门扇及框之安装位置。</w:t>
      </w:r>
    </w:p>
    <w:p w14:paraId="5267BC9F">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7.23</w:t>
      </w:r>
      <w:r>
        <w:rPr>
          <w:rFonts w:hint="eastAsia" w:asciiTheme="majorEastAsia" w:hAnsiTheme="majorEastAsia" w:eastAsiaTheme="majorEastAsia" w:cstheme="majorEastAsia"/>
          <w:bCs/>
          <w:color w:val="auto"/>
          <w:sz w:val="24"/>
          <w:szCs w:val="24"/>
          <w:highlight w:val="none"/>
        </w:rPr>
        <w:t>填塞及收口</w:t>
      </w:r>
    </w:p>
    <w:p w14:paraId="1AF6027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A、乙须确保填塞材料为审批品牌及型号。</w:t>
      </w:r>
    </w:p>
    <w:p w14:paraId="14DF3F7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B、发泡胶填塞以及收口施工完毕后必须通过隐蔽验收方可进行下一道工序。</w:t>
      </w:r>
    </w:p>
    <w:p w14:paraId="29F3B235">
      <w:pPr>
        <w:spacing w:line="360" w:lineRule="auto"/>
        <w:ind w:firstLine="547" w:firstLineChars="228"/>
        <w:rPr>
          <w:rFonts w:hint="eastAsia" w:asciiTheme="majorEastAsia" w:hAnsiTheme="majorEastAsia" w:eastAsiaTheme="majorEastAsia" w:cstheme="majorEastAsia"/>
          <w:bCs/>
          <w:strike/>
          <w:color w:val="auto"/>
          <w:sz w:val="24"/>
          <w:szCs w:val="24"/>
          <w:highlight w:val="none"/>
        </w:rPr>
      </w:pPr>
      <w:r>
        <w:rPr>
          <w:rFonts w:hint="eastAsia" w:asciiTheme="majorEastAsia" w:hAnsiTheme="majorEastAsia" w:eastAsiaTheme="majorEastAsia" w:cstheme="majorEastAsia"/>
          <w:bCs/>
          <w:color w:val="auto"/>
          <w:sz w:val="24"/>
          <w:szCs w:val="24"/>
          <w:highlight w:val="none"/>
        </w:rPr>
        <w:t>C、发泡胶填塞收口必须密实。发泡胶填塞应控制在1~1.5cm之间，不得大于1.5cm。</w:t>
      </w:r>
    </w:p>
    <w:p w14:paraId="42B7D98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铝门窗最终实物检查</w:t>
      </w:r>
    </w:p>
    <w:p w14:paraId="67672B7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A、乙方须提交最终自检报告予甲方及监理审核。</w:t>
      </w:r>
    </w:p>
    <w:p w14:paraId="4CC3F0C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B、检查铝材表面污染、划痕、碰伤、色差、并缝空隙。</w:t>
      </w:r>
    </w:p>
    <w:p w14:paraId="1D758C0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C、检查五金件齐全、是否审批品牌、安装牢固包括螺钉是否松动或脱落、开启灵活。</w:t>
      </w:r>
    </w:p>
    <w:p w14:paraId="53021ECA">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D、检查密封胶条是位松脱、顺直且不得间断。</w:t>
      </w:r>
    </w:p>
    <w:p w14:paraId="6204E39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E、检查结构胶和密封胶胶形呈45度、顺直、平整及不得间断，密封胶颜色需经甲方及监理同意方可采用。</w:t>
      </w:r>
    </w:p>
    <w:p w14:paraId="35F238E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F、窗扇开启方向正确且开启畅顺，检查门窗关闭时，框与扇无明显缝隙以及关闭紧密。</w:t>
      </w:r>
    </w:p>
    <w:p w14:paraId="10361687">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G、检查玻璃材料表面污染、划痕、碰伤、所须3C标志及色差。</w:t>
      </w:r>
    </w:p>
    <w:p w14:paraId="7E8539AA">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乙方须安排足够人手包括验收、调试及整改人手以配合甲方及监理之最终验收。</w:t>
      </w:r>
    </w:p>
    <w:p w14:paraId="4CAEBB8B">
      <w:pPr>
        <w:pStyle w:val="7"/>
        <w:ind w:firstLine="240" w:firstLineChars="1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7.24百叶及幕墙、装饰条</w:t>
      </w:r>
    </w:p>
    <w:p w14:paraId="2B0AE2B5">
      <w:pPr>
        <w:pStyle w:val="8"/>
        <w:numPr>
          <w:ilvl w:val="0"/>
          <w:numId w:val="5"/>
        </w:numPr>
        <w:spacing w:line="360" w:lineRule="auto"/>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百叶框及百叶厚度尺寸，间距按设计图纸执行；安装之前送样经设计、工程确认后方可施工；</w:t>
      </w:r>
    </w:p>
    <w:p w14:paraId="086DA6B5">
      <w:pPr>
        <w:pStyle w:val="8"/>
        <w:numPr>
          <w:ilvl w:val="0"/>
          <w:numId w:val="5"/>
        </w:numPr>
        <w:spacing w:line="360" w:lineRule="auto"/>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插销及开启合页隐蔽安装；</w:t>
      </w:r>
    </w:p>
    <w:p w14:paraId="48286853">
      <w:pPr>
        <w:pStyle w:val="8"/>
        <w:numPr>
          <w:ilvl w:val="0"/>
          <w:numId w:val="5"/>
        </w:numPr>
        <w:spacing w:line="360" w:lineRule="auto"/>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百叶于洞口做贴脸安装，保证美观平整；</w:t>
      </w:r>
    </w:p>
    <w:p w14:paraId="3049BD5B">
      <w:pPr>
        <w:pStyle w:val="8"/>
        <w:numPr>
          <w:ilvl w:val="0"/>
          <w:numId w:val="5"/>
        </w:numPr>
        <w:spacing w:line="360" w:lineRule="auto"/>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幕墙装饰条与幕墙统一深化设计安装，结合保温收口齐整，打胶胶宽不大于1CM。</w:t>
      </w:r>
    </w:p>
    <w:p w14:paraId="070B381E">
      <w:pPr>
        <w:spacing w:line="360" w:lineRule="auto"/>
        <w:ind w:firstLine="0" w:firstLineChars="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8、产品包装和保护要求</w:t>
      </w:r>
    </w:p>
    <w:p w14:paraId="7537965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8.1在产品明显部位应注明产品标志：制造厂名或商标、产品名称、产品型号规格、安装部位、制造日期、编号等。</w:t>
      </w:r>
    </w:p>
    <w:p w14:paraId="05683137">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8.2型材正表面用胶质薄膜保护，窗框四角及容易磨损的部位采用防撞击及摩擦措施。运输中捆扎稳妥，以保证产品不受磨擦损伤。对没有进行保护或受损的产品，甲方有权拒收，由此产生的一切工期和经济损失均由乙方承担。</w:t>
      </w:r>
    </w:p>
    <w:p w14:paraId="434C7A0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8.3门窗安装时外框四周采用三面包装方式，即：除与墙体接触的部位外均采用纸质或胶带包装，与墙体接触的部位不进行包装，门窗外框与墙体间隙注胶（发泡剂）完毕后直到装玻璃前方能去除包装物。</w:t>
      </w:r>
    </w:p>
    <w:p w14:paraId="556BEBED">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8.4乙方必须提供产品安装后详细的保护措施（包括但不限于：铝合金型材包塑料胶带、玻璃贴保护膜、门框下槛用胶合板钉木盒予以保护等，该成品保护措施费用已包含在综合单价中），并配合总包土建单位进行监督和保护，</w:t>
      </w:r>
      <w:r>
        <w:rPr>
          <w:rFonts w:hint="eastAsia" w:asciiTheme="majorEastAsia" w:hAnsiTheme="majorEastAsia" w:eastAsiaTheme="majorEastAsia" w:cstheme="majorEastAsia"/>
          <w:bCs/>
          <w:color w:val="auto"/>
          <w:sz w:val="24"/>
          <w:szCs w:val="24"/>
          <w:highlight w:val="none"/>
          <w:lang w:val="en-US" w:eastAsia="zh-CN"/>
        </w:rPr>
        <w:t>如在安装过程中发现私自拆除总包单位临边防护，则由乙方恢复临边防护。</w:t>
      </w:r>
      <w:r>
        <w:rPr>
          <w:rFonts w:hint="eastAsia" w:asciiTheme="majorEastAsia" w:hAnsiTheme="majorEastAsia" w:eastAsiaTheme="majorEastAsia" w:cstheme="majorEastAsia"/>
          <w:bCs/>
          <w:color w:val="auto"/>
          <w:sz w:val="24"/>
          <w:szCs w:val="24"/>
          <w:highlight w:val="none"/>
        </w:rPr>
        <w:t>直至工程验收通过并完成相应的门窗保护材料的清理工作。</w:t>
      </w:r>
    </w:p>
    <w:p w14:paraId="39FDEA9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8.5在完成正式验收之前，乙方承担成品保护的责任。</w:t>
      </w:r>
    </w:p>
    <w:p w14:paraId="070D7D8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8.6铝门窗进入施工现场后应立即安放于室内竖直摆放，材料不能接触地面，底部用枕木垫起高于地面100mm以上，严禁与酸、碱性材料一起存放，室内应整洁、干燥及通风。</w:t>
      </w:r>
    </w:p>
    <w:p w14:paraId="0FB02E5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8.7乙方应注意门窗施工单位自身及其它施工单位于进行焊接作业时，应采取有效措施，防止电焊火花损坏周围的铝门窗型材、玻璃、附件等材料。</w:t>
      </w:r>
    </w:p>
    <w:p w14:paraId="34497D92">
      <w:pPr>
        <w:pStyle w:val="7"/>
        <w:ind w:firstLine="480" w:firstLineChars="20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8.8乙方在报价时应综合考虑幕墙窗上下层结构梁外侧玻璃背板涂料及幕墙钢框与主体之间剔凿及修复，幕墙框固定背板需开槽，固定螺栓不得超出总包单位粉刷完成面。</w:t>
      </w:r>
    </w:p>
    <w:p w14:paraId="1B253D57">
      <w:pPr>
        <w:widowControl/>
        <w:spacing w:line="500" w:lineRule="exact"/>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八</w:t>
      </w:r>
      <w:r>
        <w:rPr>
          <w:rFonts w:hint="eastAsia" w:asciiTheme="majorEastAsia" w:hAnsiTheme="majorEastAsia" w:eastAsiaTheme="majorEastAsia" w:cstheme="majorEastAsia"/>
          <w:b/>
          <w:bCs/>
          <w:color w:val="auto"/>
          <w:sz w:val="24"/>
          <w:szCs w:val="24"/>
          <w:highlight w:val="none"/>
        </w:rPr>
        <w:t>、</w:t>
      </w:r>
      <w:r>
        <w:rPr>
          <w:rFonts w:hint="eastAsia" w:asciiTheme="majorEastAsia" w:hAnsiTheme="majorEastAsia" w:eastAsiaTheme="majorEastAsia" w:cstheme="majorEastAsia"/>
          <w:b/>
          <w:color w:val="auto"/>
          <w:sz w:val="24"/>
          <w:szCs w:val="24"/>
          <w:highlight w:val="none"/>
        </w:rPr>
        <w:t>验收</w:t>
      </w:r>
    </w:p>
    <w:p w14:paraId="588B2E36">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1、工程验收必须以合同约定的质量要求、材料品牌、规格、型号、施工图纸及有关变更的书面文件、国家颁布的施工及验收规范和质量检验标准为依据。避难间及其它有防火要求的防火窗必须满足施工图设计的要求，乙方要负责通过消防验收。</w:t>
      </w:r>
    </w:p>
    <w:p w14:paraId="6D7FE843">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2、验收中如发现不合格需返工或修补的部分，乙方应及时进行整改，在规定期限内完成。经验收合格后再进行移交，由此发生的费用及逾期责任由乙方承担。</w:t>
      </w:r>
    </w:p>
    <w:p w14:paraId="4AB55473">
      <w:pPr>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3、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14:paraId="7AAA804A">
      <w:pPr>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4、双方应及时办理工程检查验收手续，分项工程完成后乙方应及时向监理单位报验，由监理单位组织甲方、乙方共同验收，并办理验收手续。</w:t>
      </w:r>
    </w:p>
    <w:p w14:paraId="7BDE393E">
      <w:pPr>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5、工程全部完工后，乙方提交</w:t>
      </w:r>
      <w:del w:id="32" w:author="Ms.h" w:date="2024-07-31T16:39:56Z">
        <w:r>
          <w:rPr>
            <w:rFonts w:hint="eastAsia" w:asciiTheme="majorEastAsia" w:hAnsiTheme="majorEastAsia" w:eastAsiaTheme="majorEastAsia" w:cstheme="majorEastAsia"/>
            <w:bCs/>
            <w:color w:val="auto"/>
            <w:sz w:val="24"/>
            <w:szCs w:val="24"/>
            <w:highlight w:val="none"/>
          </w:rPr>
          <w:delText>铝合金</w:delText>
        </w:r>
      </w:del>
      <w:r>
        <w:rPr>
          <w:rFonts w:hint="eastAsia" w:asciiTheme="majorEastAsia" w:hAnsiTheme="majorEastAsia" w:eastAsiaTheme="majorEastAsia" w:cstheme="majorEastAsia"/>
          <w:bCs/>
          <w:color w:val="auto"/>
          <w:sz w:val="24"/>
          <w:szCs w:val="24"/>
          <w:highlight w:val="none"/>
        </w:rPr>
        <w:t>工程竣工验收申请后14日历天内，甲方组织进行竣工验收，并开具竣工验收意见。</w:t>
      </w:r>
    </w:p>
    <w:p w14:paraId="1667CB15">
      <w:pPr>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6、工程验收合格后，乙方负责按工程竣工资料归档要求，提交满足洛阳市建筑工程质量监督站对技术资料的要求的交竣工资料肆套，把有关资料送交甲方。</w:t>
      </w:r>
    </w:p>
    <w:p w14:paraId="1889E756">
      <w:pPr>
        <w:widowControl/>
        <w:spacing w:before="4" w:line="360" w:lineRule="auto"/>
        <w:ind w:firstLine="120" w:firstLineChars="50"/>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eastAsia="zh-CN"/>
        </w:rPr>
        <w:t>九</w:t>
      </w:r>
      <w:r>
        <w:rPr>
          <w:rFonts w:hint="eastAsia" w:asciiTheme="majorEastAsia" w:hAnsiTheme="majorEastAsia" w:eastAsiaTheme="majorEastAsia" w:cstheme="majorEastAsia"/>
          <w:b/>
          <w:color w:val="auto"/>
          <w:sz w:val="24"/>
          <w:szCs w:val="24"/>
          <w:highlight w:val="none"/>
        </w:rPr>
        <w:t>、结算办法</w:t>
      </w:r>
    </w:p>
    <w:p w14:paraId="4FC413A8">
      <w:pPr>
        <w:snapToGrid w:val="0"/>
        <w:spacing w:line="360" w:lineRule="auto"/>
        <w:ind w:firstLine="420" w:firstLineChars="175"/>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1、本项目工程采用工程量清单综合单价报价，结算时依据图纸和现场实际情况，合同价形式为含税暂定总价，按门窗净面积*综合单价据实结算</w:t>
      </w:r>
      <w:r>
        <w:rPr>
          <w:rFonts w:hint="eastAsia" w:asciiTheme="majorEastAsia" w:hAnsiTheme="majorEastAsia" w:eastAsiaTheme="majorEastAsia" w:cstheme="majorEastAsia"/>
          <w:bCs/>
          <w:color w:val="auto"/>
          <w:sz w:val="24"/>
          <w:szCs w:val="24"/>
          <w:highlight w:val="none"/>
          <w:lang w:eastAsia="zh-CN"/>
        </w:rPr>
        <w:t>，</w:t>
      </w:r>
      <w:r>
        <w:rPr>
          <w:rFonts w:hint="eastAsia" w:asciiTheme="majorEastAsia" w:hAnsiTheme="majorEastAsia" w:eastAsiaTheme="majorEastAsia" w:cstheme="majorEastAsia"/>
          <w:bCs/>
          <w:color w:val="auto"/>
          <w:sz w:val="24"/>
          <w:szCs w:val="24"/>
          <w:highlight w:val="none"/>
        </w:rPr>
        <w:t>结算总价＝</w:t>
      </w:r>
      <w:r>
        <w:rPr>
          <w:rFonts w:hint="eastAsia" w:asciiTheme="majorEastAsia" w:hAnsiTheme="majorEastAsia" w:eastAsiaTheme="majorEastAsia" w:cstheme="majorEastAsia"/>
          <w:bCs/>
          <w:color w:val="auto"/>
          <w:sz w:val="24"/>
          <w:szCs w:val="24"/>
          <w:highlight w:val="none"/>
          <w:u w:val="single"/>
        </w:rPr>
        <w:t>固定综合单价×</w:t>
      </w:r>
      <w:r>
        <w:rPr>
          <w:rFonts w:hint="eastAsia" w:asciiTheme="majorEastAsia" w:hAnsiTheme="majorEastAsia" w:eastAsiaTheme="majorEastAsia" w:cstheme="majorEastAsia"/>
          <w:color w:val="auto"/>
          <w:sz w:val="24"/>
          <w:szCs w:val="24"/>
          <w:highlight w:val="none"/>
        </w:rPr>
        <w:t>施工图的门窗洞净口面积</w:t>
      </w:r>
      <w:r>
        <w:rPr>
          <w:rFonts w:hint="eastAsia" w:asciiTheme="majorEastAsia" w:hAnsiTheme="majorEastAsia" w:eastAsiaTheme="majorEastAsia" w:cstheme="majorEastAsia"/>
          <w:bCs/>
          <w:color w:val="auto"/>
          <w:sz w:val="24"/>
          <w:szCs w:val="24"/>
          <w:highlight w:val="none"/>
          <w:u w:val="single"/>
        </w:rPr>
        <w:t>±变更签证造价-其他应扣费用</w:t>
      </w:r>
      <w:r>
        <w:rPr>
          <w:rFonts w:hint="eastAsia" w:asciiTheme="majorEastAsia" w:hAnsiTheme="majorEastAsia" w:eastAsiaTheme="majorEastAsia" w:cstheme="majorEastAsia"/>
          <w:bCs/>
          <w:color w:val="auto"/>
          <w:sz w:val="24"/>
          <w:szCs w:val="24"/>
          <w:highlight w:val="none"/>
        </w:rPr>
        <w:t xml:space="preserve">。门窗净面积=外框高度*外框宽度，门窗外框高度按二次深化门窗图纸洞口高度-30mm、外框宽度按二次深化图纸门窗洞口宽度-30mm。若变更签证有附表中门、窗等形式之外的形式与后附工程量清单项目相同或相近的，则采用其相同或相近的单价，如后附工程量清单项目中没有相同或相近的，则由甲方认价后按照认价计入结算，其价格另行协商，且需在工程施工前上报招采合约部进行认价，并在结算时执行，结算后并入结算总价；否则按照甲方单方认定价格执行，进入结算总价。 </w:t>
      </w:r>
    </w:p>
    <w:p w14:paraId="42BDE132">
      <w:pPr>
        <w:snapToGrid w:val="0"/>
        <w:spacing w:line="360" w:lineRule="auto"/>
        <w:ind w:firstLine="470" w:firstLineChars="196"/>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2、</w:t>
      </w:r>
      <w:r>
        <w:rPr>
          <w:rFonts w:hint="eastAsia" w:asciiTheme="minorEastAsia" w:hAnsiTheme="minorEastAsia" w:eastAsiaTheme="minorEastAsia" w:cstheme="minorEastAsia"/>
          <w:color w:val="auto"/>
          <w:sz w:val="24"/>
          <w:szCs w:val="24"/>
          <w:highlight w:val="none"/>
        </w:rPr>
        <w:t>工程全部完工，经项目所在地具有管辖权政府职能部门验收合格且出具合格验收意见文件后30日内乙方提交装订成册完整的工程竣工结算资料两套，逾期提交或提交资料不合格，由此产生未能及时结算的责任由乙方承担。若乙方在上述时间内不提交结算资料，甲方有权单独进行结算，乙方应接受甲方结算结果；若提交资料不完整（遗漏或后补资料）视为放弃；放弃部分甲方只计算变更减少部分，不再计算变更增加部分，乙方不得提出异议，由此产生的未能及时结算的责任由乙方自己承担。甲方成本部门收到乙方提交合格的</w:t>
      </w:r>
      <w:commentRangeStart w:id="0"/>
      <w:r>
        <w:rPr>
          <w:rFonts w:hint="eastAsia" w:asciiTheme="minorEastAsia" w:hAnsiTheme="minorEastAsia" w:eastAsiaTheme="minorEastAsia" w:cstheme="minorEastAsia"/>
          <w:color w:val="auto"/>
          <w:sz w:val="24"/>
          <w:szCs w:val="24"/>
          <w:highlight w:val="none"/>
        </w:rPr>
        <w:t>结算资料后90个工作日内审查完毕并通知乙方</w:t>
      </w:r>
      <w:commentRangeEnd w:id="0"/>
      <w:r>
        <w:commentReference w:id="0"/>
      </w:r>
      <w:r>
        <w:rPr>
          <w:rFonts w:hint="eastAsia" w:asciiTheme="minorEastAsia" w:hAnsiTheme="minorEastAsia" w:eastAsiaTheme="minorEastAsia" w:cstheme="minorEastAsia"/>
          <w:color w:val="auto"/>
          <w:sz w:val="24"/>
          <w:szCs w:val="24"/>
          <w:highlight w:val="none"/>
        </w:rPr>
        <w:t>，乙方接到结算审查通知后10个工作日内确认或提出异议，逾期视为已认可甲方审查意见</w:t>
      </w:r>
      <w:r>
        <w:rPr>
          <w:rFonts w:hint="eastAsia" w:asciiTheme="minorEastAsia" w:hAnsiTheme="minorEastAsia" w:cstheme="minorEastAsia"/>
          <w:color w:val="auto"/>
          <w:sz w:val="24"/>
          <w:szCs w:val="24"/>
          <w:highlight w:val="none"/>
          <w:lang w:eastAsia="zh-CN"/>
        </w:rPr>
        <w:t>，最终结算金额以审计结果为准</w:t>
      </w:r>
      <w:r>
        <w:rPr>
          <w:rFonts w:hint="eastAsia" w:asciiTheme="minorEastAsia" w:hAnsiTheme="minorEastAsia" w:eastAsiaTheme="minorEastAsia" w:cstheme="minorEastAsia"/>
          <w:color w:val="auto"/>
          <w:sz w:val="24"/>
          <w:szCs w:val="24"/>
          <w:highlight w:val="none"/>
        </w:rPr>
        <w:t>。</w:t>
      </w:r>
      <w:r>
        <w:rPr>
          <w:rFonts w:hint="eastAsia" w:asciiTheme="majorEastAsia" w:hAnsiTheme="majorEastAsia" w:eastAsiaTheme="majorEastAsia" w:cstheme="majorEastAsia"/>
          <w:bCs/>
          <w:color w:val="auto"/>
          <w:sz w:val="24"/>
          <w:szCs w:val="24"/>
          <w:highlight w:val="none"/>
        </w:rPr>
        <w:t xml:space="preserve"> </w:t>
      </w:r>
    </w:p>
    <w:p w14:paraId="7D82825C">
      <w:pPr>
        <w:widowControl/>
        <w:adjustRightInd w:val="0"/>
        <w:snapToGrid w:val="0"/>
        <w:spacing w:line="360" w:lineRule="auto"/>
        <w:ind w:firstLine="480" w:firstLineChars="200"/>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3、</w:t>
      </w:r>
      <w:r>
        <w:rPr>
          <w:rFonts w:hint="eastAsia" w:asciiTheme="majorEastAsia" w:hAnsiTheme="majorEastAsia" w:eastAsiaTheme="majorEastAsia" w:cstheme="majorEastAsia"/>
          <w:color w:val="auto"/>
          <w:sz w:val="24"/>
          <w:szCs w:val="24"/>
          <w:highlight w:val="none"/>
        </w:rPr>
        <w:t>乙方报送结算书应诚实准确，若最终审减额（报送金额-结算金额）超过结算金额的5%，则需要乙方向甲方支付超出5%部分的金额3%作为违约金，且违约金在结算金额中一次性扣除。</w:t>
      </w:r>
      <w:r>
        <w:rPr>
          <w:rFonts w:hint="eastAsia" w:asciiTheme="majorEastAsia" w:hAnsiTheme="majorEastAsia" w:eastAsiaTheme="majorEastAsia" w:cstheme="majorEastAsia"/>
          <w:bCs/>
          <w:color w:val="auto"/>
          <w:sz w:val="24"/>
          <w:szCs w:val="24"/>
          <w:highlight w:val="none"/>
        </w:rPr>
        <w:t xml:space="preserve"> </w:t>
      </w:r>
    </w:p>
    <w:p w14:paraId="6ADC6F1C">
      <w:pPr>
        <w:snapToGrid w:val="0"/>
        <w:spacing w:line="360" w:lineRule="auto"/>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4、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r>
        <w:rPr>
          <w:rFonts w:hint="eastAsia" w:asciiTheme="majorEastAsia" w:hAnsiTheme="majorEastAsia" w:eastAsiaTheme="majorEastAsia" w:cstheme="majorEastAsia"/>
          <w:color w:val="auto"/>
          <w:sz w:val="24"/>
          <w:szCs w:val="24"/>
          <w:highlight w:val="none"/>
        </w:rPr>
        <w:t xml:space="preserve"> </w:t>
      </w:r>
    </w:p>
    <w:p w14:paraId="1E06BACB">
      <w:pPr>
        <w:snapToGrid w:val="0"/>
        <w:spacing w:line="360" w:lineRule="auto"/>
        <w:ind w:firstLine="420" w:firstLineChars="175"/>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color w:val="auto"/>
          <w:sz w:val="24"/>
          <w:szCs w:val="24"/>
          <w:highlight w:val="none"/>
          <w:lang w:val="en-US" w:eastAsia="zh-CN"/>
        </w:rPr>
        <w:t>5、调差及其他:本工程对市场价格波动引起的调整，对铝锭、玻璃主材价格（包含运杂、运输损耗、装卸等费用）进行调整；其余所有人工、材料、机械等均不随市场价格或政策变化而调整，单栋楼门窗具体调整方式：</w:t>
      </w:r>
    </w:p>
    <w:p w14:paraId="3268B1CA">
      <w:pPr>
        <w:numPr>
          <w:ilvl w:val="0"/>
          <w:numId w:val="0"/>
        </w:numPr>
        <w:snapToGrid w:val="0"/>
        <w:spacing w:line="360" w:lineRule="auto"/>
        <w:ind w:firstLine="420" w:firstLineChars="175"/>
        <w:jc w:val="left"/>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5.1铝锭：</w:t>
      </w:r>
    </w:p>
    <w:p w14:paraId="5AEF7C16">
      <w:pPr>
        <w:numPr>
          <w:ilvl w:val="-1"/>
          <w:numId w:val="0"/>
        </w:numPr>
        <w:snapToGrid w:val="0"/>
        <w:spacing w:line="360" w:lineRule="auto"/>
        <w:ind w:firstLine="420" w:firstLineChars="175"/>
        <w:jc w:val="left"/>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(1)投标时铝锭主材价格由投标人结合市场自主报价；</w:t>
      </w:r>
    </w:p>
    <w:p w14:paraId="7A808DC1">
      <w:pPr>
        <w:numPr>
          <w:ilvl w:val="-1"/>
          <w:numId w:val="0"/>
        </w:numPr>
        <w:snapToGrid w:val="0"/>
        <w:spacing w:line="360" w:lineRule="auto"/>
        <w:ind w:firstLine="420" w:firstLineChars="175"/>
        <w:jc w:val="left"/>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(2)基期铝锭除税价格A（税率13%）：本次合同铝锭按照2024年3月22日长江有色金属A00铝MA1当日价格19310元/吨作为基准价；恰遇周六、日、休市日、节假日，则按周六、日、休市日、节假日前一个交易日现货均价执行(除税价格)；</w:t>
      </w:r>
    </w:p>
    <w:p w14:paraId="1B35A439">
      <w:pPr>
        <w:numPr>
          <w:ilvl w:val="-1"/>
          <w:numId w:val="0"/>
        </w:numPr>
        <w:snapToGrid w:val="0"/>
        <w:spacing w:line="360" w:lineRule="auto"/>
        <w:ind w:firstLine="420" w:firstLineChars="175"/>
        <w:jc w:val="left"/>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(3)施工期除税价格B（税率13%）：以门窗框料第一次进场日（以甲方通知进场日期为准）前20天再往前推7天内的铝锭算术平均价格（遇到节假日无价格时，前推计足7天的平均值）为施工期价格；当施工期价格与基期铝锭价格之比浮动率在±5%以内(含±5%)不予调整，超过±5%时，只对超出部分进行调整(除税价格)；</w:t>
      </w:r>
    </w:p>
    <w:p w14:paraId="57AD95F7">
      <w:pPr>
        <w:numPr>
          <w:ilvl w:val="-1"/>
          <w:numId w:val="0"/>
        </w:numPr>
        <w:snapToGrid w:val="0"/>
        <w:spacing w:line="360" w:lineRule="auto"/>
        <w:ind w:firstLine="420" w:firstLineChars="175"/>
        <w:jc w:val="left"/>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(4)铝材调差费用=[B-A*(1±5%)]*可调差铝材总量*（1+合同增值税税率），上涨时为+5%，下跌时为-5%；</w:t>
      </w:r>
    </w:p>
    <w:p w14:paraId="71CF98F3">
      <w:pPr>
        <w:numPr>
          <w:ilvl w:val="-1"/>
          <w:numId w:val="0"/>
        </w:numPr>
        <w:snapToGrid w:val="0"/>
        <w:spacing w:line="360" w:lineRule="auto"/>
        <w:ind w:firstLine="420" w:firstLineChars="175"/>
        <w:jc w:val="left"/>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(5)调差部分只计税金，其他均不作调整；</w:t>
      </w:r>
    </w:p>
    <w:p w14:paraId="7294B693">
      <w:pPr>
        <w:snapToGrid w:val="0"/>
        <w:spacing w:line="360" w:lineRule="auto"/>
        <w:ind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5.2玻璃（仅对浮法玻璃原片进行调差，二次深加工钢化、镀膜、中空、加胶、防火处理等不调差）：</w:t>
      </w:r>
    </w:p>
    <w:p w14:paraId="2B61FB67">
      <w:pPr>
        <w:snapToGrid/>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(1)投标时玻璃主材价格由投标人结合市场自主报价；</w:t>
      </w:r>
    </w:p>
    <w:p w14:paraId="2ED13ED2">
      <w:pPr>
        <w:snapToGrid/>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(2)基期玻璃除税价格P0（</w:t>
      </w:r>
      <w:r>
        <w:rPr>
          <w:rFonts w:hint="eastAsia" w:asciiTheme="majorEastAsia" w:hAnsiTheme="majorEastAsia" w:eastAsiaTheme="majorEastAsia" w:cstheme="majorEastAsia"/>
          <w:bCs/>
          <w:color w:val="auto"/>
          <w:sz w:val="24"/>
          <w:szCs w:val="24"/>
          <w:highlight w:val="none"/>
          <w:lang w:val="en-US" w:eastAsia="zh-CN"/>
        </w:rPr>
        <w:t>税率13%</w:t>
      </w:r>
      <w:r>
        <w:rPr>
          <w:rFonts w:hint="eastAsia" w:asciiTheme="majorEastAsia" w:hAnsiTheme="majorEastAsia" w:eastAsiaTheme="majorEastAsia" w:cstheme="majorEastAsia"/>
          <w:color w:val="auto"/>
          <w:sz w:val="24"/>
          <w:szCs w:val="24"/>
          <w:highlight w:val="none"/>
          <w:lang w:val="en-US" w:eastAsia="zh-CN"/>
        </w:rPr>
        <w:t>）：以合同签订日对应当期（签约日对应的上旬、中旬或下旬）价格为基期价格；玻璃价格以国家统计局(http://www.stats.gov.cn)“流通领域重要生产资料市场价格变动情况”公布的“浮法平板玻璃4.8/5mm”价格为准；</w:t>
      </w:r>
    </w:p>
    <w:p w14:paraId="0D02C379">
      <w:pPr>
        <w:snapToGrid/>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施工期玻璃价格P1（除税价）：以首批玻璃进场日对应当期（以甲方通知玻璃进场日对应的上旬、中旬或下旬）算术平均价格为施工期价格；当施工期价格与基期价格之比浮动率在±5%以内(含±5%)不予调整，超过±5%时，只对超出部分进行调整(除税价格)；</w:t>
      </w:r>
    </w:p>
    <w:p w14:paraId="565C20B6">
      <w:pPr>
        <w:snapToGrid/>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(4)玻璃调差费用=[P1-P0*(1±5%)]*可调差玻璃总量*（1+合同增值税税率）/(80.00或66.67或40.00)，上涨时为+5%，下跌时为-5%；</w:t>
      </w:r>
    </w:p>
    <w:p w14:paraId="51B1BCB8">
      <w:pPr>
        <w:snapToGrid w:val="0"/>
        <w:spacing w:line="360" w:lineRule="auto"/>
        <w:ind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(5)玻璃总量玻璃总量的计算，吨单价与平米单价折合关系为：5mm厚每吨=80.00㎡，6mm厚每吨=66.67㎡，8mm厚每吨=50.00㎡，10mm厚每吨=40.00㎡；双层或三层玻璃按同型号叠加计算。</w:t>
      </w:r>
      <w:r>
        <w:rPr>
          <w:rFonts w:hint="eastAsia" w:asciiTheme="majorEastAsia" w:hAnsiTheme="majorEastAsia" w:eastAsiaTheme="majorEastAsia" w:cstheme="majorEastAsia"/>
          <w:color w:val="auto"/>
          <w:sz w:val="24"/>
          <w:szCs w:val="24"/>
          <w:highlight w:val="none"/>
        </w:rPr>
        <w:t xml:space="preserve"> </w:t>
      </w:r>
    </w:p>
    <w:p w14:paraId="6960657E">
      <w:pPr>
        <w:snapToGrid w:val="0"/>
        <w:spacing w:line="360" w:lineRule="auto"/>
        <w:ind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十、双方责任与义务</w:t>
      </w:r>
    </w:p>
    <w:p w14:paraId="6FA77FAD">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1、甲方的责任与义务</w:t>
      </w:r>
    </w:p>
    <w:p w14:paraId="67C213DE">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1.1、遵守法律、法规和规章，甲方应在其实施本合同的全部工作中遵守与本合同有关的法律、法规和规章，并应承担由于其自身违反上述法律、法规和规章的责任。</w:t>
      </w:r>
    </w:p>
    <w:p w14:paraId="5A9FC2B9">
      <w:pPr>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1.2、甲方委派</w:t>
      </w:r>
      <w:r>
        <w:rPr>
          <w:rFonts w:hint="eastAsia" w:asciiTheme="minorEastAsia" w:hAnsiTheme="minorEastAsia" w:cstheme="minorEastAsia"/>
          <w:color w:val="auto"/>
          <w:kern w:val="24"/>
          <w:sz w:val="24"/>
          <w:szCs w:val="24"/>
          <w:highlight w:val="none"/>
          <w:u w:val="single"/>
          <w:lang w:val="en-US" w:eastAsia="zh-CN"/>
        </w:rPr>
        <w:t>陈卓</w:t>
      </w:r>
      <w:r>
        <w:rPr>
          <w:rFonts w:hint="eastAsia" w:asciiTheme="minorEastAsia" w:hAnsiTheme="minorEastAsia" w:eastAsiaTheme="minorEastAsia" w:cstheme="minorEastAsia"/>
          <w:color w:val="auto"/>
          <w:kern w:val="24"/>
          <w:sz w:val="24"/>
          <w:szCs w:val="24"/>
          <w:highlight w:val="none"/>
          <w:u w:val="single"/>
        </w:rPr>
        <w:t>，</w:t>
      </w:r>
      <w:r>
        <w:rPr>
          <w:rFonts w:hint="eastAsia" w:asciiTheme="minorEastAsia" w:hAnsiTheme="minorEastAsia" w:eastAsiaTheme="minorEastAsia" w:cstheme="minorEastAsia"/>
          <w:color w:val="auto"/>
          <w:kern w:val="24"/>
          <w:sz w:val="24"/>
          <w:szCs w:val="24"/>
          <w:highlight w:val="none"/>
        </w:rPr>
        <w:t>电话：</w:t>
      </w:r>
      <w:r>
        <w:rPr>
          <w:rFonts w:hint="eastAsia" w:asciiTheme="minorEastAsia" w:hAnsiTheme="minorEastAsia" w:cstheme="minorEastAsia"/>
          <w:color w:val="auto"/>
          <w:kern w:val="24"/>
          <w:sz w:val="24"/>
          <w:szCs w:val="24"/>
          <w:highlight w:val="none"/>
          <w:u w:val="single"/>
          <w:lang w:val="en-US" w:eastAsia="zh-CN"/>
        </w:rPr>
        <w:t>18611572097</w:t>
      </w:r>
      <w:r>
        <w:rPr>
          <w:rFonts w:hint="eastAsia" w:asciiTheme="minorEastAsia" w:hAnsiTheme="minorEastAsia" w:cstheme="minorEastAsia"/>
          <w:color w:val="auto"/>
          <w:kern w:val="24"/>
          <w:sz w:val="24"/>
          <w:szCs w:val="24"/>
          <w:highlight w:val="none"/>
          <w:lang w:eastAsia="zh-CN"/>
        </w:rPr>
        <w:t>，</w:t>
      </w:r>
      <w:r>
        <w:rPr>
          <w:rFonts w:hint="eastAsia" w:asciiTheme="majorEastAsia" w:hAnsiTheme="majorEastAsia" w:eastAsiaTheme="majorEastAsia" w:cstheme="majorEastAsia"/>
          <w:color w:val="auto"/>
          <w:sz w:val="24"/>
          <w:szCs w:val="24"/>
          <w:highlight w:val="none"/>
        </w:rPr>
        <w:t>监督、检查产品、工程的质量，协调工作中发生的有关事宜，并参与产品、工程的初验、验收和签证工作。如现场代表变更则需及时通知乙方。</w:t>
      </w:r>
      <w:r>
        <w:rPr>
          <w:rFonts w:hint="eastAsia" w:asciiTheme="majorEastAsia" w:hAnsiTheme="majorEastAsia" w:eastAsiaTheme="majorEastAsia" w:cstheme="majorEastAsia"/>
          <w:color w:val="auto"/>
          <w:sz w:val="24"/>
          <w:szCs w:val="24"/>
          <w:highlight w:val="none"/>
          <w:lang w:val="en-US" w:eastAsia="zh-CN"/>
        </w:rPr>
        <w:t xml:space="preserve"> </w:t>
      </w:r>
    </w:p>
    <w:p w14:paraId="1277F9F7">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1.3、甲方应提供乙方所需工程建筑图、说明书、建筑平面图、变更图及有关技术文件等作为乙方产品设计和施工的有效依据。</w:t>
      </w:r>
    </w:p>
    <w:p w14:paraId="3E86AB61">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1.4、甲方协调乙方与土建单位施工配合问题，并督促工程进度。</w:t>
      </w:r>
    </w:p>
    <w:p w14:paraId="48FDBFEE">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1.5、签订合同时，甲方向乙方提供建筑施工图、变更通知及相关材料1套。</w:t>
      </w:r>
    </w:p>
    <w:p w14:paraId="7477A43D">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1.6、甲方应及时按合同要求给乙方拨付工程款、组织工程竣工验收并按合同规定办理竣工结算。</w:t>
      </w:r>
    </w:p>
    <w:p w14:paraId="7EF641CB">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1.7、进场材料及施工成品、半成品达不到标准要求的，甲方有权责令乙方调换。</w:t>
      </w:r>
    </w:p>
    <w:p w14:paraId="66B2D27B">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1.8、为乙方协调水源、电源接驳点。</w:t>
      </w:r>
    </w:p>
    <w:p w14:paraId="1CF302BA">
      <w:pPr>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1.9、若该项目施工单位工期延误15天以上，甲方有权委托其他施工单位施工，委托产生的费用按不低于该部分合同额的1.3倍从下一批工程款中扣除。</w:t>
      </w:r>
    </w:p>
    <w:p w14:paraId="20B8074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乙方责任与义务</w:t>
      </w:r>
    </w:p>
    <w:p w14:paraId="7C10E7E2">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2.1、遵守法律、法规和规章，乙方应在其负责的各项工作中遵守与本合同工程有关的法律、法规和规章，并保证甲方免于承担由于乙方违反上述法律、法规和规章的任何责任。</w:t>
      </w:r>
    </w:p>
    <w:p w14:paraId="03D515B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2.2、乙方委派</w:t>
      </w:r>
      <w:r>
        <w:rPr>
          <w:rFonts w:hint="eastAsia" w:asciiTheme="majorEastAsia" w:hAnsiTheme="majorEastAsia" w:eastAsiaTheme="majorEastAsia" w:cstheme="majorEastAsia"/>
          <w:color w:val="auto"/>
          <w:sz w:val="24"/>
          <w:szCs w:val="24"/>
          <w:highlight w:val="none"/>
          <w:u w:val="single"/>
          <w:lang w:val="en-US" w:eastAsia="zh-CN"/>
        </w:rPr>
        <w:t>周定军</w:t>
      </w:r>
      <w:r>
        <w:rPr>
          <w:rFonts w:hint="eastAsia" w:asciiTheme="majorEastAsia" w:hAnsiTheme="majorEastAsia" w:eastAsiaTheme="majorEastAsia" w:cstheme="majorEastAsia"/>
          <w:color w:val="auto"/>
          <w:sz w:val="24"/>
          <w:szCs w:val="24"/>
          <w:highlight w:val="none"/>
        </w:rPr>
        <w:t>为现场代表</w:t>
      </w:r>
      <w:r>
        <w:rPr>
          <w:rFonts w:hint="eastAsia" w:asciiTheme="majorEastAsia" w:hAnsiTheme="majorEastAsia" w:eastAsiaTheme="majorEastAsia" w:cstheme="majorEastAsia"/>
          <w:color w:val="auto"/>
          <w:sz w:val="24"/>
          <w:szCs w:val="24"/>
          <w:highlight w:val="none"/>
          <w:lang w:eastAsia="zh-CN"/>
        </w:rPr>
        <w:t>身份证号</w:t>
      </w:r>
      <w:r>
        <w:rPr>
          <w:rFonts w:hint="eastAsia" w:asciiTheme="majorEastAsia" w:hAnsiTheme="majorEastAsia" w:eastAsiaTheme="majorEastAsia" w:cstheme="majorEastAsia"/>
          <w:color w:val="auto"/>
          <w:sz w:val="24"/>
          <w:szCs w:val="24"/>
          <w:highlight w:val="none"/>
          <w:u w:val="single"/>
          <w:lang w:val="en-US" w:eastAsia="zh-CN"/>
        </w:rPr>
        <w:t>410121197312134311</w:t>
      </w:r>
      <w:r>
        <w:rPr>
          <w:rFonts w:hint="eastAsia" w:asciiTheme="majorEastAsia" w:hAnsiTheme="majorEastAsia" w:eastAsiaTheme="majorEastAsia" w:cstheme="majorEastAsia"/>
          <w:color w:val="auto"/>
          <w:sz w:val="24"/>
          <w:szCs w:val="24"/>
          <w:highlight w:val="none"/>
        </w:rPr>
        <w:t>，电话</w:t>
      </w:r>
      <w:r>
        <w:rPr>
          <w:rFonts w:hint="eastAsia" w:asciiTheme="majorEastAsia" w:hAnsiTheme="majorEastAsia" w:eastAsiaTheme="majorEastAsia" w:cstheme="majorEastAsia"/>
          <w:color w:val="auto"/>
          <w:sz w:val="24"/>
          <w:szCs w:val="24"/>
          <w:highlight w:val="none"/>
          <w:lang w:val="en-US" w:eastAsia="zh-CN"/>
        </w:rPr>
        <w:t xml:space="preserve">17320197598 </w:t>
      </w:r>
      <w:r>
        <w:rPr>
          <w:rFonts w:hint="eastAsia" w:asciiTheme="majorEastAsia" w:hAnsiTheme="majorEastAsia" w:eastAsiaTheme="majorEastAsia" w:cstheme="majorEastAsia"/>
          <w:color w:val="auto"/>
          <w:sz w:val="24"/>
          <w:szCs w:val="24"/>
          <w:highlight w:val="none"/>
        </w:rPr>
        <w:t>，负责施工期间的施工质量、安全问题，协调工作中发生的有关事宜。如现场代表变更则需经甲方同意。</w:t>
      </w:r>
    </w:p>
    <w:p w14:paraId="1C5CCB5F">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2.3、乙方应服从甲方、监理单位、总承包单位的管理，密切配合总承包单位施工，遵守工地的有关规定；严格实行工序开工前向监理报验制度。</w:t>
      </w:r>
    </w:p>
    <w:p w14:paraId="1F2F911B">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2.4、本工程监理单位：</w:t>
      </w:r>
      <w:r>
        <w:rPr>
          <w:rFonts w:hint="eastAsia" w:asciiTheme="majorEastAsia" w:hAnsiTheme="majorEastAsia" w:eastAsiaTheme="majorEastAsia" w:cstheme="majorEastAsia"/>
          <w:color w:val="auto"/>
          <w:sz w:val="24"/>
          <w:szCs w:val="24"/>
          <w:highlight w:val="none"/>
          <w:lang w:eastAsia="zh-CN"/>
        </w:rPr>
        <w:t>中机十院国际工程有限公司</w:t>
      </w:r>
      <w:r>
        <w:rPr>
          <w:rFonts w:hint="eastAsia" w:asciiTheme="majorEastAsia" w:hAnsiTheme="majorEastAsia" w:eastAsiaTheme="majorEastAsia" w:cstheme="majorEastAsia"/>
          <w:color w:val="auto"/>
          <w:sz w:val="24"/>
          <w:szCs w:val="24"/>
          <w:highlight w:val="none"/>
        </w:rPr>
        <w:t>。</w:t>
      </w:r>
    </w:p>
    <w:p w14:paraId="297558D7">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2.5、乙方不得将该工程转包或分包，否则甲方不支付乙方所发生的任何费用。</w:t>
      </w:r>
    </w:p>
    <w:p w14:paraId="5CC4D604">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按照施工安全规范的要求，采取相应的安全施工防护措施，对验收合格前的安全负全责，发生安全事故与甲方及总承包单位无关，一切责任由乙方承担，甲方因此承担责任的，乙方应负责赔偿；做到文明施工，工完料清、场清；乙方做好半成品保护工作。</w:t>
      </w:r>
    </w:p>
    <w:p w14:paraId="63577B45">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2.7、做好各项质量自检记录，参加竣工验收，编制工程结算。</w:t>
      </w:r>
    </w:p>
    <w:p w14:paraId="2897BC91">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2.8、遵守国家或地方政府及有关部门对施工现场管理规定；服从甲方的有关指令，积极配合甲方进度安排。</w:t>
      </w:r>
    </w:p>
    <w:p w14:paraId="5D125786">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2.9、依据规范要求，负责组织工程验收及检测。</w:t>
      </w:r>
    </w:p>
    <w:p w14:paraId="712BD587">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2.10、根据施工验收规范及甲方要求，及时向甲方和总承包单位提供该分项技术资料。</w:t>
      </w:r>
    </w:p>
    <w:p w14:paraId="33D0598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2.11、甲方告知水源电源接驳点，但是具体接驳工作及产生的水电费由乙方自行承担。乙方在施工中用水、用电耗直接向总承包单位缴纳（具体的计量计价方式由乙方和总承包单位自行协商确定）。</w:t>
      </w:r>
    </w:p>
    <w:p w14:paraId="4E4DA2DE">
      <w:pPr>
        <w:pStyle w:val="7"/>
        <w:ind w:firstLine="480"/>
        <w:rPr>
          <w:rFonts w:hint="eastAsia" w:asciiTheme="majorEastAsia" w:hAnsiTheme="majorEastAsia" w:eastAsiaTheme="majorEastAsia" w:cstheme="majorEastAsia"/>
          <w:color w:val="auto"/>
          <w:kern w:val="2"/>
          <w:sz w:val="24"/>
          <w:szCs w:val="24"/>
          <w:highlight w:val="none"/>
        </w:rPr>
      </w:pPr>
      <w:r>
        <w:rPr>
          <w:rFonts w:hint="eastAsia" w:asciiTheme="majorEastAsia" w:hAnsiTheme="majorEastAsia" w:eastAsiaTheme="majorEastAsia" w:cstheme="majorEastAsia"/>
          <w:color w:val="auto"/>
          <w:kern w:val="2"/>
          <w:sz w:val="24"/>
          <w:szCs w:val="24"/>
          <w:highlight w:val="none"/>
        </w:rPr>
        <w:t>2.12 乙方派驻本工程的人员，未经甲方书面同意不得擅自更换，但是，甲方有权要求乙方更换甲方认为不合适或不能胜任本项目的人员。乙方擅自更换安排在本项目的人员，每发现一次，应按</w:t>
      </w:r>
      <w:r>
        <w:rPr>
          <w:rFonts w:hint="eastAsia" w:asciiTheme="majorEastAsia" w:hAnsiTheme="majorEastAsia" w:eastAsiaTheme="majorEastAsia" w:cstheme="majorEastAsia"/>
          <w:color w:val="auto"/>
          <w:kern w:val="2"/>
          <w:sz w:val="24"/>
          <w:szCs w:val="24"/>
          <w:highlight w:val="none"/>
          <w:lang w:val="en-US" w:eastAsia="zh-CN"/>
        </w:rPr>
        <w:t>5000</w:t>
      </w:r>
      <w:r>
        <w:rPr>
          <w:rFonts w:hint="eastAsia" w:asciiTheme="majorEastAsia" w:hAnsiTheme="majorEastAsia" w:eastAsiaTheme="majorEastAsia" w:cstheme="majorEastAsia"/>
          <w:color w:val="auto"/>
          <w:kern w:val="2"/>
          <w:sz w:val="24"/>
          <w:szCs w:val="24"/>
          <w:highlight w:val="none"/>
        </w:rPr>
        <w:t>元/人次的标准向甲方支付违约金；甲方认为相关人员不合适或不能胜任本项目的，有权要求乙方更换，乙方应立即安排更换并再次经甲方面试合格后方可进场，更换后的人员须具有相关资格且乙方应合理安排更换期间的工作。</w:t>
      </w:r>
    </w:p>
    <w:p w14:paraId="494C336E">
      <w:pPr>
        <w:pStyle w:val="8"/>
        <w:ind w:firstLine="48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2.13 有关现场安全文明施工及劳动纪律要求，详见《悠然居项目现场管理制度》。</w:t>
      </w:r>
    </w:p>
    <w:p w14:paraId="7A6E34C2">
      <w:pPr>
        <w:pStyle w:val="7"/>
        <w:wordWrap/>
        <w:overflowPunct/>
        <w:topLinePunct w:val="0"/>
        <w:autoSpaceDE/>
        <w:ind w:firstLine="0" w:firstLineChars="0"/>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cstheme="minorEastAsia"/>
          <w:b/>
          <w:bCs/>
          <w:color w:val="auto"/>
          <w:sz w:val="24"/>
          <w:szCs w:val="24"/>
          <w:highlight w:val="none"/>
          <w:lang w:eastAsia="zh-CN"/>
        </w:rPr>
        <w:t>一</w:t>
      </w:r>
      <w:r>
        <w:rPr>
          <w:rFonts w:hint="eastAsia" w:asciiTheme="minorEastAsia" w:hAnsiTheme="minorEastAsia" w:eastAsiaTheme="minorEastAsia" w:cstheme="minorEastAsia"/>
          <w:b/>
          <w:bCs/>
          <w:color w:val="auto"/>
          <w:sz w:val="24"/>
          <w:szCs w:val="24"/>
          <w:highlight w:val="none"/>
        </w:rPr>
        <w:t>、履约保证金</w:t>
      </w:r>
    </w:p>
    <w:p w14:paraId="454FA10C">
      <w:pPr>
        <w:pStyle w:val="30"/>
        <w:numPr>
          <w:ilvl w:val="1"/>
          <w:numId w:val="0"/>
        </w:numPr>
        <w:tabs>
          <w:tab w:val="left" w:pos="907"/>
        </w:tabs>
        <w:spacing w:before="156" w:beforeLines="50" w:after="156"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1、招标时采用现金形式缴纳投标保证金的，在中标后自动转为履约保证金；</w:t>
      </w:r>
    </w:p>
    <w:p w14:paraId="4F2117D4">
      <w:pPr>
        <w:pStyle w:val="30"/>
        <w:numPr>
          <w:ilvl w:val="1"/>
          <w:numId w:val="0"/>
        </w:numPr>
        <w:tabs>
          <w:tab w:val="left" w:pos="907"/>
        </w:tabs>
        <w:spacing w:before="156" w:beforeLines="50" w:after="156"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招标时采用银行保函形式的，在合同签订后20日历天内完成合同金额的0.5%现金履约保证金的缴纳或出具合同金额的1%的银行履约保函。逾期未现金缴纳或者未开具保函的，在第一次付款时按合同金额1%进行工程款扣除作为履约保证金。</w:t>
      </w:r>
    </w:p>
    <w:p w14:paraId="0DF8E111">
      <w:pPr>
        <w:pStyle w:val="30"/>
        <w:numPr>
          <w:ilvl w:val="1"/>
          <w:numId w:val="0"/>
        </w:numPr>
        <w:tabs>
          <w:tab w:val="left" w:pos="907"/>
        </w:tabs>
        <w:wordWrap w:val="0"/>
        <w:overflowPunct w:val="0"/>
        <w:topLinePunct/>
        <w:autoSpaceDE w:val="0"/>
        <w:spacing w:before="156" w:beforeLines="50" w:after="156" w:afterLines="50"/>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rPr>
        <w:t>3、履约保证金的期限自合同签订之日起至施工完成且验收合格。</w:t>
      </w:r>
    </w:p>
    <w:p w14:paraId="64B9BAF9">
      <w:pPr>
        <w:pStyle w:val="7"/>
        <w:overflowPunct w:val="0"/>
        <w:spacing w:line="360" w:lineRule="auto"/>
        <w:ind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现金保证金</w:t>
      </w:r>
      <w:r>
        <w:rPr>
          <w:rFonts w:hint="eastAsia" w:asciiTheme="minorEastAsia" w:hAnsiTheme="minorEastAsia" w:eastAsiaTheme="minorEastAsia" w:cstheme="minorEastAsia"/>
          <w:color w:val="auto"/>
          <w:sz w:val="24"/>
          <w:szCs w:val="24"/>
          <w:highlight w:val="none"/>
        </w:rPr>
        <w:t>全部工程施工完成经甲方、监理及相关部门验收合格后7日内</w:t>
      </w:r>
      <w:del w:id="33" w:author="Ms.h" w:date="2024-07-31T16:58:42Z">
        <w:r>
          <w:rPr>
            <w:rFonts w:hint="default" w:asciiTheme="minorEastAsia" w:hAnsiTheme="minorEastAsia" w:cstheme="minorEastAsia"/>
            <w:color w:val="auto"/>
            <w:sz w:val="24"/>
            <w:szCs w:val="24"/>
            <w:highlight w:val="none"/>
            <w:lang w:val="en-US" w:eastAsia="zh-CN"/>
          </w:rPr>
          <w:delText>有</w:delText>
        </w:r>
      </w:del>
      <w:ins w:id="34" w:author="Ms.h" w:date="2024-07-31T16:58:46Z">
        <w:r>
          <w:rPr>
            <w:rFonts w:hint="eastAsia" w:asciiTheme="minorEastAsia" w:hAnsiTheme="minorEastAsia" w:cstheme="minorEastAsia"/>
            <w:color w:val="auto"/>
            <w:sz w:val="24"/>
            <w:szCs w:val="24"/>
            <w:highlight w:val="none"/>
            <w:lang w:val="en-US" w:eastAsia="zh-CN"/>
          </w:rPr>
          <w:t>由</w:t>
        </w:r>
      </w:ins>
      <w:r>
        <w:rPr>
          <w:rFonts w:hint="eastAsia" w:asciiTheme="minorEastAsia" w:hAnsiTheme="minorEastAsia" w:cstheme="minorEastAsia"/>
          <w:color w:val="auto"/>
          <w:sz w:val="24"/>
          <w:szCs w:val="24"/>
          <w:highlight w:val="none"/>
          <w:lang w:eastAsia="zh-CN"/>
        </w:rPr>
        <w:t>工程申请</w:t>
      </w:r>
      <w:r>
        <w:rPr>
          <w:rFonts w:hint="eastAsia" w:asciiTheme="minorEastAsia" w:hAnsiTheme="minorEastAsia" w:eastAsiaTheme="minorEastAsia" w:cstheme="minorEastAsia"/>
          <w:color w:val="auto"/>
          <w:sz w:val="24"/>
          <w:szCs w:val="24"/>
          <w:highlight w:val="none"/>
        </w:rPr>
        <w:t>无息退还剩余履约保证金（若有）。</w:t>
      </w:r>
    </w:p>
    <w:p w14:paraId="6B08D986">
      <w:pPr>
        <w:pStyle w:val="7"/>
        <w:tabs>
          <w:tab w:val="left" w:pos="0"/>
        </w:tabs>
        <w:ind w:firstLine="480" w:firstLineChars="200"/>
        <w:rPr>
          <w:rFonts w:hint="eastAsia"/>
        </w:rPr>
      </w:pPr>
      <w:r>
        <w:rPr>
          <w:rFonts w:hint="eastAsia" w:asciiTheme="minorEastAsia" w:hAnsi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rPr>
        <w:t xml:space="preserve">、凡在工期、工程质量、安全文明施工等要求中，任何一项要求没有达到本合同约定，甲方有权按比例或全额扣除乙方履约保证金，乙方应7日内予以补足，否则，甲方有权在应付款项中暂时扣除用于补足履约保证金。 </w:t>
      </w:r>
    </w:p>
    <w:p w14:paraId="2D6CA1C8">
      <w:pPr>
        <w:pStyle w:val="2"/>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十</w:t>
      </w:r>
      <w:r>
        <w:rPr>
          <w:rFonts w:hint="eastAsia" w:asciiTheme="majorEastAsia" w:hAnsiTheme="majorEastAsia" w:eastAsiaTheme="majorEastAsia" w:cstheme="majorEastAsia"/>
          <w:color w:val="auto"/>
          <w:sz w:val="24"/>
          <w:szCs w:val="24"/>
          <w:highlight w:val="none"/>
          <w:lang w:eastAsia="zh-CN"/>
        </w:rPr>
        <w:t>二</w:t>
      </w:r>
      <w:r>
        <w:rPr>
          <w:rFonts w:hint="eastAsia" w:asciiTheme="majorEastAsia" w:hAnsiTheme="majorEastAsia" w:eastAsiaTheme="majorEastAsia" w:cstheme="majorEastAsia"/>
          <w:color w:val="auto"/>
          <w:sz w:val="24"/>
          <w:szCs w:val="24"/>
          <w:highlight w:val="none"/>
        </w:rPr>
        <w:t>、违约责任</w:t>
      </w:r>
    </w:p>
    <w:p w14:paraId="4C9B2D55">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1、除不可抗力外，甲乙双方应严格遵守本合同的条款，否则，违约方须承担违约责任。</w:t>
      </w:r>
    </w:p>
    <w:p w14:paraId="454E4AA2">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2、如因乙方原因逾期进场、完工的或总体工程未能按本合同约定工期进场、完工的，视为乙方违约，每逾期一天，按5000元/天向甲方计支付违约金，同时因施工逾期引起的相关损失由乙方承担。</w:t>
      </w:r>
    </w:p>
    <w:p w14:paraId="17D642CD">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3、乙方存在其他任何逾期违约行为但未达到甲方行使单方解除条件的，每逾期一日，按2000元/日向甲方支付违约金，本合同另有约定时除外。</w:t>
      </w:r>
    </w:p>
    <w:p w14:paraId="1E11DEDD">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4、乙方存在其他违约行为但未达到甲方行使单方解除条件的，每存在一项/次违约行为，乙方应按2000元/次（项）向甲方支付违约金。</w:t>
      </w:r>
    </w:p>
    <w:p w14:paraId="46388BA7">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5、乙方提供产品的品牌、规格、型号等与本合同约定不符的，视为乙方违约，甲方有权拒绝验收，乙方应在5日内无偿更换。</w:t>
      </w:r>
    </w:p>
    <w:p w14:paraId="5362172C">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条款承担违约责任。</w:t>
      </w:r>
    </w:p>
    <w:p w14:paraId="7B038CEE">
      <w:pPr>
        <w:pStyle w:val="7"/>
        <w:ind w:firstLine="480" w:firstLineChars="200"/>
        <w:rPr>
          <w:rFonts w:hint="eastAsia" w:asciiTheme="majorEastAsia" w:hAnsiTheme="majorEastAsia" w:eastAsiaTheme="majorEastAsia" w:cstheme="majorEastAsia"/>
          <w:color w:val="auto"/>
          <w:kern w:val="2"/>
          <w:sz w:val="24"/>
          <w:szCs w:val="24"/>
          <w:highlight w:val="none"/>
        </w:rPr>
      </w:pPr>
      <w:r>
        <w:rPr>
          <w:rFonts w:hint="eastAsia" w:asciiTheme="majorEastAsia" w:hAnsiTheme="majorEastAsia" w:eastAsiaTheme="majorEastAsia" w:cstheme="majorEastAsia"/>
          <w:color w:val="auto"/>
          <w:kern w:val="2"/>
          <w:sz w:val="24"/>
          <w:szCs w:val="24"/>
          <w:highlight w:val="none"/>
        </w:rPr>
        <w:t>7、如因乙方原因未通过</w:t>
      </w:r>
      <w:r>
        <w:rPr>
          <w:rFonts w:hint="eastAsia" w:asciiTheme="majorEastAsia" w:hAnsiTheme="majorEastAsia" w:eastAsiaTheme="majorEastAsia" w:cstheme="majorEastAsia"/>
          <w:color w:val="auto"/>
          <w:kern w:val="2"/>
          <w:sz w:val="24"/>
          <w:szCs w:val="24"/>
          <w:highlight w:val="none"/>
          <w:lang w:eastAsia="zh-CN"/>
        </w:rPr>
        <w:t>门窗</w:t>
      </w:r>
      <w:r>
        <w:rPr>
          <w:rFonts w:hint="eastAsia" w:asciiTheme="majorEastAsia" w:hAnsiTheme="majorEastAsia" w:eastAsiaTheme="majorEastAsia" w:cstheme="majorEastAsia"/>
          <w:color w:val="auto"/>
          <w:kern w:val="2"/>
          <w:sz w:val="24"/>
          <w:szCs w:val="24"/>
          <w:highlight w:val="none"/>
        </w:rPr>
        <w:t>及消防验收，乙方负责进行整改直至通过验收。</w:t>
      </w:r>
    </w:p>
    <w:p w14:paraId="22E3AC9C">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8、乙方违约导致甲方解除合同的，乙方所有人员必须在3日内撤离施工现场，甲方已支付的预付款（如有）需在3日内退还至甲方，由此造成的所有损失均由乙方负责。</w:t>
      </w:r>
    </w:p>
    <w:p w14:paraId="6817D3B2">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9、乙方应向甲方支付的违约金等，甲方有权直接在甲方应付未付款中扣除，违约金不足以弥补甲方损失的，甲方可继续向乙方追偿。</w:t>
      </w:r>
    </w:p>
    <w:p w14:paraId="7A3D5F0F">
      <w:pPr>
        <w:pStyle w:val="7"/>
        <w:overflowPunct w:val="0"/>
        <w:topLinePunct/>
        <w:autoSpaceDE w:val="0"/>
        <w:ind w:firstLine="480" w:firstLineChars="200"/>
        <w:jc w:val="left"/>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10、合同约定应由乙方完成的工作内容（包括但不限于：承包范围、清单范围内</w:t>
      </w:r>
      <w:r>
        <w:rPr>
          <w:rFonts w:hint="eastAsia" w:asciiTheme="majorEastAsia" w:hAnsiTheme="majorEastAsia" w:eastAsiaTheme="majorEastAsia" w:cstheme="majorEastAsia"/>
          <w:color w:val="auto"/>
          <w:kern w:val="0"/>
          <w:sz w:val="24"/>
          <w:szCs w:val="24"/>
          <w:highlight w:val="none"/>
          <w:lang w:val="en-US" w:eastAsia="zh-CN"/>
        </w:rPr>
        <w:t>铝合金窗、幕墙窗、阳台推拉门、百叶、采光井顶盖</w:t>
      </w:r>
      <w:r>
        <w:rPr>
          <w:rFonts w:hint="eastAsia" w:asciiTheme="majorEastAsia" w:hAnsiTheme="majorEastAsia" w:eastAsiaTheme="majorEastAsia" w:cstheme="majorEastAsia"/>
          <w:color w:val="auto"/>
          <w:kern w:val="0"/>
          <w:sz w:val="24"/>
          <w:szCs w:val="24"/>
          <w:highlight w:val="none"/>
        </w:rPr>
        <w:t>施工工程、图纸会审纪要、设计变更、现场签证等），如乙方拒绝施工或不能按合同要求的工期或质量标准完成施工，甲方有权安排第三方实施，并按照另行委托造价的1.3倍从乙方下一次的付款节点中扣除，且影响工期的责任由乙方负责。</w:t>
      </w:r>
    </w:p>
    <w:p w14:paraId="534536AB">
      <w:pPr>
        <w:pStyle w:val="7"/>
        <w:overflowPunct w:val="0"/>
        <w:topLinePun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11、甲方（含甲方关联企业）各项目均独立核算，乙方不能因其他项目工程款支付问题影响本项目施工进度、发生如围堵本项目等影响本项目形象的事件，每发生一次，按10万元/次向甲方支付违约金。</w:t>
      </w:r>
    </w:p>
    <w:p w14:paraId="3487D28B">
      <w:pPr>
        <w:pStyle w:val="7"/>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2"/>
          <w:highlight w:val="none"/>
          <w:lang w:val="en-US" w:eastAsia="zh-CN"/>
        </w:rPr>
        <w:t>12、</w:t>
      </w:r>
      <w:r>
        <w:rPr>
          <w:rFonts w:hint="eastAsia" w:asciiTheme="minorEastAsia" w:hAnsiTheme="minorEastAsia" w:eastAsiaTheme="minorEastAsia" w:cstheme="minorEastAsia"/>
          <w:color w:val="auto"/>
          <w:sz w:val="24"/>
          <w:szCs w:val="24"/>
          <w:highlight w:val="none"/>
        </w:rPr>
        <w:t>材料供应要求：</w:t>
      </w:r>
    </w:p>
    <w:p w14:paraId="062603CA">
      <w:pPr>
        <w:pStyle w:val="7"/>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1、本工程所有材料及设备均由乙方采购，乙方必须保证所采用的材料符合国家和地方现行规范标准，符合本合同要求的材料品牌、规格、质量标准及其他技术要求。</w:t>
      </w:r>
    </w:p>
    <w:p w14:paraId="270DE9A9">
      <w:pPr>
        <w:pStyle w:val="7"/>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2、乙方使用的材料设备如不符合合同约定要求，甲方或监理单位有权要求乙方负责更换、拆除并重新采购，由此产生的责任及损失由乙方承担。因材料不合格造成费用等损失均由乙方承担。</w:t>
      </w:r>
    </w:p>
    <w:p w14:paraId="1934DBD5">
      <w:pPr>
        <w:pStyle w:val="7"/>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3、乙方在购置设备及材料前必须经甲方、监理书面认可后方可采购。乙方采购的设备、材料等在进场前要先向甲方和监理方填报《材料、设备进场报验单》，经甲方和监理验收合格并书面签字认可后方能进场。材料进场验收要求详见《中浩德控股集团有限公司工程材料/设备进场验收管理制度V1.0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p>
    <w:p w14:paraId="1B6F397B">
      <w:pPr>
        <w:pStyle w:val="7"/>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48C2676A">
      <w:pPr>
        <w:pStyle w:val="7"/>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5、主要材料品牌约定详见</w:t>
      </w:r>
      <w:ins w:id="35" w:author="Ms.h" w:date="2024-07-31T16:59:35Z">
        <w:r>
          <w:rPr>
            <w:rFonts w:hint="eastAsia" w:asciiTheme="minorEastAsia" w:hAnsiTheme="minorEastAsia" w:cstheme="minorEastAsia"/>
            <w:color w:val="auto"/>
            <w:sz w:val="24"/>
            <w:szCs w:val="24"/>
            <w:highlight w:val="none"/>
            <w:lang w:val="en-US" w:eastAsia="zh-CN"/>
          </w:rPr>
          <w:t>合同</w:t>
        </w:r>
      </w:ins>
      <w:ins w:id="36" w:author="Ms.h" w:date="2024-07-31T16:59:37Z">
        <w:r>
          <w:rPr>
            <w:rFonts w:hint="eastAsia" w:asciiTheme="minorEastAsia" w:hAnsiTheme="minorEastAsia" w:cstheme="minorEastAsia"/>
            <w:color w:val="auto"/>
            <w:sz w:val="24"/>
            <w:szCs w:val="24"/>
            <w:highlight w:val="none"/>
            <w:lang w:val="en-US" w:eastAsia="zh-CN"/>
          </w:rPr>
          <w:t>及</w:t>
        </w:r>
      </w:ins>
      <w:r>
        <w:rPr>
          <w:rFonts w:hint="eastAsia" w:asciiTheme="minorEastAsia" w:hAnsiTheme="minorEastAsia" w:eastAsiaTheme="minorEastAsia" w:cstheme="minorEastAsia"/>
          <w:color w:val="auto"/>
          <w:sz w:val="24"/>
          <w:szCs w:val="24"/>
          <w:highlight w:val="none"/>
        </w:rPr>
        <w:t>附件《</w:t>
      </w:r>
      <w:r>
        <w:rPr>
          <w:rFonts w:hint="eastAsia" w:asciiTheme="minorEastAsia" w:hAnsiTheme="minorEastAsia" w:cstheme="minorEastAsia"/>
          <w:color w:val="auto"/>
          <w:sz w:val="24"/>
          <w:szCs w:val="24"/>
          <w:highlight w:val="none"/>
          <w:lang w:eastAsia="zh-CN"/>
        </w:rPr>
        <w:t>价格清单</w:t>
      </w:r>
      <w:r>
        <w:rPr>
          <w:rFonts w:hint="eastAsia" w:asciiTheme="minorEastAsia" w:hAnsiTheme="minorEastAsia" w:eastAsiaTheme="minorEastAsia" w:cstheme="minorEastAsia"/>
          <w:color w:val="auto"/>
          <w:sz w:val="24"/>
          <w:szCs w:val="24"/>
          <w:highlight w:val="none"/>
        </w:rPr>
        <w:t>》中约定的品牌，定制材料以现场封样确认的品牌为准。</w:t>
      </w:r>
    </w:p>
    <w:p w14:paraId="2E7F9B68">
      <w:pPr>
        <w:pStyle w:val="7"/>
        <w:spacing w:line="360" w:lineRule="auto"/>
        <w:ind w:right="359" w:rightChars="171" w:firstLine="420" w:firstLineChars="175"/>
        <w:rPr>
          <w:ins w:id="37" w:author="Ms.h" w:date="2024-07-31T16:59:43Z"/>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6、乙方确保随货提供的检测报告、合格证的真实性，否则，乙方应对所供产品符合合同约定承担证明责任。</w:t>
      </w:r>
    </w:p>
    <w:p w14:paraId="6559634E">
      <w:pPr>
        <w:pStyle w:val="7"/>
        <w:spacing w:line="360" w:lineRule="auto"/>
        <w:ind w:right="359" w:rightChars="171" w:firstLine="420" w:firstLineChars="175"/>
        <w:rPr>
          <w:ins w:id="38" w:author="Ms.h" w:date="2024-07-31T16:59:54Z"/>
          <w:rFonts w:hint="default" w:asciiTheme="minorEastAsia" w:hAnsiTheme="minorEastAsia" w:cstheme="minorEastAsia"/>
          <w:color w:val="auto"/>
          <w:sz w:val="24"/>
          <w:szCs w:val="24"/>
          <w:highlight w:val="none"/>
          <w:lang w:val="en-US" w:eastAsia="zh-CN"/>
        </w:rPr>
      </w:pPr>
      <w:ins w:id="39" w:author="Ms.h" w:date="2024-07-31T16:59:52Z">
        <w:r>
          <w:rPr>
            <w:rFonts w:hint="eastAsia" w:asciiTheme="minorEastAsia" w:hAnsiTheme="minorEastAsia" w:cstheme="minorEastAsia"/>
            <w:color w:val="auto"/>
            <w:sz w:val="24"/>
            <w:szCs w:val="24"/>
            <w:highlight w:val="none"/>
            <w:lang w:val="en-US" w:eastAsia="zh-CN"/>
          </w:rPr>
          <w:t>13</w:t>
        </w:r>
      </w:ins>
      <w:ins w:id="40" w:author="Ms.h" w:date="2024-07-31T16:59:53Z">
        <w:r>
          <w:rPr>
            <w:rFonts w:hint="eastAsia" w:asciiTheme="minorEastAsia" w:hAnsiTheme="minorEastAsia" w:cstheme="minorEastAsia"/>
            <w:color w:val="auto"/>
            <w:sz w:val="24"/>
            <w:szCs w:val="24"/>
            <w:highlight w:val="none"/>
            <w:lang w:val="en-US" w:eastAsia="zh-CN"/>
          </w:rPr>
          <w:t>、</w:t>
        </w:r>
      </w:ins>
      <w:ins w:id="41" w:author="Ms.h" w:date="2024-07-31T17:00:00Z">
        <w:r>
          <w:rPr>
            <w:rFonts w:hint="eastAsia" w:asciiTheme="minorEastAsia" w:hAnsiTheme="minorEastAsia" w:cstheme="minorEastAsia"/>
            <w:color w:val="auto"/>
            <w:sz w:val="24"/>
            <w:szCs w:val="24"/>
            <w:highlight w:val="none"/>
            <w:lang w:val="en-US" w:eastAsia="zh-CN"/>
          </w:rPr>
          <w:t>合同</w:t>
        </w:r>
      </w:ins>
      <w:ins w:id="42" w:author="Ms.h" w:date="2024-07-31T17:00:01Z">
        <w:r>
          <w:rPr>
            <w:rFonts w:hint="eastAsia" w:asciiTheme="minorEastAsia" w:hAnsiTheme="minorEastAsia" w:cstheme="minorEastAsia"/>
            <w:color w:val="auto"/>
            <w:sz w:val="24"/>
            <w:szCs w:val="24"/>
            <w:highlight w:val="none"/>
            <w:lang w:val="en-US" w:eastAsia="zh-CN"/>
          </w:rPr>
          <w:t>签订</w:t>
        </w:r>
      </w:ins>
      <w:ins w:id="43" w:author="Ms.h" w:date="2024-07-31T17:00:02Z">
        <w:r>
          <w:rPr>
            <w:rFonts w:hint="eastAsia" w:asciiTheme="minorEastAsia" w:hAnsiTheme="minorEastAsia" w:cstheme="minorEastAsia"/>
            <w:color w:val="auto"/>
            <w:sz w:val="24"/>
            <w:szCs w:val="24"/>
            <w:highlight w:val="none"/>
            <w:lang w:val="en-US" w:eastAsia="zh-CN"/>
          </w:rPr>
          <w:t>后乙方</w:t>
        </w:r>
      </w:ins>
      <w:ins w:id="44" w:author="Ms.h" w:date="2024-07-31T17:00:04Z">
        <w:r>
          <w:rPr>
            <w:rFonts w:hint="eastAsia" w:asciiTheme="minorEastAsia" w:hAnsiTheme="minorEastAsia" w:cstheme="minorEastAsia"/>
            <w:color w:val="auto"/>
            <w:sz w:val="24"/>
            <w:szCs w:val="24"/>
            <w:highlight w:val="none"/>
            <w:lang w:val="en-US" w:eastAsia="zh-CN"/>
          </w:rPr>
          <w:t>不得擅自</w:t>
        </w:r>
      </w:ins>
      <w:ins w:id="45" w:author="Ms.h" w:date="2024-07-31T17:00:05Z">
        <w:r>
          <w:rPr>
            <w:rFonts w:hint="eastAsia" w:asciiTheme="minorEastAsia" w:hAnsiTheme="minorEastAsia" w:cstheme="minorEastAsia"/>
            <w:color w:val="auto"/>
            <w:sz w:val="24"/>
            <w:szCs w:val="24"/>
            <w:highlight w:val="none"/>
            <w:lang w:val="en-US" w:eastAsia="zh-CN"/>
          </w:rPr>
          <w:t>解除</w:t>
        </w:r>
      </w:ins>
      <w:ins w:id="46" w:author="Ms.h" w:date="2024-07-31T17:00:07Z">
        <w:r>
          <w:rPr>
            <w:rFonts w:hint="eastAsia" w:asciiTheme="minorEastAsia" w:hAnsiTheme="minorEastAsia" w:cstheme="minorEastAsia"/>
            <w:color w:val="auto"/>
            <w:sz w:val="24"/>
            <w:szCs w:val="24"/>
            <w:highlight w:val="none"/>
            <w:lang w:val="en-US" w:eastAsia="zh-CN"/>
          </w:rPr>
          <w:t>本合同，</w:t>
        </w:r>
      </w:ins>
      <w:ins w:id="47" w:author="Ms.h" w:date="2024-07-31T17:00:08Z">
        <w:r>
          <w:rPr>
            <w:rFonts w:hint="eastAsia" w:asciiTheme="minorEastAsia" w:hAnsiTheme="minorEastAsia" w:cstheme="minorEastAsia"/>
            <w:color w:val="auto"/>
            <w:sz w:val="24"/>
            <w:szCs w:val="24"/>
            <w:highlight w:val="none"/>
            <w:lang w:val="en-US" w:eastAsia="zh-CN"/>
          </w:rPr>
          <w:t>如</w:t>
        </w:r>
      </w:ins>
      <w:ins w:id="48" w:author="Ms.h" w:date="2024-07-31T17:00:09Z">
        <w:r>
          <w:rPr>
            <w:rFonts w:hint="eastAsia" w:asciiTheme="minorEastAsia" w:hAnsiTheme="minorEastAsia" w:cstheme="minorEastAsia"/>
            <w:color w:val="auto"/>
            <w:sz w:val="24"/>
            <w:szCs w:val="24"/>
            <w:highlight w:val="none"/>
            <w:lang w:val="en-US" w:eastAsia="zh-CN"/>
          </w:rPr>
          <w:t>乙方</w:t>
        </w:r>
      </w:ins>
      <w:ins w:id="49" w:author="Ms.h" w:date="2024-07-31T17:00:10Z">
        <w:r>
          <w:rPr>
            <w:rFonts w:hint="eastAsia" w:asciiTheme="minorEastAsia" w:hAnsiTheme="minorEastAsia" w:cstheme="minorEastAsia"/>
            <w:color w:val="auto"/>
            <w:sz w:val="24"/>
            <w:szCs w:val="24"/>
            <w:highlight w:val="none"/>
            <w:lang w:val="en-US" w:eastAsia="zh-CN"/>
          </w:rPr>
          <w:t>擅自</w:t>
        </w:r>
      </w:ins>
      <w:ins w:id="50" w:author="Ms.h" w:date="2024-07-31T17:00:11Z">
        <w:r>
          <w:rPr>
            <w:rFonts w:hint="eastAsia" w:asciiTheme="minorEastAsia" w:hAnsiTheme="minorEastAsia" w:cstheme="minorEastAsia"/>
            <w:color w:val="auto"/>
            <w:sz w:val="24"/>
            <w:szCs w:val="24"/>
            <w:highlight w:val="none"/>
            <w:lang w:val="en-US" w:eastAsia="zh-CN"/>
          </w:rPr>
          <w:t>解除</w:t>
        </w:r>
      </w:ins>
      <w:ins w:id="51" w:author="Ms.h" w:date="2024-07-31T17:00:12Z">
        <w:r>
          <w:rPr>
            <w:rFonts w:hint="eastAsia" w:asciiTheme="minorEastAsia" w:hAnsiTheme="minorEastAsia" w:cstheme="minorEastAsia"/>
            <w:color w:val="auto"/>
            <w:sz w:val="24"/>
            <w:szCs w:val="24"/>
            <w:highlight w:val="none"/>
            <w:lang w:val="en-US" w:eastAsia="zh-CN"/>
          </w:rPr>
          <w:t>本合同</w:t>
        </w:r>
      </w:ins>
      <w:ins w:id="52" w:author="Ms.h" w:date="2024-07-31T17:00:13Z">
        <w:r>
          <w:rPr>
            <w:rFonts w:hint="eastAsia" w:asciiTheme="minorEastAsia" w:hAnsiTheme="minorEastAsia" w:cstheme="minorEastAsia"/>
            <w:color w:val="auto"/>
            <w:sz w:val="24"/>
            <w:szCs w:val="24"/>
            <w:highlight w:val="none"/>
            <w:lang w:val="en-US" w:eastAsia="zh-CN"/>
          </w:rPr>
          <w:t>的，</w:t>
        </w:r>
      </w:ins>
      <w:ins w:id="53" w:author="Ms.h" w:date="2024-07-31T17:00:14Z">
        <w:r>
          <w:rPr>
            <w:rFonts w:hint="eastAsia" w:asciiTheme="minorEastAsia" w:hAnsiTheme="minorEastAsia" w:cstheme="minorEastAsia"/>
            <w:color w:val="auto"/>
            <w:sz w:val="24"/>
            <w:szCs w:val="24"/>
            <w:highlight w:val="none"/>
            <w:lang w:val="en-US" w:eastAsia="zh-CN"/>
          </w:rPr>
          <w:t>乙方</w:t>
        </w:r>
      </w:ins>
      <w:ins w:id="54" w:author="Ms.h" w:date="2024-07-31T17:00:15Z">
        <w:r>
          <w:rPr>
            <w:rFonts w:hint="eastAsia" w:asciiTheme="minorEastAsia" w:hAnsiTheme="minorEastAsia" w:cstheme="minorEastAsia"/>
            <w:color w:val="auto"/>
            <w:sz w:val="24"/>
            <w:szCs w:val="24"/>
            <w:highlight w:val="none"/>
            <w:lang w:val="en-US" w:eastAsia="zh-CN"/>
          </w:rPr>
          <w:t>按照</w:t>
        </w:r>
      </w:ins>
      <w:ins w:id="55" w:author="Ms.h" w:date="2024-07-31T17:00:16Z">
        <w:r>
          <w:rPr>
            <w:rFonts w:hint="eastAsia" w:asciiTheme="minorEastAsia" w:hAnsiTheme="minorEastAsia" w:cstheme="minorEastAsia"/>
            <w:color w:val="auto"/>
            <w:sz w:val="24"/>
            <w:szCs w:val="24"/>
            <w:highlight w:val="none"/>
            <w:lang w:val="en-US" w:eastAsia="zh-CN"/>
          </w:rPr>
          <w:t>合同</w:t>
        </w:r>
      </w:ins>
      <w:ins w:id="56" w:author="Ms.h" w:date="2024-07-31T17:00:17Z">
        <w:r>
          <w:rPr>
            <w:rFonts w:hint="eastAsia" w:asciiTheme="minorEastAsia" w:hAnsiTheme="minorEastAsia" w:cstheme="minorEastAsia"/>
            <w:color w:val="auto"/>
            <w:sz w:val="24"/>
            <w:szCs w:val="24"/>
            <w:highlight w:val="none"/>
            <w:lang w:val="en-US" w:eastAsia="zh-CN"/>
          </w:rPr>
          <w:t>总价款</w:t>
        </w:r>
      </w:ins>
      <w:ins w:id="57" w:author="Ms.h" w:date="2024-07-31T17:00:18Z">
        <w:r>
          <w:rPr>
            <w:rFonts w:hint="eastAsia" w:asciiTheme="minorEastAsia" w:hAnsiTheme="minorEastAsia" w:cstheme="minorEastAsia"/>
            <w:color w:val="auto"/>
            <w:sz w:val="24"/>
            <w:szCs w:val="24"/>
            <w:highlight w:val="none"/>
            <w:lang w:val="en-US" w:eastAsia="zh-CN"/>
          </w:rPr>
          <w:t>2</w:t>
        </w:r>
      </w:ins>
      <w:ins w:id="58" w:author="Ms.h" w:date="2024-07-31T17:00:20Z">
        <w:r>
          <w:rPr>
            <w:rFonts w:hint="eastAsia" w:asciiTheme="minorEastAsia" w:hAnsiTheme="minorEastAsia" w:cstheme="minorEastAsia"/>
            <w:color w:val="auto"/>
            <w:sz w:val="24"/>
            <w:szCs w:val="24"/>
            <w:highlight w:val="none"/>
            <w:lang w:val="en-US" w:eastAsia="zh-CN"/>
          </w:rPr>
          <w:t>0%</w:t>
        </w:r>
      </w:ins>
      <w:ins w:id="59" w:author="Ms.h" w:date="2024-07-31T17:00:22Z">
        <w:r>
          <w:rPr>
            <w:rFonts w:hint="eastAsia" w:asciiTheme="minorEastAsia" w:hAnsiTheme="minorEastAsia" w:cstheme="minorEastAsia"/>
            <w:color w:val="auto"/>
            <w:sz w:val="24"/>
            <w:szCs w:val="24"/>
            <w:highlight w:val="none"/>
            <w:lang w:val="en-US" w:eastAsia="zh-CN"/>
          </w:rPr>
          <w:t>承担</w:t>
        </w:r>
      </w:ins>
      <w:ins w:id="60" w:author="Ms.h" w:date="2024-07-31T17:00:23Z">
        <w:r>
          <w:rPr>
            <w:rFonts w:hint="eastAsia" w:asciiTheme="minorEastAsia" w:hAnsiTheme="minorEastAsia" w:cstheme="minorEastAsia"/>
            <w:color w:val="auto"/>
            <w:sz w:val="24"/>
            <w:szCs w:val="24"/>
            <w:highlight w:val="none"/>
            <w:lang w:val="en-US" w:eastAsia="zh-CN"/>
          </w:rPr>
          <w:t>违约金</w:t>
        </w:r>
      </w:ins>
      <w:ins w:id="61" w:author="Ms.h" w:date="2024-07-31T17:00:24Z">
        <w:r>
          <w:rPr>
            <w:rFonts w:hint="eastAsia" w:asciiTheme="minorEastAsia" w:hAnsiTheme="minorEastAsia" w:cstheme="minorEastAsia"/>
            <w:color w:val="auto"/>
            <w:sz w:val="24"/>
            <w:szCs w:val="24"/>
            <w:highlight w:val="none"/>
            <w:lang w:val="en-US" w:eastAsia="zh-CN"/>
          </w:rPr>
          <w:t>。</w:t>
        </w:r>
      </w:ins>
    </w:p>
    <w:p w14:paraId="727A6CDF">
      <w:pPr>
        <w:pStyle w:val="7"/>
        <w:spacing w:line="360" w:lineRule="auto"/>
        <w:ind w:right="359" w:rightChars="171" w:firstLine="420" w:firstLineChars="175"/>
        <w:rPr>
          <w:rFonts w:hint="eastAsia"/>
        </w:rPr>
      </w:pPr>
      <w:del w:id="62" w:author="Ms.h" w:date="2024-07-31T16:59:56Z">
        <w:r>
          <w:rPr>
            <w:rFonts w:hint="eastAsia" w:asciiTheme="majorEastAsia" w:hAnsiTheme="majorEastAsia" w:eastAsiaTheme="majorEastAsia" w:cstheme="majorEastAsia"/>
            <w:color w:val="auto"/>
            <w:sz w:val="24"/>
            <w:szCs w:val="24"/>
            <w:highlight w:val="none"/>
          </w:rPr>
          <w:delText>8</w:delText>
        </w:r>
      </w:del>
      <w:ins w:id="63" w:author="Ms.h" w:date="2024-07-31T16:59:56Z">
        <w:r>
          <w:rPr>
            <w:rFonts w:hint="eastAsia" w:asciiTheme="majorEastAsia" w:hAnsiTheme="majorEastAsia" w:eastAsiaTheme="majorEastAsia" w:cstheme="majorEastAsia"/>
            <w:color w:val="auto"/>
            <w:sz w:val="24"/>
            <w:szCs w:val="24"/>
            <w:highlight w:val="none"/>
            <w:lang w:val="en-US" w:eastAsia="zh-CN"/>
          </w:rPr>
          <w:t>14</w:t>
        </w:r>
      </w:ins>
      <w:r>
        <w:rPr>
          <w:rFonts w:hint="eastAsia" w:asciiTheme="majorEastAsia" w:hAnsiTheme="majorEastAsia" w:eastAsiaTheme="majorEastAsia" w:cstheme="majorEastAsia"/>
          <w:color w:val="auto"/>
          <w:sz w:val="24"/>
          <w:szCs w:val="24"/>
          <w:highlight w:val="none"/>
        </w:rPr>
        <w:t>、甲乙双方均不需对不可抗力原因而造成的违约责任负责。不可抗力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14:paraId="574E9E54">
      <w:pPr>
        <w:pStyle w:val="2"/>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十</w:t>
      </w:r>
      <w:r>
        <w:rPr>
          <w:rFonts w:hint="eastAsia" w:asciiTheme="majorEastAsia" w:hAnsiTheme="majorEastAsia" w:eastAsiaTheme="majorEastAsia" w:cstheme="majorEastAsia"/>
          <w:color w:val="auto"/>
          <w:sz w:val="24"/>
          <w:szCs w:val="24"/>
          <w:highlight w:val="none"/>
          <w:lang w:eastAsia="zh-CN"/>
        </w:rPr>
        <w:t>三</w:t>
      </w:r>
      <w:r>
        <w:rPr>
          <w:rFonts w:hint="eastAsia" w:asciiTheme="majorEastAsia" w:hAnsiTheme="majorEastAsia" w:eastAsiaTheme="majorEastAsia" w:cstheme="majorEastAsia"/>
          <w:color w:val="auto"/>
          <w:sz w:val="24"/>
          <w:szCs w:val="24"/>
          <w:highlight w:val="none"/>
        </w:rPr>
        <w:t>、不可抗力</w:t>
      </w:r>
    </w:p>
    <w:p w14:paraId="04F76325">
      <w:pPr>
        <w:pStyle w:val="7"/>
        <w:kinsoku/>
        <w:wordWrap/>
        <w:overflowPunct w:val="0"/>
        <w:topLinePunct/>
        <w:autoSpaceDE w:val="0"/>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1、不可抗力指因战争、动乱、瘟疫、空中飞行物坠落或其他非双方责任造成的爆炸、火灾以及9级以上的台风、7级及7级以上的地震等。（以当地行业主管部门的公告为准 ）</w:t>
      </w:r>
    </w:p>
    <w:p w14:paraId="38C32DB3">
      <w:pPr>
        <w:pStyle w:val="7"/>
        <w:kinsoku/>
        <w:wordWrap/>
        <w:topLinePunct/>
        <w:autoSpaceDE w:val="0"/>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5ACEB847">
      <w:pPr>
        <w:pStyle w:val="7"/>
        <w:kinsoku/>
        <w:wordWrap/>
        <w:topLinePunct/>
        <w:autoSpaceDE w:val="0"/>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3、费用承担：</w:t>
      </w:r>
    </w:p>
    <w:p w14:paraId="730006FA">
      <w:pPr>
        <w:pStyle w:val="7"/>
        <w:kinsoku/>
        <w:wordWrap/>
        <w:topLinePunct/>
        <w:autoSpaceDE w:val="0"/>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3.1、人员伤亡由所属单位负责，并承担相应费用；</w:t>
      </w:r>
    </w:p>
    <w:p w14:paraId="0B357A3F">
      <w:pPr>
        <w:pStyle w:val="7"/>
        <w:kinsoku/>
        <w:wordWrap/>
        <w:topLinePunct/>
        <w:autoSpaceDE w:val="0"/>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3.2、造成乙方工程设备、机械的损失等损失由乙方承担；</w:t>
      </w:r>
    </w:p>
    <w:p w14:paraId="3D05B30A">
      <w:pPr>
        <w:pStyle w:val="7"/>
        <w:kinsoku/>
        <w:wordWrap/>
        <w:topLinePunct/>
        <w:autoSpaceDE w:val="0"/>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3.3、所需清理修复工作的责任与费用的承担，双方另行商定。</w:t>
      </w:r>
    </w:p>
    <w:p w14:paraId="67882FBA">
      <w:pPr>
        <w:pStyle w:val="2"/>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十</w:t>
      </w:r>
      <w:r>
        <w:rPr>
          <w:rFonts w:hint="eastAsia" w:asciiTheme="majorEastAsia" w:hAnsiTheme="majorEastAsia" w:eastAsiaTheme="majorEastAsia" w:cstheme="majorEastAsia"/>
          <w:color w:val="auto"/>
          <w:sz w:val="24"/>
          <w:szCs w:val="24"/>
          <w:highlight w:val="none"/>
          <w:lang w:eastAsia="zh-CN"/>
        </w:rPr>
        <w:t>四</w:t>
      </w:r>
      <w:r>
        <w:rPr>
          <w:rFonts w:hint="eastAsia" w:asciiTheme="majorEastAsia" w:hAnsiTheme="majorEastAsia" w:eastAsiaTheme="majorEastAsia" w:cstheme="majorEastAsia"/>
          <w:color w:val="auto"/>
          <w:sz w:val="24"/>
          <w:szCs w:val="24"/>
          <w:highlight w:val="none"/>
        </w:rPr>
        <w:t>、送达条款</w:t>
      </w:r>
    </w:p>
    <w:p w14:paraId="7CECE2F4">
      <w:pPr>
        <w:kinsoku/>
        <w:wordWrap/>
        <w:topLinePunct/>
        <w:autoSpaceDE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甲乙双方明确送达信息如下：</w:t>
      </w:r>
    </w:p>
    <w:p w14:paraId="62B39B9D">
      <w:pPr>
        <w:kinsoku/>
        <w:wordWrap/>
        <w:topLinePunct/>
        <w:autoSpaceDE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1、甲方确认的送达信息为：</w:t>
      </w:r>
    </w:p>
    <w:p w14:paraId="58C93571">
      <w:pPr>
        <w:tabs>
          <w:tab w:val="left" w:pos="0"/>
          <w:tab w:val="left" w:pos="1276"/>
        </w:tabs>
        <w:kinsoku/>
        <w:wordWrap/>
        <w:topLinePunct/>
        <w:autoSpaceDE w:val="0"/>
        <w:spacing w:line="360" w:lineRule="auto"/>
        <w:ind w:left="0" w:leftChars="0"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送达地址：</w:t>
      </w:r>
      <w:r>
        <w:rPr>
          <w:rFonts w:hint="eastAsia" w:asciiTheme="majorEastAsia" w:hAnsiTheme="majorEastAsia" w:eastAsiaTheme="majorEastAsia" w:cstheme="majorEastAsia"/>
          <w:color w:val="auto"/>
          <w:spacing w:val="8"/>
          <w:sz w:val="24"/>
          <w:szCs w:val="24"/>
          <w:highlight w:val="none"/>
          <w:u w:val="single"/>
        </w:rPr>
        <w:t>洛阳市洛龙区关林西路8号中浩德控股集团有限公司1楼</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 xml:space="preserve">。        </w:t>
      </w:r>
    </w:p>
    <w:p w14:paraId="211D6142">
      <w:pPr>
        <w:tabs>
          <w:tab w:val="left" w:pos="1276"/>
        </w:tabs>
        <w:kinsoku/>
        <w:wordWrap/>
        <w:topLinePunct/>
        <w:autoSpaceDE w:val="0"/>
        <w:spacing w:line="360" w:lineRule="auto"/>
        <w:ind w:left="420" w:left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u w:val="single"/>
        </w:rPr>
        <w:t>成本管理部</w:t>
      </w:r>
      <w:r>
        <w:rPr>
          <w:rFonts w:hint="eastAsia" w:asciiTheme="majorEastAsia" w:hAnsiTheme="majorEastAsia" w:eastAsiaTheme="majorEastAsia" w:cstheme="majorEastAsia"/>
          <w:color w:val="auto"/>
          <w:sz w:val="24"/>
          <w:szCs w:val="24"/>
          <w:highlight w:val="none"/>
        </w:rPr>
        <w:t>；联系固话：</w:t>
      </w:r>
      <w:r>
        <w:rPr>
          <w:rFonts w:hint="eastAsia" w:asciiTheme="majorEastAsia" w:hAnsiTheme="majorEastAsia" w:eastAsiaTheme="majorEastAsia" w:cstheme="majorEastAsia"/>
          <w:color w:val="auto"/>
          <w:sz w:val="24"/>
          <w:szCs w:val="24"/>
          <w:highlight w:val="none"/>
          <w:u w:val="single"/>
        </w:rPr>
        <w:t>0379-60667770</w:t>
      </w:r>
      <w:r>
        <w:rPr>
          <w:rFonts w:hint="eastAsia" w:asciiTheme="majorEastAsia" w:hAnsiTheme="majorEastAsia" w:eastAsiaTheme="majorEastAsia" w:cstheme="majorEastAsia"/>
          <w:color w:val="auto"/>
          <w:sz w:val="24"/>
          <w:szCs w:val="24"/>
          <w:highlight w:val="none"/>
        </w:rPr>
        <w:t>；联系手机 ：</w:t>
      </w:r>
      <w:r>
        <w:rPr>
          <w:rFonts w:hint="eastAsia" w:asciiTheme="majorEastAsia" w:hAnsiTheme="majorEastAsia" w:eastAsiaTheme="majorEastAsia" w:cstheme="majorEastAsia"/>
          <w:color w:val="auto"/>
          <w:sz w:val="24"/>
          <w:szCs w:val="24"/>
          <w:highlight w:val="none"/>
          <w:u w:val="single"/>
        </w:rPr>
        <w:t xml:space="preserve"> /  </w:t>
      </w:r>
      <w:r>
        <w:rPr>
          <w:rFonts w:hint="eastAsia" w:asciiTheme="majorEastAsia" w:hAnsiTheme="majorEastAsia" w:eastAsiaTheme="majorEastAsia" w:cstheme="majorEastAsia"/>
          <w:color w:val="auto"/>
          <w:sz w:val="24"/>
          <w:szCs w:val="24"/>
          <w:highlight w:val="none"/>
        </w:rPr>
        <w:t xml:space="preserve">。     </w:t>
      </w:r>
    </w:p>
    <w:p w14:paraId="2EC494C9">
      <w:pPr>
        <w:kinsoku/>
        <w:wordWrap/>
        <w:topLinePunct/>
        <w:autoSpaceDE w:val="0"/>
        <w:spacing w:line="360" w:lineRule="auto"/>
        <w:ind w:left="0" w:leftChars="0"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2、乙方确认的送达信息为： </w:t>
      </w:r>
    </w:p>
    <w:p w14:paraId="1E08EB14">
      <w:pPr>
        <w:topLinePunct/>
        <w:autoSpaceDE w:val="0"/>
        <w:spacing w:line="360" w:lineRule="auto"/>
        <w:ind w:left="0" w:leftChars="0" w:firstLine="480" w:firstLineChars="200"/>
        <w:rPr>
          <w:rFonts w:hint="default" w:asciiTheme="majorEastAsia" w:hAnsiTheme="majorEastAsia" w:eastAsiaTheme="majorEastAsia" w:cstheme="majorEastAsia"/>
          <w:color w:val="auto"/>
          <w:sz w:val="24"/>
          <w:szCs w:val="24"/>
          <w:highlight w:val="none"/>
          <w:u w:val="single"/>
          <w:lang w:val="en-US"/>
        </w:rPr>
      </w:pPr>
      <w:r>
        <w:rPr>
          <w:rFonts w:hint="eastAsia" w:asciiTheme="majorEastAsia" w:hAnsiTheme="majorEastAsia" w:eastAsiaTheme="majorEastAsia" w:cstheme="majorEastAsia"/>
          <w:color w:val="auto"/>
          <w:sz w:val="24"/>
          <w:szCs w:val="24"/>
          <w:highlight w:val="none"/>
        </w:rPr>
        <w:t>送达地址：</w:t>
      </w:r>
      <w:r>
        <w:rPr>
          <w:rFonts w:hint="eastAsia" w:asciiTheme="majorEastAsia" w:hAnsiTheme="majorEastAsia" w:eastAsiaTheme="majorEastAsia" w:cstheme="majorEastAsia"/>
          <w:color w:val="auto"/>
          <w:spacing w:val="8"/>
          <w:sz w:val="24"/>
          <w:szCs w:val="24"/>
          <w:highlight w:val="none"/>
          <w:u w:val="single"/>
          <w:lang w:val="en-US" w:eastAsia="zh-CN"/>
        </w:rPr>
        <w:t>郑州市上街区中心路175号。</w:t>
      </w:r>
    </w:p>
    <w:p w14:paraId="03D5AE42">
      <w:pPr>
        <w:topLinePunct/>
        <w:autoSpaceDE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u w:val="single"/>
          <w:lang w:val="en-US" w:eastAsia="zh-CN"/>
        </w:rPr>
        <w:t>周彩霞</w:t>
      </w:r>
      <w:r>
        <w:rPr>
          <w:rFonts w:hint="eastAsia" w:asciiTheme="majorEastAsia" w:hAnsiTheme="majorEastAsia" w:eastAsiaTheme="majorEastAsia" w:cstheme="majorEastAsia"/>
          <w:color w:val="auto"/>
          <w:sz w:val="24"/>
          <w:szCs w:val="24"/>
          <w:highlight w:val="none"/>
        </w:rPr>
        <w:t>；联系电话：</w:t>
      </w:r>
      <w:r>
        <w:rPr>
          <w:rFonts w:hint="eastAsia" w:asciiTheme="majorEastAsia" w:hAnsiTheme="majorEastAsia" w:eastAsiaTheme="majorEastAsia" w:cstheme="majorEastAsia"/>
          <w:color w:val="auto"/>
          <w:sz w:val="24"/>
          <w:szCs w:val="24"/>
          <w:highlight w:val="none"/>
          <w:u w:val="single"/>
          <w:lang w:val="en-US" w:eastAsia="zh-CN"/>
        </w:rPr>
        <w:t xml:space="preserve">  /  </w:t>
      </w:r>
      <w:r>
        <w:rPr>
          <w:rFonts w:hint="eastAsia" w:asciiTheme="majorEastAsia" w:hAnsiTheme="majorEastAsia" w:eastAsiaTheme="majorEastAsia" w:cstheme="majorEastAsia"/>
          <w:color w:val="auto"/>
          <w:sz w:val="24"/>
          <w:szCs w:val="24"/>
          <w:highlight w:val="none"/>
        </w:rPr>
        <w:t>；联系手机 ：</w:t>
      </w:r>
      <w:r>
        <w:rPr>
          <w:rFonts w:hint="eastAsia" w:asciiTheme="majorEastAsia" w:hAnsiTheme="majorEastAsia" w:eastAsiaTheme="majorEastAsia" w:cstheme="majorEastAsia"/>
          <w:color w:val="auto"/>
          <w:sz w:val="24"/>
          <w:szCs w:val="24"/>
          <w:highlight w:val="none"/>
          <w:u w:val="single"/>
          <w:lang w:val="en-US" w:eastAsia="zh-CN"/>
        </w:rPr>
        <w:t>15516189550</w:t>
      </w:r>
      <w:r>
        <w:rPr>
          <w:rFonts w:hint="eastAsia" w:asciiTheme="majorEastAsia" w:hAnsiTheme="majorEastAsia" w:eastAsiaTheme="majorEastAsia" w:cstheme="majorEastAsia"/>
          <w:color w:val="auto"/>
          <w:sz w:val="24"/>
          <w:szCs w:val="24"/>
          <w:highlight w:val="none"/>
        </w:rPr>
        <w:t>。</w:t>
      </w:r>
    </w:p>
    <w:p w14:paraId="37B93554">
      <w:pPr>
        <w:topLinePunct/>
        <w:autoSpaceDE w:val="0"/>
        <w:spacing w:line="360" w:lineRule="auto"/>
        <w:ind w:firstLine="480" w:firstLineChars="200"/>
        <w:rPr>
          <w:rFonts w:hint="default"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rPr>
        <w:t>邮箱：</w:t>
      </w:r>
      <w:r>
        <w:rPr>
          <w:rFonts w:hint="eastAsia" w:asciiTheme="majorEastAsia" w:hAnsiTheme="majorEastAsia" w:eastAsiaTheme="majorEastAsia" w:cstheme="majorEastAsia"/>
          <w:color w:val="auto"/>
          <w:sz w:val="24"/>
          <w:szCs w:val="24"/>
          <w:highlight w:val="none"/>
          <w:u w:val="none"/>
          <w:lang w:val="en-US" w:eastAsia="zh-CN"/>
        </w:rPr>
        <w:t>jlmc</w:t>
      </w:r>
      <w:r>
        <w:rPr>
          <w:rFonts w:hint="eastAsia" w:asciiTheme="majorEastAsia" w:hAnsiTheme="majorEastAsia" w:eastAsiaTheme="majorEastAsia" w:cstheme="majorEastAsia"/>
          <w:color w:val="auto"/>
          <w:sz w:val="24"/>
          <w:szCs w:val="24"/>
          <w:highlight w:val="none"/>
          <w:u w:val="single"/>
          <w:lang w:val="en-US" w:eastAsia="zh-CN"/>
        </w:rPr>
        <w:t>7678@163.com</w:t>
      </w:r>
    </w:p>
    <w:p w14:paraId="137DA34A">
      <w:pPr>
        <w:spacing w:line="360" w:lineRule="auto"/>
        <w:ind w:firstLine="468" w:firstLineChars="19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双方在此共同确认，上述送达信息将作为双方在合同项下邮寄往来通知、函件等任何文件资料及法院送达法律文书的唯一有效送达地址及联系信息。任何一方变更送达信息，应当提前10日书面通知对方，否则视为未变更。任何一方按照上述送达信息向对方邮寄任何文件资料，自邮件发出后的第3日视为已经有效送达对方并产生相应的法律后果，不论该邮件是否已经由对方实际签收。</w:t>
      </w:r>
    </w:p>
    <w:p w14:paraId="0911F963">
      <w:pPr>
        <w:pStyle w:val="2"/>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十五</w:t>
      </w:r>
      <w:r>
        <w:rPr>
          <w:rFonts w:hint="eastAsia" w:asciiTheme="majorEastAsia" w:hAnsiTheme="majorEastAsia" w:eastAsiaTheme="majorEastAsia" w:cstheme="majorEastAsia"/>
          <w:color w:val="auto"/>
          <w:sz w:val="24"/>
          <w:szCs w:val="24"/>
          <w:highlight w:val="none"/>
        </w:rPr>
        <w:t>、合同解约条款</w:t>
      </w:r>
    </w:p>
    <w:p w14:paraId="7EA62FF4">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14:paraId="588D20CA">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1.1、本工程达不到建筑</w:t>
      </w:r>
      <w:r>
        <w:rPr>
          <w:rFonts w:hint="eastAsia" w:asciiTheme="majorEastAsia" w:hAnsiTheme="majorEastAsia" w:eastAsiaTheme="majorEastAsia" w:cstheme="majorEastAsia"/>
          <w:color w:val="auto"/>
          <w:sz w:val="24"/>
          <w:szCs w:val="24"/>
          <w:highlight w:val="none"/>
          <w:lang w:eastAsia="zh-CN"/>
        </w:rPr>
        <w:t>门窗</w:t>
      </w:r>
      <w:r>
        <w:rPr>
          <w:rFonts w:hint="eastAsia" w:asciiTheme="majorEastAsia" w:hAnsiTheme="majorEastAsia" w:eastAsiaTheme="majorEastAsia" w:cstheme="majorEastAsia"/>
          <w:color w:val="auto"/>
          <w:sz w:val="24"/>
          <w:szCs w:val="24"/>
          <w:highlight w:val="none"/>
        </w:rPr>
        <w:t>工程及建筑装修验收规范合格标准及/或不能通过验收（含</w:t>
      </w:r>
      <w:r>
        <w:rPr>
          <w:rFonts w:hint="eastAsia" w:asciiTheme="majorEastAsia" w:hAnsiTheme="majorEastAsia" w:eastAsiaTheme="majorEastAsia" w:cstheme="majorEastAsia"/>
          <w:color w:val="auto"/>
          <w:sz w:val="24"/>
          <w:szCs w:val="24"/>
          <w:highlight w:val="none"/>
          <w:lang w:eastAsia="zh-CN"/>
        </w:rPr>
        <w:t>门窗</w:t>
      </w:r>
      <w:r>
        <w:rPr>
          <w:rFonts w:hint="eastAsia" w:asciiTheme="majorEastAsia" w:hAnsiTheme="majorEastAsia" w:eastAsiaTheme="majorEastAsia" w:cstheme="majorEastAsia"/>
          <w:color w:val="auto"/>
          <w:sz w:val="24"/>
          <w:szCs w:val="24"/>
          <w:highlight w:val="none"/>
        </w:rPr>
        <w:t>相关）的；</w:t>
      </w:r>
    </w:p>
    <w:p w14:paraId="67C5FA62">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1.2、乙方未能按时进场施工的，在甲方发出书面通知后的5日内仍未进场施工的；</w:t>
      </w:r>
    </w:p>
    <w:p w14:paraId="7EB77047">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1.3、乙方在施工过程中非因不可抗力因素、乙方原因造成连续停工7日以上或累计达 7日的；</w:t>
      </w:r>
    </w:p>
    <w:p w14:paraId="48AD6EE5">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1.4、乙方逾期竣工达7日及以上的；</w:t>
      </w:r>
    </w:p>
    <w:p w14:paraId="4651BA24">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1.5、乙方人员在施工区内出现打架斗殴行为至警察出警、立案、相关行为人</w:t>
      </w:r>
      <w:ins w:id="64" w:author="Ms.h" w:date="2024-07-31T17:00:41Z">
        <w:r>
          <w:rPr>
            <w:rFonts w:hint="eastAsia" w:asciiTheme="majorEastAsia" w:hAnsiTheme="majorEastAsia" w:eastAsiaTheme="majorEastAsia" w:cstheme="majorEastAsia"/>
            <w:color w:val="auto"/>
            <w:sz w:val="24"/>
            <w:szCs w:val="24"/>
            <w:highlight w:val="none"/>
            <w:lang w:val="en-US" w:eastAsia="zh-CN"/>
          </w:rPr>
          <w:t>受</w:t>
        </w:r>
      </w:ins>
      <w:ins w:id="65" w:author="Ms.h" w:date="2024-07-31T17:00:42Z">
        <w:r>
          <w:rPr>
            <w:rFonts w:hint="eastAsia" w:asciiTheme="majorEastAsia" w:hAnsiTheme="majorEastAsia" w:eastAsiaTheme="majorEastAsia" w:cstheme="majorEastAsia"/>
            <w:color w:val="auto"/>
            <w:sz w:val="24"/>
            <w:szCs w:val="24"/>
            <w:highlight w:val="none"/>
            <w:lang w:val="en-US" w:eastAsia="zh-CN"/>
          </w:rPr>
          <w:t>到</w:t>
        </w:r>
      </w:ins>
      <w:del w:id="66" w:author="Ms.h" w:date="2024-07-31T17:00:36Z">
        <w:r>
          <w:rPr>
            <w:rFonts w:hint="eastAsia" w:asciiTheme="majorEastAsia" w:hAnsiTheme="majorEastAsia" w:eastAsiaTheme="majorEastAsia" w:cstheme="majorEastAsia"/>
            <w:color w:val="auto"/>
            <w:sz w:val="24"/>
            <w:szCs w:val="24"/>
            <w:highlight w:val="none"/>
          </w:rPr>
          <w:delText>接受</w:delText>
        </w:r>
      </w:del>
      <w:r>
        <w:rPr>
          <w:rFonts w:hint="eastAsia" w:asciiTheme="majorEastAsia" w:hAnsiTheme="majorEastAsia" w:eastAsiaTheme="majorEastAsia" w:cstheme="majorEastAsia"/>
          <w:color w:val="auto"/>
          <w:sz w:val="24"/>
          <w:szCs w:val="24"/>
          <w:highlight w:val="none"/>
        </w:rPr>
        <w:t>行政处罚或刑事处罚的，且乙方未妥善处理的；</w:t>
      </w:r>
    </w:p>
    <w:p w14:paraId="175354F8">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1.6、乙方擅自把工程分包或转包给其他任何单位的；</w:t>
      </w:r>
    </w:p>
    <w:p w14:paraId="3261AE1B">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1.7、乙方与甲方工作人员串通、虚构事实或使用其他方式虚报工程量的；</w:t>
      </w:r>
    </w:p>
    <w:p w14:paraId="41255199">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1.8、甲方或监理方对同一施工问题连续下发三次整改通知书后乙方无作为或整改问题未在整改通知书要求的期限内解决；</w:t>
      </w:r>
    </w:p>
    <w:p w14:paraId="679E4E6B">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1.9、乙方购置不符合合同约定的品牌、厂家、产地、材质、工艺、规格、型号等标准的产品或者假冒伪劣产品用于本工程；</w:t>
      </w:r>
    </w:p>
    <w:p w14:paraId="12F447ED">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1.10、乙方存在其他违约行为，经甲方书面通知之日7日内仍未纠正的。</w:t>
      </w:r>
    </w:p>
    <w:p w14:paraId="159C4CA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6EACC5E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3、如合同解约甲方有权委托其他公司进行施工。</w:t>
      </w:r>
    </w:p>
    <w:p w14:paraId="497FB85A">
      <w:pPr>
        <w:pStyle w:val="2"/>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十六</w:t>
      </w:r>
      <w:r>
        <w:rPr>
          <w:rFonts w:hint="eastAsia" w:asciiTheme="majorEastAsia" w:hAnsiTheme="majorEastAsia" w:eastAsiaTheme="majorEastAsia" w:cstheme="majorEastAsia"/>
          <w:color w:val="auto"/>
          <w:sz w:val="24"/>
          <w:szCs w:val="24"/>
          <w:highlight w:val="none"/>
        </w:rPr>
        <w:t>、争议的解决</w:t>
      </w:r>
    </w:p>
    <w:p w14:paraId="7469A41D">
      <w:pPr>
        <w:kinsoku/>
        <w:wordWrap/>
        <w:topLinePunct/>
        <w:autoSpaceDE w:val="0"/>
        <w:spacing w:line="360" w:lineRule="auto"/>
        <w:ind w:firstLine="512" w:firstLineChars="200"/>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本合同履行过程中发生争议或纠纷的，由当事人双方协商解决。协商不成时，双方同意向合同签约地人民法院提起诉讼。</w:t>
      </w:r>
    </w:p>
    <w:p w14:paraId="62364CFF">
      <w:pPr>
        <w:pStyle w:val="2"/>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十七</w:t>
      </w:r>
      <w:r>
        <w:rPr>
          <w:rFonts w:hint="eastAsia" w:asciiTheme="majorEastAsia" w:hAnsiTheme="majorEastAsia" w:eastAsiaTheme="majorEastAsia" w:cstheme="majorEastAsia"/>
          <w:color w:val="auto"/>
          <w:sz w:val="24"/>
          <w:szCs w:val="24"/>
          <w:highlight w:val="none"/>
        </w:rPr>
        <w:t>、其他</w:t>
      </w:r>
      <w:bookmarkStart w:id="1" w:name="_GoBack"/>
      <w:bookmarkEnd w:id="1"/>
    </w:p>
    <w:p w14:paraId="7EEB45DC">
      <w:pPr>
        <w:kinsoku/>
        <w:wordWrap/>
        <w:topLinePunct w:val="0"/>
        <w:autoSpaceDE/>
        <w:spacing w:line="360" w:lineRule="auto"/>
        <w:ind w:firstLine="480" w:firstLineChars="200"/>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rPr>
        <w:t>1、本合同未尽事宜双方协商解决或另签补充协议，补充协议与本合同具有同等法律效力。</w:t>
      </w:r>
    </w:p>
    <w:p w14:paraId="137E6D8B">
      <w:pPr>
        <w:kinsoku/>
        <w:wordWrap/>
        <w:topLinePunct w:val="0"/>
        <w:autoSpaceDE/>
        <w:spacing w:line="360" w:lineRule="auto"/>
        <w:ind w:firstLine="480" w:firstLineChars="200"/>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rPr>
        <w:t>2、本合同一式柒份，甲方伍份，乙方贰份，均具有同等法律效力。</w:t>
      </w:r>
    </w:p>
    <w:p w14:paraId="5B43A0C3">
      <w:pPr>
        <w:kinsoku/>
        <w:wordWrap/>
        <w:topLinePunct w:val="0"/>
        <w:autoSpaceDE/>
        <w:spacing w:line="360" w:lineRule="auto"/>
        <w:ind w:firstLine="480" w:firstLineChars="200"/>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rPr>
        <w:t>3、本合同及其补充协议自双方盖章之日起生效。</w:t>
      </w:r>
    </w:p>
    <w:p w14:paraId="04912856">
      <w:pPr>
        <w:spacing w:line="360" w:lineRule="auto"/>
        <w:ind w:firstLine="480" w:firstLineChars="200"/>
        <w:rPr>
          <w:rFonts w:hint="eastAsia" w:asciiTheme="majorEastAsia" w:hAnsiTheme="majorEastAsia" w:eastAsiaTheme="majorEastAsia" w:cstheme="majorEastAsia"/>
          <w:b w:val="0"/>
          <w:bCs w:val="0"/>
          <w:color w:val="auto"/>
          <w:kern w:val="2"/>
          <w:sz w:val="24"/>
          <w:szCs w:val="24"/>
          <w:highlight w:val="none"/>
        </w:rPr>
      </w:pPr>
      <w:r>
        <w:rPr>
          <w:rFonts w:hint="eastAsia" w:asciiTheme="majorEastAsia" w:hAnsiTheme="majorEastAsia" w:eastAsiaTheme="majorEastAsia" w:cstheme="majorEastAsia"/>
          <w:color w:val="auto"/>
          <w:spacing w:val="0"/>
          <w:sz w:val="24"/>
          <w:szCs w:val="24"/>
          <w:highlight w:val="none"/>
        </w:rPr>
        <w:t>4、合同签订地点：洛阳市洛龙区关林西路8号中浩德控股集团有限公司1楼。</w:t>
      </w:r>
      <w:r>
        <w:rPr>
          <w:rFonts w:hint="eastAsia" w:asciiTheme="majorEastAsia" w:hAnsiTheme="majorEastAsia" w:eastAsiaTheme="majorEastAsia" w:cstheme="majorEastAsia"/>
          <w:b w:val="0"/>
          <w:bCs w:val="0"/>
          <w:color w:val="auto"/>
          <w:kern w:val="2"/>
          <w:sz w:val="24"/>
          <w:szCs w:val="24"/>
          <w:highlight w:val="none"/>
        </w:rPr>
        <w:t xml:space="preserve"> </w:t>
      </w:r>
    </w:p>
    <w:p w14:paraId="203255B5">
      <w:pPr>
        <w:ind w:firstLine="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bCs/>
          <w:color w:val="auto"/>
          <w:kern w:val="44"/>
          <w:sz w:val="24"/>
          <w:szCs w:val="24"/>
          <w:highlight w:val="none"/>
          <w:lang w:eastAsia="zh-CN"/>
        </w:rPr>
        <w:t>十八</w:t>
      </w:r>
      <w:r>
        <w:rPr>
          <w:rFonts w:hint="eastAsia" w:asciiTheme="majorEastAsia" w:hAnsiTheme="majorEastAsia" w:eastAsiaTheme="majorEastAsia" w:cstheme="majorEastAsia"/>
          <w:b/>
          <w:bCs/>
          <w:color w:val="auto"/>
          <w:kern w:val="44"/>
          <w:sz w:val="24"/>
          <w:szCs w:val="24"/>
          <w:highlight w:val="none"/>
        </w:rPr>
        <w:t>、合同附件</w:t>
      </w:r>
    </w:p>
    <w:p w14:paraId="1F393AAD">
      <w:pPr>
        <w:spacing w:line="360" w:lineRule="auto"/>
        <w:ind w:firstLine="512" w:firstLineChars="200"/>
        <w:rPr>
          <w:rFonts w:hint="eastAsia" w:asciiTheme="majorEastAsia" w:hAnsiTheme="majorEastAsia" w:eastAsiaTheme="majorEastAsia" w:cstheme="majorEastAsia"/>
          <w:color w:val="auto"/>
          <w:spacing w:val="8"/>
          <w:sz w:val="24"/>
          <w:szCs w:val="24"/>
          <w:highlight w:val="none"/>
        </w:rPr>
      </w:pPr>
      <w:r>
        <w:rPr>
          <w:rFonts w:hint="eastAsia" w:asciiTheme="majorEastAsia" w:hAnsiTheme="majorEastAsia" w:eastAsiaTheme="majorEastAsia" w:cstheme="majorEastAsia"/>
          <w:color w:val="auto"/>
          <w:spacing w:val="8"/>
          <w:sz w:val="24"/>
          <w:szCs w:val="24"/>
          <w:highlight w:val="none"/>
        </w:rPr>
        <w:t>1、合同附件一、《廉政合作协议》</w:t>
      </w:r>
    </w:p>
    <w:p w14:paraId="1531F573">
      <w:pPr>
        <w:spacing w:line="360" w:lineRule="auto"/>
        <w:ind w:firstLine="512" w:firstLineChars="200"/>
        <w:rPr>
          <w:rFonts w:hint="eastAsia" w:asciiTheme="majorEastAsia" w:hAnsiTheme="majorEastAsia" w:eastAsiaTheme="majorEastAsia" w:cstheme="majorEastAsia"/>
          <w:color w:val="auto"/>
          <w:spacing w:val="8"/>
          <w:sz w:val="24"/>
          <w:szCs w:val="24"/>
          <w:highlight w:val="none"/>
        </w:rPr>
      </w:pPr>
      <w:r>
        <w:rPr>
          <w:rFonts w:hint="eastAsia" w:asciiTheme="majorEastAsia" w:hAnsiTheme="majorEastAsia" w:eastAsiaTheme="majorEastAsia" w:cstheme="majorEastAsia"/>
          <w:color w:val="auto"/>
          <w:spacing w:val="8"/>
          <w:sz w:val="24"/>
          <w:szCs w:val="24"/>
          <w:highlight w:val="none"/>
        </w:rPr>
        <w:t>2、合同附件二、《乙方派驻本工程人员名单表》</w:t>
      </w:r>
    </w:p>
    <w:p w14:paraId="1D1B1AA8">
      <w:pPr>
        <w:spacing w:line="360" w:lineRule="auto"/>
        <w:ind w:firstLine="512" w:firstLineChars="200"/>
        <w:rPr>
          <w:rFonts w:hint="eastAsia" w:asciiTheme="majorEastAsia" w:hAnsiTheme="majorEastAsia" w:eastAsiaTheme="majorEastAsia" w:cstheme="majorEastAsia"/>
          <w:color w:val="auto"/>
          <w:spacing w:val="8"/>
          <w:sz w:val="24"/>
          <w:szCs w:val="24"/>
          <w:highlight w:val="none"/>
          <w:lang w:val="en-US" w:eastAsia="zh-CN"/>
        </w:rPr>
      </w:pPr>
      <w:r>
        <w:rPr>
          <w:rFonts w:hint="eastAsia" w:asciiTheme="majorEastAsia" w:hAnsiTheme="majorEastAsia" w:eastAsiaTheme="majorEastAsia" w:cstheme="majorEastAsia"/>
          <w:color w:val="auto"/>
          <w:spacing w:val="8"/>
          <w:sz w:val="24"/>
          <w:szCs w:val="24"/>
          <w:highlight w:val="none"/>
          <w:lang w:val="en-US" w:eastAsia="zh-CN"/>
        </w:rPr>
        <w:t>3、</w:t>
      </w:r>
      <w:r>
        <w:rPr>
          <w:rFonts w:hint="eastAsia" w:asciiTheme="majorEastAsia" w:hAnsiTheme="majorEastAsia" w:eastAsiaTheme="majorEastAsia" w:cstheme="majorEastAsia"/>
          <w:color w:val="auto"/>
          <w:spacing w:val="8"/>
          <w:sz w:val="24"/>
          <w:szCs w:val="24"/>
          <w:highlight w:val="none"/>
        </w:rPr>
        <w:t>合同附件三、</w:t>
      </w:r>
      <w:r>
        <w:rPr>
          <w:rFonts w:hint="eastAsia" w:asciiTheme="majorEastAsia" w:hAnsiTheme="majorEastAsia" w:eastAsiaTheme="majorEastAsia" w:cstheme="majorEastAsia"/>
          <w:color w:val="auto"/>
          <w:spacing w:val="8"/>
          <w:sz w:val="24"/>
          <w:szCs w:val="24"/>
          <w:highlight w:val="none"/>
          <w:lang w:val="en-US" w:eastAsia="zh-CN"/>
        </w:rPr>
        <w:t xml:space="preserve"> 《招标答疑及回复》</w:t>
      </w:r>
    </w:p>
    <w:p w14:paraId="52BD9628">
      <w:pPr>
        <w:spacing w:line="360" w:lineRule="auto"/>
        <w:ind w:firstLine="512" w:firstLineChars="200"/>
        <w:rPr>
          <w:rFonts w:hint="eastAsia" w:asciiTheme="majorEastAsia" w:hAnsiTheme="majorEastAsia" w:eastAsiaTheme="majorEastAsia" w:cstheme="majorEastAsia"/>
          <w:color w:val="auto"/>
          <w:spacing w:val="8"/>
          <w:sz w:val="24"/>
          <w:szCs w:val="24"/>
          <w:highlight w:val="none"/>
        </w:rPr>
      </w:pPr>
      <w:r>
        <w:rPr>
          <w:rFonts w:hint="eastAsia" w:asciiTheme="majorEastAsia" w:hAnsiTheme="majorEastAsia" w:eastAsiaTheme="majorEastAsia" w:cstheme="majorEastAsia"/>
          <w:color w:val="auto"/>
          <w:spacing w:val="8"/>
          <w:sz w:val="24"/>
          <w:szCs w:val="24"/>
          <w:highlight w:val="none"/>
          <w:lang w:val="en-US" w:eastAsia="zh-CN"/>
        </w:rPr>
        <w:t>4</w:t>
      </w:r>
      <w:r>
        <w:rPr>
          <w:rFonts w:hint="eastAsia" w:asciiTheme="majorEastAsia" w:hAnsiTheme="majorEastAsia" w:eastAsiaTheme="majorEastAsia" w:cstheme="majorEastAsia"/>
          <w:color w:val="auto"/>
          <w:spacing w:val="8"/>
          <w:sz w:val="24"/>
          <w:szCs w:val="24"/>
          <w:highlight w:val="none"/>
        </w:rPr>
        <w:t>、合同附件</w:t>
      </w:r>
      <w:r>
        <w:rPr>
          <w:rFonts w:hint="eastAsia" w:asciiTheme="majorEastAsia" w:hAnsiTheme="majorEastAsia" w:eastAsiaTheme="majorEastAsia" w:cstheme="majorEastAsia"/>
          <w:color w:val="auto"/>
          <w:spacing w:val="8"/>
          <w:sz w:val="24"/>
          <w:szCs w:val="24"/>
          <w:highlight w:val="none"/>
          <w:lang w:eastAsia="zh-CN"/>
        </w:rPr>
        <w:t>四</w:t>
      </w:r>
      <w:r>
        <w:rPr>
          <w:rFonts w:hint="eastAsia" w:asciiTheme="majorEastAsia" w:hAnsiTheme="majorEastAsia" w:eastAsiaTheme="majorEastAsia" w:cstheme="majorEastAsia"/>
          <w:color w:val="auto"/>
          <w:spacing w:val="8"/>
          <w:sz w:val="24"/>
          <w:szCs w:val="24"/>
          <w:highlight w:val="none"/>
        </w:rPr>
        <w:t>、《价格清单》（单独打印后附装订）</w:t>
      </w:r>
    </w:p>
    <w:p w14:paraId="5F4C36C6">
      <w:pPr>
        <w:spacing w:line="360" w:lineRule="auto"/>
        <w:ind w:firstLine="512" w:firstLineChars="200"/>
        <w:rPr>
          <w:rFonts w:hint="eastAsia" w:asciiTheme="majorEastAsia" w:hAnsiTheme="majorEastAsia" w:eastAsiaTheme="majorEastAsia" w:cstheme="majorEastAsia"/>
          <w:color w:val="auto"/>
          <w:spacing w:val="8"/>
          <w:sz w:val="24"/>
          <w:szCs w:val="24"/>
          <w:highlight w:val="none"/>
        </w:rPr>
      </w:pPr>
      <w:r>
        <w:rPr>
          <w:rFonts w:hint="eastAsia" w:asciiTheme="majorEastAsia" w:hAnsiTheme="majorEastAsia" w:eastAsiaTheme="majorEastAsia" w:cstheme="majorEastAsia"/>
          <w:color w:val="auto"/>
          <w:spacing w:val="8"/>
          <w:sz w:val="24"/>
          <w:szCs w:val="24"/>
          <w:highlight w:val="none"/>
        </w:rPr>
        <w:t>（以下无正文）</w:t>
      </w:r>
    </w:p>
    <w:p w14:paraId="039098D7">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rPr>
        <w:t>甲方：（盖章）</w:t>
      </w:r>
      <w:r>
        <w:rPr>
          <w:rFonts w:hint="eastAsia" w:asciiTheme="majorEastAsia" w:hAnsiTheme="majorEastAsia" w:eastAsiaTheme="majorEastAsia" w:cstheme="majorEastAsia"/>
          <w:bCs/>
          <w:color w:val="auto"/>
          <w:sz w:val="24"/>
          <w:szCs w:val="24"/>
          <w:highlight w:val="none"/>
          <w:lang w:eastAsia="zh-CN"/>
        </w:rPr>
        <w:t>河南浩德龙瑞置业有限公司</w:t>
      </w:r>
      <w:r>
        <w:rPr>
          <w:rFonts w:hint="eastAsia" w:asciiTheme="majorEastAsia" w:hAnsiTheme="majorEastAsia" w:eastAsiaTheme="majorEastAsia" w:cstheme="majorEastAsia"/>
          <w:bCs/>
          <w:color w:val="auto"/>
          <w:sz w:val="24"/>
          <w:szCs w:val="24"/>
          <w:highlight w:val="none"/>
        </w:rPr>
        <w:t xml:space="preserve">  乙方：（盖章）</w:t>
      </w:r>
      <w:r>
        <w:rPr>
          <w:rFonts w:hint="eastAsia" w:asciiTheme="majorEastAsia" w:hAnsiTheme="majorEastAsia" w:eastAsiaTheme="majorEastAsia" w:cstheme="majorEastAsia"/>
          <w:bCs/>
          <w:color w:val="auto"/>
          <w:sz w:val="24"/>
          <w:szCs w:val="24"/>
          <w:highlight w:val="none"/>
          <w:lang w:val="en-US" w:eastAsia="zh-CN"/>
        </w:rPr>
        <w:t>河南金龙幕墙有限公司</w:t>
      </w:r>
      <w:r>
        <w:rPr>
          <w:rFonts w:hint="eastAsia" w:asciiTheme="majorEastAsia" w:hAnsiTheme="majorEastAsia" w:eastAsiaTheme="majorEastAsia" w:cstheme="majorEastAsia"/>
          <w:bCs/>
          <w:color w:val="auto"/>
          <w:sz w:val="24"/>
          <w:szCs w:val="24"/>
          <w:highlight w:val="none"/>
          <w:lang w:eastAsia="zh-CN"/>
        </w:rPr>
        <w:t xml:space="preserve"> </w:t>
      </w:r>
      <w:r>
        <w:rPr>
          <w:rFonts w:hint="eastAsia" w:asciiTheme="majorEastAsia" w:hAnsiTheme="majorEastAsia" w:eastAsiaTheme="majorEastAsia" w:cstheme="majorEastAsia"/>
          <w:bCs/>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lang w:val="en-US" w:eastAsia="zh-CN"/>
        </w:rPr>
        <w:t xml:space="preserve"> </w:t>
      </w:r>
    </w:p>
    <w:p w14:paraId="2E60EB65">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法定代表人：                            法定代表人：</w:t>
      </w:r>
    </w:p>
    <w:p w14:paraId="5A3EBE8C">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委托代理人：                            委托代理人：</w:t>
      </w:r>
    </w:p>
    <w:p w14:paraId="554E2D81">
      <w:pPr>
        <w:kinsoku/>
        <w:wordWrap/>
        <w:overflowPunct/>
        <w:topLinePunct/>
        <w:autoSpaceDE w:val="0"/>
        <w:spacing w:line="360" w:lineRule="auto"/>
        <w:ind w:left="0" w:leftChars="0"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开户行：中原银行股份有限公司洛阳</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开户行：建设银行郑州上街支行</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 xml:space="preserve">   </w:t>
      </w:r>
    </w:p>
    <w:p w14:paraId="6CC42A89">
      <w:pPr>
        <w:kinsoku/>
        <w:wordWrap/>
        <w:overflowPunct/>
        <w:topLinePunct/>
        <w:autoSpaceDE w:val="0"/>
        <w:spacing w:line="360" w:lineRule="auto"/>
        <w:ind w:left="0" w:leftChars="0"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 xml:space="preserve">        万豪中心支行     </w:t>
      </w:r>
    </w:p>
    <w:p w14:paraId="78C2B1DD">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账号：</w:t>
      </w:r>
      <w:r>
        <w:rPr>
          <w:rFonts w:hint="eastAsia" w:asciiTheme="majorEastAsia" w:hAnsiTheme="majorEastAsia" w:eastAsiaTheme="majorEastAsia" w:cstheme="majorEastAsia"/>
          <w:bCs/>
          <w:color w:val="auto"/>
          <w:sz w:val="24"/>
          <w:szCs w:val="24"/>
          <w:highlight w:val="none"/>
        </w:rPr>
        <w:t>410311010160004001</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rPr>
        <w:t xml:space="preserve"> 账号：41050167700809111888</w:t>
      </w:r>
      <w:r>
        <w:rPr>
          <w:rFonts w:hint="eastAsia" w:asciiTheme="minorEastAsia" w:hAnsiTheme="minorEastAsia" w:eastAsiaTheme="minorEastAsia" w:cstheme="minorEastAsia"/>
          <w:color w:val="auto"/>
          <w:sz w:val="24"/>
          <w:szCs w:val="24"/>
          <w:highlight w:val="none"/>
          <w:lang w:val="en-US" w:eastAsia="zh-CN"/>
        </w:rPr>
        <w:t xml:space="preserve"> </w:t>
      </w:r>
    </w:p>
    <w:p w14:paraId="61C54134">
      <w:pPr>
        <w:topLinePunct/>
        <w:autoSpaceDE w:val="0"/>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 w:val="24"/>
          <w:szCs w:val="24"/>
          <w:highlight w:val="none"/>
        </w:rPr>
        <w:t>签订日期：</w:t>
      </w:r>
      <w:r>
        <w:rPr>
          <w:rFonts w:hint="eastAsia" w:asciiTheme="minorEastAsia" w:hAnsiTheme="minorEastAsia" w:eastAsiaTheme="minorEastAsia" w:cstheme="minorEastAsia"/>
          <w:bCs/>
          <w:color w:val="auto"/>
          <w:sz w:val="24"/>
          <w:szCs w:val="24"/>
          <w:highlight w:val="none"/>
          <w:u w:val="single"/>
          <w:lang w:eastAsia="zh-CN"/>
        </w:rPr>
        <w:t>2024年</w:t>
      </w:r>
      <w:r>
        <w:rPr>
          <w:rFonts w:hint="eastAsia" w:asciiTheme="minorEastAsia" w:hAnsiTheme="minorEastAsia" w:eastAsiaTheme="minorEastAsia" w:cstheme="minorEastAsia"/>
          <w:bCs/>
          <w:color w:val="auto"/>
          <w:sz w:val="24"/>
          <w:szCs w:val="24"/>
          <w:highlight w:val="none"/>
          <w:u w:val="single"/>
          <w:lang w:val="en-US" w:eastAsia="zh-CN"/>
        </w:rPr>
        <w:t>7</w:t>
      </w:r>
      <w:r>
        <w:rPr>
          <w:rFonts w:hint="eastAsia" w:asciiTheme="minorEastAsia" w:hAnsiTheme="minorEastAsia" w:eastAsiaTheme="minorEastAsia" w:cstheme="minorEastAsia"/>
          <w:bCs/>
          <w:color w:val="auto"/>
          <w:sz w:val="24"/>
          <w:szCs w:val="24"/>
          <w:highlight w:val="none"/>
          <w:u w:val="single"/>
          <w:lang w:eastAsia="zh-CN"/>
        </w:rPr>
        <w:t>月</w:t>
      </w:r>
      <w:r>
        <w:rPr>
          <w:rFonts w:hint="eastAsia" w:asciiTheme="minorEastAsia" w:hAnsiTheme="minorEastAsia" w:cstheme="minorEastAsia"/>
          <w:bCs/>
          <w:color w:val="auto"/>
          <w:sz w:val="24"/>
          <w:szCs w:val="24"/>
          <w:highlight w:val="none"/>
          <w:u w:val="single"/>
          <w:lang w:val="en-US" w:eastAsia="zh-CN"/>
        </w:rPr>
        <w:t>25</w:t>
      </w:r>
      <w:r>
        <w:rPr>
          <w:rFonts w:hint="eastAsia" w:asciiTheme="minorEastAsia" w:hAnsiTheme="minorEastAsia" w:eastAsiaTheme="minorEastAsia" w:cstheme="minorEastAsia"/>
          <w:bCs/>
          <w:color w:val="auto"/>
          <w:sz w:val="24"/>
          <w:szCs w:val="24"/>
          <w:highlight w:val="none"/>
        </w:rPr>
        <w:t xml:space="preserve">日         </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rPr>
        <w:t>签订日期：</w:t>
      </w:r>
      <w:r>
        <w:rPr>
          <w:rFonts w:hint="eastAsia" w:asciiTheme="minorEastAsia" w:hAnsiTheme="minorEastAsia" w:eastAsiaTheme="minorEastAsia" w:cstheme="minorEastAsia"/>
          <w:bCs/>
          <w:color w:val="auto"/>
          <w:sz w:val="24"/>
          <w:szCs w:val="24"/>
          <w:highlight w:val="none"/>
          <w:u w:val="single"/>
          <w:lang w:eastAsia="zh-CN"/>
        </w:rPr>
        <w:t>2024年</w:t>
      </w:r>
      <w:r>
        <w:rPr>
          <w:rFonts w:hint="eastAsia" w:asciiTheme="minorEastAsia" w:hAnsiTheme="minorEastAsia" w:eastAsiaTheme="minorEastAsia" w:cstheme="minorEastAsia"/>
          <w:bCs/>
          <w:color w:val="auto"/>
          <w:sz w:val="24"/>
          <w:szCs w:val="24"/>
          <w:highlight w:val="none"/>
          <w:u w:val="single"/>
          <w:lang w:val="en-US" w:eastAsia="zh-CN"/>
        </w:rPr>
        <w:t>7</w:t>
      </w:r>
      <w:r>
        <w:rPr>
          <w:rFonts w:hint="eastAsia" w:asciiTheme="minorEastAsia" w:hAnsiTheme="minorEastAsia" w:eastAsiaTheme="minorEastAsia" w:cstheme="minorEastAsia"/>
          <w:bCs/>
          <w:color w:val="auto"/>
          <w:sz w:val="24"/>
          <w:szCs w:val="24"/>
          <w:highlight w:val="none"/>
          <w:u w:val="single"/>
          <w:lang w:eastAsia="zh-CN"/>
        </w:rPr>
        <w:t>月</w:t>
      </w:r>
      <w:r>
        <w:rPr>
          <w:rFonts w:hint="eastAsia" w:asciiTheme="minorEastAsia" w:hAnsiTheme="minorEastAsia" w:cstheme="minorEastAsia"/>
          <w:bCs/>
          <w:color w:val="auto"/>
          <w:sz w:val="24"/>
          <w:szCs w:val="24"/>
          <w:highlight w:val="none"/>
          <w:u w:val="single"/>
          <w:lang w:val="en-US" w:eastAsia="zh-CN"/>
        </w:rPr>
        <w:t>25</w:t>
      </w:r>
      <w:r>
        <w:rPr>
          <w:rFonts w:hint="eastAsia" w:asciiTheme="minorEastAsia" w:hAnsiTheme="minorEastAsia" w:eastAsiaTheme="minorEastAsia" w:cstheme="minorEastAsia"/>
          <w:bCs/>
          <w:color w:val="auto"/>
          <w:sz w:val="24"/>
          <w:szCs w:val="24"/>
          <w:highlight w:val="none"/>
        </w:rPr>
        <w:t>日</w:t>
      </w:r>
    </w:p>
    <w:p w14:paraId="443A1A68">
      <w:pPr>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rPr>
      </w:pPr>
    </w:p>
    <w:p w14:paraId="5E8B5DCF">
      <w:pPr>
        <w:pStyle w:val="25"/>
        <w:rPr>
          <w:rFonts w:hint="eastAsia" w:asciiTheme="majorEastAsia" w:hAnsiTheme="majorEastAsia" w:eastAsiaTheme="majorEastAsia" w:cstheme="majorEastAsia"/>
          <w:bCs/>
          <w:color w:val="auto"/>
          <w:szCs w:val="24"/>
          <w:highlight w:val="none"/>
        </w:rPr>
      </w:pPr>
    </w:p>
    <w:p w14:paraId="4A97D5E7">
      <w:pPr>
        <w:spacing w:line="240" w:lineRule="auto"/>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br w:type="page"/>
      </w:r>
    </w:p>
    <w:p w14:paraId="18B36226">
      <w:pPr>
        <w:tabs>
          <w:tab w:val="left" w:pos="4465"/>
        </w:tabs>
        <w:spacing w:line="360" w:lineRule="auto"/>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附件一、廉政合作协议</w:t>
      </w:r>
    </w:p>
    <w:p w14:paraId="6B4FCAC0">
      <w:pPr>
        <w:spacing w:line="360" w:lineRule="auto"/>
        <w:ind w:firstLine="292" w:firstLineChars="91"/>
        <w:jc w:val="center"/>
        <w:rPr>
          <w:rFonts w:hint="eastAsia"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廉政合作协议</w:t>
      </w:r>
    </w:p>
    <w:p w14:paraId="59DC9529">
      <w:pPr>
        <w:spacing w:line="360" w:lineRule="auto"/>
        <w:rPr>
          <w:rFonts w:hint="eastAsia" w:asciiTheme="majorEastAsia" w:hAnsiTheme="majorEastAsia" w:eastAsiaTheme="majorEastAsia" w:cstheme="majorEastAsia"/>
          <w:b/>
          <w:color w:val="auto"/>
          <w:szCs w:val="24"/>
          <w:highlight w:val="none"/>
          <w:lang w:val="en-US" w:eastAsia="zh-CN"/>
        </w:rPr>
      </w:pPr>
      <w:r>
        <w:rPr>
          <w:rFonts w:hint="eastAsia" w:asciiTheme="majorEastAsia" w:hAnsiTheme="majorEastAsia" w:eastAsiaTheme="majorEastAsia" w:cstheme="majorEastAsia"/>
          <w:b/>
          <w:color w:val="auto"/>
          <w:szCs w:val="24"/>
          <w:highlight w:val="none"/>
        </w:rPr>
        <w:t>甲方：</w:t>
      </w:r>
      <w:r>
        <w:rPr>
          <w:rFonts w:hint="eastAsia" w:asciiTheme="majorEastAsia" w:hAnsiTheme="majorEastAsia" w:eastAsiaTheme="majorEastAsia" w:cstheme="majorEastAsia"/>
          <w:b/>
          <w:color w:val="auto"/>
          <w:szCs w:val="24"/>
          <w:highlight w:val="none"/>
          <w:lang w:eastAsia="zh-CN"/>
        </w:rPr>
        <w:t>河南浩德龙瑞置业有限公司</w:t>
      </w:r>
      <w:r>
        <w:rPr>
          <w:rFonts w:hint="eastAsia" w:asciiTheme="majorEastAsia" w:hAnsiTheme="majorEastAsia" w:eastAsiaTheme="majorEastAsia" w:cstheme="majorEastAsia"/>
          <w:b/>
          <w:color w:val="auto"/>
          <w:szCs w:val="24"/>
          <w:highlight w:val="none"/>
          <w:lang w:val="en-US" w:eastAsia="zh-CN"/>
        </w:rPr>
        <w:t xml:space="preserve"> </w:t>
      </w:r>
    </w:p>
    <w:p w14:paraId="22955DC9">
      <w:pPr>
        <w:spacing w:line="360" w:lineRule="auto"/>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乙方：</w:t>
      </w:r>
      <w:r>
        <w:rPr>
          <w:rFonts w:hint="eastAsia" w:asciiTheme="majorEastAsia" w:hAnsiTheme="majorEastAsia" w:eastAsiaTheme="majorEastAsia" w:cstheme="majorEastAsia"/>
          <w:b/>
          <w:color w:val="auto"/>
          <w:szCs w:val="24"/>
          <w:highlight w:val="none"/>
          <w:lang w:eastAsia="zh-CN"/>
        </w:rPr>
        <w:t>河南金龙幕墙有限公司</w:t>
      </w:r>
    </w:p>
    <w:p w14:paraId="5F26FEF6">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为加强工程项目建设期间的廉政管理，确保项目高效优质按期竣工，甲、乙双方经协商签订本协议并作为双方共同遵守的廉政行为准则。</w:t>
      </w:r>
    </w:p>
    <w:p w14:paraId="2377D256">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一．甲方责任</w:t>
      </w:r>
    </w:p>
    <w:p w14:paraId="06EC9843">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1．甲方有责任向乙方介绍本单位有关廉政管理的各项制度和规定。</w:t>
      </w:r>
    </w:p>
    <w:p w14:paraId="224002E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2．甲方有责任对本单位项目管理人员进行廉政教育。</w:t>
      </w:r>
    </w:p>
    <w:p w14:paraId="2CA5B38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3．甲方人员应严格遵守本单位有关廉政管理的规定，不得接受乙方的宴请，不得接受任何形式的实物、现金或礼券。</w:t>
      </w:r>
    </w:p>
    <w:p w14:paraId="6DE33BE3">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4．甲方在项目建设期间发现甲方人员任何形式的索贿受贿行为，均应及时采取措施予以制止，并及时通报乙方单位领导。</w:t>
      </w:r>
    </w:p>
    <w:p w14:paraId="02E0A78D">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5．甲方人员如违反廉政管理制度及本协议规定，甲方应视情节轻重、影响大小给予处罚。</w:t>
      </w:r>
    </w:p>
    <w:p w14:paraId="0D7ACCAB">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6．对于乙方举报甲方人员违反廉政规定的情况，甲方应及时进行调查，根据调查情况进行处理。</w:t>
      </w:r>
    </w:p>
    <w:p w14:paraId="3A127B36">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二．乙方责任</w:t>
      </w:r>
    </w:p>
    <w:p w14:paraId="7DC70C4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1．乙方应保证乙方有关人员了解甲方有关廉政管理的各项制度及本协议的规定，并遵照执行。</w:t>
      </w:r>
    </w:p>
    <w:p w14:paraId="247A62F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2．乙方不得宴请甲方人员，不得以任何形式赠送实物、现金或礼券。</w:t>
      </w:r>
    </w:p>
    <w:p w14:paraId="0F0092A7">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3．乙方在项目建设期间发现乙方人员任何向甲方人员行贿行为，均应及时采取措施予以制止，并及时通报甲方单位领导。</w:t>
      </w:r>
    </w:p>
    <w:p w14:paraId="40823201">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4．乙方有责任接受甲方对乙方在项目建设期间廉政管理执行情况的监督。</w:t>
      </w:r>
    </w:p>
    <w:p w14:paraId="414923F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14:paraId="0B6432F9">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6．如因乙方或其人员在项目建设期间贿赂甲方人员，被检察机关立案查处的，甲方有权终止合同履行或解除合同，由此给甲方造成的损失，均由乙方负责赔偿。</w:t>
      </w:r>
    </w:p>
    <w:p w14:paraId="19DBF178">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 xml:space="preserve"> 三、为维护甲乙双方的合法利益，营造良好的商务环境，甲方建立多种举报渠道（如下）。甲方</w:t>
      </w:r>
      <w:r>
        <w:rPr>
          <w:rFonts w:hint="eastAsia" w:asciiTheme="majorEastAsia" w:hAnsiTheme="majorEastAsia" w:eastAsiaTheme="majorEastAsia" w:cstheme="majorEastAsia"/>
          <w:b/>
          <w:color w:val="auto"/>
          <w:szCs w:val="28"/>
          <w:highlight w:val="none"/>
          <w:lang w:val="en-US" w:eastAsia="zh-CN"/>
        </w:rPr>
        <w:t>审计监察</w:t>
      </w:r>
      <w:r>
        <w:rPr>
          <w:rFonts w:hint="eastAsia" w:asciiTheme="majorEastAsia" w:hAnsiTheme="majorEastAsia" w:eastAsiaTheme="majorEastAsia" w:cstheme="majorEastAsia"/>
          <w:b/>
          <w:color w:val="auto"/>
          <w:szCs w:val="28"/>
          <w:highlight w:val="none"/>
        </w:rPr>
        <w:t>部人员将恪守职业道德，严格履行保密义务！</w:t>
      </w:r>
    </w:p>
    <w:p w14:paraId="57FA1AED">
      <w:pPr>
        <w:spacing w:line="360" w:lineRule="auto"/>
        <w:ind w:firstLine="420" w:firstLineChars="200"/>
        <w:rPr>
          <w:rFonts w:hint="eastAsia" w:asciiTheme="majorEastAsia" w:hAnsiTheme="majorEastAsia" w:eastAsiaTheme="majorEastAsia" w:cstheme="majorEastAsia"/>
          <w:bCs/>
          <w:color w:val="auto"/>
          <w:szCs w:val="28"/>
          <w:highlight w:val="none"/>
        </w:rPr>
      </w:pPr>
      <w:r>
        <w:rPr>
          <w:rFonts w:hint="eastAsia" w:asciiTheme="majorEastAsia" w:hAnsiTheme="majorEastAsia" w:eastAsiaTheme="majorEastAsia" w:cstheme="majorEastAsia"/>
          <w:bCs/>
          <w:color w:val="auto"/>
          <w:szCs w:val="28"/>
          <w:highlight w:val="none"/>
        </w:rPr>
        <w:t>（1）微信小程序举报（扫描右侧二维码进入程序，举报信息直达</w:t>
      </w:r>
      <w:r>
        <w:rPr>
          <w:rFonts w:hint="eastAsia" w:asciiTheme="majorEastAsia" w:hAnsiTheme="majorEastAsia" w:eastAsiaTheme="majorEastAsia" w:cstheme="majorEastAsia"/>
          <w:bCs/>
          <w:color w:val="auto"/>
          <w:szCs w:val="28"/>
          <w:highlight w:val="none"/>
          <w:lang w:val="en-US" w:eastAsia="zh-CN"/>
        </w:rPr>
        <w:t>集团</w:t>
      </w:r>
      <w:r>
        <w:rPr>
          <w:rFonts w:hint="eastAsia" w:asciiTheme="majorEastAsia" w:hAnsiTheme="majorEastAsia" w:eastAsiaTheme="majorEastAsia" w:cstheme="majorEastAsia"/>
          <w:bCs/>
          <w:color w:val="auto"/>
          <w:szCs w:val="28"/>
          <w:highlight w:val="none"/>
        </w:rPr>
        <w:t>董事长）；</w:t>
      </w:r>
    </w:p>
    <w:p w14:paraId="5FB0D50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highlight w:val="none"/>
        </w:rPr>
        <w:drawing>
          <wp:anchor distT="0" distB="0" distL="114300" distR="114300" simplePos="0" relativeHeight="251659264" behindDoc="0" locked="0" layoutInCell="1" allowOverlap="1">
            <wp:simplePos x="0" y="0"/>
            <wp:positionH relativeFrom="column">
              <wp:posOffset>4482465</wp:posOffset>
            </wp:positionH>
            <wp:positionV relativeFrom="paragraph">
              <wp:posOffset>96520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8"/>
                    <a:stretch>
                      <a:fillRect/>
                    </a:stretch>
                  </pic:blipFill>
                  <pic:spPr>
                    <a:xfrm>
                      <a:off x="0" y="0"/>
                      <a:ext cx="935990" cy="935990"/>
                    </a:xfrm>
                    <a:prstGeom prst="rect">
                      <a:avLst/>
                    </a:prstGeom>
                    <a:noFill/>
                    <a:ln>
                      <a:noFill/>
                    </a:ln>
                  </pic:spPr>
                </pic:pic>
              </a:graphicData>
            </a:graphic>
          </wp:anchor>
        </w:drawing>
      </w:r>
      <w:r>
        <w:rPr>
          <w:rFonts w:hint="eastAsia" w:asciiTheme="majorEastAsia" w:hAnsiTheme="majorEastAsia" w:eastAsiaTheme="majorEastAsia" w:cstheme="majorEastAsia"/>
          <w:color w:val="auto"/>
          <w:szCs w:val="28"/>
          <w:highlight w:val="none"/>
        </w:rPr>
        <w:t>（2）邮箱：shenji@chinahonden.com</w:t>
      </w:r>
    </w:p>
    <w:p w14:paraId="0650B76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（3）电话：风控</w:t>
      </w:r>
      <w:r>
        <w:rPr>
          <w:rFonts w:hint="eastAsia" w:asciiTheme="majorEastAsia" w:hAnsiTheme="majorEastAsia" w:eastAsiaTheme="majorEastAsia" w:cstheme="majorEastAsia"/>
          <w:color w:val="auto"/>
          <w:szCs w:val="28"/>
          <w:highlight w:val="none"/>
          <w:lang w:val="en-US" w:eastAsia="zh-CN"/>
        </w:rPr>
        <w:t>总监毛政辉</w:t>
      </w:r>
      <w:r>
        <w:rPr>
          <w:rFonts w:hint="eastAsia" w:asciiTheme="majorEastAsia" w:hAnsiTheme="majorEastAsia" w:eastAsiaTheme="majorEastAsia" w:cstheme="majorEastAsia"/>
          <w:color w:val="auto"/>
          <w:szCs w:val="28"/>
          <w:highlight w:val="none"/>
        </w:rPr>
        <w:t>：13693798532</w:t>
      </w:r>
    </w:p>
    <w:p w14:paraId="5E0E4AA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（4）电话：审计监察副总监</w:t>
      </w:r>
      <w:r>
        <w:rPr>
          <w:rFonts w:hint="eastAsia" w:asciiTheme="majorEastAsia" w:hAnsiTheme="majorEastAsia" w:eastAsiaTheme="majorEastAsia" w:cstheme="majorEastAsia"/>
          <w:color w:val="auto"/>
          <w:szCs w:val="28"/>
          <w:highlight w:val="none"/>
          <w:lang w:val="en-US" w:eastAsia="zh-CN"/>
        </w:rPr>
        <w:t>齐全中</w:t>
      </w:r>
      <w:r>
        <w:rPr>
          <w:rFonts w:hint="eastAsia" w:asciiTheme="majorEastAsia" w:hAnsiTheme="majorEastAsia" w:eastAsiaTheme="majorEastAsia" w:cstheme="majorEastAsia"/>
          <w:color w:val="auto"/>
          <w:szCs w:val="28"/>
          <w:highlight w:val="none"/>
        </w:rPr>
        <w:t>：18137710188</w:t>
      </w:r>
    </w:p>
    <w:p w14:paraId="68972744">
      <w:pPr>
        <w:spacing w:line="360" w:lineRule="auto"/>
        <w:ind w:firstLine="420" w:firstLineChars="200"/>
        <w:rPr>
          <w:rFonts w:hint="eastAsia" w:asciiTheme="majorEastAsia" w:hAnsiTheme="majorEastAsia" w:eastAsiaTheme="majorEastAsia" w:cstheme="majorEastAsia"/>
          <w:color w:val="auto"/>
          <w:szCs w:val="28"/>
          <w:highlight w:val="none"/>
          <w:lang w:val="en-US" w:eastAsia="zh-CN"/>
        </w:rPr>
      </w:pPr>
      <w:r>
        <w:rPr>
          <w:rFonts w:hint="eastAsia" w:asciiTheme="majorEastAsia" w:hAnsiTheme="majorEastAsia" w:eastAsiaTheme="majorEastAsia" w:cstheme="majorEastAsia"/>
          <w:color w:val="auto"/>
          <w:szCs w:val="28"/>
          <w:highlight w:val="none"/>
          <w:lang w:val="en-US" w:eastAsia="zh-CN"/>
        </w:rPr>
        <w:t>（5）</w:t>
      </w:r>
      <w:r>
        <w:rPr>
          <w:rFonts w:hint="eastAsia" w:asciiTheme="majorEastAsia" w:hAnsiTheme="majorEastAsia" w:eastAsiaTheme="majorEastAsia" w:cstheme="majorEastAsia"/>
          <w:color w:val="auto"/>
          <w:szCs w:val="28"/>
          <w:highlight w:val="none"/>
        </w:rPr>
        <w:t>电话</w:t>
      </w:r>
      <w:r>
        <w:rPr>
          <w:rFonts w:hint="eastAsia" w:asciiTheme="majorEastAsia" w:hAnsiTheme="majorEastAsia" w:eastAsiaTheme="majorEastAsia" w:cstheme="majorEastAsia"/>
          <w:color w:val="auto"/>
          <w:szCs w:val="28"/>
          <w:highlight w:val="none"/>
          <w:lang w:eastAsia="zh-CN"/>
        </w:rPr>
        <w:t>：</w:t>
      </w:r>
      <w:r>
        <w:rPr>
          <w:rFonts w:hint="eastAsia" w:asciiTheme="majorEastAsia" w:hAnsiTheme="majorEastAsia" w:eastAsiaTheme="majorEastAsia" w:cstheme="majorEastAsia"/>
          <w:color w:val="auto"/>
          <w:szCs w:val="28"/>
          <w:highlight w:val="none"/>
          <w:lang w:val="en-US" w:eastAsia="zh-CN"/>
        </w:rPr>
        <w:t>审计监察高级经理苏文倩：18839528225</w:t>
      </w:r>
    </w:p>
    <w:p w14:paraId="5B8E0B2C">
      <w:pPr>
        <w:ind w:firstLine="480" w:firstLineChars="200"/>
        <w:rPr>
          <w:rFonts w:hint="eastAsia" w:asciiTheme="majorEastAsia" w:hAnsiTheme="majorEastAsia" w:eastAsiaTheme="majorEastAsia" w:cstheme="majorEastAsia"/>
          <w:color w:val="auto"/>
          <w:kern w:val="2"/>
          <w:sz w:val="24"/>
          <w:szCs w:val="28"/>
          <w:highlight w:val="none"/>
        </w:rPr>
      </w:pPr>
      <w:r>
        <w:rPr>
          <w:rFonts w:hint="eastAsia" w:asciiTheme="majorEastAsia" w:hAnsiTheme="majorEastAsia" w:eastAsiaTheme="majorEastAsia" w:cstheme="majorEastAsia"/>
          <w:color w:val="auto"/>
          <w:kern w:val="2"/>
          <w:sz w:val="24"/>
          <w:szCs w:val="28"/>
          <w:highlight w:val="none"/>
          <w:lang w:eastAsia="zh-CN"/>
        </w:rPr>
        <w:t>（</w:t>
      </w:r>
      <w:r>
        <w:rPr>
          <w:rFonts w:hint="eastAsia" w:asciiTheme="majorEastAsia" w:hAnsiTheme="majorEastAsia" w:eastAsiaTheme="majorEastAsia" w:cstheme="majorEastAsia"/>
          <w:color w:val="auto"/>
          <w:kern w:val="2"/>
          <w:sz w:val="24"/>
          <w:szCs w:val="28"/>
          <w:highlight w:val="none"/>
          <w:lang w:val="en-US" w:eastAsia="zh-CN"/>
        </w:rPr>
        <w:t>6</w:t>
      </w:r>
      <w:r>
        <w:rPr>
          <w:rFonts w:hint="eastAsia" w:asciiTheme="majorEastAsia" w:hAnsiTheme="majorEastAsia" w:eastAsiaTheme="majorEastAsia" w:cstheme="majorEastAsia"/>
          <w:color w:val="auto"/>
          <w:kern w:val="2"/>
          <w:sz w:val="24"/>
          <w:szCs w:val="28"/>
          <w:highlight w:val="none"/>
          <w:lang w:eastAsia="zh-CN"/>
        </w:rPr>
        <w:t>）信件</w:t>
      </w:r>
      <w:r>
        <w:rPr>
          <w:rFonts w:hint="eastAsia" w:asciiTheme="majorEastAsia" w:hAnsiTheme="majorEastAsia" w:eastAsiaTheme="majorEastAsia" w:cstheme="majorEastAsia"/>
          <w:color w:val="auto"/>
          <w:kern w:val="2"/>
          <w:sz w:val="24"/>
          <w:szCs w:val="28"/>
          <w:highlight w:val="none"/>
        </w:rPr>
        <w:t>举报邮寄地址：洛阳市洛龙区关林西路8号中浩德控股集团有限公司审计监察部（收）</w:t>
      </w:r>
      <w:r>
        <w:rPr>
          <w:rFonts w:hint="eastAsia" w:asciiTheme="majorEastAsia" w:hAnsiTheme="majorEastAsia" w:eastAsiaTheme="majorEastAsia" w:cstheme="majorEastAsia"/>
          <w:color w:val="auto"/>
          <w:kern w:val="2"/>
          <w:sz w:val="24"/>
          <w:szCs w:val="28"/>
          <w:highlight w:val="none"/>
          <w:lang w:eastAsia="zh-CN"/>
        </w:rPr>
        <w:t>。</w:t>
      </w:r>
    </w:p>
    <w:p w14:paraId="00FE0658">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四、甲乙双方发现对方工作人员有下列行为之一的，可通过第三条约定的渠道进行举报：</w:t>
      </w:r>
    </w:p>
    <w:p w14:paraId="4FD3A47D">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1.推诿扯皮、有责不负、处事消极、渎职失职、弄虚作假等行为。</w:t>
      </w:r>
    </w:p>
    <w:p w14:paraId="01D10590">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2.以权谋私、滥用职权、处事不公、隐瞒事故、违章指挥造成公司严重事故隐患的行为。</w:t>
      </w:r>
    </w:p>
    <w:p w14:paraId="5508315F">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3.贪污、受贿、盗窃、欺上瞒下等违法乱纪行为。</w:t>
      </w:r>
    </w:p>
    <w:p w14:paraId="6AADB287">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4.出卖、泄露公司商业机密等危害公司行为。</w:t>
      </w:r>
    </w:p>
    <w:p w14:paraId="0034DAF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5.重大经济活动未按公司制度、流程执行的违规违纪行为。</w:t>
      </w:r>
    </w:p>
    <w:p w14:paraId="169CB097">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6.利用职权，任人唯亲，拉帮结派，搞小利益团体或对同事正当行使权利进行打击报复的行为。</w:t>
      </w:r>
    </w:p>
    <w:p w14:paraId="2E8AB827">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7.故意涂改公司文件或以公司名义谋私利，损害公司荣誉和利益的行为。</w:t>
      </w:r>
    </w:p>
    <w:p w14:paraId="1463AAE1">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8.私自侵占、挪用公司财物，损坏公司重要设备或资产的行为。</w:t>
      </w:r>
    </w:p>
    <w:p w14:paraId="1E098AF3">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9.破坏团队和谐，故意挑拨员工之间关系，对同事恶意侮辱、陷害、制造事端的行为。</w:t>
      </w:r>
    </w:p>
    <w:p w14:paraId="748F729E">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10.妄议集团经营、管理、决策部署、会议决议，对正当行使职权的执法部门、员工进行设置障碍、诋毁、恶意侮辱的行为。</w:t>
      </w:r>
    </w:p>
    <w:p w14:paraId="65C21AC1">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8"/>
          <w:highlight w:val="none"/>
        </w:rPr>
        <w:t>11.其他违反法律或者甲方公司相关制度的行为。</w:t>
      </w:r>
    </w:p>
    <w:p w14:paraId="7A47B541">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highlight w:val="none"/>
        </w:rPr>
        <w:t>（以下无正文）</w:t>
      </w:r>
    </w:p>
    <w:p w14:paraId="14E42337">
      <w:pPr>
        <w:spacing w:line="360" w:lineRule="auto"/>
        <w:ind w:left="6090" w:leftChars="100" w:hanging="5880" w:hangingChars="28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甲方（盖章）：                        乙方（盖章）：</w:t>
      </w:r>
      <w:r>
        <w:rPr>
          <w:rFonts w:hint="eastAsia" w:asciiTheme="majorEastAsia" w:hAnsiTheme="majorEastAsia" w:eastAsiaTheme="majorEastAsia" w:cstheme="majorEastAsia"/>
          <w:color w:val="auto"/>
          <w:szCs w:val="28"/>
          <w:highlight w:val="none"/>
          <w:lang w:eastAsia="zh-CN"/>
        </w:rPr>
        <w:t xml:space="preserve"> </w:t>
      </w:r>
      <w:r>
        <w:rPr>
          <w:rFonts w:hint="eastAsia" w:asciiTheme="majorEastAsia" w:hAnsiTheme="majorEastAsia" w:eastAsiaTheme="majorEastAsia" w:cstheme="majorEastAsia"/>
          <w:color w:val="auto"/>
          <w:szCs w:val="28"/>
          <w:highlight w:val="none"/>
        </w:rPr>
        <w:t xml:space="preserve">  </w:t>
      </w:r>
      <w:r>
        <w:rPr>
          <w:rFonts w:hint="eastAsia" w:asciiTheme="majorEastAsia" w:hAnsiTheme="majorEastAsia" w:eastAsiaTheme="majorEastAsia" w:cstheme="majorEastAsia"/>
          <w:color w:val="auto"/>
          <w:szCs w:val="28"/>
          <w:highlight w:val="none"/>
          <w:lang w:eastAsia="zh-CN"/>
        </w:rPr>
        <w:t xml:space="preserve"> </w:t>
      </w:r>
      <w:r>
        <w:rPr>
          <w:rFonts w:hint="eastAsia" w:asciiTheme="majorEastAsia" w:hAnsiTheme="majorEastAsia" w:eastAsiaTheme="majorEastAsia" w:cstheme="majorEastAsia"/>
          <w:color w:val="auto"/>
          <w:szCs w:val="28"/>
          <w:highlight w:val="none"/>
        </w:rPr>
        <w:t xml:space="preserve">     </w:t>
      </w:r>
    </w:p>
    <w:p w14:paraId="4FCD43C2">
      <w:pPr>
        <w:spacing w:line="360" w:lineRule="auto"/>
        <w:ind w:firstLine="210" w:firstLineChars="1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签订日期：</w:t>
      </w:r>
      <w:r>
        <w:rPr>
          <w:rFonts w:hint="eastAsia" w:asciiTheme="majorEastAsia" w:hAnsiTheme="majorEastAsia" w:eastAsiaTheme="majorEastAsia" w:cstheme="majorEastAsia"/>
          <w:color w:val="auto"/>
          <w:szCs w:val="28"/>
          <w:highlight w:val="none"/>
          <w:u w:val="single"/>
          <w:lang w:eastAsia="zh-CN"/>
        </w:rPr>
        <w:t>2024年</w:t>
      </w:r>
      <w:r>
        <w:rPr>
          <w:rFonts w:hint="eastAsia" w:asciiTheme="majorEastAsia" w:hAnsiTheme="majorEastAsia" w:eastAsiaTheme="majorEastAsia" w:cstheme="majorEastAsia"/>
          <w:color w:val="auto"/>
          <w:szCs w:val="28"/>
          <w:highlight w:val="none"/>
          <w:u w:val="single"/>
          <w:lang w:val="en-US" w:eastAsia="zh-CN"/>
        </w:rPr>
        <w:t>7月25</w:t>
      </w:r>
      <w:r>
        <w:rPr>
          <w:rFonts w:hint="eastAsia" w:asciiTheme="majorEastAsia" w:hAnsiTheme="majorEastAsia" w:eastAsiaTheme="majorEastAsia" w:cstheme="majorEastAsia"/>
          <w:color w:val="auto"/>
          <w:szCs w:val="28"/>
          <w:highlight w:val="none"/>
          <w:u w:val="single"/>
        </w:rPr>
        <w:t xml:space="preserve"> </w:t>
      </w:r>
      <w:r>
        <w:rPr>
          <w:rFonts w:hint="eastAsia" w:asciiTheme="majorEastAsia" w:hAnsiTheme="majorEastAsia" w:eastAsiaTheme="majorEastAsia" w:cstheme="majorEastAsia"/>
          <w:color w:val="auto"/>
          <w:szCs w:val="28"/>
          <w:highlight w:val="none"/>
        </w:rPr>
        <w:t>日          签订日期：</w:t>
      </w:r>
      <w:r>
        <w:rPr>
          <w:rFonts w:hint="eastAsia" w:asciiTheme="majorEastAsia" w:hAnsiTheme="majorEastAsia" w:eastAsiaTheme="majorEastAsia" w:cstheme="majorEastAsia"/>
          <w:color w:val="auto"/>
          <w:szCs w:val="28"/>
          <w:highlight w:val="none"/>
          <w:u w:val="single"/>
        </w:rPr>
        <w:t>202</w:t>
      </w:r>
      <w:r>
        <w:rPr>
          <w:rFonts w:hint="eastAsia" w:asciiTheme="majorEastAsia" w:hAnsiTheme="majorEastAsia" w:eastAsiaTheme="majorEastAsia" w:cstheme="majorEastAsia"/>
          <w:color w:val="auto"/>
          <w:szCs w:val="28"/>
          <w:highlight w:val="none"/>
          <w:u w:val="single"/>
          <w:lang w:val="en-US" w:eastAsia="zh-CN"/>
        </w:rPr>
        <w:t>4</w:t>
      </w:r>
      <w:r>
        <w:rPr>
          <w:rFonts w:hint="eastAsia" w:asciiTheme="majorEastAsia" w:hAnsiTheme="majorEastAsia" w:eastAsiaTheme="majorEastAsia" w:cstheme="majorEastAsia"/>
          <w:color w:val="auto"/>
          <w:szCs w:val="28"/>
          <w:highlight w:val="none"/>
        </w:rPr>
        <w:t>年</w:t>
      </w:r>
      <w:r>
        <w:rPr>
          <w:rFonts w:hint="eastAsia" w:asciiTheme="majorEastAsia" w:hAnsiTheme="majorEastAsia" w:eastAsiaTheme="majorEastAsia" w:cstheme="majorEastAsia"/>
          <w:color w:val="auto"/>
          <w:szCs w:val="28"/>
          <w:highlight w:val="none"/>
          <w:u w:val="single"/>
          <w:lang w:val="en-US" w:eastAsia="zh-CN"/>
        </w:rPr>
        <w:t>7月25</w:t>
      </w:r>
      <w:r>
        <w:rPr>
          <w:rFonts w:hint="eastAsia" w:asciiTheme="majorEastAsia" w:hAnsiTheme="majorEastAsia" w:eastAsiaTheme="majorEastAsia" w:cstheme="majorEastAsia"/>
          <w:color w:val="auto"/>
          <w:szCs w:val="28"/>
          <w:highlight w:val="none"/>
        </w:rPr>
        <w:t xml:space="preserve">日  </w:t>
      </w:r>
    </w:p>
    <w:p w14:paraId="14014573">
      <w:pPr>
        <w:pStyle w:val="25"/>
        <w:rPr>
          <w:rFonts w:hint="eastAsia" w:asciiTheme="majorEastAsia" w:hAnsiTheme="majorEastAsia" w:eastAsiaTheme="majorEastAsia" w:cstheme="majorEastAsia"/>
          <w:color w:val="auto"/>
          <w:szCs w:val="28"/>
          <w:highlight w:val="none"/>
        </w:rPr>
      </w:pPr>
    </w:p>
    <w:p w14:paraId="44C64411">
      <w:pPr>
        <w:pStyle w:val="25"/>
        <w:rPr>
          <w:rFonts w:hint="eastAsia" w:asciiTheme="majorEastAsia" w:hAnsiTheme="majorEastAsia" w:eastAsiaTheme="majorEastAsia" w:cstheme="majorEastAsia"/>
          <w:color w:val="auto"/>
          <w:szCs w:val="28"/>
          <w:highlight w:val="none"/>
        </w:rPr>
      </w:pPr>
    </w:p>
    <w:p w14:paraId="590F4330">
      <w:pPr>
        <w:spacing w:line="360" w:lineRule="auto"/>
        <w:rPr>
          <w:rFonts w:hint="eastAsia" w:asciiTheme="majorEastAsia" w:hAnsiTheme="majorEastAsia" w:eastAsiaTheme="majorEastAsia" w:cstheme="majorEastAsia"/>
          <w:bCs/>
          <w:color w:val="auto"/>
          <w:szCs w:val="28"/>
          <w:highlight w:val="none"/>
        </w:rPr>
      </w:pPr>
      <w:r>
        <w:rPr>
          <w:rFonts w:hint="eastAsia" w:asciiTheme="majorEastAsia" w:hAnsiTheme="majorEastAsia" w:eastAsiaTheme="majorEastAsia" w:cstheme="majorEastAsia"/>
          <w:bCs/>
          <w:color w:val="auto"/>
          <w:szCs w:val="28"/>
          <w:highlight w:val="none"/>
        </w:rPr>
        <w:br w:type="page"/>
      </w:r>
    </w:p>
    <w:p w14:paraId="5A0AF945">
      <w:pPr>
        <w:pStyle w:val="25"/>
        <w:spacing w:line="360" w:lineRule="auto"/>
        <w:rPr>
          <w:rFonts w:hint="eastAsia" w:asciiTheme="majorEastAsia" w:hAnsiTheme="majorEastAsia" w:eastAsiaTheme="majorEastAsia" w:cstheme="majorEastAsia"/>
          <w:bCs/>
          <w:color w:val="auto"/>
          <w:szCs w:val="28"/>
          <w:highlight w:val="none"/>
        </w:rPr>
      </w:pPr>
      <w:r>
        <w:rPr>
          <w:rFonts w:hint="eastAsia" w:asciiTheme="majorEastAsia" w:hAnsiTheme="majorEastAsia" w:eastAsiaTheme="majorEastAsia" w:cstheme="majorEastAsia"/>
          <w:bCs/>
          <w:color w:val="auto"/>
          <w:szCs w:val="28"/>
          <w:highlight w:val="none"/>
        </w:rPr>
        <w:t>附件二、《乙方派驻本工程人员名单表》</w:t>
      </w:r>
    </w:p>
    <w:tbl>
      <w:tblPr>
        <w:tblStyle w:val="19"/>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4"/>
        <w:gridCol w:w="1556"/>
        <w:gridCol w:w="1069"/>
        <w:gridCol w:w="1626"/>
        <w:gridCol w:w="1276"/>
        <w:gridCol w:w="1291"/>
        <w:gridCol w:w="2368"/>
      </w:tblGrid>
      <w:tr w14:paraId="12B8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9800" w:type="dxa"/>
            <w:gridSpan w:val="7"/>
            <w:tcBorders>
              <w:top w:val="single" w:color="000000" w:sz="4" w:space="0"/>
              <w:left w:val="single" w:color="000000" w:sz="4" w:space="0"/>
              <w:bottom w:val="single" w:color="000000" w:sz="4" w:space="0"/>
              <w:right w:val="single" w:color="000000" w:sz="4" w:space="0"/>
            </w:tcBorders>
            <w:noWrap/>
            <w:vAlign w:val="center"/>
          </w:tcPr>
          <w:p w14:paraId="353248A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1"/>
                <w:szCs w:val="21"/>
                <w:highlight w:val="none"/>
                <w:u w:val="none"/>
              </w:rPr>
            </w:pPr>
            <w:r>
              <w:rPr>
                <w:rFonts w:hint="eastAsia" w:asciiTheme="majorEastAsia" w:hAnsiTheme="majorEastAsia" w:eastAsiaTheme="majorEastAsia" w:cstheme="majorEastAsia"/>
                <w:b/>
                <w:bCs/>
                <w:i w:val="0"/>
                <w:iCs w:val="0"/>
                <w:color w:val="auto"/>
                <w:kern w:val="0"/>
                <w:sz w:val="21"/>
                <w:szCs w:val="21"/>
                <w:highlight w:val="none"/>
                <w:u w:val="none"/>
                <w:lang w:val="en-US" w:eastAsia="zh-CN" w:bidi="ar"/>
              </w:rPr>
              <w:t>《乙方派驻本工程人员名单表》</w:t>
            </w:r>
          </w:p>
        </w:tc>
      </w:tr>
      <w:tr w14:paraId="5E24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6C41B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5A3594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专业</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1204F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姓名</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3E196F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职称</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9E606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学历</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DE4C4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工作年限</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25102B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担任本工程的职务</w:t>
            </w:r>
          </w:p>
        </w:tc>
      </w:tr>
      <w:tr w14:paraId="14AF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6C801BD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0AB255BC">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建筑工程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411E59D">
            <w:pPr>
              <w:ind w:firstLine="0" w:firstLineChars="0"/>
              <w:jc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晋卫东</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0E9F9B97">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一建</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E19CED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本科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787EBF8">
            <w:pPr>
              <w:jc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7319A73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项目经理</w:t>
            </w:r>
          </w:p>
        </w:tc>
      </w:tr>
      <w:tr w14:paraId="3B56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1F44688F">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2E7DB424">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建筑工程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2FA5AD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薛清华</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5410EC4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96904A3">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E1B4B88">
            <w:pPr>
              <w:jc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25</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51BDB24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技术负责人</w:t>
            </w:r>
          </w:p>
        </w:tc>
      </w:tr>
      <w:tr w14:paraId="0A73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51619E6">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6E39CEFE">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建筑工程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C7A09DF">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周强伟</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1D7EC223">
            <w:pPr>
              <w:ind w:firstLine="210" w:firstLineChars="100"/>
              <w:jc w:val="both"/>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助理工程师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DFE3B0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高中</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85EFF20">
            <w:pPr>
              <w:jc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20</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35B7B004">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安全员</w:t>
            </w:r>
          </w:p>
        </w:tc>
      </w:tr>
      <w:tr w14:paraId="2AB2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0F2B77B6">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4C9A1C7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装饰装修</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BFD0889">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申歌</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6C8173A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资料员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0BDE319">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高中</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033A771">
            <w:pPr>
              <w:jc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20</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6CEAD85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资料员</w:t>
            </w:r>
          </w:p>
        </w:tc>
      </w:tr>
      <w:tr w14:paraId="128B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50D41F4">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3B3FBDC7">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装饰装修</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C76A71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张文玲</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7A822A6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AA42ADF">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高中</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CCE89B7">
            <w:pPr>
              <w:jc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20</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153074F6">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质量员</w:t>
            </w:r>
          </w:p>
        </w:tc>
      </w:tr>
      <w:tr w14:paraId="7281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7B32DA2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2276F2C4">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土木工程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3D8A3A3">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赵建权</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28C80CBA">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助理工程师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E45572A">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高中</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F27EFB3">
            <w:pPr>
              <w:jc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20</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6633742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施工员</w:t>
            </w:r>
          </w:p>
        </w:tc>
      </w:tr>
      <w:tr w14:paraId="4607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769B9AE7">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466BCED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048FE6B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1265097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28A169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D2C9CC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7236E31A">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r>
    </w:tbl>
    <w:p w14:paraId="0EEE82FB">
      <w:pPr>
        <w:pStyle w:val="17"/>
        <w:rPr>
          <w:rFonts w:hint="eastAsia" w:asciiTheme="majorEastAsia" w:hAnsiTheme="majorEastAsia" w:eastAsiaTheme="majorEastAsia" w:cstheme="majorEastAsia"/>
          <w:color w:val="auto"/>
          <w:sz w:val="24"/>
          <w:szCs w:val="24"/>
          <w:highlight w:val="none"/>
        </w:rPr>
      </w:pPr>
    </w:p>
    <w:p w14:paraId="0F17E58F">
      <w:pPr>
        <w:bidi w:val="0"/>
        <w:spacing w:line="360" w:lineRule="auto"/>
        <w:ind w:leftChars="0"/>
        <w:jc w:val="both"/>
        <w:rPr>
          <w:rFonts w:hint="eastAsia" w:asciiTheme="majorEastAsia" w:hAnsiTheme="majorEastAsia" w:eastAsiaTheme="majorEastAsia" w:cstheme="majorEastAsia"/>
          <w:color w:val="auto"/>
          <w:spacing w:val="8"/>
          <w:sz w:val="24"/>
          <w:szCs w:val="24"/>
          <w:highlight w:val="none"/>
        </w:rPr>
      </w:pPr>
      <w:r>
        <w:rPr>
          <w:rFonts w:hint="eastAsia" w:asciiTheme="majorEastAsia" w:hAnsiTheme="majorEastAsia" w:eastAsiaTheme="majorEastAsia" w:cstheme="majorEastAsia"/>
          <w:color w:val="auto"/>
          <w:spacing w:val="8"/>
          <w:sz w:val="24"/>
          <w:szCs w:val="24"/>
          <w:highlight w:val="none"/>
        </w:rPr>
        <w:br w:type="page"/>
      </w:r>
    </w:p>
    <w:p w14:paraId="26A62770">
      <w:pPr>
        <w:pStyle w:val="4"/>
        <w:numPr>
          <w:ilvl w:val="0"/>
          <w:numId w:val="0"/>
        </w:numPr>
        <w:bidi w:val="0"/>
        <w:spacing w:line="360" w:lineRule="auto"/>
        <w:jc w:val="both"/>
        <w:rPr>
          <w:rFonts w:hint="eastAsia" w:asciiTheme="majorEastAsia" w:hAnsiTheme="majorEastAsia" w:eastAsiaTheme="majorEastAsia" w:cstheme="majorEastAsia"/>
          <w:b w:val="0"/>
          <w:bCs w:val="0"/>
          <w:color w:val="auto"/>
          <w:spacing w:val="8"/>
          <w:sz w:val="24"/>
          <w:szCs w:val="24"/>
          <w:highlight w:val="none"/>
          <w:lang w:val="en-US" w:eastAsia="zh-CN"/>
        </w:rPr>
      </w:pPr>
      <w:r>
        <w:rPr>
          <w:rFonts w:hint="eastAsia" w:asciiTheme="majorEastAsia" w:hAnsiTheme="majorEastAsia" w:eastAsiaTheme="majorEastAsia" w:cstheme="majorEastAsia"/>
          <w:color w:val="auto"/>
          <w:spacing w:val="8"/>
          <w:sz w:val="24"/>
          <w:szCs w:val="24"/>
          <w:highlight w:val="none"/>
        </w:rPr>
        <w:t>合同附件三、</w:t>
      </w:r>
      <w:r>
        <w:rPr>
          <w:rFonts w:hint="eastAsia" w:asciiTheme="majorEastAsia" w:hAnsiTheme="majorEastAsia" w:eastAsiaTheme="majorEastAsia" w:cstheme="majorEastAsia"/>
          <w:color w:val="auto"/>
          <w:spacing w:val="8"/>
          <w:sz w:val="24"/>
          <w:szCs w:val="24"/>
          <w:highlight w:val="none"/>
          <w:lang w:val="en-US" w:eastAsia="zh-CN"/>
        </w:rPr>
        <w:t xml:space="preserve"> </w:t>
      </w:r>
      <w:r>
        <w:rPr>
          <w:rFonts w:hint="eastAsia" w:asciiTheme="majorEastAsia" w:hAnsiTheme="majorEastAsia" w:eastAsiaTheme="majorEastAsia" w:cstheme="majorEastAsia"/>
          <w:b w:val="0"/>
          <w:bCs w:val="0"/>
          <w:color w:val="auto"/>
          <w:spacing w:val="8"/>
          <w:sz w:val="24"/>
          <w:szCs w:val="24"/>
          <w:highlight w:val="none"/>
        </w:rPr>
        <w:t>悠然居项目门窗制作及安装工程</w:t>
      </w:r>
      <w:r>
        <w:rPr>
          <w:rFonts w:hint="eastAsia" w:asciiTheme="majorEastAsia" w:hAnsiTheme="majorEastAsia" w:eastAsiaTheme="majorEastAsia" w:cstheme="majorEastAsia"/>
          <w:b w:val="0"/>
          <w:bCs w:val="0"/>
          <w:color w:val="auto"/>
          <w:spacing w:val="8"/>
          <w:sz w:val="24"/>
          <w:szCs w:val="24"/>
          <w:highlight w:val="none"/>
          <w:lang w:val="en-US" w:eastAsia="zh-CN"/>
        </w:rPr>
        <w:t>招标答疑（3.22）</w:t>
      </w:r>
    </w:p>
    <w:p w14:paraId="429952B1">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本项目一、二标段是否只指定一家门窗厂中标</w:t>
      </w:r>
    </w:p>
    <w:p w14:paraId="3C8866F2">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回复：原则上一个标段一个施工单位</w:t>
      </w:r>
    </w:p>
    <w:p w14:paraId="37352E81">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招标须知前附表中约定一、二标段4月15日进场，合同工期要求中要求为4月20日。请明确具体工期要求</w:t>
      </w:r>
    </w:p>
    <w:p w14:paraId="5C803AD0">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回复：暂按4月15日进场，具体以甲方发出书面通知为准</w:t>
      </w:r>
    </w:p>
    <w:p w14:paraId="3971523A">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工程承包范围-乙方承担-第四条：本项目安装采用净口安装。界面划分5.1中门窗单位需要完成门框下槛及两侧300范围内防水砂浆。请明确具体安装方式是否为：窗户全部为四边发泡，推拉门及平开门下口及两侧300范围内防水砂浆。</w:t>
      </w:r>
    </w:p>
    <w:p w14:paraId="0C8BFB2A">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回复：是</w:t>
      </w:r>
    </w:p>
    <w:p w14:paraId="34C6D41A">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合同清单报价说明2.9中：门窗与主体结构的塞缝由中标单位负责，窗框底边及两侧边上翻150mm高范围采用干硬性防水砂浆塞缝，上边及两侧剩余部分打发泡胶塞缝。合同中为净口安装。请明确</w:t>
      </w:r>
    </w:p>
    <w:p w14:paraId="10E60A86">
      <w:pPr>
        <w:numPr>
          <w:ilvl w:val="0"/>
          <w:numId w:val="0"/>
        </w:num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回复：窗户全部为四边发泡，推拉门及平开门下口及两侧300范围内防水砂浆。</w:t>
      </w:r>
    </w:p>
    <w:p w14:paraId="5EFB22AF">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合同技术要求中5.12中约定飘窗及卫生间上悬窗与外保温碰口处，使用钢副框。图纸节点中未画，本项目是否需要钢副框。</w:t>
      </w:r>
    </w:p>
    <w:p w14:paraId="2D8D2BA0">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回复：招标要求净口安装，不需要钢副框。</w:t>
      </w:r>
    </w:p>
    <w:p w14:paraId="1312462A">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型材粉末是否有品牌要求</w:t>
      </w:r>
    </w:p>
    <w:p w14:paraId="304E97CE">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回复：一线品牌，具体以封样效果为准</w:t>
      </w:r>
    </w:p>
    <w:p w14:paraId="3831E7F5">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本项目是否包含非现支付。若包含，请明确非现支付方式及支付比例。</w:t>
      </w:r>
    </w:p>
    <w:p w14:paraId="664E4776">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回复：不包含非现支付</w:t>
      </w:r>
    </w:p>
    <w:p w14:paraId="688DA14E">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本项目付款是否包含抵房。若包含，请明确抵房比例以及抵房是在进度款还是在结算款中</w:t>
      </w:r>
    </w:p>
    <w:p w14:paraId="0C22C63D">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回复：目前不考虑工抵</w:t>
      </w:r>
    </w:p>
    <w:p w14:paraId="4C3C29FA">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合同工程价款支付中约定按照批次付款。其中3#楼、 5#楼为一标段一批次、6#楼、7#楼为二标段一批次。是否可以理解为：3#5#或6#7#外框全部进场安装后才能支付对应40%的进度款。</w:t>
      </w:r>
    </w:p>
    <w:p w14:paraId="20D1454A">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回复：是</w:t>
      </w:r>
    </w:p>
    <w:p w14:paraId="627E4D16">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本项目外开窗及悬窗是否需要防坠器</w:t>
      </w:r>
    </w:p>
    <w:p w14:paraId="5EAC04FC">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回复：需要</w:t>
      </w:r>
    </w:p>
    <w:p w14:paraId="48458B12">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请贵司明确除一批次以外其他批次及对应楼栋的进场时间</w:t>
      </w:r>
    </w:p>
    <w:p w14:paraId="3AA28175">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回复：具体以甲方发出的书面通知为准</w:t>
      </w:r>
    </w:p>
    <w:p w14:paraId="45B349E0">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若因现场原因无法完成对应批次门窗安装（如施工洞口），是否可以进行对应产值的报款</w:t>
      </w:r>
    </w:p>
    <w:p w14:paraId="3E39FB6E">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回复：可以</w:t>
      </w:r>
    </w:p>
    <w:p w14:paraId="180F6334">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合计技术要求中玻璃为蓝灰色，请明确白玻是否为蓝灰色着色玻璃.</w:t>
      </w:r>
    </w:p>
    <w:p w14:paraId="7399626A">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回复：白玻+low-E玻璃。</w:t>
      </w:r>
    </w:p>
    <w:p w14:paraId="5496E84F">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本项目包含一次清洁，请明确清洁标准</w:t>
      </w:r>
    </w:p>
    <w:p w14:paraId="58A1F170">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回复：门窗及玻璃表面无污物</w:t>
      </w:r>
    </w:p>
    <w:p w14:paraId="24211410">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门窗单位需要进行淋水试验，请明确本项目需要几次淋水。以及是否为全淋还是抽淋</w:t>
      </w:r>
    </w:p>
    <w:p w14:paraId="4C24F657">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回复：一次全部淋水</w:t>
      </w:r>
    </w:p>
    <w:p w14:paraId="145AF109">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本项目税率是否有要求，9%还是13%。请明确</w:t>
      </w:r>
    </w:p>
    <w:p w14:paraId="0D823395">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回复：以各单位最终不含税综合单价为准</w:t>
      </w:r>
    </w:p>
    <w:p w14:paraId="61E74A0D">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本项目是否仅门窗外侧（外侧玻璃胶、外侧墙胶）使用耐候胶，室内侧（内侧玻璃胶、内侧墙胶）使用普通硅酮密封胶</w:t>
      </w:r>
    </w:p>
    <w:p w14:paraId="399E6C3C">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回复：门窗外侧（外侧玻璃胶、外侧墙胶）使用耐候胶，室内侧（内侧玻璃胶、内侧墙胶）使用普通硅酮密封胶</w:t>
      </w:r>
    </w:p>
    <w:p w14:paraId="0E04BB43">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项目进场是否需要缴纳安全文明保证金等押金。若需要，请明确具体金额或比例</w:t>
      </w:r>
    </w:p>
    <w:p w14:paraId="55040A5A">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回复：需要缴纳安全文明保证金，具体金额与总包单位协商。</w:t>
      </w:r>
    </w:p>
    <w:p w14:paraId="66060D10">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项目垃圾清运是运输到场内由总包集中处理还是由门窗单位运输到场外处理</w:t>
      </w:r>
    </w:p>
    <w:p w14:paraId="2C99D61B">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回复：门窗单位自行处理</w:t>
      </w:r>
    </w:p>
    <w:p w14:paraId="45657978">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本项目图纸设计说明中提供了门窗五金的型号，后期门窗单位是否需要按照该型号五金样式执行。若不是，请提供五金样式参考。</w:t>
      </w:r>
    </w:p>
    <w:p w14:paraId="7BDED5CA">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回复：按招标文件公司品牌范围，由乙方送样经甲方确定，设计说明中五金型号及节点仅为示意技术要求。</w:t>
      </w:r>
    </w:p>
    <w:p w14:paraId="6DF4905F">
      <w:pPr>
        <w:numPr>
          <w:ilvl w:val="0"/>
          <w:numId w:val="0"/>
        </w:numPr>
        <w:jc w:val="left"/>
        <w:rPr>
          <w:rFonts w:hint="eastAsia" w:asciiTheme="minorEastAsia" w:hAnsiTheme="minorEastAsia" w:eastAsiaTheme="minorEastAsia" w:cstheme="minorEastAsia"/>
          <w:sz w:val="24"/>
          <w:szCs w:val="24"/>
          <w:lang w:val="en-US" w:eastAsia="zh-CN"/>
        </w:rPr>
      </w:pPr>
    </w:p>
    <w:p w14:paraId="733B0EAC">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招标文件中约定本项目无纱窗，图纸设计说明中约定了窗纱的技术要求。请明确本项目是否需要纱窗。若有，请明确具体那些窗型需要纱窗</w:t>
      </w:r>
    </w:p>
    <w:p w14:paraId="59E2640B">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回复：招标文件已明确不含纱窗</w:t>
      </w:r>
    </w:p>
    <w:p w14:paraId="75C95983">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卫生间玻璃是否需要磨砂</w:t>
      </w:r>
    </w:p>
    <w:p w14:paraId="402F624B">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回复：不需要，后期如需要业主自己贴膜。</w:t>
      </w:r>
    </w:p>
    <w:p w14:paraId="0D7F79C8">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图纸已提供对应窗型节点，后期是否若进场是否需要完全按图纸节点外观执行。</w:t>
      </w:r>
    </w:p>
    <w:p w14:paraId="3B32351D">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回复：需要根据型材规格二次深化并报送甲方确认</w:t>
      </w:r>
    </w:p>
    <w:p w14:paraId="7317F6C7">
      <w:pPr>
        <w:numPr>
          <w:ilvl w:val="0"/>
          <w:numId w:val="6"/>
        </w:num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图纸平面图中大样牵引图与大样图不符，若遇到此情况，以何为准。如1#XC1515</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A49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034E6DD">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1#-03-平面图</w:t>
            </w:r>
          </w:p>
        </w:tc>
        <w:tc>
          <w:tcPr>
            <w:tcW w:w="4261" w:type="dxa"/>
          </w:tcPr>
          <w:p w14:paraId="45DB7DAC">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1#-05-大样图</w:t>
            </w:r>
          </w:p>
        </w:tc>
      </w:tr>
      <w:tr w14:paraId="57EE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D3312D7">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334770" cy="1314450"/>
                  <wp:effectExtent l="0" t="0" r="6350" b="1143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9"/>
                          <a:stretch>
                            <a:fillRect/>
                          </a:stretch>
                        </pic:blipFill>
                        <pic:spPr>
                          <a:xfrm>
                            <a:off x="0" y="0"/>
                            <a:ext cx="1334770" cy="1314450"/>
                          </a:xfrm>
                          <a:prstGeom prst="rect">
                            <a:avLst/>
                          </a:prstGeom>
                          <a:noFill/>
                          <a:ln>
                            <a:noFill/>
                          </a:ln>
                        </pic:spPr>
                      </pic:pic>
                    </a:graphicData>
                  </a:graphic>
                </wp:inline>
              </w:drawing>
            </w:r>
          </w:p>
        </w:tc>
        <w:tc>
          <w:tcPr>
            <w:tcW w:w="4261" w:type="dxa"/>
          </w:tcPr>
          <w:p w14:paraId="3351A42C">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445260" cy="1176020"/>
                  <wp:effectExtent l="0" t="0" r="2540" b="1270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0"/>
                          <a:stretch>
                            <a:fillRect/>
                          </a:stretch>
                        </pic:blipFill>
                        <pic:spPr>
                          <a:xfrm>
                            <a:off x="0" y="0"/>
                            <a:ext cx="1445260" cy="1176020"/>
                          </a:xfrm>
                          <a:prstGeom prst="rect">
                            <a:avLst/>
                          </a:prstGeom>
                          <a:noFill/>
                          <a:ln>
                            <a:noFill/>
                          </a:ln>
                        </pic:spPr>
                      </pic:pic>
                    </a:graphicData>
                  </a:graphic>
                </wp:inline>
              </w:drawing>
            </w:r>
          </w:p>
        </w:tc>
      </w:tr>
    </w:tbl>
    <w:p w14:paraId="05B8D916">
      <w:pPr>
        <w:numPr>
          <w:ilvl w:val="0"/>
          <w:numId w:val="0"/>
        </w:numPr>
        <w:jc w:val="left"/>
        <w:rPr>
          <w:rFonts w:hint="eastAsia" w:asciiTheme="minorEastAsia" w:hAnsiTheme="minorEastAsia" w:eastAsiaTheme="minorEastAsia" w:cstheme="minorEastAsia"/>
          <w:color w:val="auto"/>
          <w:sz w:val="24"/>
          <w:szCs w:val="24"/>
          <w:highlight w:val="red"/>
          <w:lang w:val="en-US" w:eastAsia="zh-CN"/>
        </w:rPr>
      </w:pPr>
      <w:r>
        <w:rPr>
          <w:rFonts w:hint="eastAsia" w:asciiTheme="minorEastAsia" w:hAnsiTheme="minorEastAsia" w:eastAsiaTheme="minorEastAsia" w:cstheme="minorEastAsia"/>
          <w:color w:val="FF0000"/>
          <w:sz w:val="24"/>
          <w:szCs w:val="24"/>
          <w:lang w:val="en-US" w:eastAsia="zh-CN"/>
        </w:rPr>
        <w:t>回复：</w:t>
      </w:r>
      <w:r>
        <w:rPr>
          <w:rFonts w:hint="eastAsia" w:asciiTheme="minorEastAsia" w:hAnsiTheme="minorEastAsia" w:eastAsiaTheme="minorEastAsia" w:cstheme="minorEastAsia"/>
          <w:color w:val="auto"/>
          <w:sz w:val="24"/>
          <w:szCs w:val="24"/>
          <w:highlight w:val="red"/>
          <w:lang w:val="en-US" w:eastAsia="zh-CN"/>
        </w:rPr>
        <w:t>按平面图</w:t>
      </w:r>
    </w:p>
    <w:p w14:paraId="64450874">
      <w:pPr>
        <w:numPr>
          <w:ilvl w:val="0"/>
          <w:numId w:val="0"/>
        </w:numPr>
        <w:ind w:leftChars="0"/>
        <w:rPr>
          <w:rFonts w:hint="eastAsia" w:asciiTheme="minorEastAsia" w:hAnsiTheme="minorEastAsia" w:eastAsiaTheme="minorEastAsia" w:cstheme="minorEastAsia"/>
          <w:sz w:val="24"/>
          <w:szCs w:val="24"/>
          <w:lang w:val="en-US" w:eastAsia="zh-CN"/>
        </w:rPr>
      </w:pPr>
    </w:p>
    <w:p w14:paraId="2632C330">
      <w:pPr>
        <w:numPr>
          <w:ilvl w:val="0"/>
          <w:numId w:val="6"/>
        </w:numPr>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部分窗型大样深化图中为65系列断桥外平开窗，大样图例中未表明开启符号。请明确该类别窗型，以何为准。如1#XC1515</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6840"/>
      </w:tblGrid>
      <w:tr w14:paraId="7ED5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7A6CDF4">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例：型材部分为65系列断桥外平开窗，大样图无开启符号。</w:t>
            </w:r>
          </w:p>
        </w:tc>
        <w:tc>
          <w:tcPr>
            <w:tcW w:w="4261" w:type="dxa"/>
          </w:tcPr>
          <w:p w14:paraId="0931CA28">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drawing>
                <wp:inline distT="0" distB="0" distL="114300" distR="114300">
                  <wp:extent cx="4199255" cy="3239135"/>
                  <wp:effectExtent l="0" t="0" r="6985" b="698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1"/>
                          <a:stretch>
                            <a:fillRect/>
                          </a:stretch>
                        </pic:blipFill>
                        <pic:spPr>
                          <a:xfrm>
                            <a:off x="0" y="0"/>
                            <a:ext cx="4199255" cy="3239135"/>
                          </a:xfrm>
                          <a:prstGeom prst="rect">
                            <a:avLst/>
                          </a:prstGeom>
                          <a:noFill/>
                          <a:ln>
                            <a:noFill/>
                          </a:ln>
                        </pic:spPr>
                      </pic:pic>
                    </a:graphicData>
                  </a:graphic>
                </wp:inline>
              </w:drawing>
            </w:r>
          </w:p>
        </w:tc>
      </w:tr>
    </w:tbl>
    <w:p w14:paraId="3221F5DD">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回复：该窗为配套用房固定窗，无需开窗</w:t>
      </w:r>
    </w:p>
    <w:p w14:paraId="352722BE">
      <w:pPr>
        <w:numPr>
          <w:ilvl w:val="0"/>
          <w:numId w:val="0"/>
        </w:numPr>
        <w:ind w:leftChars="0"/>
        <w:rPr>
          <w:rFonts w:hint="eastAsia" w:asciiTheme="minorEastAsia" w:hAnsiTheme="minorEastAsia" w:eastAsiaTheme="minorEastAsia" w:cstheme="minorEastAsia"/>
          <w:sz w:val="24"/>
          <w:szCs w:val="24"/>
          <w:vertAlign w:val="baseline"/>
          <w:lang w:val="en-US" w:eastAsia="zh-CN"/>
        </w:rPr>
      </w:pPr>
    </w:p>
    <w:p w14:paraId="47790D18">
      <w:pPr>
        <w:numPr>
          <w:ilvl w:val="0"/>
          <w:numId w:val="6"/>
        </w:numPr>
        <w:ind w:left="0" w:leftChars="0" w:firstLine="0"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部分窗型平面标注与大样牵引不符，该类窗型以何为准。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F77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3585347">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例：1#-03-平面图：四、六层平面图中北侧厨房窗号为C1515,牵引图为C1215,且洞口宽度为1200mm。</w:t>
            </w:r>
          </w:p>
        </w:tc>
        <w:tc>
          <w:tcPr>
            <w:tcW w:w="4261" w:type="dxa"/>
          </w:tcPr>
          <w:p w14:paraId="0F9BD3CC">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drawing>
                <wp:inline distT="0" distB="0" distL="114300" distR="114300">
                  <wp:extent cx="472440" cy="935990"/>
                  <wp:effectExtent l="0" t="0" r="0" b="889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2"/>
                          <a:stretch>
                            <a:fillRect/>
                          </a:stretch>
                        </pic:blipFill>
                        <pic:spPr>
                          <a:xfrm>
                            <a:off x="0" y="0"/>
                            <a:ext cx="472440" cy="935990"/>
                          </a:xfrm>
                          <a:prstGeom prst="rect">
                            <a:avLst/>
                          </a:prstGeom>
                          <a:noFill/>
                          <a:ln>
                            <a:noFill/>
                          </a:ln>
                        </pic:spPr>
                      </pic:pic>
                    </a:graphicData>
                  </a:graphic>
                </wp:inline>
              </w:drawing>
            </w:r>
          </w:p>
        </w:tc>
      </w:tr>
    </w:tbl>
    <w:p w14:paraId="34DAF688">
      <w:pPr>
        <w:numPr>
          <w:ilvl w:val="0"/>
          <w:numId w:val="0"/>
        </w:numPr>
        <w:ind w:left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回复：</w:t>
      </w:r>
      <w:r>
        <w:rPr>
          <w:rFonts w:hint="eastAsia" w:asciiTheme="minorEastAsia" w:hAnsiTheme="minorEastAsia" w:eastAsiaTheme="minorEastAsia" w:cstheme="minorEastAsia"/>
          <w:color w:val="FF0000"/>
          <w:sz w:val="24"/>
          <w:szCs w:val="24"/>
          <w:lang w:val="en-US" w:eastAsia="zh-CN"/>
        </w:rPr>
        <w:t>回复：</w:t>
      </w:r>
      <w:r>
        <w:rPr>
          <w:rFonts w:hint="eastAsia" w:asciiTheme="minorEastAsia" w:hAnsiTheme="minorEastAsia" w:eastAsiaTheme="minorEastAsia" w:cstheme="minorEastAsia"/>
          <w:sz w:val="24"/>
          <w:szCs w:val="24"/>
          <w:lang w:val="en-US" w:eastAsia="zh-CN"/>
        </w:rPr>
        <w:t>C1215</w:t>
      </w:r>
    </w:p>
    <w:p w14:paraId="5582477E">
      <w:pPr>
        <w:numPr>
          <w:ilvl w:val="0"/>
          <w:numId w:val="6"/>
        </w:numPr>
        <w:ind w:left="0" w:leftChars="0" w:firstLine="0"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图纸中有同窗号不同窗型，清单未区分。如C1215</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D06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67F0A54">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厨房位置为悬窗</w:t>
            </w:r>
            <w:r>
              <w:rPr>
                <w:rFonts w:hint="eastAsia" w:asciiTheme="minorEastAsia" w:hAnsiTheme="minorEastAsia" w:eastAsiaTheme="minorEastAsia" w:cstheme="minorEastAsia"/>
                <w:sz w:val="24"/>
                <w:szCs w:val="24"/>
              </w:rPr>
              <w:drawing>
                <wp:inline distT="0" distB="0" distL="114300" distR="114300">
                  <wp:extent cx="1278255" cy="1253490"/>
                  <wp:effectExtent l="0" t="0" r="1905" b="1143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3"/>
                          <a:stretch>
                            <a:fillRect/>
                          </a:stretch>
                        </pic:blipFill>
                        <pic:spPr>
                          <a:xfrm>
                            <a:off x="0" y="0"/>
                            <a:ext cx="1278255" cy="1253490"/>
                          </a:xfrm>
                          <a:prstGeom prst="rect">
                            <a:avLst/>
                          </a:prstGeom>
                          <a:noFill/>
                          <a:ln>
                            <a:noFill/>
                          </a:ln>
                        </pic:spPr>
                      </pic:pic>
                    </a:graphicData>
                  </a:graphic>
                </wp:inline>
              </w:drawing>
            </w:r>
          </w:p>
        </w:tc>
        <w:tc>
          <w:tcPr>
            <w:tcW w:w="4261" w:type="dxa"/>
          </w:tcPr>
          <w:p w14:paraId="55E17CAD">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屋顶位置为平开窗</w:t>
            </w:r>
            <w:r>
              <w:rPr>
                <w:rFonts w:hint="eastAsia" w:asciiTheme="minorEastAsia" w:hAnsiTheme="minorEastAsia" w:eastAsiaTheme="minorEastAsia" w:cstheme="minorEastAsia"/>
                <w:sz w:val="24"/>
                <w:szCs w:val="24"/>
              </w:rPr>
              <w:drawing>
                <wp:inline distT="0" distB="0" distL="114300" distR="114300">
                  <wp:extent cx="1267460" cy="1604010"/>
                  <wp:effectExtent l="0" t="0" r="12700" b="1143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4"/>
                          <a:stretch>
                            <a:fillRect/>
                          </a:stretch>
                        </pic:blipFill>
                        <pic:spPr>
                          <a:xfrm>
                            <a:off x="0" y="0"/>
                            <a:ext cx="1267460" cy="1604010"/>
                          </a:xfrm>
                          <a:prstGeom prst="rect">
                            <a:avLst/>
                          </a:prstGeom>
                          <a:noFill/>
                          <a:ln>
                            <a:noFill/>
                          </a:ln>
                        </pic:spPr>
                      </pic:pic>
                    </a:graphicData>
                  </a:graphic>
                </wp:inline>
              </w:drawing>
            </w:r>
          </w:p>
        </w:tc>
      </w:tr>
    </w:tbl>
    <w:p w14:paraId="138595A6">
      <w:pPr>
        <w:numPr>
          <w:ilvl w:val="0"/>
          <w:numId w:val="0"/>
        </w:numPr>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color w:val="FF0000"/>
          <w:sz w:val="24"/>
          <w:szCs w:val="24"/>
          <w:lang w:val="en-US" w:eastAsia="zh-CN"/>
        </w:rPr>
        <w:t>回复：厨房调整为平开窗，图纸后期更新</w:t>
      </w:r>
    </w:p>
    <w:p w14:paraId="4C9B2DAB">
      <w:pPr>
        <w:numPr>
          <w:ilvl w:val="0"/>
          <w:numId w:val="6"/>
        </w:numPr>
        <w:ind w:left="0" w:leftChars="0" w:firstLine="0"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请贵司明确本项目玻璃使用标准是以清单为准还是以大样为准,以下部分为部分型材系列及玻璃规格疑问</w:t>
      </w:r>
    </w:p>
    <w:p w14:paraId="73780A22">
      <w:pPr>
        <w:numPr>
          <w:ilvl w:val="0"/>
          <w:numId w:val="7"/>
        </w:numPr>
        <w:ind w:left="425" w:leftChars="0" w:hanging="425"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图纸大样中1#3#C2724大样为固定窗，窗型为55断桥推拉窗，清单中为65断桥推拉窗。请明确该窗型具体做法。</w:t>
      </w:r>
    </w:p>
    <w:p w14:paraId="772BEEC9">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回复：65系列固定窗</w:t>
      </w:r>
    </w:p>
    <w:p w14:paraId="079D592A">
      <w:pPr>
        <w:numPr>
          <w:ilvl w:val="0"/>
          <w:numId w:val="7"/>
        </w:numPr>
        <w:ind w:left="425" w:leftChars="0" w:hanging="425"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标准节点图中未包含65断桥推拉窗/55断桥推拉窗做法，若包含该窗型，请提供参考节点</w:t>
      </w:r>
    </w:p>
    <w:p w14:paraId="3E8BDF18">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回复：型材未确定，需乙方提供样品共甲方认样，原节点仅供参考；按窗型分割执行即可。</w:t>
      </w:r>
    </w:p>
    <w:p w14:paraId="648692B6">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图纸大样中1#C2724、1#2#C1211、2#C1124、2#C1215、2#C1209玻璃规格为5+9+5单银中空玻璃，清单中为5+9+5+9+5单银中空玻璃。请明确该窗型玻璃做法</w:t>
      </w:r>
    </w:p>
    <w:p w14:paraId="22213904">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回复：1#C2724为5+9+5+9+5单银中空玻璃；2#C1215、2#C1124、2#C1209、1#2#C1211为5+9+5单银中空玻璃；</w:t>
      </w:r>
    </w:p>
    <w:p w14:paraId="3098261F">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图纸大样中2#C1124玻璃规格为5+9+5单银中空玻璃，清单中为5+9+5+9+5中空玻璃。请明确该窗型玻璃做法</w:t>
      </w:r>
    </w:p>
    <w:p w14:paraId="4D289963">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w:t>
      </w:r>
      <w:r>
        <w:rPr>
          <w:rFonts w:hint="eastAsia" w:asciiTheme="minorEastAsia" w:hAnsiTheme="minorEastAsia" w:eastAsiaTheme="minorEastAsia" w:cstheme="minorEastAsia"/>
          <w:color w:val="FF0000"/>
          <w:sz w:val="24"/>
          <w:szCs w:val="24"/>
          <w:highlight w:val="none"/>
          <w:lang w:val="en-US" w:eastAsia="zh-CN"/>
        </w:rPr>
        <w:t>：5+9+5单银中空玻璃</w:t>
      </w:r>
    </w:p>
    <w:p w14:paraId="4F35FCE1">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图纸大样中2#TLM1821玻璃规格为5+9+5单银中空玻璃，清单中为5+9+5+9+5中空玻璃。请明确该窗型玻璃做法</w:t>
      </w:r>
    </w:p>
    <w:p w14:paraId="16651221">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回复：5+9+5+9+5单银中空玻璃</w:t>
      </w:r>
    </w:p>
    <w:p w14:paraId="2B026BEC">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图纸大样中3#DM1524、5#C1515'玻璃规格为5+9+5中空玻璃，清单中为5+9+5+9+5中空玻璃。请明确该窗型玻璃做法</w:t>
      </w:r>
    </w:p>
    <w:p w14:paraId="46E3DACA">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回复：DM1524不在招标范围，5#C1515'玻璃规格为5+9+5单银中空玻璃</w:t>
      </w:r>
    </w:p>
    <w:p w14:paraId="453F5599">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图纸大样中5#C1008玻璃规格为5+9+5中空玻璃，清单中为5+9+5+9+5单银中空玻璃。请明确该窗型玻璃做法</w:t>
      </w:r>
    </w:p>
    <w:p w14:paraId="204B2F94">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回复：5+9+5单银中空玻璃</w:t>
      </w:r>
    </w:p>
    <w:p w14:paraId="385A4221">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图纸大样中5#M1524、M1324、M0921玻璃规格为5+9+5+9+5中空玻璃，清单中为5+9+5+9+5单银中空玻璃。请明确该窗型玻璃做法</w:t>
      </w:r>
    </w:p>
    <w:p w14:paraId="56DF58BC">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回复：5+9+5单银中空玻璃，其中单元门不在本次范围。</w:t>
      </w:r>
    </w:p>
    <w:p w14:paraId="20765F53">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图纸大样中1#2#C1211、2#C1215、2#C1209大样图中为100系列断桥推拉窗，清单中为65系列断桥推拉窗。请明确该窗型具体做法</w:t>
      </w:r>
    </w:p>
    <w:p w14:paraId="4C4C1B52">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回复：推拉窗均为90系列型材</w:t>
      </w:r>
    </w:p>
    <w:p w14:paraId="705E6286">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图纸大样中3#C1211大样图中为55系列断桥推拉窗，清单中为65系列断桥推拉窗。请明确该窗型具体做法</w:t>
      </w:r>
    </w:p>
    <w:p w14:paraId="31854E21">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回复：推拉窗均为90系列型材</w:t>
      </w:r>
    </w:p>
    <w:p w14:paraId="51AC50D3">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图纸大样中1#MLC1524大样图中为65系列断桥铝合金门，清单中为90系列断桥门联窗。请明确该窗型具体做法</w:t>
      </w:r>
    </w:p>
    <w:p w14:paraId="0B885942">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回复：65系列断桥铝合金门联窗</w:t>
      </w:r>
    </w:p>
    <w:p w14:paraId="12DC06D7">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图纸大样中2#C1124、5#C1008大样图中为55系列断桥固定窗，清单中为65系列断桥固定窗。请明确该窗型具体做法</w:t>
      </w:r>
    </w:p>
    <w:p w14:paraId="57DE98C1">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w:t>
      </w:r>
      <w:r>
        <w:rPr>
          <w:rFonts w:hint="eastAsia" w:asciiTheme="minorEastAsia" w:hAnsiTheme="minorEastAsia" w:eastAsiaTheme="minorEastAsia" w:cstheme="minorEastAsia"/>
          <w:sz w:val="24"/>
          <w:szCs w:val="24"/>
          <w:lang w:val="en-US" w:eastAsia="zh-CN"/>
        </w:rPr>
        <w:t>2#C1124为55系列固定，5#C100855系列断桥平开</w:t>
      </w:r>
    </w:p>
    <w:p w14:paraId="7434A3FF">
      <w:pPr>
        <w:numPr>
          <w:ilvl w:val="0"/>
          <w:numId w:val="7"/>
        </w:numPr>
        <w:ind w:left="425" w:leftChars="0" w:hanging="425"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图纸大样中5#M1527大样及清单中为120系列门，标准节点做法中为90系列断桥外平开门。请明确此门做法</w:t>
      </w:r>
    </w:p>
    <w:p w14:paraId="7CCBA8B9">
      <w:pPr>
        <w:pStyle w:val="7"/>
        <w:rPr>
          <w:rFonts w:hint="eastAsia" w:asciiTheme="minorEastAsia" w:hAnsiTheme="minorEastAsia" w:cstheme="minorEastAsia"/>
          <w:sz w:val="24"/>
          <w:szCs w:val="24"/>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2"/>
        <w:gridCol w:w="3044"/>
      </w:tblGrid>
      <w:tr w14:paraId="0832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69D03F2">
            <w:pPr>
              <w:numPr>
                <w:ilvl w:val="0"/>
                <w:numId w:val="7"/>
              </w:numPr>
              <w:ind w:left="425" w:leftChars="0" w:hanging="425"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drawing>
                <wp:inline distT="0" distB="0" distL="114300" distR="114300">
                  <wp:extent cx="4131310" cy="3112770"/>
                  <wp:effectExtent l="0" t="0" r="13970" b="11430"/>
                  <wp:docPr id="3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2"/>
                          <pic:cNvPicPr>
                            <a:picLocks noChangeAspect="1"/>
                          </pic:cNvPicPr>
                        </pic:nvPicPr>
                        <pic:blipFill>
                          <a:blip r:embed="rId15"/>
                          <a:stretch>
                            <a:fillRect/>
                          </a:stretch>
                        </pic:blipFill>
                        <pic:spPr>
                          <a:xfrm>
                            <a:off x="0" y="0"/>
                            <a:ext cx="4131310" cy="3112770"/>
                          </a:xfrm>
                          <a:prstGeom prst="rect">
                            <a:avLst/>
                          </a:prstGeom>
                          <a:noFill/>
                          <a:ln>
                            <a:noFill/>
                          </a:ln>
                        </pic:spPr>
                      </pic:pic>
                    </a:graphicData>
                  </a:graphic>
                </wp:inline>
              </w:drawing>
            </w:r>
          </w:p>
        </w:tc>
        <w:tc>
          <w:tcPr>
            <w:tcW w:w="4261" w:type="dxa"/>
          </w:tcPr>
          <w:p w14:paraId="28F4D70C">
            <w:pPr>
              <w:numPr>
                <w:ilvl w:val="0"/>
                <w:numId w:val="7"/>
              </w:numPr>
              <w:ind w:left="425" w:leftChars="0" w:hanging="425"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drawing>
                <wp:inline distT="0" distB="0" distL="114300" distR="114300">
                  <wp:extent cx="1397000" cy="1600835"/>
                  <wp:effectExtent l="0" t="0" r="5080" b="14605"/>
                  <wp:docPr id="3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3"/>
                          <pic:cNvPicPr>
                            <a:picLocks noChangeAspect="1"/>
                          </pic:cNvPicPr>
                        </pic:nvPicPr>
                        <pic:blipFill>
                          <a:blip r:embed="rId16"/>
                          <a:stretch>
                            <a:fillRect/>
                          </a:stretch>
                        </pic:blipFill>
                        <pic:spPr>
                          <a:xfrm>
                            <a:off x="0" y="0"/>
                            <a:ext cx="1397000" cy="1600835"/>
                          </a:xfrm>
                          <a:prstGeom prst="rect">
                            <a:avLst/>
                          </a:prstGeom>
                          <a:noFill/>
                          <a:ln>
                            <a:noFill/>
                          </a:ln>
                        </pic:spPr>
                      </pic:pic>
                    </a:graphicData>
                  </a:graphic>
                </wp:inline>
              </w:drawing>
            </w:r>
          </w:p>
        </w:tc>
      </w:tr>
    </w:tbl>
    <w:p w14:paraId="484267E2">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回复：单元门不在本次范围</w:t>
      </w:r>
    </w:p>
    <w:p w14:paraId="7751F0AF">
      <w:pPr>
        <w:numPr>
          <w:ilvl w:val="0"/>
          <w:numId w:val="0"/>
        </w:numPr>
        <w:ind w:left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（16）、6#C2大样图中有铝板雨棚，是否在门窗单位范围。请明确</w:t>
      </w:r>
    </w:p>
    <w:tbl>
      <w:tblPr>
        <w:tblStyle w:val="20"/>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0"/>
      </w:tblGrid>
      <w:tr w14:paraId="2C62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8460" w:type="dxa"/>
          </w:tcPr>
          <w:p w14:paraId="32F25EA9">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drawing>
                <wp:inline distT="0" distB="0" distL="114300" distR="114300">
                  <wp:extent cx="2233930" cy="1289050"/>
                  <wp:effectExtent l="0" t="0" r="6350" b="6350"/>
                  <wp:docPr id="2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1"/>
                          <pic:cNvPicPr>
                            <a:picLocks noChangeAspect="1"/>
                          </pic:cNvPicPr>
                        </pic:nvPicPr>
                        <pic:blipFill>
                          <a:blip r:embed="rId17"/>
                          <a:stretch>
                            <a:fillRect/>
                          </a:stretch>
                        </pic:blipFill>
                        <pic:spPr>
                          <a:xfrm>
                            <a:off x="0" y="0"/>
                            <a:ext cx="2233930" cy="1289050"/>
                          </a:xfrm>
                          <a:prstGeom prst="rect">
                            <a:avLst/>
                          </a:prstGeom>
                          <a:noFill/>
                          <a:ln>
                            <a:noFill/>
                          </a:ln>
                        </pic:spPr>
                      </pic:pic>
                    </a:graphicData>
                  </a:graphic>
                </wp:inline>
              </w:drawing>
            </w:r>
          </w:p>
        </w:tc>
      </w:tr>
    </w:tbl>
    <w:p w14:paraId="457EA53E">
      <w:pPr>
        <w:numPr>
          <w:ilvl w:val="0"/>
          <w:numId w:val="0"/>
        </w:numPr>
        <w:ind w:leftChars="0"/>
        <w:rPr>
          <w:rFonts w:hint="eastAsia" w:asciiTheme="minorEastAsia" w:hAnsiTheme="minorEastAsia" w:eastAsiaTheme="minorEastAsia" w:cstheme="minorEastAsia"/>
          <w:sz w:val="24"/>
          <w:szCs w:val="24"/>
          <w:lang w:val="en-US" w:eastAsia="zh-CN"/>
        </w:rPr>
      </w:pPr>
    </w:p>
    <w:p w14:paraId="4CA1B80D">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回复：不在</w:t>
      </w:r>
    </w:p>
    <w:p w14:paraId="36BB240E">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建议指定统一铝锭基准价做为报价基准；</w:t>
      </w:r>
    </w:p>
    <w:p w14:paraId="66794034">
      <w:pPr>
        <w:numPr>
          <w:ilvl w:val="0"/>
          <w:numId w:val="0"/>
        </w:numPr>
        <w:jc w:val="left"/>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回复：一、铝锭：</w:t>
      </w:r>
    </w:p>
    <w:p w14:paraId="7C5B38B8">
      <w:pPr>
        <w:numPr>
          <w:ilvl w:val="0"/>
          <w:numId w:val="0"/>
        </w:numPr>
        <w:jc w:val="left"/>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(1)投标时铝锭主材价格由投标人结合市场自主报价；</w:t>
      </w:r>
    </w:p>
    <w:p w14:paraId="0FD6BE50">
      <w:pPr>
        <w:numPr>
          <w:ilvl w:val="0"/>
          <w:numId w:val="0"/>
        </w:numPr>
        <w:jc w:val="left"/>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(2)基期铝锭价格A（除税价）：本次合同铝锭按照2024年3月22日长江有色金属A00铝MA1当日价格19310元/吨作为基准价；恰遇周六、日、休市日、节假日，则按周六、日、休市日、节假日前一个交易日现货均价执行(除税价格)；</w:t>
      </w:r>
    </w:p>
    <w:p w14:paraId="7285803D">
      <w:pPr>
        <w:numPr>
          <w:ilvl w:val="0"/>
          <w:numId w:val="0"/>
        </w:numPr>
        <w:jc w:val="left"/>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(3)施工期价格B（除税价）：以门窗框料第一次进场日（以甲方通知进场日期为准）前20天再往前推7天内的铝锭算术平均价格（遇到节假日无价格时，前推计足7天的平均值）为施工期价格；当施工期价格与基期铝锭价格之比浮动率在±5%以内(含±5%)不予调整，超过±5%时，只对超出部分进行调整(除税价格)；</w:t>
      </w:r>
    </w:p>
    <w:p w14:paraId="6A231853">
      <w:pPr>
        <w:numPr>
          <w:ilvl w:val="0"/>
          <w:numId w:val="0"/>
        </w:numPr>
        <w:jc w:val="left"/>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(4)铝材调差费用=[B-A*(1±5%)]*可调差铝材总量*（1+合同增值税税率），上涨时为+5%，下跌时为-5%；</w:t>
      </w:r>
    </w:p>
    <w:p w14:paraId="50AEF30D">
      <w:pPr>
        <w:numPr>
          <w:ilvl w:val="0"/>
          <w:numId w:val="0"/>
        </w:numPr>
        <w:jc w:val="left"/>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(5)调差部分只计税金，其他均不作调整；</w:t>
      </w:r>
    </w:p>
    <w:p w14:paraId="21810E55">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五金品牌能否增加“合和”（同为国内一线品牌）；发泡胶品牌能否增加“桑莱斯”；密封胶条品牌能否增加“合和”；</w:t>
      </w:r>
    </w:p>
    <w:p w14:paraId="2B229504">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w:t>
      </w:r>
    </w:p>
    <w:tbl>
      <w:tblPr>
        <w:tblStyle w:val="19"/>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940"/>
        <w:gridCol w:w="5849"/>
      </w:tblGrid>
      <w:tr w14:paraId="20F4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4" w:type="dxa"/>
            <w:vAlign w:val="center"/>
          </w:tcPr>
          <w:p w14:paraId="345D0DC2">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940" w:type="dxa"/>
            <w:vAlign w:val="center"/>
          </w:tcPr>
          <w:p w14:paraId="6AC70AFF">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材料名称</w:t>
            </w:r>
          </w:p>
        </w:tc>
        <w:tc>
          <w:tcPr>
            <w:tcW w:w="5849" w:type="dxa"/>
            <w:vAlign w:val="center"/>
          </w:tcPr>
          <w:p w14:paraId="4915466A">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品牌或产地</w:t>
            </w:r>
          </w:p>
        </w:tc>
      </w:tr>
      <w:tr w14:paraId="14B8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24" w:type="dxa"/>
            <w:vAlign w:val="center"/>
          </w:tcPr>
          <w:p w14:paraId="4543090E">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940" w:type="dxa"/>
            <w:vAlign w:val="center"/>
          </w:tcPr>
          <w:p w14:paraId="7D7EF50B">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型材（国产尼龙隔热条）</w:t>
            </w:r>
          </w:p>
        </w:tc>
        <w:tc>
          <w:tcPr>
            <w:tcW w:w="5849" w:type="dxa"/>
            <w:vAlign w:val="center"/>
          </w:tcPr>
          <w:p w14:paraId="68D012AA">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兴发、南山、凤铝</w:t>
            </w:r>
          </w:p>
        </w:tc>
      </w:tr>
      <w:tr w14:paraId="1304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35C368B0">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940" w:type="dxa"/>
            <w:vAlign w:val="center"/>
          </w:tcPr>
          <w:p w14:paraId="37891805">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玻璃</w:t>
            </w:r>
            <w:r>
              <w:rPr>
                <w:rFonts w:hint="eastAsia" w:asciiTheme="minorEastAsia" w:hAnsiTheme="minorEastAsia" w:eastAsiaTheme="minorEastAsia" w:cstheme="minorEastAsia"/>
                <w:color w:val="auto"/>
                <w:sz w:val="24"/>
                <w:szCs w:val="24"/>
                <w:highlight w:val="none"/>
                <w:lang w:eastAsia="zh-CN"/>
              </w:rPr>
              <w:t>原片</w:t>
            </w:r>
          </w:p>
        </w:tc>
        <w:tc>
          <w:tcPr>
            <w:tcW w:w="5849" w:type="dxa"/>
            <w:vAlign w:val="center"/>
          </w:tcPr>
          <w:p w14:paraId="1EC5E407">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北玻</w:t>
            </w:r>
            <w:r>
              <w:rPr>
                <w:rFonts w:hint="eastAsia" w:asciiTheme="minorEastAsia" w:hAnsiTheme="minorEastAsia" w:eastAsiaTheme="minorEastAsia" w:cstheme="minorEastAsia"/>
                <w:color w:val="auto"/>
                <w:sz w:val="24"/>
                <w:szCs w:val="24"/>
                <w:highlight w:val="none"/>
                <w:lang w:eastAsia="zh-CN"/>
              </w:rPr>
              <w:t>、南玻、信义</w:t>
            </w:r>
          </w:p>
        </w:tc>
      </w:tr>
      <w:tr w14:paraId="0DF2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443F7746">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940" w:type="dxa"/>
            <w:vAlign w:val="center"/>
          </w:tcPr>
          <w:p w14:paraId="1CBC70C1">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五金配件</w:t>
            </w:r>
          </w:p>
        </w:tc>
        <w:tc>
          <w:tcPr>
            <w:tcW w:w="5849" w:type="dxa"/>
            <w:vAlign w:val="center"/>
          </w:tcPr>
          <w:p w14:paraId="23875911">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坚朗、国强</w:t>
            </w:r>
          </w:p>
        </w:tc>
      </w:tr>
      <w:tr w14:paraId="03D2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5286904A">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2940" w:type="dxa"/>
            <w:vAlign w:val="center"/>
          </w:tcPr>
          <w:p w14:paraId="16ACFF55">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密封胶</w:t>
            </w:r>
          </w:p>
        </w:tc>
        <w:tc>
          <w:tcPr>
            <w:tcW w:w="5849" w:type="dxa"/>
            <w:vAlign w:val="center"/>
          </w:tcPr>
          <w:p w14:paraId="538FE498">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广州白云、之江、成都硅宝</w:t>
            </w:r>
            <w:r>
              <w:rPr>
                <w:rFonts w:hint="eastAsia" w:asciiTheme="minorEastAsia" w:hAnsiTheme="minorEastAsia" w:eastAsiaTheme="minorEastAsia" w:cstheme="minorEastAsia"/>
                <w:color w:val="FF0000"/>
                <w:sz w:val="24"/>
                <w:szCs w:val="24"/>
                <w:highlight w:val="none"/>
                <w:lang w:eastAsia="zh-CN"/>
              </w:rPr>
              <w:t>及同等品牌</w:t>
            </w:r>
          </w:p>
        </w:tc>
      </w:tr>
      <w:tr w14:paraId="2C99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2CC39BCC">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2940" w:type="dxa"/>
            <w:vAlign w:val="center"/>
          </w:tcPr>
          <w:p w14:paraId="793822C4">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发泡胶</w:t>
            </w:r>
          </w:p>
        </w:tc>
        <w:tc>
          <w:tcPr>
            <w:tcW w:w="5849" w:type="dxa"/>
            <w:vAlign w:val="center"/>
          </w:tcPr>
          <w:p w14:paraId="3C3D59A3">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北京斯科瑞、中天氟硅、广州安泰</w:t>
            </w:r>
            <w:r>
              <w:rPr>
                <w:rFonts w:hint="eastAsia" w:asciiTheme="minorEastAsia" w:hAnsiTheme="minorEastAsia" w:eastAsiaTheme="minorEastAsia" w:cstheme="minorEastAsia"/>
                <w:color w:val="FF0000"/>
                <w:sz w:val="24"/>
                <w:szCs w:val="24"/>
                <w:highlight w:val="none"/>
                <w:lang w:eastAsia="zh-CN"/>
              </w:rPr>
              <w:t>及同等品牌</w:t>
            </w:r>
          </w:p>
        </w:tc>
      </w:tr>
      <w:tr w14:paraId="68C5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07E03ADA">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2940" w:type="dxa"/>
            <w:vAlign w:val="center"/>
          </w:tcPr>
          <w:p w14:paraId="7F8B5F67">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密封胶条</w:t>
            </w:r>
          </w:p>
        </w:tc>
        <w:tc>
          <w:tcPr>
            <w:tcW w:w="5849" w:type="dxa"/>
            <w:vAlign w:val="center"/>
          </w:tcPr>
          <w:p w14:paraId="15345775">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浙江新安东、江阴海达、开封龙亭</w:t>
            </w:r>
            <w:r>
              <w:rPr>
                <w:rFonts w:hint="eastAsia" w:asciiTheme="minorEastAsia" w:hAnsiTheme="minorEastAsia" w:eastAsiaTheme="minorEastAsia" w:cstheme="minorEastAsia"/>
                <w:color w:val="FF0000"/>
                <w:sz w:val="24"/>
                <w:szCs w:val="24"/>
                <w:highlight w:val="none"/>
                <w:lang w:eastAsia="zh-CN"/>
              </w:rPr>
              <w:t>及同等品牌</w:t>
            </w:r>
          </w:p>
        </w:tc>
      </w:tr>
    </w:tbl>
    <w:p w14:paraId="6F38EF74">
      <w:pPr>
        <w:numPr>
          <w:ilvl w:val="0"/>
          <w:numId w:val="0"/>
        </w:numPr>
        <w:jc w:val="left"/>
        <w:rPr>
          <w:rFonts w:hint="eastAsia" w:asciiTheme="minorEastAsia" w:hAnsiTheme="minorEastAsia" w:eastAsiaTheme="minorEastAsia" w:cstheme="minorEastAsia"/>
          <w:sz w:val="24"/>
          <w:szCs w:val="24"/>
          <w:lang w:val="en-US" w:eastAsia="zh-CN"/>
        </w:rPr>
      </w:pPr>
    </w:p>
    <w:p w14:paraId="3B578E20">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履约保证金能否以保函形式提供；</w:t>
      </w:r>
    </w:p>
    <w:p w14:paraId="7B8A91E7">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回复：详见招标文件，若保函为投标诚意金的2倍</w:t>
      </w:r>
    </w:p>
    <w:p w14:paraId="3F90EFCA">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增值税税率能否按照合同价款的70%为13%的材料费发票，30%为安装费发票？</w:t>
      </w:r>
    </w:p>
    <w:p w14:paraId="43BDBF26">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回复：最终报价以不含税综合单价为准</w:t>
      </w:r>
    </w:p>
    <w:p w14:paraId="2AA9941A">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工程款支付能否增加个固定玻璃的付款节点：“每批次固定玻璃安装完成并经甲方、监理验收合格后，支付至已完工程对应门窗总造价的60%”；建议增加百叶窗及采光井的付款描述；</w:t>
      </w:r>
    </w:p>
    <w:p w14:paraId="03145F3B">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回复：增加4、每批次百叶窗及采光井安装完成，支付至对应已完工程造价的80%</w:t>
      </w:r>
    </w:p>
    <w:p w14:paraId="324AF18C">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铝型材壁厚要求在合同范围（老国标）、深化图纸设计说明（老国标）及节点图（外窗为新国标、门为老国标）三处中要求不一，请重新明确型材壁厚要求；</w:t>
      </w:r>
    </w:p>
    <w:p w14:paraId="493C5DC1">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回复：执行新标准。</w:t>
      </w:r>
    </w:p>
    <w:p w14:paraId="19E1F1CC">
      <w:pPr>
        <w:numPr>
          <w:ilvl w:val="0"/>
          <w:numId w:val="0"/>
        </w:numPr>
        <w:jc w:val="left"/>
        <w:rPr>
          <w:rFonts w:hint="eastAsia" w:asciiTheme="minorEastAsia" w:hAnsiTheme="minorEastAsia" w:eastAsiaTheme="minorEastAsia" w:cstheme="minorEastAsia"/>
          <w:sz w:val="24"/>
          <w:szCs w:val="24"/>
          <w:lang w:val="en-US" w:eastAsia="zh-CN"/>
        </w:rPr>
      </w:pPr>
    </w:p>
    <w:p w14:paraId="2E81746C">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五金配置是否按照深化图纸设计说明？外平开窗五金是否增加防坠链？请明确单元门五金配置；</w:t>
      </w:r>
    </w:p>
    <w:p w14:paraId="345F92BC">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回复：五金配置按招标文件公司品牌范围，由乙方送样经甲方确定；说明中五金型号及节点仅为示意技术要求，推拉及外开窗增加防坠措施。</w:t>
      </w:r>
    </w:p>
    <w:p w14:paraId="6CFD32D6">
      <w:pPr>
        <w:numPr>
          <w:ilvl w:val="0"/>
          <w:numId w:val="0"/>
        </w:numPr>
        <w:jc w:val="left"/>
        <w:rPr>
          <w:rFonts w:hint="eastAsia" w:asciiTheme="minorEastAsia" w:hAnsiTheme="minorEastAsia" w:eastAsiaTheme="minorEastAsia" w:cstheme="minorEastAsia"/>
          <w:sz w:val="24"/>
          <w:szCs w:val="24"/>
          <w:lang w:val="en-US" w:eastAsia="zh-CN"/>
        </w:rPr>
      </w:pPr>
    </w:p>
    <w:p w14:paraId="638C39FB">
      <w:pPr>
        <w:numPr>
          <w:ilvl w:val="0"/>
          <w:numId w:val="6"/>
        </w:numPr>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招标文件合同范本中说明“本工程采用净口安装（如现场需毛口安装，则甲方提前书面通知施工单位）”，毛口安装与净口安装成本上存在差异，请明确毛口安装要求（是否采用水泥砂浆塞缝、是否涂刷防水涂料），并在清单中列入毛口安装取费以便根据实际情况调整合同价格。</w:t>
      </w:r>
    </w:p>
    <w:p w14:paraId="257623A4">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回复：净口安装（如需毛口安装，甲方提前书面通知），门框下槛及两侧300高范围内防水砂浆填塞由门窗单位施工。清单中列入毛口安装综合费率，后随答疑补清单。</w:t>
      </w:r>
    </w:p>
    <w:p w14:paraId="0CCF48EA">
      <w:pPr>
        <w:numPr>
          <w:ilvl w:val="0"/>
          <w:numId w:val="0"/>
        </w:numPr>
        <w:jc w:val="left"/>
        <w:rPr>
          <w:rFonts w:hint="eastAsia" w:asciiTheme="minorEastAsia" w:hAnsiTheme="minorEastAsia" w:eastAsiaTheme="minorEastAsia" w:cstheme="minorEastAsia"/>
          <w:color w:val="FF0000"/>
          <w:sz w:val="24"/>
          <w:szCs w:val="24"/>
          <w:lang w:val="en-US" w:eastAsia="zh-CN"/>
        </w:rPr>
      </w:pPr>
    </w:p>
    <w:p w14:paraId="195BACD6">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合同范本中“门框下槛及两侧300高范围内防水砂浆填塞由门窗单位施工”，此处与深化图纸节点做法不一，请明确是否塞缝，是否只有门下口塞缝，外窗是否塞缝；</w:t>
      </w:r>
    </w:p>
    <w:p w14:paraId="5B8383C9">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回复：门框下槛及两侧300高范围内防水砂浆塞缝由门窗单位施工，外窗不需要。</w:t>
      </w:r>
    </w:p>
    <w:p w14:paraId="092D52AD">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深化图纸中推拉窗出现了55系列断桥推拉窗（配5+9A+5中空玻璃）及100系列断桥铝合金推拉窗（配5+9A+5单银中空玻璃）两种，清单中为65系列断桥铝合金窗（配5+9A+5+9A+5单银中空玻璃）及100系列断桥铝合金窗（配5+9A+5+9A+5中空钢化玻璃），前后不一，请明确；建议统一系列及玻璃配置，同时提供深化设计节点图；</w:t>
      </w:r>
    </w:p>
    <w:p w14:paraId="5DD60AA8">
      <w:pPr>
        <w:numPr>
          <w:ilvl w:val="0"/>
          <w:numId w:val="0"/>
        </w:numPr>
        <w:jc w:val="left"/>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FF0000"/>
          <w:sz w:val="24"/>
          <w:szCs w:val="24"/>
          <w:lang w:val="en-US" w:eastAsia="zh-CN"/>
        </w:rPr>
        <w:t>回复：5+9A+5单银中空玻璃推拉窗配90系列断桥铝</w:t>
      </w:r>
    </w:p>
    <w:p w14:paraId="65FFD3FB">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合同范本中“所有门、窗框与墙体连接处室外需打防水耐候胶密封（必须填充聚氨酯发泡剂），室内需打嵌缝胶密封”是否可以理解为室外侧使用耐候密封胶、室内侧使用中性硅酮密封胶；</w:t>
      </w:r>
    </w:p>
    <w:p w14:paraId="63B971B9">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回复：室外侧使用耐候密封胶、室内侧使用中性硅酮密封胶；</w:t>
      </w:r>
    </w:p>
    <w:p w14:paraId="0BEAB0C0">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飘窗及卫生间上悬窗与外保温碰口处，与外墙大面保温板交接处，影响开启的窗型需增加钢副框。钢副框选用65*50*1.5mm/65*30*1.5mm镀锌钢管国产优质产品”，请明确钢副框是否只在单侧增加即可；飘窗及卫生间分别采用的规格；</w:t>
      </w:r>
    </w:p>
    <w:p w14:paraId="4F0DC370">
      <w:pPr>
        <w:numPr>
          <w:ilvl w:val="0"/>
          <w:numId w:val="0"/>
        </w:numPr>
        <w:jc w:val="left"/>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FF0000"/>
          <w:sz w:val="24"/>
          <w:szCs w:val="24"/>
          <w:lang w:val="en-US" w:eastAsia="zh-CN"/>
        </w:rPr>
        <w:t>回复：无钢副框</w:t>
      </w:r>
    </w:p>
    <w:p w14:paraId="4DDC6C2B">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深化图纸及清单中玻璃规格与合同范本中要求的玻璃规格不一致（合同范围要求均为low-e玻璃，图纸及清单未带low-e），请问以哪个为准？</w:t>
      </w:r>
    </w:p>
    <w:p w14:paraId="1D3D4E58">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回复：均为low-e玻璃（单low-e玻璃）</w:t>
      </w:r>
    </w:p>
    <w:p w14:paraId="0CE5BFF2">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请明确成品保护是否要求玻璃贴膜，单面贴膜还是双面贴膜？</w:t>
      </w:r>
    </w:p>
    <w:p w14:paraId="3ED8B227">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回复：双面贴膜</w:t>
      </w:r>
    </w:p>
    <w:p w14:paraId="3303FE70">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样角是否可以使用65外开料，颜色是否可以使用其他色</w:t>
      </w:r>
    </w:p>
    <w:p w14:paraId="3DCEAA77">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回复：可以，颜色尽量采用蓝灰色</w:t>
      </w:r>
    </w:p>
    <w:p w14:paraId="4D496122">
      <w:pPr>
        <w:numPr>
          <w:ilvl w:val="0"/>
          <w:numId w:val="6"/>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展板需要什么材料</w:t>
      </w:r>
    </w:p>
    <w:p w14:paraId="34CB5640">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回复：型材玻璃组合样角、玻璃合片、玻璃原片、五金件、密封胶/条及小型配件等</w:t>
      </w:r>
    </w:p>
    <w:p w14:paraId="386DF6B2">
      <w:pPr>
        <w:pStyle w:val="7"/>
        <w:numPr>
          <w:ilvl w:val="0"/>
          <w:numId w:val="6"/>
        </w:numPr>
        <w:ind w:left="0" w:leftChars="0" w:firstLine="0" w:firstLineChars="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招标文件31页：“本工程采用净口安装（如现场需毛口安装，则甲方提前书面通知施工单位）”净口安装，毛口安装费用不一样，若后期采用毛口安装，报价是否可以调整；</w:t>
      </w:r>
    </w:p>
    <w:p w14:paraId="5A9750E7">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回复：可以调整</w:t>
      </w:r>
    </w:p>
    <w:p w14:paraId="398E1E65">
      <w:pPr>
        <w:pStyle w:val="8"/>
        <w:numPr>
          <w:ilvl w:val="0"/>
          <w:numId w:val="6"/>
        </w:numPr>
        <w:ind w:left="0" w:leftChars="0" w:firstLine="0" w:firstLineChars="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招标文件第31页：“洞口抹灰由总包施工（含推拉门底口砼反坎浇筑）；打胶收口、发泡胶的封堵、门框下槛及两侧300高范围内防水砂浆填塞由门窗单位施工”本项目为净口安装，门框下槛及两侧300高范围内防水砂浆填塞是否需要；</w:t>
      </w:r>
    </w:p>
    <w:p w14:paraId="1536AED7">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回复：需要</w:t>
      </w:r>
    </w:p>
    <w:p w14:paraId="6F10E09E">
      <w:pPr>
        <w:pStyle w:val="9"/>
        <w:numPr>
          <w:ilvl w:val="0"/>
          <w:numId w:val="6"/>
        </w:numPr>
        <w:ind w:left="0" w:leftChars="0" w:firstLine="0" w:firstLineChars="0"/>
        <w:jc w:val="both"/>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本报价中淋水实验是否为百分百淋水；</w:t>
      </w:r>
    </w:p>
    <w:p w14:paraId="717B5360">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回复：100%淋水</w:t>
      </w:r>
    </w:p>
    <w:p w14:paraId="4373029C">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bidi="ar-SA"/>
        </w:rPr>
        <w:t>49、招标文件32页付款方式中：根据施工情况，第三条及第四条需要增加“不含施工洞口及不具备工作面部位”；</w:t>
      </w:r>
      <w:r>
        <w:rPr>
          <w:rFonts w:hint="eastAsia" w:asciiTheme="minorEastAsia" w:hAnsiTheme="minorEastAsia" w:eastAsiaTheme="minorEastAsia" w:cstheme="minorEastAsia"/>
          <w:b w:val="0"/>
          <w:bCs/>
          <w:color w:val="auto"/>
          <w:kern w:val="2"/>
          <w:sz w:val="24"/>
          <w:szCs w:val="24"/>
          <w:highlight w:val="none"/>
          <w:lang w:val="en-US" w:eastAsia="zh-CN" w:bidi="ar-SA"/>
        </w:rPr>
        <w:drawing>
          <wp:inline distT="0" distB="0" distL="114300" distR="114300">
            <wp:extent cx="5273040" cy="2783205"/>
            <wp:effectExtent l="0" t="0" r="0" b="571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273040" cy="2783205"/>
                    </a:xfrm>
                    <a:prstGeom prst="rect">
                      <a:avLst/>
                    </a:prstGeom>
                    <a:noFill/>
                    <a:ln>
                      <a:noFill/>
                    </a:ln>
                  </pic:spPr>
                </pic:pic>
              </a:graphicData>
            </a:graphic>
          </wp:inline>
        </w:drawing>
      </w:r>
      <w:r>
        <w:rPr>
          <w:rFonts w:hint="eastAsia" w:asciiTheme="minorEastAsia" w:hAnsiTheme="minorEastAsia" w:eastAsiaTheme="minorEastAsia" w:cstheme="minorEastAsia"/>
          <w:color w:val="FF0000"/>
          <w:sz w:val="24"/>
          <w:szCs w:val="24"/>
          <w:lang w:val="en-US" w:eastAsia="zh-CN"/>
        </w:rPr>
        <w:t>回复：可以</w:t>
      </w:r>
    </w:p>
    <w:p w14:paraId="3BBBEB6B">
      <w:pPr>
        <w:pStyle w:val="7"/>
        <w:numPr>
          <w:ilvl w:val="0"/>
          <w:numId w:val="8"/>
        </w:numPr>
        <w:ind w:left="210" w:leftChars="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本项目清单中包含门窗及幕墙，幕墙量较少，是否需要提供单独的幕墙检测；</w:t>
      </w:r>
    </w:p>
    <w:p w14:paraId="5CE6D200">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回复：相关检测需满足政府验收</w:t>
      </w:r>
    </w:p>
    <w:p w14:paraId="6E9FCCE5">
      <w:pPr>
        <w:pStyle w:val="8"/>
        <w:numPr>
          <w:ilvl w:val="0"/>
          <w:numId w:val="8"/>
        </w:numPr>
        <w:ind w:left="21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图纸幕墙部分节点：标准节点JD-26中铝板是否考虑在报价内，如下图：</w:t>
      </w:r>
      <w:r>
        <w:rPr>
          <w:rFonts w:hint="eastAsia" w:asciiTheme="minorEastAsia" w:hAnsiTheme="minorEastAsia" w:eastAsiaTheme="minorEastAsia" w:cstheme="minorEastAsia"/>
          <w:sz w:val="24"/>
          <w:szCs w:val="24"/>
        </w:rPr>
        <w:drawing>
          <wp:inline distT="0" distB="0" distL="114300" distR="114300">
            <wp:extent cx="5274310" cy="3361055"/>
            <wp:effectExtent l="0" t="0" r="13970" b="698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9"/>
                    <a:stretch>
                      <a:fillRect/>
                    </a:stretch>
                  </pic:blipFill>
                  <pic:spPr>
                    <a:xfrm>
                      <a:off x="0" y="0"/>
                      <a:ext cx="5274310" cy="3361055"/>
                    </a:xfrm>
                    <a:prstGeom prst="rect">
                      <a:avLst/>
                    </a:prstGeom>
                    <a:noFill/>
                    <a:ln>
                      <a:noFill/>
                    </a:ln>
                  </pic:spPr>
                </pic:pic>
              </a:graphicData>
            </a:graphic>
          </wp:inline>
        </w:drawing>
      </w:r>
    </w:p>
    <w:p w14:paraId="15650094">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回复：需考虑窗套</w:t>
      </w:r>
    </w:p>
    <w:p w14:paraId="31BE6A31">
      <w:pPr>
        <w:pStyle w:val="8"/>
        <w:numPr>
          <w:ilvl w:val="0"/>
          <w:numId w:val="8"/>
        </w:numPr>
        <w:ind w:left="21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报价清单分析表是否可以根据不同窗型调整里面材料明细；</w:t>
      </w:r>
      <w:r>
        <w:rPr>
          <w:rFonts w:hint="eastAsia" w:asciiTheme="minorEastAsia" w:hAnsiTheme="minorEastAsia" w:eastAsiaTheme="minorEastAsia" w:cstheme="minorEastAsia"/>
          <w:sz w:val="24"/>
          <w:szCs w:val="24"/>
        </w:rPr>
        <w:drawing>
          <wp:inline distT="0" distB="0" distL="114300" distR="114300">
            <wp:extent cx="5272405" cy="4301490"/>
            <wp:effectExtent l="0" t="0" r="635" b="1143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0"/>
                    <a:stretch>
                      <a:fillRect/>
                    </a:stretch>
                  </pic:blipFill>
                  <pic:spPr>
                    <a:xfrm>
                      <a:off x="0" y="0"/>
                      <a:ext cx="5272405" cy="4301490"/>
                    </a:xfrm>
                    <a:prstGeom prst="rect">
                      <a:avLst/>
                    </a:prstGeom>
                    <a:noFill/>
                    <a:ln>
                      <a:noFill/>
                    </a:ln>
                  </pic:spPr>
                </pic:pic>
              </a:graphicData>
            </a:graphic>
          </wp:inline>
        </w:drawing>
      </w:r>
    </w:p>
    <w:p w14:paraId="31CF1DF0">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回复：根据深化自行调整</w:t>
      </w:r>
    </w:p>
    <w:p w14:paraId="254F5D48">
      <w:pPr>
        <w:pStyle w:val="8"/>
        <w:numPr>
          <w:ilvl w:val="0"/>
          <w:numId w:val="8"/>
        </w:numPr>
        <w:ind w:left="21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幕墙材料外扣盖是否采用氟碳喷涂（室内粉末室外氟碳）；</w:t>
      </w:r>
      <w:r>
        <w:rPr>
          <w:rFonts w:hint="eastAsia" w:asciiTheme="minorEastAsia" w:hAnsiTheme="minorEastAsia" w:eastAsiaTheme="minorEastAsia" w:cstheme="minorEastAsia"/>
          <w:sz w:val="24"/>
          <w:szCs w:val="24"/>
        </w:rPr>
        <w:drawing>
          <wp:inline distT="0" distB="0" distL="114300" distR="114300">
            <wp:extent cx="5270500" cy="3101340"/>
            <wp:effectExtent l="0" t="0" r="254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1"/>
                    <a:stretch>
                      <a:fillRect/>
                    </a:stretch>
                  </pic:blipFill>
                  <pic:spPr>
                    <a:xfrm>
                      <a:off x="0" y="0"/>
                      <a:ext cx="5270500" cy="3101340"/>
                    </a:xfrm>
                    <a:prstGeom prst="rect">
                      <a:avLst/>
                    </a:prstGeom>
                    <a:noFill/>
                    <a:ln>
                      <a:noFill/>
                    </a:ln>
                  </pic:spPr>
                </pic:pic>
              </a:graphicData>
            </a:graphic>
          </wp:inline>
        </w:drawing>
      </w:r>
    </w:p>
    <w:p w14:paraId="3C681D56">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回复：统一粉末喷涂</w:t>
      </w:r>
    </w:p>
    <w:p w14:paraId="07F96960">
      <w:pPr>
        <w:pStyle w:val="9"/>
        <w:numPr>
          <w:ilvl w:val="0"/>
          <w:numId w:val="0"/>
        </w:numPr>
        <w:ind w:left="210" w:leftChars="0"/>
        <w:jc w:val="both"/>
        <w:rPr>
          <w:rFonts w:hint="eastAsia" w:asciiTheme="minorEastAsia" w:hAnsiTheme="minorEastAsia" w:eastAsiaTheme="minorEastAsia" w:cstheme="minorEastAsia"/>
          <w:sz w:val="24"/>
          <w:szCs w:val="24"/>
          <w:lang w:val="en-US" w:eastAsia="zh-CN"/>
        </w:rPr>
      </w:pPr>
    </w:p>
    <w:p w14:paraId="4E93396A">
      <w:pPr>
        <w:pStyle w:val="8"/>
        <w:numPr>
          <w:ilvl w:val="0"/>
          <w:numId w:val="0"/>
        </w:numPr>
        <w:ind w:left="21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55、幕墙图纸中玻璃为5+9+5+9+5，根据规范幕墙玻璃厚度不低于6mm，此部分报价是否调整；</w:t>
      </w:r>
      <w:r>
        <w:rPr>
          <w:rFonts w:hint="eastAsia" w:asciiTheme="minorEastAsia" w:hAnsiTheme="minorEastAsia" w:eastAsiaTheme="minorEastAsia" w:cstheme="minorEastAsia"/>
          <w:sz w:val="24"/>
          <w:szCs w:val="24"/>
        </w:rPr>
        <w:drawing>
          <wp:inline distT="0" distB="0" distL="114300" distR="114300">
            <wp:extent cx="5272405" cy="3271520"/>
            <wp:effectExtent l="0" t="0" r="635" b="508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2"/>
                    <a:stretch>
                      <a:fillRect/>
                    </a:stretch>
                  </pic:blipFill>
                  <pic:spPr>
                    <a:xfrm>
                      <a:off x="0" y="0"/>
                      <a:ext cx="5272405" cy="3271520"/>
                    </a:xfrm>
                    <a:prstGeom prst="rect">
                      <a:avLst/>
                    </a:prstGeom>
                    <a:noFill/>
                    <a:ln>
                      <a:noFill/>
                    </a:ln>
                  </pic:spPr>
                </pic:pic>
              </a:graphicData>
            </a:graphic>
          </wp:inline>
        </w:drawing>
      </w:r>
    </w:p>
    <w:p w14:paraId="3EC6F1BC">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w:t>
      </w:r>
      <w:r>
        <w:rPr>
          <w:rFonts w:hint="eastAsia" w:asciiTheme="minorEastAsia" w:hAnsiTheme="minorEastAsia" w:eastAsiaTheme="minorEastAsia" w:cstheme="minorEastAsia"/>
          <w:sz w:val="24"/>
          <w:szCs w:val="24"/>
          <w:lang w:val="en-US" w:eastAsia="zh-CN"/>
        </w:rPr>
        <w:t>幕墙玻璃厚度</w:t>
      </w:r>
      <w:r>
        <w:rPr>
          <w:rFonts w:hint="eastAsia" w:asciiTheme="minorEastAsia" w:hAnsiTheme="minorEastAsia" w:eastAsiaTheme="minorEastAsia" w:cstheme="minorEastAsia"/>
          <w:color w:val="FF0000"/>
          <w:sz w:val="24"/>
          <w:szCs w:val="24"/>
          <w:lang w:val="en-US" w:eastAsia="zh-CN"/>
        </w:rPr>
        <w:t>暂按6</w:t>
      </w:r>
      <w:r>
        <w:rPr>
          <w:rFonts w:hint="eastAsia" w:asciiTheme="minorEastAsia" w:hAnsiTheme="minorEastAsia" w:eastAsiaTheme="minorEastAsia" w:cstheme="minorEastAsia"/>
          <w:sz w:val="24"/>
          <w:szCs w:val="24"/>
          <w:lang w:val="en-US" w:eastAsia="zh-CN"/>
        </w:rPr>
        <w:t>mm</w:t>
      </w:r>
      <w:r>
        <w:rPr>
          <w:rFonts w:hint="eastAsia" w:asciiTheme="minorEastAsia" w:hAnsiTheme="minorEastAsia" w:eastAsiaTheme="minorEastAsia" w:cstheme="minorEastAsia"/>
          <w:color w:val="FF0000"/>
          <w:sz w:val="24"/>
          <w:szCs w:val="24"/>
          <w:lang w:val="en-US" w:eastAsia="zh-CN"/>
        </w:rPr>
        <w:t>计价</w:t>
      </w:r>
    </w:p>
    <w:p w14:paraId="78C2A93E">
      <w:pPr>
        <w:numPr>
          <w:ilvl w:val="0"/>
          <w:numId w:val="0"/>
        </w:numPr>
        <w:ind w:left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56、请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明确此项目的总工期？一共分几批次、每批次进场时间？</w:t>
      </w:r>
    </w:p>
    <w:p w14:paraId="308ACEBA">
      <w:pPr>
        <w:pStyle w:val="8"/>
        <w:numPr>
          <w:ilvl w:val="0"/>
          <w:numId w:val="0"/>
        </w:numPr>
        <w:ind w:left="21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FF0000"/>
          <w:sz w:val="24"/>
          <w:szCs w:val="24"/>
          <w:lang w:val="en-US" w:eastAsia="zh-CN"/>
        </w:rPr>
        <w:drawing>
          <wp:inline distT="0" distB="0" distL="114300" distR="114300">
            <wp:extent cx="5269865" cy="572770"/>
            <wp:effectExtent l="0" t="0" r="3175" b="635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pic:cNvPicPr>
                  </pic:nvPicPr>
                  <pic:blipFill>
                    <a:blip r:embed="rId23"/>
                    <a:stretch>
                      <a:fillRect/>
                    </a:stretch>
                  </pic:blipFill>
                  <pic:spPr>
                    <a:xfrm>
                      <a:off x="0" y="0"/>
                      <a:ext cx="5269865" cy="572770"/>
                    </a:xfrm>
                    <a:prstGeom prst="rect">
                      <a:avLst/>
                    </a:prstGeom>
                    <a:noFill/>
                    <a:ln>
                      <a:noFill/>
                    </a:ln>
                  </pic:spPr>
                </pic:pic>
              </a:graphicData>
            </a:graphic>
          </wp:inline>
        </w:drawing>
      </w:r>
    </w:p>
    <w:p w14:paraId="467C37EA">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回复：共分2-3各批次，每批次生产安装周期40日历天，具体以甲方书面通知为准。</w:t>
      </w:r>
    </w:p>
    <w:p w14:paraId="543DB239">
      <w:pPr>
        <w:pStyle w:val="8"/>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57、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请明确门窗安装是否存在穿插施工？</w:t>
      </w:r>
    </w:p>
    <w:p w14:paraId="3A6AADB8">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回复：具体以现场实际为准</w:t>
      </w:r>
    </w:p>
    <w:p w14:paraId="195CC085">
      <w:pPr>
        <w:pStyle w:val="8"/>
        <w:numPr>
          <w:ilvl w:val="0"/>
          <w:numId w:val="0"/>
        </w:numPr>
        <w:ind w:left="21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val="en-US" w:eastAsia="zh-CN"/>
        </w:rPr>
        <w:t>58、</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此项目是否为净口安装？净口尺寸是在设计洞口尺寸基础上分别减尺多少？结算尺寸是否为设计洞口尺寸？</w:t>
      </w:r>
    </w:p>
    <w:p w14:paraId="0708C9B4">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回复：净口安装。详见招标文件合同文本第九条结算办法</w:t>
      </w:r>
    </w:p>
    <w:p w14:paraId="71674B89">
      <w:pPr>
        <w:pStyle w:val="8"/>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59、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此项目成品保护有无具体要求？玻璃贴膜是否需要包含？（双面贴膜还是单面贴膜）？</w:t>
      </w:r>
    </w:p>
    <w:p w14:paraId="7FA5D632">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回复：型材要求三面保护，玻璃双面贴膜。</w:t>
      </w:r>
    </w:p>
    <w:p w14:paraId="168337F3">
      <w:pPr>
        <w:pStyle w:val="8"/>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60、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安全文明施工费、水电费如何计取，请明确？</w:t>
      </w:r>
    </w:p>
    <w:p w14:paraId="4F7E1CDF">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回复：安全文明施工费、水电费包含在报价中，安全文明押金需缴纳（具体费用与总包协商），水电费缴纳至总包，具体与总包协商。</w:t>
      </w:r>
    </w:p>
    <w:p w14:paraId="52E6CD08">
      <w:pPr>
        <w:pStyle w:val="8"/>
        <w:numPr>
          <w:ilvl w:val="0"/>
          <w:numId w:val="0"/>
        </w:numPr>
        <w:ind w:left="21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61、门窗进场安装时是否不再需要向总包单位提交配合费及垂直运输费用等，请明确？</w:t>
      </w:r>
      <w:r>
        <w:rPr>
          <w:rFonts w:hint="eastAsia" w:asciiTheme="minorEastAsia" w:hAnsiTheme="minorEastAsia" w:eastAsiaTheme="minorEastAsia" w:cstheme="minorEastAsia"/>
          <w:color w:val="FF0000"/>
          <w:sz w:val="24"/>
          <w:szCs w:val="24"/>
          <w:lang w:val="en-US" w:eastAsia="zh-CN"/>
        </w:rPr>
        <w:drawing>
          <wp:inline distT="0" distB="0" distL="114300" distR="114300">
            <wp:extent cx="5535930" cy="347345"/>
            <wp:effectExtent l="0" t="0" r="11430" b="3175"/>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pic:cNvPicPr>
                  </pic:nvPicPr>
                  <pic:blipFill>
                    <a:blip r:embed="rId24"/>
                    <a:stretch>
                      <a:fillRect/>
                    </a:stretch>
                  </pic:blipFill>
                  <pic:spPr>
                    <a:xfrm>
                      <a:off x="0" y="0"/>
                      <a:ext cx="5535930" cy="347345"/>
                    </a:xfrm>
                    <a:prstGeom prst="rect">
                      <a:avLst/>
                    </a:prstGeom>
                    <a:noFill/>
                    <a:ln>
                      <a:noFill/>
                    </a:ln>
                  </pic:spPr>
                </pic:pic>
              </a:graphicData>
            </a:graphic>
          </wp:inline>
        </w:drawing>
      </w:r>
    </w:p>
    <w:p w14:paraId="36EEEF15">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回复：配合费、垂直运输费用不需要向总包提交，可能存在的搭设移动脚手架费用由门窗单位</w:t>
      </w:r>
      <w:r>
        <w:rPr>
          <w:rFonts w:hint="eastAsia" w:asciiTheme="minorEastAsia" w:hAnsiTheme="minorEastAsia" w:eastAsiaTheme="minorEastAsia" w:cstheme="minorEastAsia"/>
          <w:color w:val="FF0000"/>
          <w:sz w:val="24"/>
          <w:szCs w:val="24"/>
          <w:highlight w:val="cyan"/>
          <w:lang w:val="en-US" w:eastAsia="zh-CN"/>
        </w:rPr>
        <w:t>自行踏勘现场</w:t>
      </w:r>
      <w:r>
        <w:rPr>
          <w:rFonts w:hint="eastAsia" w:asciiTheme="minorEastAsia" w:hAnsiTheme="minorEastAsia" w:eastAsiaTheme="minorEastAsia" w:cstheme="minorEastAsia"/>
          <w:color w:val="FF0000"/>
          <w:sz w:val="24"/>
          <w:szCs w:val="24"/>
          <w:lang w:val="en-US" w:eastAsia="zh-CN"/>
        </w:rPr>
        <w:t>自行考虑。</w:t>
      </w:r>
    </w:p>
    <w:p w14:paraId="33E03F7F">
      <w:pPr>
        <w:pStyle w:val="8"/>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62、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推拉门五金采用双面条锁还是单面条锁？是否带拉手？</w:t>
      </w:r>
    </w:p>
    <w:p w14:paraId="35978DEE">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回复：单面条锁，带拉手</w:t>
      </w:r>
    </w:p>
    <w:p w14:paraId="13E98BBF">
      <w:pPr>
        <w:pStyle w:val="8"/>
        <w:numPr>
          <w:ilvl w:val="0"/>
          <w:numId w:val="0"/>
        </w:numPr>
        <w:ind w:left="21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val="en-US" w:eastAsia="zh-CN"/>
        </w:rPr>
        <w:t>63、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请明确单元门、入户大堂门、幕墙门联窗的拉手规格、长度、材质等要求？</w:t>
      </w:r>
    </w:p>
    <w:p w14:paraId="18C9076D">
      <w:pPr>
        <w:numPr>
          <w:ilvl w:val="0"/>
          <w:numId w:val="0"/>
        </w:numPr>
        <w:jc w:val="left"/>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回复：以甲方封样为准，</w:t>
      </w:r>
      <w:r>
        <w:rPr>
          <w:rFonts w:hint="eastAsia" w:asciiTheme="minorEastAsia" w:hAnsiTheme="minorEastAsia" w:eastAsiaTheme="minorEastAsia" w:cstheme="minorEastAsia"/>
          <w:color w:val="F79646" w:themeColor="accent6"/>
          <w:sz w:val="24"/>
          <w:szCs w:val="24"/>
          <w:highlight w:val="none"/>
          <w:lang w:val="en-US" w:eastAsia="zh-CN"/>
          <w14:textFill>
            <w14:solidFill>
              <w14:schemeClr w14:val="accent6"/>
            </w14:solidFill>
          </w14:textFill>
        </w:rPr>
        <w:t>单元门、入户大堂门不在招标范围内</w:t>
      </w:r>
    </w:p>
    <w:p w14:paraId="7362347C">
      <w:pPr>
        <w:pStyle w:val="8"/>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64、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请明确幕墙窗、幕墙门联窗的喷涂方式为粉末喷涂还是氟碳喷涂（具体材质及几涂）？</w:t>
      </w:r>
    </w:p>
    <w:p w14:paraId="6387FAFF">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回复：粉末喷涂</w:t>
      </w:r>
    </w:p>
    <w:p w14:paraId="5C4AABFF">
      <w:pPr>
        <w:pStyle w:val="8"/>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65、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推拉门下槛是否需要保护？是PVC材质还是木质保护？</w:t>
      </w:r>
    </w:p>
    <w:p w14:paraId="793F7EB8">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回复：需要，PVC材质</w:t>
      </w:r>
    </w:p>
    <w:p w14:paraId="5303C789">
      <w:pPr>
        <w:pStyle w:val="8"/>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66、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此项目是否需要向总包缴纳安全文明保证金，按多少记取，请明确？</w:t>
      </w:r>
    </w:p>
    <w:p w14:paraId="4D452DCB">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回复：需要缴纳安全文明保证金，具体金额与总包单位协商。</w:t>
      </w:r>
    </w:p>
    <w:p w14:paraId="4EEC15AF">
      <w:pPr>
        <w:pStyle w:val="8"/>
        <w:numPr>
          <w:ilvl w:val="0"/>
          <w:numId w:val="0"/>
        </w:numPr>
        <w:ind w:left="21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val="en-US" w:eastAsia="zh-CN"/>
        </w:rPr>
        <w:t>67、</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建筑安全玻璃管理规定》发改运行【2003】2116号，第六条必须使用安全玻璃的部位：“一、7层或7层以上建筑物外开窗”，请明确只外开窗扇采用钢化玻璃还是整个外开窗均需采用钢化玻璃？其余位置玻璃钢化是否按照国家规范？</w:t>
      </w:r>
    </w:p>
    <w:p w14:paraId="491942B3">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回复：按照国家规范要求</w:t>
      </w:r>
    </w:p>
    <w:p w14:paraId="7C603CD6">
      <w:pPr>
        <w:pStyle w:val="8"/>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68、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密封胶颜色是否同型材一致，请明确？</w:t>
      </w:r>
    </w:p>
    <w:p w14:paraId="49678986">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回复：同型材一致</w:t>
      </w:r>
    </w:p>
    <w:p w14:paraId="44A353A7">
      <w:pPr>
        <w:pStyle w:val="8"/>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69、此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项目是否包含精保洁？</w:t>
      </w:r>
    </w:p>
    <w:p w14:paraId="6097901C">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回复：门窗单位完工保洁一次</w:t>
      </w:r>
    </w:p>
    <w:p w14:paraId="1DCBA0E2">
      <w:pPr>
        <w:pStyle w:val="8"/>
        <w:numPr>
          <w:ilvl w:val="0"/>
          <w:numId w:val="0"/>
        </w:numPr>
        <w:ind w:left="21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70、此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项目所有门窗是否均为毛口安装不含钢副框？门窗单位是否仅负责塞缝不含四周JS防水施工？</w:t>
      </w:r>
      <w:r>
        <w:rPr>
          <w:rFonts w:hint="eastAsia" w:asciiTheme="minorEastAsia" w:hAnsiTheme="minorEastAsia" w:eastAsiaTheme="minorEastAsia" w:cstheme="minorEastAsia"/>
          <w:color w:val="FF0000"/>
          <w:sz w:val="24"/>
          <w:szCs w:val="24"/>
          <w:lang w:val="en-US" w:eastAsia="zh-CN"/>
        </w:rPr>
        <w:drawing>
          <wp:inline distT="0" distB="0" distL="114300" distR="114300">
            <wp:extent cx="5266690" cy="641350"/>
            <wp:effectExtent l="0" t="0" r="6350" b="1397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5"/>
                    <a:stretch>
                      <a:fillRect/>
                    </a:stretch>
                  </pic:blipFill>
                  <pic:spPr>
                    <a:xfrm>
                      <a:off x="0" y="0"/>
                      <a:ext cx="5266690" cy="641350"/>
                    </a:xfrm>
                    <a:prstGeom prst="rect">
                      <a:avLst/>
                    </a:prstGeom>
                    <a:noFill/>
                    <a:ln>
                      <a:noFill/>
                    </a:ln>
                  </pic:spPr>
                </pic:pic>
              </a:graphicData>
            </a:graphic>
          </wp:inline>
        </w:drawing>
      </w:r>
      <w:r>
        <w:rPr>
          <w:rFonts w:hint="eastAsia" w:asciiTheme="minorEastAsia" w:hAnsiTheme="minorEastAsia" w:eastAsiaTheme="minorEastAsia" w:cstheme="minorEastAsia"/>
          <w:color w:val="FF0000"/>
          <w:sz w:val="24"/>
          <w:szCs w:val="24"/>
          <w:lang w:val="en-US" w:eastAsia="zh-CN"/>
        </w:rPr>
        <w:drawing>
          <wp:inline distT="0" distB="0" distL="114300" distR="114300">
            <wp:extent cx="5270500" cy="344805"/>
            <wp:effectExtent l="0" t="0" r="2540" b="5715"/>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6"/>
                    <a:stretch>
                      <a:fillRect/>
                    </a:stretch>
                  </pic:blipFill>
                  <pic:spPr>
                    <a:xfrm>
                      <a:off x="0" y="0"/>
                      <a:ext cx="5270500" cy="344805"/>
                    </a:xfrm>
                    <a:prstGeom prst="rect">
                      <a:avLst/>
                    </a:prstGeom>
                    <a:noFill/>
                    <a:ln>
                      <a:noFill/>
                    </a:ln>
                  </pic:spPr>
                </pic:pic>
              </a:graphicData>
            </a:graphic>
          </wp:inline>
        </w:drawing>
      </w:r>
    </w:p>
    <w:p w14:paraId="744ABA69">
      <w:pPr>
        <w:numPr>
          <w:ilvl w:val="0"/>
          <w:numId w:val="0"/>
        </w:numPr>
        <w:ind w:leftChars="0"/>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回复：净口安装（如需毛口安装，甲方提前书面通知），门框下槛及两侧300高范围内防水砂浆填塞由门窗单位施工。</w:t>
      </w:r>
    </w:p>
    <w:p w14:paraId="0893FE6E">
      <w:pPr>
        <w:numPr>
          <w:ilvl w:val="0"/>
          <w:numId w:val="0"/>
        </w:numPr>
        <w:ind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71、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报价提交时间较紧张，可否考虑延迟提交时间？</w:t>
      </w:r>
    </w:p>
    <w:p w14:paraId="4C00AA09">
      <w:pPr>
        <w:numPr>
          <w:ilvl w:val="0"/>
          <w:numId w:val="0"/>
        </w:numPr>
        <w:wordWrap/>
        <w:jc w:val="left"/>
        <w:rPr>
          <w:rFonts w:hint="eastAsia" w:ascii="宋体" w:hAnsi="宋体" w:eastAsia="宋体" w:cs="宋体"/>
          <w:sz w:val="24"/>
          <w:szCs w:val="24"/>
          <w:lang w:val="en-US" w:eastAsia="zh-CN"/>
        </w:rPr>
      </w:pPr>
      <w:r>
        <w:rPr>
          <w:rFonts w:hint="eastAsia" w:asciiTheme="minorEastAsia" w:hAnsiTheme="minorEastAsia" w:eastAsiaTheme="minorEastAsia" w:cstheme="minorEastAsia"/>
          <w:color w:val="FF0000"/>
          <w:sz w:val="24"/>
          <w:szCs w:val="24"/>
          <w:lang w:val="en-US" w:eastAsia="zh-CN"/>
        </w:rPr>
        <w:t>回复：暂定2024年3月28日星期四下午14点30分现场开标，随时关注通知</w:t>
      </w:r>
      <w:r>
        <w:rPr>
          <w:rFonts w:hint="eastAsia" w:ascii="宋体" w:hAnsi="宋体" w:eastAsia="宋体" w:cs="宋体"/>
          <w:sz w:val="24"/>
          <w:szCs w:val="24"/>
          <w:lang w:val="en-US" w:eastAsia="zh-CN"/>
        </w:rPr>
        <w:t xml:space="preserve"> </w:t>
      </w:r>
    </w:p>
    <w:p w14:paraId="1193617C">
      <w:pPr>
        <w:rPr>
          <w:rFonts w:hint="eastAsia" w:asciiTheme="minorEastAsia" w:hAnsiTheme="minorEastAsia" w:eastAsiaTheme="minorEastAsia" w:cstheme="minorEastAsia"/>
          <w:bCs/>
          <w:color w:val="auto"/>
          <w:szCs w:val="28"/>
          <w:highlight w:val="none"/>
        </w:rPr>
      </w:pPr>
    </w:p>
    <w:p w14:paraId="78DC9B3B">
      <w:pPr>
        <w:pStyle w:val="25"/>
        <w:rPr>
          <w:rFonts w:hint="eastAsia" w:asciiTheme="minorEastAsia" w:hAnsiTheme="minorEastAsia" w:eastAsiaTheme="minorEastAsia" w:cstheme="minorEastAsia"/>
          <w:bCs/>
          <w:color w:val="auto"/>
          <w:spacing w:val="8"/>
          <w:szCs w:val="24"/>
          <w:highlight w:val="none"/>
        </w:rPr>
      </w:pPr>
      <w:r>
        <w:rPr>
          <w:rFonts w:hint="eastAsia" w:asciiTheme="minorEastAsia" w:hAnsiTheme="minorEastAsia" w:eastAsiaTheme="minorEastAsia" w:cstheme="minorEastAsia"/>
          <w:bCs/>
          <w:color w:val="auto"/>
          <w:szCs w:val="28"/>
          <w:highlight w:val="none"/>
        </w:rPr>
        <w:t>附件</w:t>
      </w:r>
      <w:r>
        <w:rPr>
          <w:rFonts w:hint="eastAsia" w:asciiTheme="minorEastAsia" w:hAnsiTheme="minorEastAsia" w:eastAsiaTheme="minorEastAsia" w:cstheme="minorEastAsia"/>
          <w:bCs/>
          <w:color w:val="auto"/>
          <w:szCs w:val="28"/>
          <w:highlight w:val="none"/>
          <w:lang w:eastAsia="zh-CN"/>
        </w:rPr>
        <w:t>四</w:t>
      </w:r>
      <w:r>
        <w:rPr>
          <w:rFonts w:hint="eastAsia" w:asciiTheme="minorEastAsia" w:hAnsiTheme="minorEastAsia" w:eastAsiaTheme="minorEastAsia" w:cstheme="minorEastAsia"/>
          <w:bCs/>
          <w:color w:val="auto"/>
          <w:szCs w:val="28"/>
          <w:highlight w:val="none"/>
        </w:rPr>
        <w:t>、</w:t>
      </w:r>
      <w:r>
        <w:rPr>
          <w:rFonts w:hint="eastAsia" w:asciiTheme="minorEastAsia" w:hAnsiTheme="minorEastAsia" w:eastAsiaTheme="minorEastAsia" w:cstheme="minorEastAsia"/>
          <w:bCs/>
          <w:color w:val="auto"/>
          <w:spacing w:val="8"/>
          <w:szCs w:val="24"/>
          <w:highlight w:val="none"/>
        </w:rPr>
        <w:t>《价格清单》（</w:t>
      </w:r>
      <w:r>
        <w:rPr>
          <w:rFonts w:hint="eastAsia" w:asciiTheme="minorEastAsia" w:hAnsiTheme="minorEastAsia" w:eastAsiaTheme="minorEastAsia" w:cstheme="minorEastAsia"/>
          <w:bCs/>
          <w:color w:val="auto"/>
          <w:spacing w:val="8"/>
          <w:szCs w:val="24"/>
          <w:highlight w:val="none"/>
          <w:lang w:eastAsia="zh-CN"/>
        </w:rPr>
        <w:t>综合单价</w:t>
      </w:r>
      <w:r>
        <w:rPr>
          <w:rFonts w:hint="eastAsia" w:asciiTheme="minorEastAsia" w:hAnsiTheme="minorEastAsia" w:eastAsiaTheme="minorEastAsia" w:cstheme="minorEastAsia"/>
          <w:bCs/>
          <w:color w:val="auto"/>
          <w:spacing w:val="8"/>
          <w:szCs w:val="24"/>
          <w:highlight w:val="none"/>
        </w:rPr>
        <w:t>打印后附装订）</w:t>
      </w:r>
    </w:p>
    <w:p w14:paraId="4EECBB76">
      <w:pPr>
        <w:pStyle w:val="25"/>
        <w:rPr>
          <w:rFonts w:hint="eastAsia" w:asciiTheme="minorEastAsia" w:hAnsiTheme="minorEastAsia" w:eastAsiaTheme="minorEastAsia" w:cstheme="minorEastAsia"/>
          <w:bCs/>
          <w:color w:val="auto"/>
          <w:spacing w:val="8"/>
          <w:szCs w:val="24"/>
          <w:highlight w:val="none"/>
        </w:rPr>
      </w:pPr>
    </w:p>
    <w:tbl>
      <w:tblPr>
        <w:tblStyle w:val="19"/>
        <w:tblW w:w="10400"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9787"/>
      </w:tblGrid>
      <w:tr w14:paraId="30A6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0400" w:type="dxa"/>
            <w:gridSpan w:val="2"/>
            <w:tcBorders>
              <w:top w:val="nil"/>
              <w:left w:val="nil"/>
              <w:bottom w:val="nil"/>
              <w:right w:val="nil"/>
            </w:tcBorders>
            <w:shd w:val="clear" w:color="auto" w:fill="auto"/>
            <w:vAlign w:val="center"/>
          </w:tcPr>
          <w:p w14:paraId="78F67A4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工程量清单编制说明</w:t>
            </w:r>
          </w:p>
        </w:tc>
      </w:tr>
      <w:tr w14:paraId="3F4C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13" w:type="dxa"/>
            <w:tcBorders>
              <w:top w:val="single" w:color="000000" w:sz="4" w:space="0"/>
              <w:left w:val="single" w:color="000000" w:sz="4" w:space="0"/>
              <w:bottom w:val="single" w:color="000000" w:sz="4" w:space="0"/>
              <w:right w:val="single" w:color="000000" w:sz="4" w:space="0"/>
            </w:tcBorders>
            <w:shd w:val="clear" w:color="auto" w:fill="C5D9F1"/>
            <w:noWrap/>
            <w:vAlign w:val="center"/>
          </w:tcPr>
          <w:p w14:paraId="02563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9787"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584908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报价范围</w:t>
            </w:r>
          </w:p>
        </w:tc>
      </w:tr>
      <w:tr w14:paraId="262D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8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1F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承包范围：悠然居项目门窗百叶制作安装工程，包含断桥铝合金门窗、百叶、防火窗、耐火窗、单元门、推拉门、楼梯间钢质门；</w:t>
            </w:r>
          </w:p>
        </w:tc>
      </w:tr>
      <w:tr w14:paraId="3C4E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0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62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清单及报价依据：悠然居项目建筑施工图、门窗深化图、工程质量及技术标准</w:t>
            </w:r>
          </w:p>
        </w:tc>
      </w:tr>
      <w:tr w14:paraId="7581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0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391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水电接口：甲方现场提供水电接驳点，接驳点后的材料及安装由中标单位自行负责。</w:t>
            </w:r>
          </w:p>
        </w:tc>
      </w:tr>
      <w:tr w14:paraId="5809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13" w:type="dxa"/>
            <w:tcBorders>
              <w:top w:val="single" w:color="000000" w:sz="4" w:space="0"/>
              <w:left w:val="single" w:color="000000" w:sz="4" w:space="0"/>
              <w:bottom w:val="single" w:color="000000" w:sz="4" w:space="0"/>
              <w:right w:val="single" w:color="000000" w:sz="4" w:space="0"/>
            </w:tcBorders>
            <w:shd w:val="clear" w:color="auto" w:fill="C5D9F1"/>
            <w:noWrap/>
            <w:vAlign w:val="center"/>
          </w:tcPr>
          <w:p w14:paraId="5034D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9787"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7B50D0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投标报价说明:</w:t>
            </w:r>
          </w:p>
        </w:tc>
      </w:tr>
      <w:tr w14:paraId="5E9A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9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D2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目工程采用工程量清单综合单价报价，合同价形式为含税暂定总价，按门窗净面积*综合单价据实结算。门窗净面积=外框高度*外框宽度，门窗外框高度按二次深化门窗图纸洞口高度-30mm、外框宽度按二次深化图纸门窗洞口宽度-30mm；</w:t>
            </w:r>
          </w:p>
        </w:tc>
      </w:tr>
      <w:tr w14:paraId="0C3C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1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9C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入综合单价中的材料（型材、玻璃、五金、胶条、毛条、胶等）均为不含增值税价格。合同履行期间若国家增值税税率发生调整时，按不含增值税综合单价不变的原则，以实际开具的增值税发票为界，税率按国家最新政策执行。</w:t>
            </w:r>
          </w:p>
        </w:tc>
      </w:tr>
      <w:tr w14:paraId="1FE4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2"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A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68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次招标的不含增值税综合单价包括；(1)材料费用包括型材、玻璃、密封胶、发泡胶、胶条、毛条、五金配件及制作安装中必须的自攻丝、射钉、铆钉、射钉、玻璃垫块、防水砂浆、美纹纸等材料；(2)加工制作安装费用包含按照招标文件要求完成门窗安装所需的人工、材料、机械、运输费、成品保护、检测费、淋水试验、塞缝、措施费(含安全施工、文明施工费、疫情防护、冬雨季施工、夜间施工、二次搬运、赶工等)、各种管理费、利润、规费、市场涨价风险等的全部费用；(3)加工制作和安装费不因实际所用材料品牌的变换而发生变化。</w:t>
            </w:r>
          </w:p>
        </w:tc>
      </w:tr>
      <w:tr w14:paraId="4F508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2"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0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C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应对本工程招标范围、内容、技术说明、采用规范要求、合同条件、质量标准、工期进度要求、施工现场情况、工程所在地的周围环境、交通等与工程施工有关的所有情况进行详细了解和研究,自行组织现场踏勘了解施工现场实际情况并调查市场价格及工程所在地相关建筑市场管理政策、法律和规定，根据自行编制的施工组织设计或施工方案，结合本企业的自身技术资质情况、经济物质资源情况、经营能力、组织管理能力，及相关计价规则、技术装备水平、管理水平，工程实际情况、风险程度等自主报价，投标报价被认为能够全面履行应尽的义务和应承担的责任。</w:t>
            </w:r>
          </w:p>
        </w:tc>
      </w:tr>
      <w:tr w14:paraId="0CF8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9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85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地周围环境、交通道路、现场地质资料、周围地下管网、现场条件、招标文件、承包范围、施工组织设计，并考虑检验检测、施工技术措施、安全文明施工措施、疫情防护、样板房抢工、保修期内因施工质量问题引起的维修等因素，以及除可调差材料外的风险因素，均应在投标报价中统一考虑，不再另外计取任何其他费用。</w:t>
            </w:r>
          </w:p>
        </w:tc>
      </w:tr>
      <w:tr w14:paraId="2DD8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3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F4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的投标报价必须在合理范围内，不允许不均衡报价，不允许对相同的清单项报不同的价格。如投标人的某些综合单价与市场价格相差较大，招标人有权要求投标人对其作出澄清说明，并且招标人有权在中标后对其单价进行平衡调整；如出现相同清单项报价不同，招标人有权按照最低价格执行。</w:t>
            </w:r>
          </w:p>
        </w:tc>
      </w:tr>
      <w:tr w14:paraId="79B3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E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0C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应认真阅读招标文件的全部内容，如有错误和疑义，请以书面形式提出，如没有提出，则表明对招标文件的全部内容已理解并且接受，对此产生的全部责任由投标人承担。投标人必须按招标文件要求进行报价，不得对招标文件内容进行实质性改变，如出现投标文件同招标文件不一致的地方以招标文件为准，表格中的数字均有公式链接关系，请投标人自行检查，保证其正确性，否则因数据链接导致的错误责任由投标人承担。</w:t>
            </w:r>
          </w:p>
        </w:tc>
      </w:tr>
      <w:tr w14:paraId="33C0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1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C6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人未指定产地或品牌的材料、设备由投标单位自主选择，所选择的材料设备均为经国家产品质量监督检验中心检测合格的产品，且满足招标技术要求。投标单位应填报相应的材料设备单价、品牌、规格、型号、产地等</w:t>
            </w:r>
          </w:p>
        </w:tc>
      </w:tr>
      <w:tr w14:paraId="3C9E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0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77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门窗与主体结构的塞缝由中标单位负责，窗框底边及两侧边上翻150mm高范围采用干硬性防水砂浆塞缝，上边及两侧剩余部分打发泡胶塞缝。</w:t>
            </w:r>
          </w:p>
        </w:tc>
      </w:tr>
      <w:tr w14:paraId="7550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613" w:type="dxa"/>
            <w:tcBorders>
              <w:top w:val="single" w:color="000000" w:sz="4" w:space="0"/>
              <w:left w:val="single" w:color="000000" w:sz="4" w:space="0"/>
              <w:bottom w:val="single" w:color="000000" w:sz="4" w:space="0"/>
              <w:right w:val="single" w:color="000000" w:sz="4" w:space="0"/>
            </w:tcBorders>
            <w:shd w:val="clear" w:color="auto" w:fill="C5D9F1"/>
            <w:noWrap/>
            <w:vAlign w:val="center"/>
          </w:tcPr>
          <w:p w14:paraId="7DC39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9787"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187681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调差及其他</w:t>
            </w:r>
          </w:p>
        </w:tc>
      </w:tr>
      <w:tr w14:paraId="72EF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9"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1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top"/>
          </w:tcPr>
          <w:p w14:paraId="2F50FFF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本工程对市场价格波动引起的调整，对铝锭、玻璃主材价格（包含运杂、运输损耗、装卸等费用）进行调整；其余所有人工、材料、机械等均不随市场价格或政策变化而调整，单栋楼门窗具体调整方式：</w:t>
            </w:r>
          </w:p>
          <w:p w14:paraId="297D5F8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一、铝锭：</w:t>
            </w:r>
          </w:p>
          <w:p w14:paraId="6AA6883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(1)投标时铝锭主材价格由投标人结合市场自主报价；</w:t>
            </w:r>
          </w:p>
          <w:p w14:paraId="306F51D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(2)基期铝锭价格A（除税价）：以合同签订日为基期价格；铝锭价格以长江有色网(www.smm.$C$n)“SMM A00铝”当日现货均价为准；合同签订日恰遇周六、日、休市日、节假日，则按周六、日、休市日、节假日前一个交易日现货均价执行(除税价格)；</w:t>
            </w:r>
          </w:p>
          <w:p w14:paraId="6792F3B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施工期价格B（除税价）：以门窗框料第一次进场日（以甲方通知进场日期为准）前20天再往前推7天内的铝锭算术平均价格（遇到节假日无价格时，前推计足7天的平均值）为施工期价格；当施工期价格与基期铝锭价格之比浮动率在±5%以内(含±5%)不予调整，超过±5%时，只对超出部分进行调整(除税价格)；</w:t>
            </w:r>
          </w:p>
          <w:p w14:paraId="730349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(4)铝材调差费用=[B-A*(1±5%)]*可调差铝材总量*（1+合同增值税税率），上涨时为+5%，下跌时为-5%；</w:t>
            </w:r>
          </w:p>
          <w:p w14:paraId="30B03B0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(5)调差部分只计税金，其他均不作调整；</w:t>
            </w:r>
          </w:p>
          <w:p w14:paraId="772FC78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三、玻璃（仅对浮法玻璃原片进行调差，二次深加工钢化、镀膜、中空、加胶、防火处理等不调差）：</w:t>
            </w:r>
          </w:p>
          <w:p w14:paraId="606BD5D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(1)投标时玻璃主材价格由投标人结合市场自主报价；</w:t>
            </w:r>
          </w:p>
          <w:p w14:paraId="54D8C4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基期玻璃价格P0（除税价）：以合同签订日对应当期（签约日对应的上旬、中旬或下旬）价格为基期价格；玻璃价格以国家统计局(http://www.stats.gov.$C$n)“流通领域重要生产资料市场价格变动情况”公布的“浮法平板玻璃4.8/5mm”价格为准；</w:t>
            </w:r>
          </w:p>
          <w:p w14:paraId="30570C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施工期玻璃价格P1（除税价）：以首批玻璃进场日对应当期（以甲方通知玻璃进场日对应的上旬、中旬或下旬）算术平均价格为施工期价格；当施工期价格与基期价格之比浮动率在±5%以内(含±5%)不予调整，超过±5%时，只对超出部分进行调整(除税价格)；</w:t>
            </w:r>
          </w:p>
          <w:p w14:paraId="6BA7744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(4)玻璃调差费用=[P1-P0*(1±5%)]*可调差玻璃总量*（1+合同增值税税率）/(80.00或66.67或40.00)，上涨时为+5%，下跌时为-5%；</w:t>
            </w:r>
          </w:p>
          <w:p w14:paraId="452DA16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(5)玻璃总量玻璃总量的计算，吨单价与平米单价折合关系为：5mm厚每吨=80.00㎡，6mm厚每吨=66.67㎡，8mm厚每吨=50.00㎡，10mm厚每吨=40㎡.00；双层或三层玻璃按同型号叠加计算。</w:t>
            </w:r>
          </w:p>
        </w:tc>
      </w:tr>
      <w:tr w14:paraId="6EBC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A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0B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总包服务费、配合费已由甲方统一支付给总包单位，甲方已支付的配合费包括施工方因施工需要使用总包脚手架、垂直运输工具、材料存放场地、供水电接驳点、资料统一归档的费用。</w:t>
            </w:r>
          </w:p>
        </w:tc>
      </w:tr>
    </w:tbl>
    <w:p w14:paraId="1B8B09A8">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4333CB60">
      <w:pPr>
        <w:pStyle w:val="25"/>
        <w:rPr>
          <w:rFonts w:hint="eastAsia" w:asciiTheme="minorEastAsia" w:hAnsiTheme="minorEastAsia" w:eastAsiaTheme="minorEastAsia" w:cstheme="minorEastAsia"/>
          <w:color w:val="auto"/>
          <w:highlight w:val="none"/>
        </w:rPr>
      </w:pPr>
    </w:p>
    <w:tbl>
      <w:tblPr>
        <w:tblStyle w:val="19"/>
        <w:tblW w:w="9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1596"/>
        <w:gridCol w:w="1380"/>
        <w:gridCol w:w="1704"/>
        <w:gridCol w:w="1164"/>
        <w:gridCol w:w="2028"/>
        <w:gridCol w:w="1380"/>
      </w:tblGrid>
      <w:tr w14:paraId="613B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9876" w:type="dxa"/>
            <w:gridSpan w:val="7"/>
            <w:tcBorders>
              <w:top w:val="nil"/>
              <w:left w:val="nil"/>
              <w:bottom w:val="nil"/>
              <w:right w:val="nil"/>
            </w:tcBorders>
            <w:shd w:val="clear" w:color="auto" w:fill="auto"/>
            <w:vAlign w:val="center"/>
          </w:tcPr>
          <w:p w14:paraId="0BE389D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悠然居项目门窗工程造价汇总表</w:t>
            </w:r>
          </w:p>
        </w:tc>
      </w:tr>
      <w:tr w14:paraId="487FF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92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FD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F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门窗面积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2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不含增值税综合单价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(元/m2)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1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增值税税率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0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含税合价(元)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D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14A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5A9A3">
            <w:pPr>
              <w:jc w:val="center"/>
              <w:rPr>
                <w:rFonts w:hint="eastAsia" w:ascii="宋体" w:hAnsi="宋体" w:eastAsia="宋体" w:cs="宋体"/>
                <w:i w:val="0"/>
                <w:iCs w:val="0"/>
                <w:color w:val="000000"/>
                <w:sz w:val="20"/>
                <w:szCs w:val="20"/>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EB1D7">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9731">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①</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FC2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②</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1A8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③</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572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④</w:t>
            </w:r>
            <w:r>
              <w:rPr>
                <w:rFonts w:hint="eastAsia" w:ascii="宋体" w:hAnsi="宋体" w:eastAsia="宋体" w:cs="宋体"/>
                <w:i w:val="0"/>
                <w:iCs w:val="0"/>
                <w:color w:val="000000"/>
                <w:kern w:val="0"/>
                <w:sz w:val="20"/>
                <w:szCs w:val="20"/>
                <w:u w:val="none"/>
                <w:lang w:val="en-US" w:eastAsia="zh-CN" w:bidi="ar"/>
              </w:rPr>
              <w:t>=</w:t>
            </w:r>
            <w:r>
              <w:rPr>
                <w:rFonts w:hint="default" w:ascii="Calibri" w:hAnsi="Calibri" w:eastAsia="宋体" w:cs="Calibri"/>
                <w:i w:val="0"/>
                <w:iCs w:val="0"/>
                <w:color w:val="000000"/>
                <w:kern w:val="0"/>
                <w:sz w:val="20"/>
                <w:szCs w:val="20"/>
                <w:u w:val="none"/>
                <w:lang w:val="en-US" w:eastAsia="zh-CN" w:bidi="ar"/>
              </w:rPr>
              <w:t>①*②*</w:t>
            </w:r>
            <w:r>
              <w:rPr>
                <w:rFonts w:hint="eastAsia" w:ascii="宋体" w:hAnsi="宋体" w:eastAsia="宋体" w:cs="宋体"/>
                <w:i w:val="0"/>
                <w:iCs w:val="0"/>
                <w:color w:val="000000"/>
                <w:kern w:val="0"/>
                <w:sz w:val="20"/>
                <w:szCs w:val="20"/>
                <w:u w:val="none"/>
                <w:lang w:val="en-US" w:eastAsia="zh-CN" w:bidi="ar"/>
              </w:rPr>
              <w:t>（</w:t>
            </w:r>
            <w:r>
              <w:rPr>
                <w:rFonts w:hint="default" w:ascii="Calibri" w:hAnsi="Calibri" w:eastAsia="宋体" w:cs="Calibri"/>
                <w:i w:val="0"/>
                <w:iCs w:val="0"/>
                <w:color w:val="000000"/>
                <w:kern w:val="0"/>
                <w:sz w:val="20"/>
                <w:szCs w:val="20"/>
                <w:u w:val="none"/>
                <w:lang w:val="en-US" w:eastAsia="zh-CN" w:bidi="ar"/>
              </w:rPr>
              <w:t>1+③</w:t>
            </w:r>
            <w:r>
              <w:rPr>
                <w:rFonts w:hint="eastAsia" w:ascii="宋体" w:hAnsi="宋体" w:eastAsia="宋体" w:cs="宋体"/>
                <w:i w:val="0"/>
                <w:iCs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54BA">
            <w:pPr>
              <w:jc w:val="center"/>
              <w:rPr>
                <w:rFonts w:hint="eastAsia" w:ascii="宋体" w:hAnsi="宋体" w:eastAsia="宋体" w:cs="宋体"/>
                <w:i w:val="0"/>
                <w:iCs w:val="0"/>
                <w:color w:val="000000"/>
                <w:sz w:val="20"/>
                <w:szCs w:val="20"/>
                <w:u w:val="none"/>
              </w:rPr>
            </w:pPr>
          </w:p>
        </w:tc>
      </w:tr>
      <w:tr w14:paraId="3471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A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0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外平开窗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B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1928.90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7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663.39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1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2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1445968.53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D4F2">
            <w:pPr>
              <w:rPr>
                <w:rFonts w:hint="eastAsia" w:ascii="宋体" w:hAnsi="宋体" w:eastAsia="宋体" w:cs="宋体"/>
                <w:i w:val="0"/>
                <w:iCs w:val="0"/>
                <w:color w:val="000000"/>
                <w:sz w:val="20"/>
                <w:szCs w:val="20"/>
                <w:u w:val="none"/>
              </w:rPr>
            </w:pPr>
          </w:p>
        </w:tc>
      </w:tr>
      <w:tr w14:paraId="07B4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3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9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D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272.46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8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527.20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7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E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162314.97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6DBE">
            <w:pPr>
              <w:rPr>
                <w:rFonts w:hint="eastAsia" w:ascii="宋体" w:hAnsi="宋体" w:eastAsia="宋体" w:cs="宋体"/>
                <w:i w:val="0"/>
                <w:iCs w:val="0"/>
                <w:color w:val="000000"/>
                <w:sz w:val="20"/>
                <w:szCs w:val="20"/>
                <w:u w:val="none"/>
              </w:rPr>
            </w:pPr>
          </w:p>
        </w:tc>
      </w:tr>
      <w:tr w14:paraId="5D647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8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5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6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47.04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D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735.75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A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39108.79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E4E8">
            <w:pPr>
              <w:rPr>
                <w:rFonts w:hint="eastAsia" w:ascii="宋体" w:hAnsi="宋体" w:eastAsia="宋体" w:cs="宋体"/>
                <w:i w:val="0"/>
                <w:iCs w:val="0"/>
                <w:color w:val="000000"/>
                <w:sz w:val="20"/>
                <w:szCs w:val="20"/>
                <w:u w:val="none"/>
              </w:rPr>
            </w:pPr>
          </w:p>
        </w:tc>
      </w:tr>
      <w:tr w14:paraId="5EA1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D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4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门联窗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2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259.20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0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642.19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5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3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188095.58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E4B2">
            <w:pPr>
              <w:rPr>
                <w:rFonts w:hint="eastAsia" w:ascii="宋体" w:hAnsi="宋体" w:eastAsia="宋体" w:cs="宋体"/>
                <w:i w:val="0"/>
                <w:iCs w:val="0"/>
                <w:color w:val="000000"/>
                <w:sz w:val="20"/>
                <w:szCs w:val="20"/>
                <w:u w:val="none"/>
              </w:rPr>
            </w:pPr>
          </w:p>
        </w:tc>
      </w:tr>
      <w:tr w14:paraId="34E4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E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D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幕墙窗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2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2824.13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D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1154.73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7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1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3685056.14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65AF">
            <w:pPr>
              <w:rPr>
                <w:rFonts w:hint="eastAsia" w:ascii="宋体" w:hAnsi="宋体" w:eastAsia="宋体" w:cs="宋体"/>
                <w:i w:val="0"/>
                <w:iCs w:val="0"/>
                <w:color w:val="000000"/>
                <w:sz w:val="20"/>
                <w:szCs w:val="20"/>
                <w:u w:val="none"/>
              </w:rPr>
            </w:pPr>
          </w:p>
        </w:tc>
      </w:tr>
      <w:tr w14:paraId="714B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8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6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A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17.88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7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265.59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F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F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5366.09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851B">
            <w:pPr>
              <w:rPr>
                <w:rFonts w:hint="eastAsia" w:ascii="宋体" w:hAnsi="宋体" w:eastAsia="宋体" w:cs="宋体"/>
                <w:i w:val="0"/>
                <w:iCs w:val="0"/>
                <w:color w:val="000000"/>
                <w:sz w:val="20"/>
                <w:szCs w:val="20"/>
                <w:u w:val="none"/>
              </w:rPr>
            </w:pPr>
          </w:p>
        </w:tc>
      </w:tr>
      <w:tr w14:paraId="021C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8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7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上悬窗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B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123.12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F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788.47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6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1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109696.34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E701">
            <w:pPr>
              <w:rPr>
                <w:rFonts w:hint="eastAsia" w:ascii="宋体" w:hAnsi="宋体" w:eastAsia="宋体" w:cs="宋体"/>
                <w:i w:val="0"/>
                <w:iCs w:val="0"/>
                <w:color w:val="000000"/>
                <w:sz w:val="20"/>
                <w:szCs w:val="20"/>
                <w:u w:val="none"/>
              </w:rPr>
            </w:pPr>
          </w:p>
        </w:tc>
      </w:tr>
      <w:tr w14:paraId="3F87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8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9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推拉窗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1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50.86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E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569.81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3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8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32747.77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A982">
            <w:pPr>
              <w:rPr>
                <w:rFonts w:hint="eastAsia" w:ascii="宋体" w:hAnsi="宋体" w:eastAsia="宋体" w:cs="宋体"/>
                <w:i w:val="0"/>
                <w:iCs w:val="0"/>
                <w:color w:val="000000"/>
                <w:sz w:val="20"/>
                <w:szCs w:val="20"/>
                <w:u w:val="none"/>
              </w:rPr>
            </w:pPr>
          </w:p>
        </w:tc>
      </w:tr>
      <w:tr w14:paraId="3C33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3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C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推拉门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4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158.76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2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596.44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1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2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107000.80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F017">
            <w:pPr>
              <w:rPr>
                <w:rFonts w:hint="eastAsia" w:ascii="宋体" w:hAnsi="宋体" w:eastAsia="宋体" w:cs="宋体"/>
                <w:i w:val="0"/>
                <w:iCs w:val="0"/>
                <w:color w:val="000000"/>
                <w:sz w:val="20"/>
                <w:szCs w:val="20"/>
                <w:u w:val="none"/>
              </w:rPr>
            </w:pPr>
          </w:p>
        </w:tc>
      </w:tr>
      <w:tr w14:paraId="0D1D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5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7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采光井</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B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356.84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2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1845.95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E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0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744340.00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C3AC">
            <w:pPr>
              <w:rPr>
                <w:rFonts w:hint="eastAsia" w:ascii="宋体" w:hAnsi="宋体" w:eastAsia="宋体" w:cs="宋体"/>
                <w:i w:val="0"/>
                <w:iCs w:val="0"/>
                <w:color w:val="000000"/>
                <w:sz w:val="20"/>
                <w:szCs w:val="20"/>
                <w:u w:val="none"/>
              </w:rPr>
            </w:pPr>
          </w:p>
        </w:tc>
      </w:tr>
      <w:tr w14:paraId="3DBF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DD776D3">
            <w:pPr>
              <w:jc w:val="center"/>
              <w:rPr>
                <w:rFonts w:hint="eastAsia" w:ascii="宋体" w:hAnsi="宋体" w:eastAsia="宋体" w:cs="宋体"/>
                <w:i w:val="0"/>
                <w:iCs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7B11A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380"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27117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6039.19 </w:t>
            </w:r>
          </w:p>
        </w:tc>
        <w:tc>
          <w:tcPr>
            <w:tcW w:w="170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4067D46C">
            <w:pPr>
              <w:jc w:val="center"/>
              <w:rPr>
                <w:rFonts w:hint="eastAsia" w:ascii="宋体" w:hAnsi="宋体" w:eastAsia="宋体" w:cs="宋体"/>
                <w:i w:val="0"/>
                <w:iCs w:val="0"/>
                <w:color w:val="000000"/>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54BCE1F4">
            <w:pPr>
              <w:jc w:val="center"/>
              <w:rPr>
                <w:rFonts w:hint="eastAsia" w:ascii="宋体" w:hAnsi="宋体" w:eastAsia="宋体" w:cs="宋体"/>
                <w:i w:val="0"/>
                <w:iCs w:val="0"/>
                <w:color w:val="000000"/>
                <w:sz w:val="20"/>
                <w:szCs w:val="20"/>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30744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6519695.01 </w:t>
            </w:r>
          </w:p>
        </w:tc>
        <w:tc>
          <w:tcPr>
            <w:tcW w:w="1380"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4EFEB33">
            <w:pPr>
              <w:rPr>
                <w:rFonts w:hint="eastAsia" w:ascii="宋体" w:hAnsi="宋体" w:eastAsia="宋体" w:cs="宋体"/>
                <w:i w:val="0"/>
                <w:iCs w:val="0"/>
                <w:color w:val="000000"/>
                <w:sz w:val="20"/>
                <w:szCs w:val="20"/>
                <w:u w:val="none"/>
              </w:rPr>
            </w:pPr>
          </w:p>
        </w:tc>
      </w:tr>
      <w:tr w14:paraId="6409E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00AD2D56">
            <w:pPr>
              <w:jc w:val="center"/>
              <w:rPr>
                <w:rFonts w:hint="eastAsia" w:ascii="宋体" w:hAnsi="宋体" w:eastAsia="宋体" w:cs="宋体"/>
                <w:i w:val="0"/>
                <w:iCs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1741C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毛口安装费率</w:t>
            </w:r>
          </w:p>
        </w:tc>
        <w:tc>
          <w:tcPr>
            <w:tcW w:w="1380"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52A1D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6039.19 </w:t>
            </w:r>
          </w:p>
        </w:tc>
        <w:tc>
          <w:tcPr>
            <w:tcW w:w="170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1C11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16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4036C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2028"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39FA2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81891.37 </w:t>
            </w:r>
          </w:p>
        </w:tc>
        <w:tc>
          <w:tcPr>
            <w:tcW w:w="1380"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343BB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不计入总价，据实结算</w:t>
            </w:r>
          </w:p>
        </w:tc>
      </w:tr>
    </w:tbl>
    <w:p w14:paraId="2E35699E">
      <w:pPr>
        <w:pStyle w:val="25"/>
        <w:rPr>
          <w:rFonts w:hint="eastAsia" w:asciiTheme="minorEastAsia" w:hAnsiTheme="minorEastAsia" w:eastAsiaTheme="minorEastAsia" w:cstheme="minorEastAsia"/>
          <w:color w:val="auto"/>
          <w:highlight w:val="none"/>
        </w:rPr>
      </w:pPr>
    </w:p>
    <w:p w14:paraId="43D68103">
      <w:pPr>
        <w:pStyle w:val="2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综合单价分析表另附</w:t>
      </w:r>
    </w:p>
    <w:sectPr>
      <w:headerReference r:id="rId5" w:type="default"/>
      <w:footerReference r:id="rId6" w:type="default"/>
      <w:pgSz w:w="11906" w:h="16838"/>
      <w:pgMar w:top="1440" w:right="1046" w:bottom="1440" w:left="9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s.h" w:date="2024-07-31T16:46:13Z" w:initials="">
    <w:p w14:paraId="697988F4">
      <w:pPr>
        <w:pStyle w:val="6"/>
        <w:rPr>
          <w:rFonts w:hint="default" w:eastAsiaTheme="minorEastAsia"/>
          <w:lang w:val="en-US" w:eastAsia="zh-CN"/>
        </w:rPr>
      </w:pPr>
      <w:r>
        <w:rPr>
          <w:rFonts w:hint="eastAsia"/>
          <w:lang w:val="en-US" w:eastAsia="zh-CN"/>
        </w:rPr>
        <w:t>提示：需在90个工作日内审查完毕。</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7988F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AB4FE">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B858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3DB858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794B4">
    <w:pPr>
      <w:pStyle w:val="16"/>
      <w:jc w:val="left"/>
    </w:pPr>
    <w:r>
      <w:drawing>
        <wp:inline distT="0" distB="0" distL="114300" distR="114300">
          <wp:extent cx="1019175" cy="314325"/>
          <wp:effectExtent l="0" t="0" r="1905" b="5715"/>
          <wp:docPr id="12" name="图片 1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2"/>
      <w:lvlText w:val="%1."/>
      <w:lvlJc w:val="left"/>
      <w:pPr>
        <w:tabs>
          <w:tab w:val="left" w:pos="0"/>
        </w:tabs>
        <w:ind w:left="425" w:hanging="425"/>
      </w:pPr>
      <w:rPr>
        <w:rFonts w:cs="Times New Roman"/>
      </w:rPr>
    </w:lvl>
    <w:lvl w:ilvl="1" w:tentative="0">
      <w:start w:val="1"/>
      <w:numFmt w:val="decimal"/>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C05B2209"/>
    <w:multiLevelType w:val="singleLevel"/>
    <w:tmpl w:val="C05B2209"/>
    <w:lvl w:ilvl="0" w:tentative="0">
      <w:start w:val="1"/>
      <w:numFmt w:val="decimal"/>
      <w:suff w:val="nothing"/>
      <w:lvlText w:val="%1、"/>
      <w:lvlJc w:val="left"/>
    </w:lvl>
  </w:abstractNum>
  <w:abstractNum w:abstractNumId="2">
    <w:nsid w:val="D25F2D5A"/>
    <w:multiLevelType w:val="multilevel"/>
    <w:tmpl w:val="D25F2D5A"/>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1146" w:hanging="720"/>
      </w:pPr>
      <w:rPr>
        <w:rFonts w:hint="default" w:asciiTheme="minorHAnsi" w:hAnsiTheme="minorHAnsi" w:cstheme="minorHAnsi"/>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E1CE0B74"/>
    <w:multiLevelType w:val="singleLevel"/>
    <w:tmpl w:val="E1CE0B74"/>
    <w:lvl w:ilvl="0" w:tentative="0">
      <w:start w:val="1"/>
      <w:numFmt w:val="upperLetter"/>
      <w:suff w:val="nothing"/>
      <w:lvlText w:val="%1、"/>
      <w:lvlJc w:val="left"/>
    </w:lvl>
  </w:abstractNum>
  <w:abstractNum w:abstractNumId="4">
    <w:nsid w:val="EDE955CD"/>
    <w:multiLevelType w:val="singleLevel"/>
    <w:tmpl w:val="EDE955CD"/>
    <w:lvl w:ilvl="0" w:tentative="0">
      <w:start w:val="2"/>
      <w:numFmt w:val="chineseCounting"/>
      <w:suff w:val="nothing"/>
      <w:lvlText w:val="%1、"/>
      <w:lvlJc w:val="left"/>
      <w:rPr>
        <w:rFonts w:hint="eastAsia"/>
      </w:rPr>
    </w:lvl>
  </w:abstractNum>
  <w:abstractNum w:abstractNumId="5">
    <w:nsid w:val="260A7880"/>
    <w:multiLevelType w:val="singleLevel"/>
    <w:tmpl w:val="260A7880"/>
    <w:lvl w:ilvl="0" w:tentative="0">
      <w:start w:val="1"/>
      <w:numFmt w:val="decimal"/>
      <w:lvlText w:val="(%1)"/>
      <w:lvlJc w:val="left"/>
      <w:pPr>
        <w:ind w:left="425" w:hanging="425"/>
      </w:pPr>
      <w:rPr>
        <w:rFonts w:hint="default"/>
      </w:rPr>
    </w:lvl>
  </w:abstractNum>
  <w:abstractNum w:abstractNumId="6">
    <w:nsid w:val="56606743"/>
    <w:multiLevelType w:val="singleLevel"/>
    <w:tmpl w:val="56606743"/>
    <w:lvl w:ilvl="0" w:tentative="0">
      <w:start w:val="51"/>
      <w:numFmt w:val="decimal"/>
      <w:suff w:val="nothing"/>
      <w:lvlText w:val="%1、"/>
      <w:lvlJc w:val="left"/>
    </w:lvl>
  </w:abstractNum>
  <w:abstractNum w:abstractNumId="7">
    <w:nsid w:val="7A69E931"/>
    <w:multiLevelType w:val="singleLevel"/>
    <w:tmpl w:val="7A69E931"/>
    <w:lvl w:ilvl="0" w:tentative="0">
      <w:start w:val="1"/>
      <w:numFmt w:val="chineseCounting"/>
      <w:suff w:val="nothing"/>
      <w:lvlText w:val="%1、"/>
      <w:lvlJc w:val="left"/>
      <w:rPr>
        <w:rFonts w:hint="eastAsia"/>
      </w:rPr>
    </w:lvl>
  </w:abstractNum>
  <w:num w:numId="1">
    <w:abstractNumId w:val="0"/>
  </w:num>
  <w:num w:numId="2">
    <w:abstractNumId w:val="2"/>
  </w:num>
  <w:num w:numId="3">
    <w:abstractNumId w:val="7"/>
  </w:num>
  <w:num w:numId="4">
    <w:abstractNumId w:val="4"/>
  </w:num>
  <w:num w:numId="5">
    <w:abstractNumId w:val="3"/>
  </w:num>
  <w:num w:numId="6">
    <w:abstractNumId w:val="1"/>
  </w:num>
  <w:num w:numId="7">
    <w:abstractNumId w:val="5"/>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s.h">
    <w15:presenceInfo w15:providerId="WPS Office" w15:userId="2491322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M2Q4Mjc5MTYxNmE3NGQxZTE5NzkxMzE3NDhiMzYifQ=="/>
  </w:docVars>
  <w:rsids>
    <w:rsidRoot w:val="00D55644"/>
    <w:rsid w:val="00014FCE"/>
    <w:rsid w:val="000152C4"/>
    <w:rsid w:val="00021EBB"/>
    <w:rsid w:val="000759A8"/>
    <w:rsid w:val="0007685E"/>
    <w:rsid w:val="000850F3"/>
    <w:rsid w:val="000936D1"/>
    <w:rsid w:val="000965B6"/>
    <w:rsid w:val="000A6CE3"/>
    <w:rsid w:val="000B6281"/>
    <w:rsid w:val="000C289D"/>
    <w:rsid w:val="000D0D38"/>
    <w:rsid w:val="000E0DD2"/>
    <w:rsid w:val="000E190A"/>
    <w:rsid w:val="000E22DB"/>
    <w:rsid w:val="000E5738"/>
    <w:rsid w:val="00113931"/>
    <w:rsid w:val="0013184E"/>
    <w:rsid w:val="001372E8"/>
    <w:rsid w:val="001450FD"/>
    <w:rsid w:val="00156CEC"/>
    <w:rsid w:val="00183A90"/>
    <w:rsid w:val="0019100E"/>
    <w:rsid w:val="001A3982"/>
    <w:rsid w:val="001A5F2B"/>
    <w:rsid w:val="001F2AA2"/>
    <w:rsid w:val="001F7F7E"/>
    <w:rsid w:val="00213929"/>
    <w:rsid w:val="00217094"/>
    <w:rsid w:val="00221F78"/>
    <w:rsid w:val="00256312"/>
    <w:rsid w:val="0028363A"/>
    <w:rsid w:val="00285085"/>
    <w:rsid w:val="002A2041"/>
    <w:rsid w:val="002A400E"/>
    <w:rsid w:val="002C4ECE"/>
    <w:rsid w:val="002E45F0"/>
    <w:rsid w:val="00382093"/>
    <w:rsid w:val="003944AB"/>
    <w:rsid w:val="003C5AD7"/>
    <w:rsid w:val="003C5BE6"/>
    <w:rsid w:val="003D0404"/>
    <w:rsid w:val="003F560B"/>
    <w:rsid w:val="003F7B1E"/>
    <w:rsid w:val="00400BB0"/>
    <w:rsid w:val="00416FB1"/>
    <w:rsid w:val="0043561D"/>
    <w:rsid w:val="004513A4"/>
    <w:rsid w:val="00463720"/>
    <w:rsid w:val="004824E4"/>
    <w:rsid w:val="00493931"/>
    <w:rsid w:val="0049413B"/>
    <w:rsid w:val="00495EB3"/>
    <w:rsid w:val="004B3ADA"/>
    <w:rsid w:val="004F7729"/>
    <w:rsid w:val="00536DC6"/>
    <w:rsid w:val="00574D38"/>
    <w:rsid w:val="005929A8"/>
    <w:rsid w:val="00596564"/>
    <w:rsid w:val="005966E9"/>
    <w:rsid w:val="005A7CE0"/>
    <w:rsid w:val="005B14D4"/>
    <w:rsid w:val="005C78AD"/>
    <w:rsid w:val="005D3325"/>
    <w:rsid w:val="005E784B"/>
    <w:rsid w:val="006341F1"/>
    <w:rsid w:val="00641E35"/>
    <w:rsid w:val="00652CD8"/>
    <w:rsid w:val="00675BA4"/>
    <w:rsid w:val="00692C3E"/>
    <w:rsid w:val="006A0729"/>
    <w:rsid w:val="006C01DA"/>
    <w:rsid w:val="006D4F53"/>
    <w:rsid w:val="00725812"/>
    <w:rsid w:val="0075030C"/>
    <w:rsid w:val="007701E5"/>
    <w:rsid w:val="007A7E85"/>
    <w:rsid w:val="007D47C9"/>
    <w:rsid w:val="0081319F"/>
    <w:rsid w:val="0081521E"/>
    <w:rsid w:val="00815C5D"/>
    <w:rsid w:val="00824E7A"/>
    <w:rsid w:val="00874BC8"/>
    <w:rsid w:val="008A23E9"/>
    <w:rsid w:val="008B151A"/>
    <w:rsid w:val="008B2B94"/>
    <w:rsid w:val="008C3327"/>
    <w:rsid w:val="008D3B2E"/>
    <w:rsid w:val="008E646D"/>
    <w:rsid w:val="008E64EF"/>
    <w:rsid w:val="008F2A2E"/>
    <w:rsid w:val="00900776"/>
    <w:rsid w:val="009269A2"/>
    <w:rsid w:val="00930024"/>
    <w:rsid w:val="00932760"/>
    <w:rsid w:val="00956D7E"/>
    <w:rsid w:val="009B2B84"/>
    <w:rsid w:val="009B3227"/>
    <w:rsid w:val="009B3873"/>
    <w:rsid w:val="009D68BF"/>
    <w:rsid w:val="009D7C9B"/>
    <w:rsid w:val="009F2058"/>
    <w:rsid w:val="00A00289"/>
    <w:rsid w:val="00A0086D"/>
    <w:rsid w:val="00A14218"/>
    <w:rsid w:val="00A220F2"/>
    <w:rsid w:val="00A31FD8"/>
    <w:rsid w:val="00A67D58"/>
    <w:rsid w:val="00A846E4"/>
    <w:rsid w:val="00AB2DB5"/>
    <w:rsid w:val="00AB35C0"/>
    <w:rsid w:val="00AB6483"/>
    <w:rsid w:val="00AC0E92"/>
    <w:rsid w:val="00AC268C"/>
    <w:rsid w:val="00AC2B1E"/>
    <w:rsid w:val="00AC3D49"/>
    <w:rsid w:val="00B1291A"/>
    <w:rsid w:val="00B17A04"/>
    <w:rsid w:val="00B41283"/>
    <w:rsid w:val="00B64332"/>
    <w:rsid w:val="00B701B7"/>
    <w:rsid w:val="00BD1F62"/>
    <w:rsid w:val="00BE0674"/>
    <w:rsid w:val="00C104E0"/>
    <w:rsid w:val="00C1520D"/>
    <w:rsid w:val="00C314AC"/>
    <w:rsid w:val="00C32075"/>
    <w:rsid w:val="00C34DAD"/>
    <w:rsid w:val="00CA7EEA"/>
    <w:rsid w:val="00CC073F"/>
    <w:rsid w:val="00CC1847"/>
    <w:rsid w:val="00CC1C67"/>
    <w:rsid w:val="00CD25D7"/>
    <w:rsid w:val="00CE088B"/>
    <w:rsid w:val="00CF207A"/>
    <w:rsid w:val="00D06555"/>
    <w:rsid w:val="00D15319"/>
    <w:rsid w:val="00D17F76"/>
    <w:rsid w:val="00D26394"/>
    <w:rsid w:val="00D32249"/>
    <w:rsid w:val="00D32AF0"/>
    <w:rsid w:val="00D51668"/>
    <w:rsid w:val="00D55644"/>
    <w:rsid w:val="00D77945"/>
    <w:rsid w:val="00D8572D"/>
    <w:rsid w:val="00DA1EC5"/>
    <w:rsid w:val="00DD5F21"/>
    <w:rsid w:val="00DD6463"/>
    <w:rsid w:val="00E019B7"/>
    <w:rsid w:val="00E336C4"/>
    <w:rsid w:val="00E42B49"/>
    <w:rsid w:val="00E63EE3"/>
    <w:rsid w:val="00EC4D34"/>
    <w:rsid w:val="00EE29E0"/>
    <w:rsid w:val="00EE6C52"/>
    <w:rsid w:val="00F15959"/>
    <w:rsid w:val="00F26376"/>
    <w:rsid w:val="00F63CA5"/>
    <w:rsid w:val="00F82FA0"/>
    <w:rsid w:val="00F911F9"/>
    <w:rsid w:val="00F952CD"/>
    <w:rsid w:val="00FA3CB5"/>
    <w:rsid w:val="00FB1CE6"/>
    <w:rsid w:val="00FF4804"/>
    <w:rsid w:val="01003A81"/>
    <w:rsid w:val="010D7DD7"/>
    <w:rsid w:val="01390BCC"/>
    <w:rsid w:val="014F219D"/>
    <w:rsid w:val="016C2D4F"/>
    <w:rsid w:val="017D31AE"/>
    <w:rsid w:val="01A7647D"/>
    <w:rsid w:val="01AE3368"/>
    <w:rsid w:val="01C74593"/>
    <w:rsid w:val="024141DC"/>
    <w:rsid w:val="02684FAF"/>
    <w:rsid w:val="02685C9F"/>
    <w:rsid w:val="028265A2"/>
    <w:rsid w:val="02AB78A7"/>
    <w:rsid w:val="02E96621"/>
    <w:rsid w:val="03004097"/>
    <w:rsid w:val="03351867"/>
    <w:rsid w:val="03604B36"/>
    <w:rsid w:val="03653EFA"/>
    <w:rsid w:val="038325D2"/>
    <w:rsid w:val="03992022"/>
    <w:rsid w:val="03D177E1"/>
    <w:rsid w:val="03FD4132"/>
    <w:rsid w:val="04245B63"/>
    <w:rsid w:val="046764B4"/>
    <w:rsid w:val="046C12B8"/>
    <w:rsid w:val="047563BF"/>
    <w:rsid w:val="048605CC"/>
    <w:rsid w:val="048B2436"/>
    <w:rsid w:val="048B3E34"/>
    <w:rsid w:val="04995C4B"/>
    <w:rsid w:val="04AD3DAA"/>
    <w:rsid w:val="04BA64C7"/>
    <w:rsid w:val="04D70A40"/>
    <w:rsid w:val="04D83E27"/>
    <w:rsid w:val="04FA2D68"/>
    <w:rsid w:val="050B287F"/>
    <w:rsid w:val="052E59C2"/>
    <w:rsid w:val="053C512E"/>
    <w:rsid w:val="055406CA"/>
    <w:rsid w:val="055661F0"/>
    <w:rsid w:val="05634469"/>
    <w:rsid w:val="05650DC8"/>
    <w:rsid w:val="05917228"/>
    <w:rsid w:val="0620235A"/>
    <w:rsid w:val="06214B16"/>
    <w:rsid w:val="062A4F87"/>
    <w:rsid w:val="062F07EF"/>
    <w:rsid w:val="06354170"/>
    <w:rsid w:val="06824DC3"/>
    <w:rsid w:val="069177AE"/>
    <w:rsid w:val="06B31420"/>
    <w:rsid w:val="06B52507"/>
    <w:rsid w:val="06F23CF7"/>
    <w:rsid w:val="07013F3A"/>
    <w:rsid w:val="07155C37"/>
    <w:rsid w:val="071C6FC5"/>
    <w:rsid w:val="072F1F3F"/>
    <w:rsid w:val="073360BD"/>
    <w:rsid w:val="075E75DE"/>
    <w:rsid w:val="07691ADF"/>
    <w:rsid w:val="07724E37"/>
    <w:rsid w:val="0777244E"/>
    <w:rsid w:val="078B7CA7"/>
    <w:rsid w:val="07A174CB"/>
    <w:rsid w:val="07AA637F"/>
    <w:rsid w:val="07B62D5A"/>
    <w:rsid w:val="07B70A9C"/>
    <w:rsid w:val="07F167FB"/>
    <w:rsid w:val="08002443"/>
    <w:rsid w:val="082D0D5E"/>
    <w:rsid w:val="08316AA1"/>
    <w:rsid w:val="085E53BC"/>
    <w:rsid w:val="086C1887"/>
    <w:rsid w:val="08892439"/>
    <w:rsid w:val="08A234FA"/>
    <w:rsid w:val="08AA23AF"/>
    <w:rsid w:val="08BA0844"/>
    <w:rsid w:val="08BD20E2"/>
    <w:rsid w:val="08DF64FD"/>
    <w:rsid w:val="08FD2E27"/>
    <w:rsid w:val="09216B15"/>
    <w:rsid w:val="09273A00"/>
    <w:rsid w:val="092C7268"/>
    <w:rsid w:val="094620D8"/>
    <w:rsid w:val="0972111F"/>
    <w:rsid w:val="09931095"/>
    <w:rsid w:val="09AD4E6C"/>
    <w:rsid w:val="09AF4121"/>
    <w:rsid w:val="09C37BCC"/>
    <w:rsid w:val="09DB3168"/>
    <w:rsid w:val="09E0252C"/>
    <w:rsid w:val="09F2400E"/>
    <w:rsid w:val="0A0855DF"/>
    <w:rsid w:val="0A2166A1"/>
    <w:rsid w:val="0A27015B"/>
    <w:rsid w:val="0A402FCB"/>
    <w:rsid w:val="0A4D7372"/>
    <w:rsid w:val="0A5D198A"/>
    <w:rsid w:val="0A771BD9"/>
    <w:rsid w:val="0A9B28F7"/>
    <w:rsid w:val="0ACA6D38"/>
    <w:rsid w:val="0AD53F6E"/>
    <w:rsid w:val="0ADF0A36"/>
    <w:rsid w:val="0AEA6E8B"/>
    <w:rsid w:val="0B1F52D6"/>
    <w:rsid w:val="0B424B21"/>
    <w:rsid w:val="0B6012A9"/>
    <w:rsid w:val="0BB21A6F"/>
    <w:rsid w:val="0BBA0B5B"/>
    <w:rsid w:val="0C50326D"/>
    <w:rsid w:val="0CC003F3"/>
    <w:rsid w:val="0CE045F1"/>
    <w:rsid w:val="0CF06F2A"/>
    <w:rsid w:val="0D0F4ED6"/>
    <w:rsid w:val="0D38267F"/>
    <w:rsid w:val="0D3B3F1D"/>
    <w:rsid w:val="0D533015"/>
    <w:rsid w:val="0D5C223D"/>
    <w:rsid w:val="0D5E1416"/>
    <w:rsid w:val="0D927FE1"/>
    <w:rsid w:val="0DA41AC3"/>
    <w:rsid w:val="0DA43871"/>
    <w:rsid w:val="0DBA3094"/>
    <w:rsid w:val="0DCA1D02"/>
    <w:rsid w:val="0DD10D61"/>
    <w:rsid w:val="0DE256DD"/>
    <w:rsid w:val="0DF76096"/>
    <w:rsid w:val="0E100F06"/>
    <w:rsid w:val="0E323572"/>
    <w:rsid w:val="0E3F3599"/>
    <w:rsid w:val="0E6B48AB"/>
    <w:rsid w:val="0E792F4F"/>
    <w:rsid w:val="0E7C47EE"/>
    <w:rsid w:val="0ECA5559"/>
    <w:rsid w:val="0EFB5712"/>
    <w:rsid w:val="0F087E2F"/>
    <w:rsid w:val="0F735BF1"/>
    <w:rsid w:val="0F955B67"/>
    <w:rsid w:val="0F9C0640"/>
    <w:rsid w:val="101C3B92"/>
    <w:rsid w:val="101D790A"/>
    <w:rsid w:val="1020182F"/>
    <w:rsid w:val="10463305"/>
    <w:rsid w:val="10685029"/>
    <w:rsid w:val="10833C11"/>
    <w:rsid w:val="10AA73F0"/>
    <w:rsid w:val="10B14C22"/>
    <w:rsid w:val="10CD30DE"/>
    <w:rsid w:val="10E723F2"/>
    <w:rsid w:val="10F60887"/>
    <w:rsid w:val="10FE598E"/>
    <w:rsid w:val="110F7B9B"/>
    <w:rsid w:val="112076B2"/>
    <w:rsid w:val="112C6057"/>
    <w:rsid w:val="11627CCB"/>
    <w:rsid w:val="119F4A7B"/>
    <w:rsid w:val="11B619F3"/>
    <w:rsid w:val="11D6068D"/>
    <w:rsid w:val="11E55D86"/>
    <w:rsid w:val="11FE2376"/>
    <w:rsid w:val="122D2087"/>
    <w:rsid w:val="123C676E"/>
    <w:rsid w:val="12486EC1"/>
    <w:rsid w:val="12492C39"/>
    <w:rsid w:val="127E0B34"/>
    <w:rsid w:val="128123D2"/>
    <w:rsid w:val="129B7938"/>
    <w:rsid w:val="129E2F84"/>
    <w:rsid w:val="12B26A30"/>
    <w:rsid w:val="12BE3627"/>
    <w:rsid w:val="12C80001"/>
    <w:rsid w:val="12E34E3B"/>
    <w:rsid w:val="1319085D"/>
    <w:rsid w:val="13370CE3"/>
    <w:rsid w:val="135D699C"/>
    <w:rsid w:val="1379754E"/>
    <w:rsid w:val="137F2DB6"/>
    <w:rsid w:val="13855EF2"/>
    <w:rsid w:val="13A46379"/>
    <w:rsid w:val="13AF4D1D"/>
    <w:rsid w:val="13B32A60"/>
    <w:rsid w:val="13BD38DE"/>
    <w:rsid w:val="13BF7656"/>
    <w:rsid w:val="13C06988"/>
    <w:rsid w:val="13C94031"/>
    <w:rsid w:val="13DA4490"/>
    <w:rsid w:val="13EE3A98"/>
    <w:rsid w:val="13F15336"/>
    <w:rsid w:val="13FC61B5"/>
    <w:rsid w:val="1444190A"/>
    <w:rsid w:val="14E07884"/>
    <w:rsid w:val="14F5429E"/>
    <w:rsid w:val="14F55806"/>
    <w:rsid w:val="151412DC"/>
    <w:rsid w:val="1542409B"/>
    <w:rsid w:val="156264EB"/>
    <w:rsid w:val="15657D89"/>
    <w:rsid w:val="156F6E5A"/>
    <w:rsid w:val="158278D5"/>
    <w:rsid w:val="158E5532"/>
    <w:rsid w:val="15920414"/>
    <w:rsid w:val="159643E7"/>
    <w:rsid w:val="15D62A35"/>
    <w:rsid w:val="15DD5B72"/>
    <w:rsid w:val="16421E79"/>
    <w:rsid w:val="165A18B8"/>
    <w:rsid w:val="16730284"/>
    <w:rsid w:val="16794BA7"/>
    <w:rsid w:val="169326D4"/>
    <w:rsid w:val="169E79F7"/>
    <w:rsid w:val="16B234A2"/>
    <w:rsid w:val="16CF5E02"/>
    <w:rsid w:val="170830C2"/>
    <w:rsid w:val="17141A67"/>
    <w:rsid w:val="172C5003"/>
    <w:rsid w:val="17435EA8"/>
    <w:rsid w:val="17800EAB"/>
    <w:rsid w:val="17CC40F0"/>
    <w:rsid w:val="17F0031B"/>
    <w:rsid w:val="17F92A0B"/>
    <w:rsid w:val="17FD074D"/>
    <w:rsid w:val="181066D2"/>
    <w:rsid w:val="183C74C7"/>
    <w:rsid w:val="183D7568"/>
    <w:rsid w:val="18414ADE"/>
    <w:rsid w:val="18420856"/>
    <w:rsid w:val="18455C50"/>
    <w:rsid w:val="185365BF"/>
    <w:rsid w:val="186C7681"/>
    <w:rsid w:val="186D58D3"/>
    <w:rsid w:val="187A1D9E"/>
    <w:rsid w:val="188F52B4"/>
    <w:rsid w:val="189B3AC2"/>
    <w:rsid w:val="18A94431"/>
    <w:rsid w:val="18B75470"/>
    <w:rsid w:val="18C4126B"/>
    <w:rsid w:val="18D166ED"/>
    <w:rsid w:val="19001505"/>
    <w:rsid w:val="19622F5E"/>
    <w:rsid w:val="19A84F53"/>
    <w:rsid w:val="19C21C4E"/>
    <w:rsid w:val="19C2727C"/>
    <w:rsid w:val="19F85670"/>
    <w:rsid w:val="19FB2A6A"/>
    <w:rsid w:val="1A0D2EF1"/>
    <w:rsid w:val="1A1B4EBB"/>
    <w:rsid w:val="1A352420"/>
    <w:rsid w:val="1A4563DB"/>
    <w:rsid w:val="1A4679FD"/>
    <w:rsid w:val="1A66082C"/>
    <w:rsid w:val="1A710F7F"/>
    <w:rsid w:val="1A7840BB"/>
    <w:rsid w:val="1AC75042"/>
    <w:rsid w:val="1ACB4B33"/>
    <w:rsid w:val="1AE9320B"/>
    <w:rsid w:val="1AF47622"/>
    <w:rsid w:val="1AFE6CB6"/>
    <w:rsid w:val="1B0B3181"/>
    <w:rsid w:val="1B100797"/>
    <w:rsid w:val="1B102545"/>
    <w:rsid w:val="1B132036"/>
    <w:rsid w:val="1B1B3DEC"/>
    <w:rsid w:val="1B7C3F49"/>
    <w:rsid w:val="1B7E7DF7"/>
    <w:rsid w:val="1B803B6F"/>
    <w:rsid w:val="1B811695"/>
    <w:rsid w:val="1B8A22F8"/>
    <w:rsid w:val="1B9A62B3"/>
    <w:rsid w:val="1B9B2757"/>
    <w:rsid w:val="1BAA0BEC"/>
    <w:rsid w:val="1BB6133F"/>
    <w:rsid w:val="1BC021BE"/>
    <w:rsid w:val="1BE340FE"/>
    <w:rsid w:val="1BEA723A"/>
    <w:rsid w:val="1BFB1448"/>
    <w:rsid w:val="1C006A5E"/>
    <w:rsid w:val="1C1918CE"/>
    <w:rsid w:val="1C6B037B"/>
    <w:rsid w:val="1C6E1C1A"/>
    <w:rsid w:val="1C7F5BD5"/>
    <w:rsid w:val="1CAE2016"/>
    <w:rsid w:val="1CD51C99"/>
    <w:rsid w:val="1CFD4D4B"/>
    <w:rsid w:val="1D046B96"/>
    <w:rsid w:val="1D3A5FA0"/>
    <w:rsid w:val="1D48246B"/>
    <w:rsid w:val="1D4D5CD3"/>
    <w:rsid w:val="1DCD0BC2"/>
    <w:rsid w:val="1DD650DD"/>
    <w:rsid w:val="1DE026A3"/>
    <w:rsid w:val="1DE101C9"/>
    <w:rsid w:val="1DE859FC"/>
    <w:rsid w:val="1E087E4C"/>
    <w:rsid w:val="1E162569"/>
    <w:rsid w:val="1E26259D"/>
    <w:rsid w:val="1E537319"/>
    <w:rsid w:val="1E601A36"/>
    <w:rsid w:val="1E731769"/>
    <w:rsid w:val="1E733517"/>
    <w:rsid w:val="1E8079E2"/>
    <w:rsid w:val="1E89798A"/>
    <w:rsid w:val="1E9A4F48"/>
    <w:rsid w:val="1EC10726"/>
    <w:rsid w:val="1ED41ADC"/>
    <w:rsid w:val="1ED55F80"/>
    <w:rsid w:val="1F274302"/>
    <w:rsid w:val="1F5275D0"/>
    <w:rsid w:val="1F5A0233"/>
    <w:rsid w:val="1F6A3FD3"/>
    <w:rsid w:val="1F7C464D"/>
    <w:rsid w:val="1F9E72B3"/>
    <w:rsid w:val="1F9F20EA"/>
    <w:rsid w:val="1FA31BDA"/>
    <w:rsid w:val="1FC41B50"/>
    <w:rsid w:val="1FD551F9"/>
    <w:rsid w:val="201A79C2"/>
    <w:rsid w:val="202F346E"/>
    <w:rsid w:val="20560F70"/>
    <w:rsid w:val="205D447F"/>
    <w:rsid w:val="205D622D"/>
    <w:rsid w:val="20604E4A"/>
    <w:rsid w:val="2079252D"/>
    <w:rsid w:val="20B9542D"/>
    <w:rsid w:val="20E56222"/>
    <w:rsid w:val="212B632B"/>
    <w:rsid w:val="212E4C50"/>
    <w:rsid w:val="214473ED"/>
    <w:rsid w:val="215238B8"/>
    <w:rsid w:val="215A09BE"/>
    <w:rsid w:val="21B300CF"/>
    <w:rsid w:val="21B87493"/>
    <w:rsid w:val="21D06ED2"/>
    <w:rsid w:val="21E14C3C"/>
    <w:rsid w:val="220426D8"/>
    <w:rsid w:val="224B0307"/>
    <w:rsid w:val="2252009D"/>
    <w:rsid w:val="227646C4"/>
    <w:rsid w:val="22857CBD"/>
    <w:rsid w:val="22AF4D3A"/>
    <w:rsid w:val="22CD6F6E"/>
    <w:rsid w:val="22D36C7A"/>
    <w:rsid w:val="22EA46ED"/>
    <w:rsid w:val="22FF7A6F"/>
    <w:rsid w:val="235B27CC"/>
    <w:rsid w:val="23A63D8D"/>
    <w:rsid w:val="23C465C3"/>
    <w:rsid w:val="23C95987"/>
    <w:rsid w:val="23CB7951"/>
    <w:rsid w:val="23D34A58"/>
    <w:rsid w:val="24051273"/>
    <w:rsid w:val="248D2E59"/>
    <w:rsid w:val="2492221D"/>
    <w:rsid w:val="249B37C8"/>
    <w:rsid w:val="24A73F1B"/>
    <w:rsid w:val="24CA19B7"/>
    <w:rsid w:val="24FE78B3"/>
    <w:rsid w:val="25201F1F"/>
    <w:rsid w:val="25302162"/>
    <w:rsid w:val="253908EB"/>
    <w:rsid w:val="254259F1"/>
    <w:rsid w:val="25657F57"/>
    <w:rsid w:val="257007B0"/>
    <w:rsid w:val="258129BE"/>
    <w:rsid w:val="258C1362"/>
    <w:rsid w:val="25C00B4C"/>
    <w:rsid w:val="25CB59E7"/>
    <w:rsid w:val="25D6438C"/>
    <w:rsid w:val="261F5D33"/>
    <w:rsid w:val="264E03C6"/>
    <w:rsid w:val="26633E71"/>
    <w:rsid w:val="2681079B"/>
    <w:rsid w:val="268663AC"/>
    <w:rsid w:val="26AF11FE"/>
    <w:rsid w:val="26BD5C77"/>
    <w:rsid w:val="26D134D1"/>
    <w:rsid w:val="26F251F5"/>
    <w:rsid w:val="270A0791"/>
    <w:rsid w:val="27361586"/>
    <w:rsid w:val="2757337E"/>
    <w:rsid w:val="2764323D"/>
    <w:rsid w:val="27865F67"/>
    <w:rsid w:val="2790529E"/>
    <w:rsid w:val="279B763B"/>
    <w:rsid w:val="27A44741"/>
    <w:rsid w:val="27A72484"/>
    <w:rsid w:val="27CE17BE"/>
    <w:rsid w:val="27D8088F"/>
    <w:rsid w:val="27DC0AE4"/>
    <w:rsid w:val="27EE1E60"/>
    <w:rsid w:val="27FA25B3"/>
    <w:rsid w:val="281318C7"/>
    <w:rsid w:val="28173165"/>
    <w:rsid w:val="28305FD5"/>
    <w:rsid w:val="284B1061"/>
    <w:rsid w:val="286B1703"/>
    <w:rsid w:val="286E6AFD"/>
    <w:rsid w:val="28CA642A"/>
    <w:rsid w:val="28D23530"/>
    <w:rsid w:val="28F416F8"/>
    <w:rsid w:val="291E49C7"/>
    <w:rsid w:val="29227034"/>
    <w:rsid w:val="292A336C"/>
    <w:rsid w:val="29787C34"/>
    <w:rsid w:val="2980317F"/>
    <w:rsid w:val="29B35110"/>
    <w:rsid w:val="29D11A3A"/>
    <w:rsid w:val="29D46E34"/>
    <w:rsid w:val="2A100DF2"/>
    <w:rsid w:val="2A27165A"/>
    <w:rsid w:val="2A2953D2"/>
    <w:rsid w:val="2A4B17EC"/>
    <w:rsid w:val="2A5341FD"/>
    <w:rsid w:val="2A807E4B"/>
    <w:rsid w:val="2A906605"/>
    <w:rsid w:val="2A9E191C"/>
    <w:rsid w:val="2AA016B4"/>
    <w:rsid w:val="2B157704"/>
    <w:rsid w:val="2B1C4F36"/>
    <w:rsid w:val="2B1E0CAF"/>
    <w:rsid w:val="2B2142FB"/>
    <w:rsid w:val="2B21590F"/>
    <w:rsid w:val="2B2D4A4E"/>
    <w:rsid w:val="2B473D61"/>
    <w:rsid w:val="2B4F2C16"/>
    <w:rsid w:val="2B560448"/>
    <w:rsid w:val="2B6A3EF4"/>
    <w:rsid w:val="2BC453B2"/>
    <w:rsid w:val="2BD355F5"/>
    <w:rsid w:val="2BFD6059"/>
    <w:rsid w:val="2C0E0D23"/>
    <w:rsid w:val="2C1B6F9C"/>
    <w:rsid w:val="2C271DE5"/>
    <w:rsid w:val="2C504E98"/>
    <w:rsid w:val="2C532BDA"/>
    <w:rsid w:val="2C697D08"/>
    <w:rsid w:val="2C8601BB"/>
    <w:rsid w:val="2C8C39F6"/>
    <w:rsid w:val="2C9D0B2A"/>
    <w:rsid w:val="2CB73169"/>
    <w:rsid w:val="2CBE44F7"/>
    <w:rsid w:val="2CC22880"/>
    <w:rsid w:val="2CCE2260"/>
    <w:rsid w:val="2CD45AC9"/>
    <w:rsid w:val="2CF73565"/>
    <w:rsid w:val="2D0619FA"/>
    <w:rsid w:val="2D0B5263"/>
    <w:rsid w:val="2D241E80"/>
    <w:rsid w:val="2D6F134E"/>
    <w:rsid w:val="2D7C3A6A"/>
    <w:rsid w:val="2D8F7C42"/>
    <w:rsid w:val="2DA60AE7"/>
    <w:rsid w:val="2DBE4083"/>
    <w:rsid w:val="2DC86CB0"/>
    <w:rsid w:val="2DE41D3C"/>
    <w:rsid w:val="2DE97352"/>
    <w:rsid w:val="2DFF2EEF"/>
    <w:rsid w:val="2E120660"/>
    <w:rsid w:val="2E2A6942"/>
    <w:rsid w:val="2E385BE3"/>
    <w:rsid w:val="2E5073D1"/>
    <w:rsid w:val="2E67296D"/>
    <w:rsid w:val="2E8F5BED"/>
    <w:rsid w:val="2E9077CD"/>
    <w:rsid w:val="2EDC2A13"/>
    <w:rsid w:val="2EEF5517"/>
    <w:rsid w:val="2F236894"/>
    <w:rsid w:val="2F503401"/>
    <w:rsid w:val="2F5A7DDB"/>
    <w:rsid w:val="2F5B427F"/>
    <w:rsid w:val="2F5F53F2"/>
    <w:rsid w:val="2F7E3ACA"/>
    <w:rsid w:val="2F9C03F4"/>
    <w:rsid w:val="2FAB0637"/>
    <w:rsid w:val="2FBC45F2"/>
    <w:rsid w:val="2FBF4814"/>
    <w:rsid w:val="2FC31E25"/>
    <w:rsid w:val="2FC516F9"/>
    <w:rsid w:val="2FC71915"/>
    <w:rsid w:val="2FCC6F2B"/>
    <w:rsid w:val="2FE778C1"/>
    <w:rsid w:val="300E4CCE"/>
    <w:rsid w:val="301958EC"/>
    <w:rsid w:val="305A4537"/>
    <w:rsid w:val="30654C8A"/>
    <w:rsid w:val="308710A4"/>
    <w:rsid w:val="308E41E1"/>
    <w:rsid w:val="30AB6B41"/>
    <w:rsid w:val="30BF55E1"/>
    <w:rsid w:val="30E67B79"/>
    <w:rsid w:val="30F878AC"/>
    <w:rsid w:val="310644D2"/>
    <w:rsid w:val="31066FD0"/>
    <w:rsid w:val="31075680"/>
    <w:rsid w:val="31682C84"/>
    <w:rsid w:val="319B6BB5"/>
    <w:rsid w:val="31B163D9"/>
    <w:rsid w:val="31B934DF"/>
    <w:rsid w:val="31DC5674"/>
    <w:rsid w:val="31E53A14"/>
    <w:rsid w:val="31F938DC"/>
    <w:rsid w:val="31FB3AF8"/>
    <w:rsid w:val="320D55D9"/>
    <w:rsid w:val="323D486F"/>
    <w:rsid w:val="323D5D45"/>
    <w:rsid w:val="325E0754"/>
    <w:rsid w:val="32894C60"/>
    <w:rsid w:val="329D4BAF"/>
    <w:rsid w:val="32A25D21"/>
    <w:rsid w:val="32AE46C6"/>
    <w:rsid w:val="32CC0FF0"/>
    <w:rsid w:val="32DF2AD1"/>
    <w:rsid w:val="330556D5"/>
    <w:rsid w:val="33576B0C"/>
    <w:rsid w:val="33957634"/>
    <w:rsid w:val="33AB50A9"/>
    <w:rsid w:val="33BA709B"/>
    <w:rsid w:val="33BC2E13"/>
    <w:rsid w:val="33CF0D98"/>
    <w:rsid w:val="33CF2B46"/>
    <w:rsid w:val="33D0696A"/>
    <w:rsid w:val="33D4015C"/>
    <w:rsid w:val="33E12879"/>
    <w:rsid w:val="342C4A76"/>
    <w:rsid w:val="34521305"/>
    <w:rsid w:val="34521DC6"/>
    <w:rsid w:val="345C0152"/>
    <w:rsid w:val="34CD70F7"/>
    <w:rsid w:val="34E952CC"/>
    <w:rsid w:val="34F07218"/>
    <w:rsid w:val="34FD36E3"/>
    <w:rsid w:val="351B1DBB"/>
    <w:rsid w:val="355A6D87"/>
    <w:rsid w:val="35727C2D"/>
    <w:rsid w:val="358D4A67"/>
    <w:rsid w:val="35A149B6"/>
    <w:rsid w:val="35A95619"/>
    <w:rsid w:val="35C63433"/>
    <w:rsid w:val="35CF32D1"/>
    <w:rsid w:val="35DA3A24"/>
    <w:rsid w:val="35DC6B7C"/>
    <w:rsid w:val="35E328D9"/>
    <w:rsid w:val="35E6061B"/>
    <w:rsid w:val="361B6516"/>
    <w:rsid w:val="36315D3A"/>
    <w:rsid w:val="364041CF"/>
    <w:rsid w:val="365B6913"/>
    <w:rsid w:val="36820344"/>
    <w:rsid w:val="36AA5AEC"/>
    <w:rsid w:val="37076EBD"/>
    <w:rsid w:val="37695060"/>
    <w:rsid w:val="37734130"/>
    <w:rsid w:val="377759CE"/>
    <w:rsid w:val="379A4475"/>
    <w:rsid w:val="37B3277F"/>
    <w:rsid w:val="37D921E5"/>
    <w:rsid w:val="38046C3D"/>
    <w:rsid w:val="3837515E"/>
    <w:rsid w:val="38397128"/>
    <w:rsid w:val="384D4981"/>
    <w:rsid w:val="386341A5"/>
    <w:rsid w:val="388D7E55"/>
    <w:rsid w:val="38AF2AB7"/>
    <w:rsid w:val="38E56968"/>
    <w:rsid w:val="39205BF2"/>
    <w:rsid w:val="393B0C7E"/>
    <w:rsid w:val="393D2C48"/>
    <w:rsid w:val="394B57D9"/>
    <w:rsid w:val="394E6C03"/>
    <w:rsid w:val="39660A78"/>
    <w:rsid w:val="398E0DAD"/>
    <w:rsid w:val="39AE31FE"/>
    <w:rsid w:val="39BA4298"/>
    <w:rsid w:val="39BA74B1"/>
    <w:rsid w:val="39CE564E"/>
    <w:rsid w:val="39E66E3B"/>
    <w:rsid w:val="39ED01CA"/>
    <w:rsid w:val="39FC040D"/>
    <w:rsid w:val="3A1C460B"/>
    <w:rsid w:val="3A2B0CF2"/>
    <w:rsid w:val="3A40479E"/>
    <w:rsid w:val="3A483652"/>
    <w:rsid w:val="3A4B4EF0"/>
    <w:rsid w:val="3A4F49E1"/>
    <w:rsid w:val="3A5F5D60"/>
    <w:rsid w:val="3A79380C"/>
    <w:rsid w:val="3AC37386"/>
    <w:rsid w:val="3AD1189A"/>
    <w:rsid w:val="3AD44EE6"/>
    <w:rsid w:val="3ADE5D64"/>
    <w:rsid w:val="3B0E664A"/>
    <w:rsid w:val="3B2929B3"/>
    <w:rsid w:val="3B3B4F65"/>
    <w:rsid w:val="3B514788"/>
    <w:rsid w:val="3B571E7F"/>
    <w:rsid w:val="3B5953EB"/>
    <w:rsid w:val="3B5F6EA5"/>
    <w:rsid w:val="3B8B3D63"/>
    <w:rsid w:val="3B9A1C8B"/>
    <w:rsid w:val="3B9A7EDD"/>
    <w:rsid w:val="3B9E7B8D"/>
    <w:rsid w:val="3BAC7C11"/>
    <w:rsid w:val="3BB645EB"/>
    <w:rsid w:val="3C1C5FAB"/>
    <w:rsid w:val="3C2A5955"/>
    <w:rsid w:val="3C4D4F50"/>
    <w:rsid w:val="3C720E5A"/>
    <w:rsid w:val="3CE113CD"/>
    <w:rsid w:val="3CE27D8E"/>
    <w:rsid w:val="3CFE34EB"/>
    <w:rsid w:val="3D001FC2"/>
    <w:rsid w:val="3D0A4BEF"/>
    <w:rsid w:val="3D4A5E08"/>
    <w:rsid w:val="3D69400B"/>
    <w:rsid w:val="3DA2751D"/>
    <w:rsid w:val="3DD317D8"/>
    <w:rsid w:val="3DD516A1"/>
    <w:rsid w:val="3E03620E"/>
    <w:rsid w:val="3E0C2BE9"/>
    <w:rsid w:val="3E691DE9"/>
    <w:rsid w:val="3E6B3DB3"/>
    <w:rsid w:val="3E9055C8"/>
    <w:rsid w:val="3EEB27FE"/>
    <w:rsid w:val="3EED436B"/>
    <w:rsid w:val="3F2006FA"/>
    <w:rsid w:val="3F204B9E"/>
    <w:rsid w:val="3F385C0E"/>
    <w:rsid w:val="3F3917BB"/>
    <w:rsid w:val="3F9D7F9C"/>
    <w:rsid w:val="3FB5178A"/>
    <w:rsid w:val="3FC217B1"/>
    <w:rsid w:val="3FE536F1"/>
    <w:rsid w:val="3FE8403A"/>
    <w:rsid w:val="400C0C7E"/>
    <w:rsid w:val="40104C12"/>
    <w:rsid w:val="401069C0"/>
    <w:rsid w:val="4013200C"/>
    <w:rsid w:val="40460634"/>
    <w:rsid w:val="40645154"/>
    <w:rsid w:val="407927B7"/>
    <w:rsid w:val="408A428A"/>
    <w:rsid w:val="40907B01"/>
    <w:rsid w:val="40925627"/>
    <w:rsid w:val="40A62E81"/>
    <w:rsid w:val="40DA0D7C"/>
    <w:rsid w:val="40FB7670"/>
    <w:rsid w:val="41004C87"/>
    <w:rsid w:val="410F4ECA"/>
    <w:rsid w:val="413C5593"/>
    <w:rsid w:val="41415E2F"/>
    <w:rsid w:val="4142704D"/>
    <w:rsid w:val="41523008"/>
    <w:rsid w:val="417B255F"/>
    <w:rsid w:val="418C02C8"/>
    <w:rsid w:val="41D103D1"/>
    <w:rsid w:val="41D35EF7"/>
    <w:rsid w:val="41E53E7C"/>
    <w:rsid w:val="41EA3241"/>
    <w:rsid w:val="41F1637D"/>
    <w:rsid w:val="42240501"/>
    <w:rsid w:val="422D2573"/>
    <w:rsid w:val="423170C2"/>
    <w:rsid w:val="428379AC"/>
    <w:rsid w:val="42925DB2"/>
    <w:rsid w:val="42BE6BA7"/>
    <w:rsid w:val="42C43A92"/>
    <w:rsid w:val="42D77C69"/>
    <w:rsid w:val="430A3B9B"/>
    <w:rsid w:val="432B1D63"/>
    <w:rsid w:val="436F39FE"/>
    <w:rsid w:val="43721740"/>
    <w:rsid w:val="43A01E09"/>
    <w:rsid w:val="441F3676"/>
    <w:rsid w:val="44254A04"/>
    <w:rsid w:val="44366C11"/>
    <w:rsid w:val="447F5EC2"/>
    <w:rsid w:val="448654A3"/>
    <w:rsid w:val="448A6E01"/>
    <w:rsid w:val="44A122DD"/>
    <w:rsid w:val="44B00772"/>
    <w:rsid w:val="44C45FCB"/>
    <w:rsid w:val="44CD54F5"/>
    <w:rsid w:val="450D34CE"/>
    <w:rsid w:val="45246A6A"/>
    <w:rsid w:val="452627E2"/>
    <w:rsid w:val="456F4189"/>
    <w:rsid w:val="45A006D3"/>
    <w:rsid w:val="45ED50AE"/>
    <w:rsid w:val="45FD79E7"/>
    <w:rsid w:val="46565349"/>
    <w:rsid w:val="4662784A"/>
    <w:rsid w:val="46643725"/>
    <w:rsid w:val="467557CF"/>
    <w:rsid w:val="468C0D6B"/>
    <w:rsid w:val="468C48C7"/>
    <w:rsid w:val="46A936CA"/>
    <w:rsid w:val="46B04A59"/>
    <w:rsid w:val="46B5206F"/>
    <w:rsid w:val="46C67DD9"/>
    <w:rsid w:val="47060B1D"/>
    <w:rsid w:val="471C5C4A"/>
    <w:rsid w:val="474D04FA"/>
    <w:rsid w:val="476E4D7C"/>
    <w:rsid w:val="477C2B8D"/>
    <w:rsid w:val="47866D44"/>
    <w:rsid w:val="4791488A"/>
    <w:rsid w:val="479B74B7"/>
    <w:rsid w:val="47B85CF5"/>
    <w:rsid w:val="47BB09AE"/>
    <w:rsid w:val="47EC7D13"/>
    <w:rsid w:val="47F6649C"/>
    <w:rsid w:val="481B4154"/>
    <w:rsid w:val="482257EC"/>
    <w:rsid w:val="48482A6F"/>
    <w:rsid w:val="484A26A5"/>
    <w:rsid w:val="48597706"/>
    <w:rsid w:val="488A7D9D"/>
    <w:rsid w:val="48AE6D76"/>
    <w:rsid w:val="48BD5AF7"/>
    <w:rsid w:val="48BF5427"/>
    <w:rsid w:val="48DD2F81"/>
    <w:rsid w:val="49060960"/>
    <w:rsid w:val="49115557"/>
    <w:rsid w:val="49153299"/>
    <w:rsid w:val="49262DB0"/>
    <w:rsid w:val="492D2391"/>
    <w:rsid w:val="4944592C"/>
    <w:rsid w:val="496D09DF"/>
    <w:rsid w:val="49793828"/>
    <w:rsid w:val="499E328F"/>
    <w:rsid w:val="49B40DFB"/>
    <w:rsid w:val="4A056E6A"/>
    <w:rsid w:val="4A1B043B"/>
    <w:rsid w:val="4A2163E3"/>
    <w:rsid w:val="4A58168F"/>
    <w:rsid w:val="4A9106FD"/>
    <w:rsid w:val="4A9D3546"/>
    <w:rsid w:val="4AA523FB"/>
    <w:rsid w:val="4AD11442"/>
    <w:rsid w:val="4AD14F9E"/>
    <w:rsid w:val="4ADA02F6"/>
    <w:rsid w:val="4B005883"/>
    <w:rsid w:val="4B0E1D4E"/>
    <w:rsid w:val="4B1A06F3"/>
    <w:rsid w:val="4B2772B4"/>
    <w:rsid w:val="4B306168"/>
    <w:rsid w:val="4B4C0AC8"/>
    <w:rsid w:val="4B645E12"/>
    <w:rsid w:val="4B7778F3"/>
    <w:rsid w:val="4B7818BD"/>
    <w:rsid w:val="4B7F0E9E"/>
    <w:rsid w:val="4B950F08"/>
    <w:rsid w:val="4BA83F51"/>
    <w:rsid w:val="4BD72A88"/>
    <w:rsid w:val="4BE34F89"/>
    <w:rsid w:val="4BF21670"/>
    <w:rsid w:val="4BFC24EE"/>
    <w:rsid w:val="4C0A4C0B"/>
    <w:rsid w:val="4C1710D6"/>
    <w:rsid w:val="4C2832E3"/>
    <w:rsid w:val="4C3D536D"/>
    <w:rsid w:val="4C4579F1"/>
    <w:rsid w:val="4C4A14AC"/>
    <w:rsid w:val="4C59524B"/>
    <w:rsid w:val="4C6B4F7E"/>
    <w:rsid w:val="4C6E544A"/>
    <w:rsid w:val="4C902FB0"/>
    <w:rsid w:val="4CA61C30"/>
    <w:rsid w:val="4CD83292"/>
    <w:rsid w:val="4D1473C4"/>
    <w:rsid w:val="4D20220D"/>
    <w:rsid w:val="4D302450"/>
    <w:rsid w:val="4D486722"/>
    <w:rsid w:val="4D4E05E8"/>
    <w:rsid w:val="4D844549"/>
    <w:rsid w:val="4DBF1A26"/>
    <w:rsid w:val="4DD252B5"/>
    <w:rsid w:val="4DDA77E4"/>
    <w:rsid w:val="4DE4323A"/>
    <w:rsid w:val="4DED20EF"/>
    <w:rsid w:val="4E207149"/>
    <w:rsid w:val="4E281379"/>
    <w:rsid w:val="4E2A50F1"/>
    <w:rsid w:val="4E437038"/>
    <w:rsid w:val="4E5B533D"/>
    <w:rsid w:val="4E6879C7"/>
    <w:rsid w:val="4E6C5709"/>
    <w:rsid w:val="4E7B3B9E"/>
    <w:rsid w:val="4E7D0F59"/>
    <w:rsid w:val="4E854A1D"/>
    <w:rsid w:val="4EF85C69"/>
    <w:rsid w:val="4EF86F9D"/>
    <w:rsid w:val="4F3D2873"/>
    <w:rsid w:val="4F4F2935"/>
    <w:rsid w:val="4F5D14F6"/>
    <w:rsid w:val="4F642884"/>
    <w:rsid w:val="4F6463E1"/>
    <w:rsid w:val="4F93316A"/>
    <w:rsid w:val="4F9C3DCC"/>
    <w:rsid w:val="4FAA2AEC"/>
    <w:rsid w:val="4FB355BA"/>
    <w:rsid w:val="4FC60E49"/>
    <w:rsid w:val="4FD277EE"/>
    <w:rsid w:val="4FE92D8A"/>
    <w:rsid w:val="4FF43E14"/>
    <w:rsid w:val="50302767"/>
    <w:rsid w:val="506703B9"/>
    <w:rsid w:val="5075461D"/>
    <w:rsid w:val="508B3E41"/>
    <w:rsid w:val="509E1DC6"/>
    <w:rsid w:val="50A0169A"/>
    <w:rsid w:val="50B05655"/>
    <w:rsid w:val="50E25C3F"/>
    <w:rsid w:val="50FD4D3F"/>
    <w:rsid w:val="510C4885"/>
    <w:rsid w:val="511A3A51"/>
    <w:rsid w:val="5139564B"/>
    <w:rsid w:val="51A46F68"/>
    <w:rsid w:val="51AA02F7"/>
    <w:rsid w:val="51AE7DE7"/>
    <w:rsid w:val="51BE376D"/>
    <w:rsid w:val="520D0FB1"/>
    <w:rsid w:val="521340EE"/>
    <w:rsid w:val="52171B58"/>
    <w:rsid w:val="52171E30"/>
    <w:rsid w:val="522602C5"/>
    <w:rsid w:val="52293911"/>
    <w:rsid w:val="52354064"/>
    <w:rsid w:val="52371398"/>
    <w:rsid w:val="524A3FB4"/>
    <w:rsid w:val="52552958"/>
    <w:rsid w:val="5288688A"/>
    <w:rsid w:val="52896350"/>
    <w:rsid w:val="52CA29FF"/>
    <w:rsid w:val="530103EA"/>
    <w:rsid w:val="53031881"/>
    <w:rsid w:val="53057EDB"/>
    <w:rsid w:val="533802B0"/>
    <w:rsid w:val="533B009D"/>
    <w:rsid w:val="53522DAA"/>
    <w:rsid w:val="53536E98"/>
    <w:rsid w:val="53542C10"/>
    <w:rsid w:val="535B7AFB"/>
    <w:rsid w:val="53764934"/>
    <w:rsid w:val="53C658BC"/>
    <w:rsid w:val="541D1254"/>
    <w:rsid w:val="54387E3C"/>
    <w:rsid w:val="54436F0C"/>
    <w:rsid w:val="54492049"/>
    <w:rsid w:val="548349AE"/>
    <w:rsid w:val="54990106"/>
    <w:rsid w:val="54A35BFD"/>
    <w:rsid w:val="54F40207"/>
    <w:rsid w:val="55214D74"/>
    <w:rsid w:val="55471680"/>
    <w:rsid w:val="558A46C7"/>
    <w:rsid w:val="55A21A11"/>
    <w:rsid w:val="55AA6B17"/>
    <w:rsid w:val="55B6370E"/>
    <w:rsid w:val="55D65B5E"/>
    <w:rsid w:val="55E71B19"/>
    <w:rsid w:val="55E95892"/>
    <w:rsid w:val="561623FF"/>
    <w:rsid w:val="56372AA1"/>
    <w:rsid w:val="56B0015D"/>
    <w:rsid w:val="56C87B9D"/>
    <w:rsid w:val="56F3629C"/>
    <w:rsid w:val="570109B9"/>
    <w:rsid w:val="570A3D11"/>
    <w:rsid w:val="572C012C"/>
    <w:rsid w:val="576D24F2"/>
    <w:rsid w:val="57715B3F"/>
    <w:rsid w:val="578F2469"/>
    <w:rsid w:val="5797131D"/>
    <w:rsid w:val="57995095"/>
    <w:rsid w:val="57A001D2"/>
    <w:rsid w:val="57A37CC2"/>
    <w:rsid w:val="57AC4DC9"/>
    <w:rsid w:val="57CF2865"/>
    <w:rsid w:val="57DA7B88"/>
    <w:rsid w:val="57FA0993"/>
    <w:rsid w:val="58030761"/>
    <w:rsid w:val="5809221B"/>
    <w:rsid w:val="583A6878"/>
    <w:rsid w:val="585B234B"/>
    <w:rsid w:val="58694A68"/>
    <w:rsid w:val="58796E5D"/>
    <w:rsid w:val="588B0E82"/>
    <w:rsid w:val="589324AE"/>
    <w:rsid w:val="58A75590"/>
    <w:rsid w:val="58D345D7"/>
    <w:rsid w:val="58E862D4"/>
    <w:rsid w:val="58F702C5"/>
    <w:rsid w:val="58F92290"/>
    <w:rsid w:val="58FC58DC"/>
    <w:rsid w:val="593759DF"/>
    <w:rsid w:val="59451D13"/>
    <w:rsid w:val="597102E2"/>
    <w:rsid w:val="59853B23"/>
    <w:rsid w:val="598A113A"/>
    <w:rsid w:val="599B3347"/>
    <w:rsid w:val="599B3DE0"/>
    <w:rsid w:val="59C315C5"/>
    <w:rsid w:val="59EC3BA2"/>
    <w:rsid w:val="5A04713E"/>
    <w:rsid w:val="5A12437A"/>
    <w:rsid w:val="5A1A070F"/>
    <w:rsid w:val="5A2275C4"/>
    <w:rsid w:val="5A3B68D8"/>
    <w:rsid w:val="5A405C9C"/>
    <w:rsid w:val="5A4A08C9"/>
    <w:rsid w:val="5A5B4884"/>
    <w:rsid w:val="5A61633E"/>
    <w:rsid w:val="5A6279C1"/>
    <w:rsid w:val="5A717D58"/>
    <w:rsid w:val="5A763F4F"/>
    <w:rsid w:val="5A821E11"/>
    <w:rsid w:val="5A9009D2"/>
    <w:rsid w:val="5AAC50E0"/>
    <w:rsid w:val="5AC95466"/>
    <w:rsid w:val="5ACB7C5C"/>
    <w:rsid w:val="5AD05272"/>
    <w:rsid w:val="5AE66844"/>
    <w:rsid w:val="5AEE74A6"/>
    <w:rsid w:val="5B547C51"/>
    <w:rsid w:val="5B647768"/>
    <w:rsid w:val="5B6B6D49"/>
    <w:rsid w:val="5BC25B35"/>
    <w:rsid w:val="5BD112A2"/>
    <w:rsid w:val="5BF05DAB"/>
    <w:rsid w:val="5C1178F0"/>
    <w:rsid w:val="5C166CB5"/>
    <w:rsid w:val="5C34538D"/>
    <w:rsid w:val="5C5E240A"/>
    <w:rsid w:val="5C645C72"/>
    <w:rsid w:val="5C69772C"/>
    <w:rsid w:val="5C6E6AF1"/>
    <w:rsid w:val="5C752B3D"/>
    <w:rsid w:val="5C8C6F77"/>
    <w:rsid w:val="5C925087"/>
    <w:rsid w:val="5C9A3F10"/>
    <w:rsid w:val="5CA93FCD"/>
    <w:rsid w:val="5CAA564F"/>
    <w:rsid w:val="5CB0535B"/>
    <w:rsid w:val="5CBB3521"/>
    <w:rsid w:val="5CE53660"/>
    <w:rsid w:val="5CF1327E"/>
    <w:rsid w:val="5CF15816"/>
    <w:rsid w:val="5CFE60C6"/>
    <w:rsid w:val="5D096819"/>
    <w:rsid w:val="5D221689"/>
    <w:rsid w:val="5D6F2B20"/>
    <w:rsid w:val="5D856EF6"/>
    <w:rsid w:val="5DA320BA"/>
    <w:rsid w:val="5DA402F0"/>
    <w:rsid w:val="5DBC388C"/>
    <w:rsid w:val="5DC32E6C"/>
    <w:rsid w:val="5DE72D05"/>
    <w:rsid w:val="5DF74BE5"/>
    <w:rsid w:val="5E055233"/>
    <w:rsid w:val="5E3B6EA6"/>
    <w:rsid w:val="5E3D2C1E"/>
    <w:rsid w:val="5E4E6BDA"/>
    <w:rsid w:val="5E6F4DA2"/>
    <w:rsid w:val="5EA467FA"/>
    <w:rsid w:val="5EC92704"/>
    <w:rsid w:val="5ED05841"/>
    <w:rsid w:val="5ED35331"/>
    <w:rsid w:val="5EF17565"/>
    <w:rsid w:val="5F0E6369"/>
    <w:rsid w:val="5F1E6D88"/>
    <w:rsid w:val="5F1F0576"/>
    <w:rsid w:val="5F3758C0"/>
    <w:rsid w:val="5F3A0F0C"/>
    <w:rsid w:val="5F946C0E"/>
    <w:rsid w:val="5FAD7930"/>
    <w:rsid w:val="5FB011CE"/>
    <w:rsid w:val="5FCB425A"/>
    <w:rsid w:val="5FCD3B2E"/>
    <w:rsid w:val="5FF437B1"/>
    <w:rsid w:val="60194FC5"/>
    <w:rsid w:val="603A5A9A"/>
    <w:rsid w:val="60561D75"/>
    <w:rsid w:val="60822B6A"/>
    <w:rsid w:val="60A9459B"/>
    <w:rsid w:val="60AA3E6F"/>
    <w:rsid w:val="60E90E3C"/>
    <w:rsid w:val="61173787"/>
    <w:rsid w:val="6151253D"/>
    <w:rsid w:val="61891CD7"/>
    <w:rsid w:val="61AC2FC9"/>
    <w:rsid w:val="61E15FB7"/>
    <w:rsid w:val="62195750"/>
    <w:rsid w:val="623205C0"/>
    <w:rsid w:val="625978FB"/>
    <w:rsid w:val="62697685"/>
    <w:rsid w:val="62827E8F"/>
    <w:rsid w:val="62A07F3E"/>
    <w:rsid w:val="62C76F5B"/>
    <w:rsid w:val="63193F43"/>
    <w:rsid w:val="63304B00"/>
    <w:rsid w:val="636649C5"/>
    <w:rsid w:val="63972DD1"/>
    <w:rsid w:val="63A454EE"/>
    <w:rsid w:val="63D01E3F"/>
    <w:rsid w:val="63DE27AE"/>
    <w:rsid w:val="64055F8C"/>
    <w:rsid w:val="640B2E77"/>
    <w:rsid w:val="64AF110B"/>
    <w:rsid w:val="64C23E7D"/>
    <w:rsid w:val="64C71744"/>
    <w:rsid w:val="6502427A"/>
    <w:rsid w:val="65046244"/>
    <w:rsid w:val="652B396C"/>
    <w:rsid w:val="65562818"/>
    <w:rsid w:val="657667D0"/>
    <w:rsid w:val="65BC6B1F"/>
    <w:rsid w:val="65E87914"/>
    <w:rsid w:val="65F242EE"/>
    <w:rsid w:val="66037EFE"/>
    <w:rsid w:val="66214BD4"/>
    <w:rsid w:val="66287D10"/>
    <w:rsid w:val="662E75B1"/>
    <w:rsid w:val="664408C2"/>
    <w:rsid w:val="665223CB"/>
    <w:rsid w:val="66540B05"/>
    <w:rsid w:val="66701607"/>
    <w:rsid w:val="667747F4"/>
    <w:rsid w:val="66DA6A57"/>
    <w:rsid w:val="66E0683D"/>
    <w:rsid w:val="66E32002"/>
    <w:rsid w:val="66F67E0E"/>
    <w:rsid w:val="6740552D"/>
    <w:rsid w:val="67672ABA"/>
    <w:rsid w:val="676C00D0"/>
    <w:rsid w:val="67784CC7"/>
    <w:rsid w:val="67931B01"/>
    <w:rsid w:val="67D363A2"/>
    <w:rsid w:val="67EB5499"/>
    <w:rsid w:val="68090C1E"/>
    <w:rsid w:val="68120D25"/>
    <w:rsid w:val="68352BB8"/>
    <w:rsid w:val="68541290"/>
    <w:rsid w:val="686B65DA"/>
    <w:rsid w:val="686F60CA"/>
    <w:rsid w:val="687234C5"/>
    <w:rsid w:val="68784853"/>
    <w:rsid w:val="68815DFE"/>
    <w:rsid w:val="68AF296B"/>
    <w:rsid w:val="68B27D65"/>
    <w:rsid w:val="68D979E8"/>
    <w:rsid w:val="68F55EA4"/>
    <w:rsid w:val="691B4AD3"/>
    <w:rsid w:val="693469CC"/>
    <w:rsid w:val="696F20FA"/>
    <w:rsid w:val="69845BA5"/>
    <w:rsid w:val="69B44C78"/>
    <w:rsid w:val="69D00DEB"/>
    <w:rsid w:val="69D81A4D"/>
    <w:rsid w:val="69E00902"/>
    <w:rsid w:val="6A2922A9"/>
    <w:rsid w:val="6A486BD3"/>
    <w:rsid w:val="6A66538D"/>
    <w:rsid w:val="6A7259FE"/>
    <w:rsid w:val="6A902328"/>
    <w:rsid w:val="6A98360E"/>
    <w:rsid w:val="6AB2229E"/>
    <w:rsid w:val="6ABC136F"/>
    <w:rsid w:val="6AD2649C"/>
    <w:rsid w:val="6ADE3093"/>
    <w:rsid w:val="6B2018FE"/>
    <w:rsid w:val="6B2D401B"/>
    <w:rsid w:val="6B386D8F"/>
    <w:rsid w:val="6B453112"/>
    <w:rsid w:val="6B655563"/>
    <w:rsid w:val="6B6A0DCB"/>
    <w:rsid w:val="6B767770"/>
    <w:rsid w:val="6BB12556"/>
    <w:rsid w:val="6C0E1756"/>
    <w:rsid w:val="6C152AE5"/>
    <w:rsid w:val="6C1A634D"/>
    <w:rsid w:val="6C1C4A39"/>
    <w:rsid w:val="6C1F5711"/>
    <w:rsid w:val="6C44161C"/>
    <w:rsid w:val="6C605F18"/>
    <w:rsid w:val="6C6B0957"/>
    <w:rsid w:val="6CB56076"/>
    <w:rsid w:val="6CE95D1F"/>
    <w:rsid w:val="6CF21078"/>
    <w:rsid w:val="6CFE17CB"/>
    <w:rsid w:val="6D176D30"/>
    <w:rsid w:val="6D34057C"/>
    <w:rsid w:val="6D8A3872"/>
    <w:rsid w:val="6DE44E65"/>
    <w:rsid w:val="6DFD5F26"/>
    <w:rsid w:val="6E146DCC"/>
    <w:rsid w:val="6E4476B1"/>
    <w:rsid w:val="6E4C47B8"/>
    <w:rsid w:val="6E5D2F46"/>
    <w:rsid w:val="6E70494A"/>
    <w:rsid w:val="6E922B12"/>
    <w:rsid w:val="6EB81E4D"/>
    <w:rsid w:val="6EE175F6"/>
    <w:rsid w:val="6F03131A"/>
    <w:rsid w:val="6F12155D"/>
    <w:rsid w:val="6F1B2B08"/>
    <w:rsid w:val="6F3E2A94"/>
    <w:rsid w:val="6F481423"/>
    <w:rsid w:val="6F4B6E01"/>
    <w:rsid w:val="6F7246F2"/>
    <w:rsid w:val="6F8D32DA"/>
    <w:rsid w:val="6FC14D32"/>
    <w:rsid w:val="6FCB3EA6"/>
    <w:rsid w:val="703F2826"/>
    <w:rsid w:val="706C7393"/>
    <w:rsid w:val="70757FF6"/>
    <w:rsid w:val="709B2E93"/>
    <w:rsid w:val="70B86135"/>
    <w:rsid w:val="70C71BB2"/>
    <w:rsid w:val="70C920F0"/>
    <w:rsid w:val="70E360D4"/>
    <w:rsid w:val="70ED2282"/>
    <w:rsid w:val="70F27898"/>
    <w:rsid w:val="70F36371"/>
    <w:rsid w:val="710337EB"/>
    <w:rsid w:val="71145A61"/>
    <w:rsid w:val="71193077"/>
    <w:rsid w:val="71381023"/>
    <w:rsid w:val="71423059"/>
    <w:rsid w:val="714A76D4"/>
    <w:rsid w:val="715B3690"/>
    <w:rsid w:val="71836742"/>
    <w:rsid w:val="718C1A9B"/>
    <w:rsid w:val="71BC1C54"/>
    <w:rsid w:val="71BC1CC4"/>
    <w:rsid w:val="71E74F23"/>
    <w:rsid w:val="71EF202A"/>
    <w:rsid w:val="72084E9A"/>
    <w:rsid w:val="720D425E"/>
    <w:rsid w:val="722364A4"/>
    <w:rsid w:val="723B526F"/>
    <w:rsid w:val="726E2F4F"/>
    <w:rsid w:val="727E4290"/>
    <w:rsid w:val="72802C82"/>
    <w:rsid w:val="72916C3D"/>
    <w:rsid w:val="72AC3770"/>
    <w:rsid w:val="72D51220"/>
    <w:rsid w:val="72EB0A43"/>
    <w:rsid w:val="72FB055A"/>
    <w:rsid w:val="730918EB"/>
    <w:rsid w:val="7309711B"/>
    <w:rsid w:val="73221F8B"/>
    <w:rsid w:val="7341025C"/>
    <w:rsid w:val="73467A28"/>
    <w:rsid w:val="737C78ED"/>
    <w:rsid w:val="73836ECE"/>
    <w:rsid w:val="73882894"/>
    <w:rsid w:val="73AD7AA7"/>
    <w:rsid w:val="73CF5C6F"/>
    <w:rsid w:val="73FE6554"/>
    <w:rsid w:val="7407365B"/>
    <w:rsid w:val="740A6CA7"/>
    <w:rsid w:val="744B7990"/>
    <w:rsid w:val="747A6F80"/>
    <w:rsid w:val="747E6E59"/>
    <w:rsid w:val="74B135C7"/>
    <w:rsid w:val="74D53759"/>
    <w:rsid w:val="74DA48CB"/>
    <w:rsid w:val="74EB6AD9"/>
    <w:rsid w:val="75096F5F"/>
    <w:rsid w:val="754E350B"/>
    <w:rsid w:val="755A5A0C"/>
    <w:rsid w:val="755D54FC"/>
    <w:rsid w:val="75742F72"/>
    <w:rsid w:val="757E5B9F"/>
    <w:rsid w:val="75CB690A"/>
    <w:rsid w:val="75CD0207"/>
    <w:rsid w:val="75EA6355"/>
    <w:rsid w:val="761738FD"/>
    <w:rsid w:val="763224E5"/>
    <w:rsid w:val="7644468A"/>
    <w:rsid w:val="765E32DA"/>
    <w:rsid w:val="768076F4"/>
    <w:rsid w:val="76832D41"/>
    <w:rsid w:val="76911902"/>
    <w:rsid w:val="7691545E"/>
    <w:rsid w:val="76A258BD"/>
    <w:rsid w:val="76AF1D88"/>
    <w:rsid w:val="76D4359C"/>
    <w:rsid w:val="76D649A4"/>
    <w:rsid w:val="76D67314"/>
    <w:rsid w:val="77130569"/>
    <w:rsid w:val="77170059"/>
    <w:rsid w:val="771B11CB"/>
    <w:rsid w:val="7731279D"/>
    <w:rsid w:val="77593278"/>
    <w:rsid w:val="775A7F45"/>
    <w:rsid w:val="77690189"/>
    <w:rsid w:val="7771290F"/>
    <w:rsid w:val="77894387"/>
    <w:rsid w:val="77A45665"/>
    <w:rsid w:val="77BC29AE"/>
    <w:rsid w:val="77E67A2B"/>
    <w:rsid w:val="77EA751B"/>
    <w:rsid w:val="77F008AA"/>
    <w:rsid w:val="77F263D0"/>
    <w:rsid w:val="781225CE"/>
    <w:rsid w:val="781B5927"/>
    <w:rsid w:val="786D0583"/>
    <w:rsid w:val="78731640"/>
    <w:rsid w:val="78760DAF"/>
    <w:rsid w:val="787B0173"/>
    <w:rsid w:val="787B4617"/>
    <w:rsid w:val="78872FBC"/>
    <w:rsid w:val="78B37A40"/>
    <w:rsid w:val="78B96686"/>
    <w:rsid w:val="78D45AD6"/>
    <w:rsid w:val="79102693"/>
    <w:rsid w:val="79143567"/>
    <w:rsid w:val="793547C6"/>
    <w:rsid w:val="79471FB8"/>
    <w:rsid w:val="79490272"/>
    <w:rsid w:val="7956473D"/>
    <w:rsid w:val="795A422D"/>
    <w:rsid w:val="795B1D53"/>
    <w:rsid w:val="797A042B"/>
    <w:rsid w:val="798E037A"/>
    <w:rsid w:val="79BD47BC"/>
    <w:rsid w:val="79C12FCC"/>
    <w:rsid w:val="79CC49FF"/>
    <w:rsid w:val="7A0F3269"/>
    <w:rsid w:val="7A4A24F3"/>
    <w:rsid w:val="7A684727"/>
    <w:rsid w:val="7AC454CC"/>
    <w:rsid w:val="7ADD3367"/>
    <w:rsid w:val="7AEA5A84"/>
    <w:rsid w:val="7B164183"/>
    <w:rsid w:val="7B256ABC"/>
    <w:rsid w:val="7B4574BA"/>
    <w:rsid w:val="7B5F1FCE"/>
    <w:rsid w:val="7B7517F2"/>
    <w:rsid w:val="7B871525"/>
    <w:rsid w:val="7BDA78A7"/>
    <w:rsid w:val="7BED75DA"/>
    <w:rsid w:val="7BF32717"/>
    <w:rsid w:val="7BFD5343"/>
    <w:rsid w:val="7C2D3E7B"/>
    <w:rsid w:val="7C376AA7"/>
    <w:rsid w:val="7C4F2043"/>
    <w:rsid w:val="7C7750F6"/>
    <w:rsid w:val="7C9C690A"/>
    <w:rsid w:val="7CA53583"/>
    <w:rsid w:val="7CB2612E"/>
    <w:rsid w:val="7CB63E70"/>
    <w:rsid w:val="7CBB71D7"/>
    <w:rsid w:val="7CE0713F"/>
    <w:rsid w:val="7CF67FD0"/>
    <w:rsid w:val="7D40373A"/>
    <w:rsid w:val="7D871368"/>
    <w:rsid w:val="7D972AB8"/>
    <w:rsid w:val="7D9C12B8"/>
    <w:rsid w:val="7DF32EA2"/>
    <w:rsid w:val="7E026C41"/>
    <w:rsid w:val="7E0503B7"/>
    <w:rsid w:val="7E096221"/>
    <w:rsid w:val="7E417769"/>
    <w:rsid w:val="7E6873EC"/>
    <w:rsid w:val="7E7E276B"/>
    <w:rsid w:val="7E7F0292"/>
    <w:rsid w:val="7E955D07"/>
    <w:rsid w:val="7EB268B9"/>
    <w:rsid w:val="7EC14D4E"/>
    <w:rsid w:val="7F062761"/>
    <w:rsid w:val="7F1B620C"/>
    <w:rsid w:val="7F437511"/>
    <w:rsid w:val="7F705F4F"/>
    <w:rsid w:val="7F832174"/>
    <w:rsid w:val="7F8738A2"/>
    <w:rsid w:val="7F9111A8"/>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autoRedefine/>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4">
    <w:name w:val="heading 2"/>
    <w:basedOn w:val="1"/>
    <w:next w:val="1"/>
    <w:autoRedefine/>
    <w:unhideWhenUsed/>
    <w:qFormat/>
    <w:uiPriority w:val="0"/>
    <w:pPr>
      <w:keepNext/>
      <w:keepLines/>
      <w:numPr>
        <w:ilvl w:val="1"/>
        <w:numId w:val="2"/>
      </w:numPr>
      <w:spacing w:before="100" w:after="100" w:line="360" w:lineRule="exact"/>
      <w:outlineLvl w:val="1"/>
    </w:pPr>
    <w:rPr>
      <w:rFonts w:ascii="Arial" w:hAnsi="Arial" w:eastAsia="宋体"/>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customStyle="1" w:styleId="3">
    <w:name w:val="文档正文"/>
    <w:basedOn w:val="1"/>
    <w:autoRedefine/>
    <w:qFormat/>
    <w:uiPriority w:val="99"/>
    <w:pPr>
      <w:adjustRightInd w:val="0"/>
      <w:spacing w:line="480" w:lineRule="atLeast"/>
      <w:ind w:firstLine="567"/>
      <w:textAlignment w:val="baseline"/>
    </w:pPr>
    <w:rPr>
      <w:rFonts w:ascii="仿宋_GB2312" w:eastAsia="仿宋_GB2312"/>
      <w:kern w:val="0"/>
      <w:sz w:val="28"/>
      <w:szCs w:val="20"/>
    </w:rPr>
  </w:style>
  <w:style w:type="paragraph" w:styleId="5">
    <w:name w:val="Normal Indent"/>
    <w:basedOn w:val="1"/>
    <w:autoRedefine/>
    <w:qFormat/>
    <w:uiPriority w:val="0"/>
    <w:pPr>
      <w:ind w:firstLine="420"/>
    </w:pPr>
    <w:rPr>
      <w:rFonts w:ascii="Times New Roman" w:hAnsi="Times New Roman"/>
      <w:sz w:val="28"/>
      <w:szCs w:val="20"/>
    </w:rPr>
  </w:style>
  <w:style w:type="paragraph" w:styleId="6">
    <w:name w:val="annotation text"/>
    <w:basedOn w:val="1"/>
    <w:next w:val="5"/>
    <w:autoRedefine/>
    <w:qFormat/>
    <w:uiPriority w:val="0"/>
    <w:pPr>
      <w:jc w:val="left"/>
    </w:pPr>
    <w:rPr>
      <w:kern w:val="0"/>
      <w:sz w:val="20"/>
      <w:szCs w:val="20"/>
    </w:rPr>
  </w:style>
  <w:style w:type="paragraph" w:styleId="7">
    <w:name w:val="Body Text"/>
    <w:basedOn w:val="1"/>
    <w:next w:val="8"/>
    <w:autoRedefine/>
    <w:qFormat/>
    <w:uiPriority w:val="0"/>
    <w:pPr>
      <w:spacing w:line="360" w:lineRule="auto"/>
    </w:pPr>
    <w:rPr>
      <w:rFonts w:ascii="Times New Roman" w:hAnsi="Times New Roman"/>
      <w:szCs w:val="20"/>
    </w:rPr>
  </w:style>
  <w:style w:type="paragraph" w:customStyle="1" w:styleId="8">
    <w:name w:val="Default"/>
    <w:next w:val="9"/>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next w:val="10"/>
    <w:autoRedefine/>
    <w:qFormat/>
    <w:uiPriority w:val="0"/>
    <w:pPr>
      <w:jc w:val="center"/>
    </w:pPr>
    <w:rPr>
      <w:rFonts w:ascii="Arial" w:hAnsi="Arial"/>
      <w:b/>
      <w:sz w:val="28"/>
      <w:szCs w:val="24"/>
    </w:rPr>
  </w:style>
  <w:style w:type="paragraph" w:styleId="10">
    <w:name w:val="Body Text First Indent 2"/>
    <w:basedOn w:val="11"/>
    <w:next w:val="7"/>
    <w:autoRedefine/>
    <w:semiHidden/>
    <w:unhideWhenUsed/>
    <w:qFormat/>
    <w:uiPriority w:val="99"/>
    <w:pPr>
      <w:spacing w:after="120"/>
      <w:ind w:left="420" w:leftChars="200" w:firstLine="420" w:firstLineChars="200"/>
    </w:pPr>
    <w:rPr>
      <w:rFonts w:ascii="Calibri"/>
      <w:sz w:val="24"/>
      <w:szCs w:val="22"/>
    </w:rPr>
  </w:style>
  <w:style w:type="paragraph" w:styleId="11">
    <w:name w:val="Body Text Indent"/>
    <w:basedOn w:val="1"/>
    <w:next w:val="7"/>
    <w:autoRedefine/>
    <w:qFormat/>
    <w:uiPriority w:val="99"/>
    <w:pPr>
      <w:ind w:firstLine="645"/>
    </w:pPr>
    <w:rPr>
      <w:rFonts w:ascii="宋体"/>
      <w:sz w:val="32"/>
      <w:szCs w:val="20"/>
    </w:rPr>
  </w:style>
  <w:style w:type="paragraph" w:styleId="12">
    <w:name w:val="Plain Text"/>
    <w:basedOn w:val="1"/>
    <w:link w:val="33"/>
    <w:autoRedefine/>
    <w:unhideWhenUsed/>
    <w:qFormat/>
    <w:uiPriority w:val="99"/>
    <w:pPr>
      <w:widowControl/>
    </w:pPr>
    <w:rPr>
      <w:rFonts w:ascii="宋体" w:hAnsi="宋体" w:eastAsia="宋体" w:cs="Times New Roman"/>
      <w:kern w:val="0"/>
      <w:szCs w:val="21"/>
    </w:rPr>
  </w:style>
  <w:style w:type="paragraph" w:styleId="13">
    <w:name w:val="Date"/>
    <w:basedOn w:val="1"/>
    <w:next w:val="1"/>
    <w:link w:val="31"/>
    <w:autoRedefine/>
    <w:semiHidden/>
    <w:unhideWhenUsed/>
    <w:qFormat/>
    <w:uiPriority w:val="99"/>
    <w:pPr>
      <w:ind w:left="100" w:leftChars="2500"/>
    </w:p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29"/>
    <w:autoRedefine/>
    <w:unhideWhenUsed/>
    <w:qFormat/>
    <w:uiPriority w:val="99"/>
    <w:pPr>
      <w:tabs>
        <w:tab w:val="center" w:pos="4153"/>
        <w:tab w:val="right" w:pos="8306"/>
      </w:tabs>
      <w:snapToGrid w:val="0"/>
      <w:jc w:val="left"/>
    </w:pPr>
    <w:rPr>
      <w:sz w:val="18"/>
      <w:szCs w:val="18"/>
    </w:rPr>
  </w:style>
  <w:style w:type="paragraph" w:styleId="16">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autoRedefine/>
    <w:qFormat/>
    <w:uiPriority w:val="11"/>
    <w:pPr>
      <w:spacing w:before="60" w:after="60" w:line="360" w:lineRule="auto"/>
      <w:jc w:val="left"/>
      <w:outlineLvl w:val="1"/>
    </w:pPr>
    <w:rPr>
      <w:rFonts w:ascii="Calibri Light" w:hAnsi="Calibri Light" w:cs="Times New Roman"/>
      <w:b/>
      <w:bCs/>
      <w:kern w:val="28"/>
      <w:sz w:val="28"/>
      <w:szCs w:val="32"/>
    </w:rPr>
  </w:style>
  <w:style w:type="paragraph" w:styleId="18">
    <w:name w:val="Normal (Web)"/>
    <w:basedOn w:val="1"/>
    <w:autoRedefine/>
    <w:qFormat/>
    <w:uiPriority w:val="99"/>
    <w:pPr>
      <w:widowControl/>
      <w:spacing w:before="100" w:beforeAutospacing="1" w:after="100" w:afterAutospacing="1"/>
      <w:jc w:val="left"/>
    </w:pPr>
    <w:rPr>
      <w:rFonts w:ascii="宋体"/>
      <w:kern w:val="0"/>
      <w:szCs w:val="24"/>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cs="Times New Roman"/>
    </w:rPr>
  </w:style>
  <w:style w:type="character" w:styleId="23">
    <w:name w:val="Hyperlink"/>
    <w:basedOn w:val="21"/>
    <w:autoRedefine/>
    <w:unhideWhenUsed/>
    <w:qFormat/>
    <w:uiPriority w:val="99"/>
    <w:rPr>
      <w:color w:val="0000FF" w:themeColor="hyperlink"/>
      <w:u w:val="single"/>
      <w14:textFill>
        <w14:solidFill>
          <w14:schemeClr w14:val="hlink"/>
        </w14:solidFill>
      </w14:textFill>
    </w:rPr>
  </w:style>
  <w:style w:type="character" w:styleId="24">
    <w:name w:val="annotation reference"/>
    <w:autoRedefine/>
    <w:qFormat/>
    <w:uiPriority w:val="99"/>
    <w:rPr>
      <w:rFonts w:cs="Times New Roman"/>
      <w:sz w:val="21"/>
      <w:szCs w:val="21"/>
    </w:rPr>
  </w:style>
  <w:style w:type="paragraph" w:customStyle="1" w:styleId="25">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26">
    <w:name w:val="No Spacing_5b4ffbee-0cfe-4b89-bb79-b81f4a6849b6"/>
    <w:basedOn w:val="1"/>
    <w:autoRedefine/>
    <w:qFormat/>
    <w:uiPriority w:val="1"/>
    <w:pPr>
      <w:spacing w:after="0" w:line="400" w:lineRule="exact"/>
    </w:pPr>
    <w:rPr>
      <w:rFonts w:eastAsia="宋体"/>
      <w:sz w:val="24"/>
    </w:rPr>
  </w:style>
  <w:style w:type="paragraph" w:customStyle="1" w:styleId="27">
    <w:name w:val="无间隔1"/>
    <w:basedOn w:val="1"/>
    <w:autoRedefine/>
    <w:qFormat/>
    <w:uiPriority w:val="1"/>
    <w:rPr>
      <w:rFonts w:eastAsia="宋体"/>
    </w:rPr>
  </w:style>
  <w:style w:type="character" w:customStyle="1" w:styleId="28">
    <w:name w:val="页眉 字符"/>
    <w:basedOn w:val="21"/>
    <w:link w:val="16"/>
    <w:autoRedefine/>
    <w:qFormat/>
    <w:uiPriority w:val="99"/>
    <w:rPr>
      <w:sz w:val="18"/>
      <w:szCs w:val="18"/>
    </w:rPr>
  </w:style>
  <w:style w:type="character" w:customStyle="1" w:styleId="29">
    <w:name w:val="页脚 字符"/>
    <w:basedOn w:val="21"/>
    <w:link w:val="15"/>
    <w:autoRedefine/>
    <w:qFormat/>
    <w:uiPriority w:val="99"/>
    <w:rPr>
      <w:sz w:val="18"/>
      <w:szCs w:val="18"/>
    </w:rPr>
  </w:style>
  <w:style w:type="paragraph" w:styleId="30">
    <w:name w:val="List Paragraph"/>
    <w:basedOn w:val="1"/>
    <w:autoRedefine/>
    <w:qFormat/>
    <w:uiPriority w:val="34"/>
    <w:pPr>
      <w:ind w:firstLine="420" w:firstLineChars="200"/>
    </w:pPr>
  </w:style>
  <w:style w:type="character" w:customStyle="1" w:styleId="31">
    <w:name w:val="日期 字符"/>
    <w:basedOn w:val="21"/>
    <w:link w:val="13"/>
    <w:autoRedefine/>
    <w:semiHidden/>
    <w:qFormat/>
    <w:uiPriority w:val="99"/>
  </w:style>
  <w:style w:type="character" w:customStyle="1" w:styleId="32">
    <w:name w:val="批注框文本 字符"/>
    <w:basedOn w:val="21"/>
    <w:link w:val="14"/>
    <w:autoRedefine/>
    <w:semiHidden/>
    <w:qFormat/>
    <w:uiPriority w:val="99"/>
    <w:rPr>
      <w:rFonts w:asciiTheme="minorHAnsi" w:hAnsiTheme="minorHAnsi" w:eastAsiaTheme="minorEastAsia" w:cstheme="minorBidi"/>
      <w:kern w:val="2"/>
      <w:sz w:val="18"/>
      <w:szCs w:val="18"/>
    </w:rPr>
  </w:style>
  <w:style w:type="character" w:customStyle="1" w:styleId="33">
    <w:name w:val="纯文本 字符"/>
    <w:basedOn w:val="21"/>
    <w:link w:val="12"/>
    <w:autoRedefine/>
    <w:qFormat/>
    <w:uiPriority w:val="99"/>
    <w:rPr>
      <w:rFonts w:ascii="宋体" w:hAnsi="宋体"/>
      <w:sz w:val="21"/>
      <w:szCs w:val="21"/>
    </w:rPr>
  </w:style>
  <w:style w:type="paragraph" w:customStyle="1" w:styleId="34">
    <w:name w:val="p0"/>
    <w:basedOn w:val="1"/>
    <w:autoRedefine/>
    <w:qFormat/>
    <w:uiPriority w:val="99"/>
    <w:pPr>
      <w:widowControl/>
    </w:pPr>
    <w:rPr>
      <w:rFonts w:ascii="Times New Roman" w:hAnsi="Times New Roman"/>
      <w:kern w:val="0"/>
      <w:szCs w:val="21"/>
    </w:rPr>
  </w:style>
  <w:style w:type="paragraph" w:customStyle="1" w:styleId="35">
    <w:name w:val="表格"/>
    <w:basedOn w:val="1"/>
    <w:autoRedefine/>
    <w:qFormat/>
    <w:uiPriority w:val="0"/>
    <w:pPr>
      <w:adjustRightInd w:val="0"/>
      <w:spacing w:line="400" w:lineRule="atLeast"/>
      <w:textAlignment w:val="baseline"/>
    </w:pPr>
    <w:rPr>
      <w:rFonts w:ascii="仿宋_GB2312" w:eastAsia="仿宋_GB2312"/>
      <w:kern w:val="0"/>
      <w:sz w:val="28"/>
      <w:szCs w:val="20"/>
    </w:rPr>
  </w:style>
  <w:style w:type="character" w:customStyle="1" w:styleId="36">
    <w:name w:val="font81"/>
    <w:basedOn w:val="21"/>
    <w:autoRedefine/>
    <w:qFormat/>
    <w:uiPriority w:val="0"/>
    <w:rPr>
      <w:rFonts w:hint="eastAsia" w:ascii="宋体" w:hAnsi="宋体" w:eastAsia="宋体" w:cs="宋体"/>
      <w:color w:val="000000"/>
      <w:sz w:val="20"/>
      <w:szCs w:val="20"/>
      <w:u w:val="none"/>
    </w:rPr>
  </w:style>
  <w:style w:type="character" w:customStyle="1" w:styleId="37">
    <w:name w:val="font101"/>
    <w:basedOn w:val="21"/>
    <w:autoRedefine/>
    <w:qFormat/>
    <w:uiPriority w:val="0"/>
    <w:rPr>
      <w:rFonts w:hint="default" w:ascii="Times New Roman" w:hAnsi="Times New Roman" w:cs="Times New Roman"/>
      <w:color w:val="000000"/>
      <w:sz w:val="20"/>
      <w:szCs w:val="20"/>
      <w:u w:val="none"/>
    </w:rPr>
  </w:style>
  <w:style w:type="character" w:customStyle="1" w:styleId="38">
    <w:name w:val="font41"/>
    <w:basedOn w:val="21"/>
    <w:qFormat/>
    <w:uiPriority w:val="0"/>
    <w:rPr>
      <w:rFonts w:hint="default" w:ascii="Calibri" w:hAnsi="Calibri" w:cs="Calibri"/>
      <w:color w:val="000000"/>
      <w:sz w:val="20"/>
      <w:szCs w:val="20"/>
      <w:u w:val="none"/>
    </w:rPr>
  </w:style>
  <w:style w:type="character" w:customStyle="1" w:styleId="39">
    <w:name w:val="font31"/>
    <w:basedOn w:val="21"/>
    <w:qFormat/>
    <w:uiPriority w:val="0"/>
    <w:rPr>
      <w:rFonts w:hint="eastAsia" w:ascii="宋体" w:hAnsi="宋体" w:eastAsia="宋体" w:cs="宋体"/>
      <w:color w:val="000000"/>
      <w:sz w:val="20"/>
      <w:szCs w:val="20"/>
      <w:u w:val="none"/>
    </w:rPr>
  </w:style>
  <w:style w:type="character" w:customStyle="1" w:styleId="40">
    <w:name w:val="font51"/>
    <w:basedOn w:val="2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27019</Words>
  <Characters>29371</Characters>
  <Lines>8</Lines>
  <Paragraphs>2</Paragraphs>
  <TotalTime>52</TotalTime>
  <ScaleCrop>false</ScaleCrop>
  <LinksUpToDate>false</LinksUpToDate>
  <CharactersWithSpaces>29696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2019-11-08T07:53:00Z</dcterms:created>
  <dc:creator>岳鹏</dc:creator>
  <cp:lastModifiedBy>Ms.h</cp:lastModifiedBy>
  <cp:lastPrinted>2024-04-15T02:02:00Z</cp:lastPrinted>
  <dcterms:modified xsi:type="dcterms:W3CDTF">2024-07-31T09:01:34Z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01A0D642B36C49C8B3E530900168748E_13</vt:lpwstr>
  </property>
</Properties>
</file>