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1D6BF">
      <w:pPr>
        <w:spacing w:line="360" w:lineRule="auto"/>
        <w:rPr>
          <w:rFonts w:hint="eastAsia" w:ascii="宋体" w:hAnsi="宋体" w:cs="宋体"/>
          <w:b/>
          <w:color w:val="auto"/>
          <w:sz w:val="44"/>
          <w:szCs w:val="44"/>
        </w:rPr>
      </w:pPr>
    </w:p>
    <w:p w14:paraId="36653196">
      <w:pPr>
        <w:pStyle w:val="54"/>
        <w:ind w:firstLine="1044" w:firstLineChars="200"/>
        <w:jc w:val="center"/>
        <w:rPr>
          <w:rFonts w:hint="eastAsia" w:hAnsi="宋体" w:cs="宋体"/>
          <w:bCs/>
          <w:color w:val="auto"/>
          <w:sz w:val="52"/>
          <w:szCs w:val="52"/>
        </w:rPr>
      </w:pPr>
    </w:p>
    <w:p w14:paraId="249544D7">
      <w:pPr>
        <w:pStyle w:val="91"/>
        <w:widowControl w:val="0"/>
        <w:autoSpaceDN w:val="0"/>
        <w:spacing w:line="360" w:lineRule="auto"/>
        <w:rPr>
          <w:rFonts w:hint="eastAsia" w:asciiTheme="minorEastAsia" w:hAnsiTheme="minorEastAsia" w:eastAsiaTheme="minorEastAsia" w:cstheme="minorEastAsia"/>
          <w:bCs/>
          <w:color w:val="auto"/>
          <w:sz w:val="48"/>
          <w:szCs w:val="48"/>
        </w:rPr>
      </w:pPr>
    </w:p>
    <w:p w14:paraId="1F088069">
      <w:pPr>
        <w:pStyle w:val="91"/>
        <w:widowControl w:val="0"/>
        <w:autoSpaceDN w:val="0"/>
        <w:spacing w:line="360" w:lineRule="auto"/>
        <w:jc w:val="center"/>
        <w:rPr>
          <w:rFonts w:hint="eastAsia" w:asciiTheme="minorEastAsia" w:hAnsiTheme="minorEastAsia" w:eastAsiaTheme="minorEastAsia" w:cstheme="minorEastAsia"/>
          <w:bCs/>
          <w:color w:val="auto"/>
          <w:sz w:val="48"/>
          <w:szCs w:val="48"/>
        </w:rPr>
      </w:pPr>
    </w:p>
    <w:p w14:paraId="40981E98">
      <w:pPr>
        <w:spacing w:before="156" w:beforeLines="50" w:after="156" w:afterLines="50" w:line="360" w:lineRule="auto"/>
        <w:ind w:right="120" w:rightChars="50"/>
        <w:jc w:val="center"/>
        <w:rPr>
          <w:rFonts w:hint="eastAsia" w:asciiTheme="minorEastAsia" w:hAnsiTheme="minorEastAsia" w:eastAsiaTheme="minorEastAsia" w:cstheme="minorEastAsia"/>
          <w:b/>
          <w:bCs w:val="0"/>
          <w:color w:val="auto"/>
          <w:sz w:val="36"/>
          <w:szCs w:val="36"/>
        </w:rPr>
      </w:pPr>
      <w:r>
        <w:rPr>
          <w:rFonts w:hint="eastAsia" w:asciiTheme="minorEastAsia" w:hAnsiTheme="minorEastAsia" w:eastAsiaTheme="minorEastAsia" w:cstheme="minorEastAsia"/>
          <w:b/>
          <w:bCs w:val="0"/>
          <w:color w:val="auto"/>
          <w:sz w:val="36"/>
          <w:szCs w:val="36"/>
          <w:shd w:val="clear" w:color="auto" w:fill="FFFFFF"/>
        </w:rPr>
        <w:t>悠然居项目</w:t>
      </w:r>
      <w:r>
        <w:rPr>
          <w:rFonts w:hint="eastAsia" w:asciiTheme="minorEastAsia" w:hAnsiTheme="minorEastAsia" w:eastAsiaTheme="minorEastAsia" w:cstheme="minorEastAsia"/>
          <w:b/>
          <w:bCs w:val="0"/>
          <w:color w:val="auto"/>
          <w:sz w:val="36"/>
          <w:szCs w:val="36"/>
          <w:shd w:val="clear" w:color="auto" w:fill="FFFFFF"/>
          <w:lang w:eastAsia="zh-CN"/>
        </w:rPr>
        <w:t>二标段</w:t>
      </w:r>
      <w:r>
        <w:rPr>
          <w:rFonts w:hint="eastAsia" w:asciiTheme="minorEastAsia" w:hAnsiTheme="minorEastAsia" w:eastAsiaTheme="minorEastAsia" w:cstheme="minorEastAsia"/>
          <w:b/>
          <w:bCs w:val="0"/>
          <w:color w:val="auto"/>
          <w:sz w:val="36"/>
          <w:szCs w:val="36"/>
          <w:shd w:val="clear" w:color="auto" w:fill="FFFFFF"/>
        </w:rPr>
        <w:t>公区、大堂及门头精装修工程合同</w:t>
      </w:r>
    </w:p>
    <w:p w14:paraId="3E510C08">
      <w:pPr>
        <w:autoSpaceDN w:val="0"/>
        <w:spacing w:line="360" w:lineRule="auto"/>
        <w:ind w:firstLine="2530" w:firstLineChars="1050"/>
        <w:rPr>
          <w:rFonts w:hint="eastAsia" w:asciiTheme="minorEastAsia" w:hAnsiTheme="minorEastAsia" w:eastAsiaTheme="minorEastAsia" w:cstheme="minorEastAsia"/>
          <w:b/>
          <w:color w:val="auto"/>
          <w:szCs w:val="24"/>
        </w:rPr>
      </w:pPr>
      <w:r>
        <w:rPr>
          <w:rFonts w:hint="eastAsia" w:asciiTheme="minorEastAsia" w:hAnsiTheme="minorEastAsia" w:eastAsiaTheme="minorEastAsia" w:cstheme="minorEastAsia"/>
          <w:b/>
          <w:color w:val="auto"/>
          <w:szCs w:val="24"/>
        </w:rPr>
        <w:t xml:space="preserve">     </w:t>
      </w:r>
    </w:p>
    <w:p w14:paraId="6B702150">
      <w:pPr>
        <w:autoSpaceDN w:val="0"/>
        <w:spacing w:line="360" w:lineRule="auto"/>
        <w:ind w:firstLine="723" w:firstLineChars="300"/>
        <w:rPr>
          <w:rFonts w:hint="eastAsia" w:asciiTheme="minorEastAsia" w:hAnsiTheme="minorEastAsia" w:eastAsiaTheme="minorEastAsia" w:cstheme="minorEastAsia"/>
          <w:b/>
          <w:color w:val="auto"/>
          <w:szCs w:val="24"/>
        </w:rPr>
      </w:pPr>
    </w:p>
    <w:p w14:paraId="13DE8C29">
      <w:pPr>
        <w:autoSpaceDN w:val="0"/>
        <w:spacing w:line="360" w:lineRule="auto"/>
        <w:ind w:firstLine="723" w:firstLineChars="300"/>
        <w:rPr>
          <w:rFonts w:hint="eastAsia" w:asciiTheme="minorEastAsia" w:hAnsiTheme="minorEastAsia" w:eastAsiaTheme="minorEastAsia" w:cstheme="minorEastAsia"/>
          <w:b/>
          <w:color w:val="auto"/>
          <w:szCs w:val="24"/>
        </w:rPr>
      </w:pPr>
    </w:p>
    <w:p w14:paraId="0BF595EB">
      <w:pPr>
        <w:pStyle w:val="2"/>
        <w:rPr>
          <w:rFonts w:hint="eastAsia" w:asciiTheme="minorEastAsia" w:hAnsiTheme="minorEastAsia" w:eastAsiaTheme="minorEastAsia" w:cstheme="minorEastAsia"/>
          <w:b/>
          <w:color w:val="auto"/>
        </w:rPr>
      </w:pPr>
    </w:p>
    <w:p w14:paraId="3F524BF9">
      <w:pPr>
        <w:pStyle w:val="54"/>
        <w:autoSpaceDN w:val="0"/>
        <w:spacing w:line="360" w:lineRule="auto"/>
        <w:ind w:firstLine="723" w:firstLineChars="300"/>
        <w:rPr>
          <w:rFonts w:hint="eastAsia" w:asciiTheme="minorEastAsia" w:hAnsiTheme="minorEastAsia" w:eastAsiaTheme="minorEastAsia" w:cstheme="minorEastAsia"/>
          <w:color w:val="auto"/>
          <w:szCs w:val="24"/>
        </w:rPr>
      </w:pPr>
    </w:p>
    <w:p w14:paraId="6C1A96CD">
      <w:pPr>
        <w:autoSpaceDN w:val="0"/>
        <w:spacing w:line="360" w:lineRule="auto"/>
        <w:ind w:firstLine="723" w:firstLineChars="300"/>
        <w:rPr>
          <w:rFonts w:hint="eastAsia" w:asciiTheme="minorEastAsia" w:hAnsiTheme="minorEastAsia" w:eastAsiaTheme="minorEastAsia" w:cstheme="minorEastAsia"/>
          <w:b/>
          <w:color w:val="auto"/>
          <w:szCs w:val="24"/>
        </w:rPr>
      </w:pPr>
    </w:p>
    <w:p w14:paraId="268BE099">
      <w:pPr>
        <w:autoSpaceDN w:val="0"/>
        <w:spacing w:line="360" w:lineRule="auto"/>
        <w:ind w:firstLine="723" w:firstLineChars="300"/>
        <w:rPr>
          <w:rFonts w:hint="eastAsia" w:asciiTheme="minorEastAsia" w:hAnsiTheme="minorEastAsia" w:eastAsiaTheme="minorEastAsia" w:cstheme="minorEastAsia"/>
          <w:b/>
          <w:color w:val="auto"/>
          <w:szCs w:val="24"/>
        </w:rPr>
      </w:pPr>
    </w:p>
    <w:p w14:paraId="538D2144">
      <w:pPr>
        <w:autoSpaceDN w:val="0"/>
        <w:spacing w:line="360" w:lineRule="auto"/>
        <w:ind w:firstLine="723" w:firstLineChars="300"/>
        <w:rPr>
          <w:rFonts w:hint="eastAsia" w:asciiTheme="minorEastAsia" w:hAnsiTheme="minorEastAsia" w:eastAsiaTheme="minorEastAsia" w:cstheme="minorEastAsia"/>
          <w:b/>
          <w:color w:val="auto"/>
          <w:szCs w:val="24"/>
        </w:rPr>
      </w:pPr>
    </w:p>
    <w:p w14:paraId="24F0F68E">
      <w:pPr>
        <w:autoSpaceDN w:val="0"/>
        <w:spacing w:line="360" w:lineRule="auto"/>
        <w:rPr>
          <w:rFonts w:hint="eastAsia" w:asciiTheme="minorEastAsia" w:hAnsiTheme="minorEastAsia" w:eastAsiaTheme="minorEastAsia" w:cstheme="minorEastAsia"/>
          <w:b/>
          <w:bCs w:val="0"/>
          <w:color w:val="auto"/>
          <w:szCs w:val="24"/>
        </w:rPr>
      </w:pPr>
    </w:p>
    <w:p w14:paraId="1BA3D9C9">
      <w:pPr>
        <w:autoSpaceDN w:val="0"/>
        <w:spacing w:line="360" w:lineRule="auto"/>
        <w:ind w:firstLine="843" w:firstLineChars="280"/>
        <w:rPr>
          <w:rFonts w:hint="eastAsia" w:asciiTheme="minorEastAsia" w:hAnsiTheme="minorEastAsia" w:eastAsiaTheme="minorEastAsia" w:cstheme="minorEastAsia"/>
          <w:b/>
          <w:color w:val="auto"/>
          <w:sz w:val="30"/>
          <w:szCs w:val="30"/>
          <w:highlight w:val="none"/>
          <w:u w:val="single"/>
        </w:rPr>
      </w:pPr>
      <w:r>
        <w:rPr>
          <w:rFonts w:hint="eastAsia" w:asciiTheme="minorEastAsia" w:hAnsiTheme="minorEastAsia" w:eastAsiaTheme="minorEastAsia" w:cstheme="minorEastAsia"/>
          <w:b/>
          <w:color w:val="auto"/>
          <w:sz w:val="30"/>
          <w:szCs w:val="30"/>
        </w:rPr>
        <w:t xml:space="preserve">           </w:t>
      </w:r>
      <w:r>
        <w:rPr>
          <w:rFonts w:hint="eastAsia" w:asciiTheme="minorEastAsia" w:hAnsiTheme="minorEastAsia" w:eastAsiaTheme="minorEastAsia" w:cstheme="minorEastAsia"/>
          <w:b/>
          <w:color w:val="auto"/>
          <w:sz w:val="30"/>
          <w:szCs w:val="30"/>
          <w:highlight w:val="none"/>
        </w:rPr>
        <w:t xml:space="preserve"> 成本代码：</w:t>
      </w:r>
      <w:r>
        <w:rPr>
          <w:rFonts w:hint="eastAsia" w:asciiTheme="minorEastAsia" w:hAnsiTheme="minorEastAsia" w:eastAsiaTheme="minorEastAsia" w:cstheme="minorEastAsia"/>
          <w:b/>
          <w:color w:val="auto"/>
          <w:sz w:val="30"/>
          <w:szCs w:val="30"/>
          <w:highlight w:val="none"/>
          <w:u w:val="single"/>
        </w:rPr>
        <w:t xml:space="preserve"> 3.2.13 </w:t>
      </w:r>
    </w:p>
    <w:p w14:paraId="321F1CA5">
      <w:pPr>
        <w:autoSpaceDN w:val="0"/>
        <w:spacing w:line="360" w:lineRule="auto"/>
        <w:ind w:firstLine="843" w:firstLineChars="280"/>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rPr>
        <w:t xml:space="preserve">           合同编号：</w:t>
      </w:r>
      <w:r>
        <w:rPr>
          <w:rFonts w:hint="eastAsia" w:asciiTheme="minorEastAsia" w:hAnsiTheme="minorEastAsia" w:eastAsiaTheme="minorEastAsia" w:cstheme="minorEastAsia"/>
          <w:b/>
          <w:color w:val="auto"/>
          <w:sz w:val="30"/>
          <w:szCs w:val="30"/>
          <w:highlight w:val="none"/>
          <w:u w:val="single"/>
        </w:rPr>
        <w:t>BLT.JA.0</w:t>
      </w:r>
      <w:r>
        <w:rPr>
          <w:rFonts w:hint="eastAsia" w:asciiTheme="minorEastAsia" w:hAnsiTheme="minorEastAsia" w:eastAsiaTheme="minorEastAsia" w:cstheme="minorEastAsia"/>
          <w:b/>
          <w:color w:val="auto"/>
          <w:sz w:val="30"/>
          <w:szCs w:val="30"/>
          <w:highlight w:val="none"/>
          <w:u w:val="single"/>
          <w:lang w:val="en-US" w:eastAsia="zh-CN"/>
        </w:rPr>
        <w:t>73</w:t>
      </w:r>
    </w:p>
    <w:p w14:paraId="7E66F7DE">
      <w:pPr>
        <w:ind w:firstLine="840" w:firstLineChars="280"/>
        <w:rPr>
          <w:rFonts w:hint="eastAsia" w:asciiTheme="minorEastAsia" w:hAnsiTheme="minorEastAsia" w:eastAsiaTheme="minorEastAsia" w:cstheme="minorEastAsia"/>
          <w:color w:val="auto"/>
          <w:sz w:val="30"/>
          <w:szCs w:val="30"/>
        </w:rPr>
      </w:pPr>
    </w:p>
    <w:p w14:paraId="773CF1BC">
      <w:pPr>
        <w:pStyle w:val="54"/>
        <w:autoSpaceDN w:val="0"/>
        <w:spacing w:line="360" w:lineRule="auto"/>
        <w:ind w:firstLine="843" w:firstLineChars="280"/>
        <w:rPr>
          <w:rFonts w:hint="eastAsia" w:asciiTheme="minorEastAsia" w:hAnsiTheme="minorEastAsia" w:eastAsiaTheme="minorEastAsia" w:cstheme="minorEastAsia"/>
          <w:color w:val="auto"/>
          <w:sz w:val="30"/>
          <w:szCs w:val="30"/>
        </w:rPr>
      </w:pPr>
    </w:p>
    <w:p w14:paraId="35322D2E">
      <w:pPr>
        <w:pStyle w:val="3"/>
        <w:spacing w:line="360" w:lineRule="auto"/>
        <w:rPr>
          <w:rFonts w:hint="eastAsia" w:asciiTheme="minorEastAsia" w:hAnsiTheme="minorEastAsia" w:eastAsiaTheme="minorEastAsia" w:cstheme="minorEastAsia"/>
          <w:color w:val="auto"/>
        </w:rPr>
      </w:pPr>
    </w:p>
    <w:p w14:paraId="7802EEFB">
      <w:pPr>
        <w:pStyle w:val="4"/>
        <w:rPr>
          <w:rFonts w:hint="eastAsia"/>
          <w:color w:val="auto"/>
        </w:rPr>
      </w:pPr>
    </w:p>
    <w:p w14:paraId="6246FB01">
      <w:pPr>
        <w:pStyle w:val="4"/>
        <w:rPr>
          <w:rFonts w:hint="eastAsia" w:asciiTheme="minorEastAsia" w:hAnsiTheme="minorEastAsia" w:eastAsiaTheme="minorEastAsia" w:cstheme="minorEastAsia"/>
          <w:color w:val="auto"/>
        </w:rPr>
      </w:pPr>
    </w:p>
    <w:p w14:paraId="3A8C3018">
      <w:pPr>
        <w:ind w:firstLine="1506" w:firstLineChars="500"/>
        <w:jc w:val="left"/>
        <w:rPr>
          <w:rFonts w:hint="eastAsia" w:asciiTheme="minorEastAsia" w:hAnsiTheme="minorEastAsia" w:eastAsiaTheme="minorEastAsia" w:cstheme="minorEastAsia"/>
          <w:color w:val="auto"/>
          <w:kern w:val="0"/>
          <w:sz w:val="30"/>
          <w:szCs w:val="30"/>
        </w:rPr>
      </w:pPr>
      <w:r>
        <w:rPr>
          <w:rFonts w:hint="eastAsia" w:asciiTheme="minorEastAsia" w:hAnsiTheme="minorEastAsia" w:eastAsiaTheme="minorEastAsia" w:cstheme="minorEastAsia"/>
          <w:b/>
          <w:color w:val="auto"/>
          <w:kern w:val="0"/>
          <w:sz w:val="30"/>
          <w:szCs w:val="30"/>
        </w:rPr>
        <w:t>发 包 人：</w:t>
      </w:r>
      <w:r>
        <w:rPr>
          <w:rFonts w:hint="eastAsia" w:asciiTheme="minorEastAsia" w:hAnsiTheme="minorEastAsia" w:eastAsiaTheme="minorEastAsia" w:cstheme="minorEastAsia"/>
          <w:b/>
          <w:color w:val="auto"/>
          <w:kern w:val="0"/>
          <w:sz w:val="30"/>
          <w:szCs w:val="30"/>
          <w:u w:val="single"/>
        </w:rPr>
        <w:t>河南浩德龙瑞置业有限公司</w:t>
      </w:r>
    </w:p>
    <w:p w14:paraId="72B46D7B">
      <w:pPr>
        <w:ind w:firstLine="1506" w:firstLineChars="500"/>
        <w:jc w:val="left"/>
        <w:rPr>
          <w:rFonts w:hint="eastAsia" w:asciiTheme="minorEastAsia" w:hAnsiTheme="minorEastAsia" w:eastAsiaTheme="minorEastAsia" w:cstheme="minorEastAsia"/>
          <w:b/>
          <w:color w:val="auto"/>
          <w:kern w:val="0"/>
          <w:sz w:val="30"/>
          <w:szCs w:val="30"/>
          <w:u w:val="single"/>
        </w:rPr>
      </w:pPr>
      <w:r>
        <w:rPr>
          <w:rFonts w:hint="eastAsia" w:asciiTheme="minorEastAsia" w:hAnsiTheme="minorEastAsia" w:eastAsiaTheme="minorEastAsia" w:cstheme="minorEastAsia"/>
          <w:b/>
          <w:color w:val="auto"/>
          <w:kern w:val="0"/>
          <w:sz w:val="30"/>
          <w:szCs w:val="30"/>
        </w:rPr>
        <w:t>承 包 人：</w:t>
      </w:r>
      <w:r>
        <w:rPr>
          <w:rFonts w:hint="eastAsia" w:asciiTheme="minorEastAsia" w:hAnsiTheme="minorEastAsia" w:eastAsiaTheme="minorEastAsia" w:cstheme="minorEastAsia"/>
          <w:b/>
          <w:color w:val="auto"/>
          <w:kern w:val="0"/>
          <w:sz w:val="30"/>
          <w:szCs w:val="30"/>
          <w:u w:val="single"/>
        </w:rPr>
        <w:t>万象建设发展有限公司</w:t>
      </w:r>
    </w:p>
    <w:p w14:paraId="48BD7F1D">
      <w:pPr>
        <w:ind w:firstLine="1506" w:firstLineChars="500"/>
        <w:jc w:val="left"/>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b/>
          <w:color w:val="auto"/>
          <w:kern w:val="0"/>
          <w:sz w:val="30"/>
          <w:szCs w:val="30"/>
        </w:rPr>
        <w:t>签订时间：</w:t>
      </w:r>
      <w:r>
        <w:rPr>
          <w:rFonts w:hint="eastAsia" w:asciiTheme="minorEastAsia" w:hAnsiTheme="minorEastAsia" w:eastAsiaTheme="minorEastAsia" w:cstheme="minorEastAsia"/>
          <w:b/>
          <w:color w:val="auto"/>
          <w:kern w:val="0"/>
          <w:sz w:val="30"/>
          <w:szCs w:val="30"/>
          <w:u w:val="single"/>
        </w:rPr>
        <w:t>2024</w:t>
      </w:r>
      <w:r>
        <w:rPr>
          <w:rFonts w:hint="eastAsia" w:asciiTheme="minorEastAsia" w:hAnsiTheme="minorEastAsia" w:eastAsiaTheme="minorEastAsia" w:cstheme="minorEastAsia"/>
          <w:b/>
          <w:color w:val="auto"/>
          <w:kern w:val="0"/>
          <w:sz w:val="30"/>
          <w:szCs w:val="30"/>
        </w:rPr>
        <w:t>年</w:t>
      </w:r>
      <w:r>
        <w:rPr>
          <w:rFonts w:hint="eastAsia" w:asciiTheme="minorEastAsia" w:hAnsiTheme="minorEastAsia" w:eastAsiaTheme="minorEastAsia" w:cstheme="minorEastAsia"/>
          <w:b/>
          <w:color w:val="auto"/>
          <w:kern w:val="0"/>
          <w:sz w:val="30"/>
          <w:szCs w:val="30"/>
          <w:u w:val="single"/>
          <w:lang w:val="en-US" w:eastAsia="zh-CN"/>
        </w:rPr>
        <w:t>7</w:t>
      </w:r>
      <w:r>
        <w:rPr>
          <w:rFonts w:hint="eastAsia" w:asciiTheme="minorEastAsia" w:hAnsiTheme="minorEastAsia" w:eastAsiaTheme="minorEastAsia" w:cstheme="minorEastAsia"/>
          <w:b/>
          <w:color w:val="auto"/>
          <w:kern w:val="0"/>
          <w:sz w:val="30"/>
          <w:szCs w:val="30"/>
        </w:rPr>
        <w:t>月</w:t>
      </w:r>
      <w:r>
        <w:rPr>
          <w:rFonts w:hint="eastAsia" w:asciiTheme="minorEastAsia" w:hAnsiTheme="minorEastAsia" w:eastAsiaTheme="minorEastAsia" w:cstheme="minorEastAsia"/>
          <w:b/>
          <w:color w:val="auto"/>
          <w:kern w:val="0"/>
          <w:sz w:val="30"/>
          <w:szCs w:val="30"/>
          <w:u w:val="single"/>
          <w:lang w:val="en-US" w:eastAsia="zh-CN"/>
        </w:rPr>
        <w:t>18</w:t>
      </w:r>
      <w:r>
        <w:rPr>
          <w:rFonts w:hint="eastAsia" w:asciiTheme="minorEastAsia" w:hAnsiTheme="minorEastAsia" w:eastAsiaTheme="minorEastAsia" w:cstheme="minorEastAsia"/>
          <w:b/>
          <w:color w:val="auto"/>
          <w:kern w:val="0"/>
          <w:sz w:val="30"/>
          <w:szCs w:val="30"/>
        </w:rPr>
        <w:t>日</w:t>
      </w:r>
    </w:p>
    <w:p w14:paraId="0970AC1A">
      <w:pPr>
        <w:spacing w:before="156" w:beforeLines="50" w:after="156" w:afterLines="50" w:line="360" w:lineRule="auto"/>
        <w:ind w:right="120" w:rightChars="50"/>
        <w:jc w:val="center"/>
        <w:rPr>
          <w:rFonts w:hint="eastAsia" w:asciiTheme="minorEastAsia" w:hAnsiTheme="minorEastAsia" w:eastAsiaTheme="minorEastAsia" w:cstheme="minorEastAsia"/>
          <w:b/>
          <w:color w:val="auto"/>
          <w:szCs w:val="24"/>
        </w:rPr>
      </w:pPr>
      <w:r>
        <w:rPr>
          <w:rFonts w:hint="eastAsia" w:asciiTheme="minorEastAsia" w:hAnsiTheme="minorEastAsia" w:eastAsiaTheme="minorEastAsia" w:cstheme="minorEastAsia"/>
          <w:b/>
          <w:color w:val="auto"/>
          <w:sz w:val="32"/>
          <w:szCs w:val="32"/>
          <w:shd w:val="clear" w:color="auto" w:fill="FFFFFF"/>
        </w:rPr>
        <w:t>悠然居</w:t>
      </w:r>
      <w:r>
        <w:rPr>
          <w:rFonts w:hint="eastAsia" w:asciiTheme="minorEastAsia" w:hAnsiTheme="minorEastAsia" w:eastAsiaTheme="minorEastAsia" w:cstheme="minorEastAsia"/>
          <w:b/>
          <w:color w:val="auto"/>
          <w:sz w:val="32"/>
          <w:szCs w:val="32"/>
          <w:shd w:val="clear" w:color="auto" w:fill="FFFFFF"/>
          <w:lang w:eastAsia="zh-CN"/>
        </w:rPr>
        <w:t>项目二标段公区、大堂</w:t>
      </w:r>
      <w:r>
        <w:rPr>
          <w:rFonts w:hint="eastAsia" w:asciiTheme="minorEastAsia" w:hAnsiTheme="minorEastAsia" w:eastAsiaTheme="minorEastAsia" w:cstheme="minorEastAsia"/>
          <w:b/>
          <w:color w:val="auto"/>
          <w:sz w:val="32"/>
          <w:szCs w:val="32"/>
          <w:shd w:val="clear" w:color="auto" w:fill="FFFFFF"/>
        </w:rPr>
        <w:t>及门头精装修工程合同</w:t>
      </w:r>
    </w:p>
    <w:p w14:paraId="484A76D9">
      <w:pPr>
        <w:jc w:val="left"/>
        <w:rPr>
          <w:rFonts w:hint="eastAsia" w:asciiTheme="minorEastAsia" w:hAnsiTheme="minorEastAsia" w:eastAsiaTheme="minorEastAsia" w:cstheme="minorEastAsia"/>
          <w:color w:val="auto"/>
          <w:szCs w:val="24"/>
          <w:u w:val="single"/>
        </w:rPr>
      </w:pPr>
      <w:r>
        <w:rPr>
          <w:rFonts w:hint="eastAsia" w:asciiTheme="minorEastAsia" w:hAnsiTheme="minorEastAsia" w:eastAsiaTheme="minorEastAsia" w:cstheme="minorEastAsia"/>
          <w:b/>
          <w:bCs/>
          <w:color w:val="auto"/>
          <w:kern w:val="0"/>
          <w:position w:val="-10"/>
          <w:szCs w:val="24"/>
        </w:rPr>
        <w:t>发包人（以下简称甲方）</w:t>
      </w:r>
      <w:r>
        <w:rPr>
          <w:rFonts w:hint="eastAsia" w:asciiTheme="minorEastAsia" w:hAnsiTheme="minorEastAsia" w:eastAsiaTheme="minorEastAsia" w:cstheme="minorEastAsia"/>
          <w:b/>
          <w:color w:val="auto"/>
          <w:kern w:val="0"/>
          <w:position w:val="-10"/>
          <w:szCs w:val="24"/>
        </w:rPr>
        <w:t>：</w:t>
      </w:r>
      <w:r>
        <w:rPr>
          <w:rFonts w:hint="eastAsia" w:asciiTheme="minorEastAsia" w:hAnsiTheme="minorEastAsia" w:eastAsiaTheme="minorEastAsia" w:cstheme="minorEastAsia"/>
          <w:bCs/>
          <w:color w:val="auto"/>
          <w:kern w:val="0"/>
          <w:position w:val="-10"/>
          <w:u w:val="single"/>
        </w:rPr>
        <w:t>河南浩德龙瑞置业有限公司</w:t>
      </w:r>
    </w:p>
    <w:p w14:paraId="558974C4">
      <w:pPr>
        <w:pStyle w:val="54"/>
        <w:spacing w:line="360" w:lineRule="auto"/>
        <w:rPr>
          <w:rFonts w:hint="eastAsia" w:asciiTheme="minorEastAsia" w:hAnsiTheme="minorEastAsia" w:eastAsiaTheme="minorEastAsia" w:cstheme="minorEastAsia"/>
          <w:b w:val="0"/>
          <w:bCs/>
          <w:color w:val="auto"/>
        </w:rPr>
      </w:pPr>
      <w:r>
        <w:rPr>
          <w:rFonts w:hint="eastAsia" w:asciiTheme="minorEastAsia" w:hAnsiTheme="minorEastAsia" w:eastAsiaTheme="minorEastAsia" w:cstheme="minorEastAsia"/>
          <w:color w:val="auto"/>
        </w:rPr>
        <w:t>统一社会信用代码：</w:t>
      </w:r>
      <w:r>
        <w:rPr>
          <w:rFonts w:hint="eastAsia" w:asciiTheme="minorEastAsia" w:hAnsiTheme="minorEastAsia" w:eastAsiaTheme="minorEastAsia" w:cstheme="minorEastAsia"/>
          <w:b w:val="0"/>
          <w:bCs/>
          <w:color w:val="auto"/>
          <w:u w:val="single"/>
        </w:rPr>
        <w:t xml:space="preserve"> </w:t>
      </w:r>
      <w:r>
        <w:rPr>
          <w:rFonts w:hint="eastAsia" w:asciiTheme="minorEastAsia" w:hAnsiTheme="minorEastAsia" w:eastAsiaTheme="minorEastAsia" w:cstheme="minorEastAsia"/>
          <w:b w:val="0"/>
          <w:bCs/>
          <w:color w:val="auto"/>
          <w:spacing w:val="0"/>
          <w:szCs w:val="22"/>
          <w:highlight w:val="none"/>
          <w:u w:val="single"/>
          <w:lang w:eastAsia="zh-CN"/>
        </w:rPr>
        <w:t>91410300MA9MYURF5B</w:t>
      </w:r>
      <w:r>
        <w:rPr>
          <w:rFonts w:hint="eastAsia" w:asciiTheme="minorEastAsia" w:hAnsiTheme="minorEastAsia" w:eastAsiaTheme="minorEastAsia" w:cstheme="minorEastAsia"/>
          <w:b w:val="0"/>
          <w:bCs/>
          <w:color w:val="auto"/>
          <w:u w:val="single"/>
        </w:rPr>
        <w:t xml:space="preserve"> </w:t>
      </w:r>
    </w:p>
    <w:p w14:paraId="027967FF">
      <w:pPr>
        <w:pStyle w:val="54"/>
        <w:spacing w:line="360" w:lineRule="auto"/>
        <w:rPr>
          <w:rFonts w:hint="eastAsia" w:asciiTheme="minorEastAsia" w:hAnsiTheme="minorEastAsia" w:eastAsiaTheme="minorEastAsia" w:cstheme="minorEastAsia"/>
          <w:b w:val="0"/>
          <w:bCs/>
          <w:color w:val="auto"/>
          <w:u w:val="single"/>
        </w:rPr>
      </w:pPr>
      <w:r>
        <w:rPr>
          <w:rFonts w:hint="eastAsia" w:asciiTheme="minorEastAsia" w:hAnsiTheme="minorEastAsia" w:eastAsiaTheme="minorEastAsia" w:cstheme="minorEastAsia"/>
          <w:bCs/>
          <w:color w:val="auto"/>
          <w:szCs w:val="24"/>
        </w:rPr>
        <w:t>承包人</w:t>
      </w:r>
      <w:r>
        <w:rPr>
          <w:rFonts w:hint="eastAsia" w:asciiTheme="minorEastAsia" w:hAnsiTheme="minorEastAsia" w:eastAsiaTheme="minorEastAsia" w:cstheme="minorEastAsia"/>
          <w:color w:val="auto"/>
          <w:szCs w:val="24"/>
        </w:rPr>
        <w:t>（以下简称乙方）：</w:t>
      </w:r>
      <w:r>
        <w:rPr>
          <w:rFonts w:hint="eastAsia" w:asciiTheme="minorEastAsia" w:hAnsiTheme="minorEastAsia" w:eastAsiaTheme="minorEastAsia" w:cstheme="minorEastAsia"/>
          <w:b w:val="0"/>
          <w:bCs/>
          <w:color w:val="auto"/>
          <w:u w:val="single"/>
        </w:rPr>
        <w:t>万象建设发展有限公司</w:t>
      </w:r>
    </w:p>
    <w:p w14:paraId="03A41210">
      <w:pPr>
        <w:pStyle w:val="54"/>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统一社会信用代码：</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b w:val="0"/>
          <w:bCs/>
          <w:color w:val="auto"/>
          <w:u w:val="single"/>
        </w:rPr>
        <w:t xml:space="preserve">91410100MA9L529C0T </w:t>
      </w:r>
    </w:p>
    <w:p w14:paraId="5612ED3D">
      <w:pPr>
        <w:wordWrap w:val="0"/>
        <w:topLinePunct/>
        <w:autoSpaceDE w:val="0"/>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依照《中华人民共和国民法典》、《中华人民共和国建筑法》及其他有关法律、行政法规，遵循平等、自愿、公平和诚实信用的原则，双方就</w:t>
      </w:r>
      <w:r>
        <w:rPr>
          <w:rFonts w:hint="eastAsia" w:asciiTheme="minorEastAsia" w:hAnsiTheme="minorEastAsia" w:eastAsiaTheme="minorEastAsia" w:cstheme="minorEastAsia"/>
          <w:color w:val="auto"/>
          <w:szCs w:val="24"/>
          <w:u w:val="single"/>
        </w:rPr>
        <w:t xml:space="preserve"> 悠然居</w:t>
      </w:r>
      <w:r>
        <w:rPr>
          <w:rFonts w:hint="eastAsia" w:asciiTheme="minorEastAsia" w:hAnsiTheme="minorEastAsia" w:eastAsiaTheme="minorEastAsia" w:cstheme="minorEastAsia"/>
          <w:color w:val="auto"/>
          <w:szCs w:val="24"/>
          <w:u w:val="single"/>
          <w:lang w:eastAsia="zh-CN"/>
        </w:rPr>
        <w:t>项目二标段公区、大堂</w:t>
      </w:r>
      <w:r>
        <w:rPr>
          <w:rFonts w:hint="eastAsia" w:asciiTheme="minorEastAsia" w:hAnsiTheme="minorEastAsia" w:eastAsiaTheme="minorEastAsia" w:cstheme="minorEastAsia"/>
          <w:color w:val="auto"/>
          <w:szCs w:val="24"/>
          <w:u w:val="single"/>
        </w:rPr>
        <w:t xml:space="preserve">及门头精装修工程 </w:t>
      </w:r>
      <w:r>
        <w:rPr>
          <w:rFonts w:hint="eastAsia" w:asciiTheme="minorEastAsia" w:hAnsiTheme="minorEastAsia" w:eastAsiaTheme="minorEastAsia" w:cstheme="minorEastAsia"/>
          <w:color w:val="auto"/>
          <w:szCs w:val="24"/>
        </w:rPr>
        <w:t>事项协商一致，订立本合同。</w:t>
      </w:r>
    </w:p>
    <w:p w14:paraId="7DAD4E3E">
      <w:pPr>
        <w:tabs>
          <w:tab w:val="left" w:pos="0"/>
        </w:tabs>
        <w:wordWrap w:val="0"/>
        <w:topLinePunct/>
        <w:autoSpaceDE w:val="0"/>
        <w:spacing w:line="360" w:lineRule="auto"/>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b/>
          <w:bCs/>
          <w:color w:val="auto"/>
          <w:szCs w:val="24"/>
        </w:rPr>
        <w:t>一、工程概况</w:t>
      </w:r>
    </w:p>
    <w:p w14:paraId="25938257">
      <w:pPr>
        <w:wordWrap w:val="0"/>
        <w:topLinePunct/>
        <w:autoSpaceDE w:val="0"/>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1、工程名称：</w:t>
      </w:r>
      <w:r>
        <w:rPr>
          <w:rFonts w:hint="eastAsia" w:asciiTheme="minorEastAsia" w:hAnsiTheme="minorEastAsia" w:eastAsiaTheme="minorEastAsia" w:cstheme="minorEastAsia"/>
          <w:color w:val="auto"/>
          <w:szCs w:val="24"/>
          <w:u w:val="single"/>
        </w:rPr>
        <w:t>悠然居</w:t>
      </w:r>
      <w:r>
        <w:rPr>
          <w:rFonts w:hint="eastAsia" w:asciiTheme="minorEastAsia" w:hAnsiTheme="minorEastAsia" w:eastAsiaTheme="minorEastAsia" w:cstheme="minorEastAsia"/>
          <w:color w:val="auto"/>
          <w:szCs w:val="24"/>
          <w:u w:val="single"/>
          <w:lang w:eastAsia="zh-CN"/>
        </w:rPr>
        <w:t>项目二标段公区、大堂</w:t>
      </w:r>
      <w:r>
        <w:rPr>
          <w:rFonts w:hint="eastAsia" w:asciiTheme="minorEastAsia" w:hAnsiTheme="minorEastAsia" w:eastAsiaTheme="minorEastAsia" w:cstheme="minorEastAsia"/>
          <w:color w:val="auto"/>
          <w:szCs w:val="24"/>
          <w:u w:val="single"/>
        </w:rPr>
        <w:t>及门头精装修工程</w:t>
      </w:r>
      <w:r>
        <w:rPr>
          <w:rFonts w:hint="eastAsia" w:asciiTheme="minorEastAsia" w:hAnsiTheme="minorEastAsia" w:eastAsiaTheme="minorEastAsia" w:cstheme="minorEastAsia"/>
          <w:color w:val="auto"/>
          <w:szCs w:val="24"/>
        </w:rPr>
        <w:t>。</w:t>
      </w:r>
    </w:p>
    <w:p w14:paraId="12C62782">
      <w:pPr>
        <w:wordWrap w:val="0"/>
        <w:topLinePunct/>
        <w:autoSpaceDE w:val="0"/>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2、工程地点：</w:t>
      </w:r>
      <w:r>
        <w:rPr>
          <w:rFonts w:hint="eastAsia" w:asciiTheme="minorEastAsia" w:hAnsiTheme="minorEastAsia" w:eastAsiaTheme="minorEastAsia" w:cstheme="minorEastAsia"/>
          <w:color w:val="auto"/>
          <w:szCs w:val="24"/>
          <w:u w:val="single"/>
        </w:rPr>
        <w:t xml:space="preserve">洛阳市洛龙区渠东路与文景路交叉口东南角 </w:t>
      </w:r>
      <w:r>
        <w:rPr>
          <w:rFonts w:hint="eastAsia" w:asciiTheme="minorEastAsia" w:hAnsiTheme="minorEastAsia" w:eastAsiaTheme="minorEastAsia" w:cstheme="minorEastAsia"/>
          <w:color w:val="auto"/>
          <w:szCs w:val="24"/>
        </w:rPr>
        <w:t>。</w:t>
      </w:r>
    </w:p>
    <w:p w14:paraId="35D68F9E">
      <w:pPr>
        <w:tabs>
          <w:tab w:val="left" w:pos="0"/>
        </w:tabs>
        <w:wordWrap w:val="0"/>
        <w:topLinePunct/>
        <w:autoSpaceDE w:val="0"/>
        <w:spacing w:line="360" w:lineRule="auto"/>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b/>
          <w:bCs/>
          <w:color w:val="auto"/>
          <w:szCs w:val="24"/>
        </w:rPr>
        <w:t>二、工程承包范围</w:t>
      </w:r>
    </w:p>
    <w:p w14:paraId="4367A11A">
      <w:pPr>
        <w:pStyle w:val="54"/>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rPr>
      </w:pPr>
      <w:r>
        <w:rPr>
          <w:rFonts w:hint="eastAsia" w:asciiTheme="minorEastAsia" w:hAnsiTheme="minorEastAsia" w:eastAsiaTheme="minorEastAsia" w:cstheme="minorEastAsia"/>
          <w:b w:val="0"/>
          <w:color w:val="auto"/>
          <w:kern w:val="2"/>
          <w:position w:val="0"/>
          <w:szCs w:val="24"/>
        </w:rPr>
        <w:t>1、承包范围：</w:t>
      </w:r>
      <w:r>
        <w:rPr>
          <w:rFonts w:hint="eastAsia" w:asciiTheme="minorEastAsia" w:hAnsiTheme="minorEastAsia" w:eastAsiaTheme="minorEastAsia" w:cstheme="minorEastAsia"/>
          <w:b w:val="0"/>
          <w:color w:val="auto"/>
          <w:kern w:val="2"/>
          <w:position w:val="0"/>
          <w:szCs w:val="24"/>
          <w:u w:val="single"/>
        </w:rPr>
        <w:t>悠然居项目</w:t>
      </w:r>
      <w:r>
        <w:rPr>
          <w:rFonts w:hint="eastAsia" w:asciiTheme="minorEastAsia" w:hAnsiTheme="minorEastAsia" w:eastAsiaTheme="minorEastAsia" w:cstheme="minorEastAsia"/>
          <w:b w:val="0"/>
          <w:color w:val="auto"/>
          <w:kern w:val="2"/>
          <w:position w:val="0"/>
          <w:szCs w:val="24"/>
          <w:u w:val="single"/>
          <w:lang w:eastAsia="zh-CN"/>
        </w:rPr>
        <w:t>二标段</w:t>
      </w:r>
      <w:r>
        <w:rPr>
          <w:rFonts w:hint="eastAsia" w:asciiTheme="minorEastAsia" w:hAnsiTheme="minorEastAsia" w:eastAsiaTheme="minorEastAsia" w:cstheme="minorEastAsia"/>
          <w:b w:val="0"/>
          <w:color w:val="auto"/>
          <w:kern w:val="2"/>
          <w:position w:val="0"/>
          <w:szCs w:val="24"/>
          <w:u w:val="single"/>
          <w:lang w:val="en-US" w:eastAsia="zh-CN"/>
        </w:rPr>
        <w:t>5#7#8#11#12#13#楼</w:t>
      </w:r>
      <w:r>
        <w:rPr>
          <w:rFonts w:hint="eastAsia" w:asciiTheme="minorEastAsia" w:hAnsiTheme="minorEastAsia" w:eastAsiaTheme="minorEastAsia" w:cstheme="minorEastAsia"/>
          <w:b w:val="0"/>
          <w:color w:val="auto"/>
          <w:kern w:val="2"/>
          <w:position w:val="0"/>
          <w:szCs w:val="24"/>
          <w:u w:val="single"/>
        </w:rPr>
        <w:t>公区、大堂及门头图纸及清单范围内的所有内容，包括但不限于首层大堂内外装、标准层公区、地下一层公区、地下入户大堂、地下光厅、楼梯间</w:t>
      </w:r>
      <w:r>
        <w:rPr>
          <w:rFonts w:hint="eastAsia" w:asciiTheme="minorEastAsia" w:hAnsiTheme="minorEastAsia" w:eastAsiaTheme="minorEastAsia" w:cstheme="minorEastAsia"/>
          <w:b w:val="0"/>
          <w:color w:val="auto"/>
          <w:kern w:val="2"/>
          <w:position w:val="0"/>
          <w:szCs w:val="24"/>
          <w:u w:val="single"/>
          <w:lang w:eastAsia="zh-CN"/>
        </w:rPr>
        <w:t>、大堂门</w:t>
      </w:r>
      <w:r>
        <w:rPr>
          <w:rFonts w:hint="eastAsia" w:asciiTheme="minorEastAsia" w:hAnsiTheme="minorEastAsia" w:eastAsiaTheme="minorEastAsia" w:cstheme="minorEastAsia"/>
          <w:b w:val="0"/>
          <w:color w:val="auto"/>
          <w:kern w:val="2"/>
          <w:position w:val="0"/>
          <w:szCs w:val="24"/>
          <w:u w:val="single"/>
        </w:rPr>
        <w:t>等装饰装修工程。暂定面积5400㎡。</w:t>
      </w:r>
    </w:p>
    <w:p w14:paraId="767AF761">
      <w:pPr>
        <w:pStyle w:val="54"/>
        <w:tabs>
          <w:tab w:val="left" w:pos="5829"/>
        </w:tabs>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rPr>
      </w:pPr>
      <w:r>
        <w:rPr>
          <w:rFonts w:hint="eastAsia" w:asciiTheme="minorEastAsia" w:hAnsiTheme="minorEastAsia" w:eastAsiaTheme="minorEastAsia" w:cstheme="minorEastAsia"/>
          <w:b w:val="0"/>
          <w:color w:val="auto"/>
          <w:kern w:val="2"/>
          <w:position w:val="0"/>
          <w:szCs w:val="24"/>
        </w:rPr>
        <w:t>2、具体详见《图纸》及附件《价格清单》。</w:t>
      </w:r>
    </w:p>
    <w:p w14:paraId="62AAF32E">
      <w:pPr>
        <w:pStyle w:val="54"/>
        <w:tabs>
          <w:tab w:val="left" w:pos="5829"/>
        </w:tabs>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rPr>
      </w:pPr>
      <w:r>
        <w:rPr>
          <w:rFonts w:hint="eastAsia" w:asciiTheme="minorEastAsia" w:hAnsiTheme="minorEastAsia" w:eastAsiaTheme="minorEastAsia" w:cstheme="minorEastAsia"/>
          <w:b w:val="0"/>
          <w:color w:val="auto"/>
          <w:kern w:val="2"/>
          <w:position w:val="0"/>
          <w:szCs w:val="24"/>
        </w:rPr>
        <w:t>3、甲方要求其它内容（包括且不限于</w:t>
      </w:r>
      <w:r>
        <w:rPr>
          <w:rFonts w:hint="eastAsia" w:asciiTheme="minorEastAsia" w:hAnsiTheme="minorEastAsia" w:eastAsiaTheme="minorEastAsia" w:cstheme="minorEastAsia"/>
          <w:b w:val="0"/>
          <w:color w:val="auto"/>
          <w:kern w:val="2"/>
          <w:position w:val="0"/>
          <w:szCs w:val="24"/>
          <w:lang w:eastAsia="zh-CN"/>
        </w:rPr>
        <w:t>承包范围内</w:t>
      </w:r>
      <w:r>
        <w:rPr>
          <w:rFonts w:hint="eastAsia" w:asciiTheme="minorEastAsia" w:hAnsiTheme="minorEastAsia" w:eastAsiaTheme="minorEastAsia" w:cstheme="minorEastAsia"/>
          <w:b w:val="0"/>
          <w:color w:val="auto"/>
          <w:kern w:val="2"/>
          <w:position w:val="0"/>
          <w:szCs w:val="24"/>
        </w:rPr>
        <w:t>通电接线、配合消防及给水等其它后续永久工程提前施工）。</w:t>
      </w:r>
    </w:p>
    <w:p w14:paraId="4652144F">
      <w:pPr>
        <w:numPr>
          <w:ilvl w:val="255"/>
          <w:numId w:val="0"/>
        </w:num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4、界线划分：</w:t>
      </w:r>
    </w:p>
    <w:p w14:paraId="03465E3E">
      <w:pPr>
        <w:numPr>
          <w:ilvl w:val="255"/>
          <w:numId w:val="0"/>
        </w:numPr>
        <w:spacing w:line="360" w:lineRule="auto"/>
        <w:ind w:firstLine="480" w:firstLineChars="200"/>
        <w:rPr>
          <w:rFonts w:hint="eastAsia" w:asciiTheme="minorEastAsia" w:hAnsiTheme="minorEastAsia" w:eastAsiaTheme="minorEastAsia" w:cstheme="minorEastAsia"/>
          <w:color w:val="auto"/>
          <w:szCs w:val="24"/>
          <w:lang w:eastAsia="zh-CN"/>
        </w:rPr>
      </w:pPr>
      <w:r>
        <w:rPr>
          <w:rFonts w:hint="eastAsia" w:asciiTheme="minorEastAsia" w:hAnsiTheme="minorEastAsia" w:eastAsiaTheme="minorEastAsia" w:cstheme="minorEastAsia"/>
          <w:color w:val="auto"/>
          <w:szCs w:val="24"/>
        </w:rPr>
        <w:t>具体</w:t>
      </w:r>
      <w:r>
        <w:rPr>
          <w:rFonts w:hint="eastAsia" w:asciiTheme="minorEastAsia" w:hAnsiTheme="minorEastAsia" w:eastAsiaTheme="minorEastAsia" w:cstheme="minorEastAsia"/>
          <w:color w:val="auto"/>
          <w:szCs w:val="24"/>
          <w:lang w:eastAsia="zh-CN"/>
        </w:rPr>
        <w:t>按甲方书面</w:t>
      </w:r>
      <w:r>
        <w:rPr>
          <w:rFonts w:hint="eastAsia" w:asciiTheme="minorEastAsia" w:hAnsiTheme="minorEastAsia" w:eastAsiaTheme="minorEastAsia" w:cstheme="minorEastAsia"/>
          <w:color w:val="auto"/>
          <w:szCs w:val="24"/>
        </w:rPr>
        <w:t>界定</w:t>
      </w:r>
      <w:r>
        <w:rPr>
          <w:rFonts w:hint="eastAsia" w:asciiTheme="minorEastAsia" w:hAnsiTheme="minorEastAsia" w:eastAsiaTheme="minorEastAsia" w:cstheme="minorEastAsia"/>
          <w:color w:val="auto"/>
          <w:szCs w:val="24"/>
          <w:lang w:eastAsia="zh-CN"/>
        </w:rPr>
        <w:t>。</w:t>
      </w:r>
    </w:p>
    <w:p w14:paraId="37D69B6B">
      <w:pPr>
        <w:pStyle w:val="54"/>
        <w:wordWrap w:val="0"/>
        <w:topLinePunct/>
        <w:autoSpaceDE w:val="0"/>
        <w:spacing w:line="360" w:lineRule="auto"/>
        <w:rPr>
          <w:rFonts w:hint="eastAsia" w:asciiTheme="minorEastAsia" w:hAnsiTheme="minorEastAsia" w:eastAsiaTheme="minorEastAsia" w:cstheme="minorEastAsia"/>
          <w:b w:val="0"/>
          <w:color w:val="auto"/>
          <w:szCs w:val="24"/>
        </w:rPr>
      </w:pPr>
      <w:r>
        <w:rPr>
          <w:rFonts w:hint="eastAsia" w:asciiTheme="minorEastAsia" w:hAnsiTheme="minorEastAsia" w:eastAsiaTheme="minorEastAsia" w:cstheme="minorEastAsia"/>
          <w:color w:val="auto"/>
          <w:szCs w:val="24"/>
        </w:rPr>
        <w:t>三、承包方式</w:t>
      </w:r>
    </w:p>
    <w:p w14:paraId="66617E6F">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1、合同承包方式：全费用固定总价包干。</w:t>
      </w:r>
    </w:p>
    <w:p w14:paraId="2BCF3A1E">
      <w:pPr>
        <w:pStyle w:val="54"/>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rPr>
      </w:pPr>
      <w:r>
        <w:rPr>
          <w:rFonts w:hint="eastAsia" w:asciiTheme="minorEastAsia" w:hAnsiTheme="minorEastAsia" w:eastAsiaTheme="minorEastAsia" w:cstheme="minorEastAsia"/>
          <w:b w:val="0"/>
          <w:color w:val="auto"/>
          <w:kern w:val="2"/>
          <w:position w:val="0"/>
          <w:szCs w:val="24"/>
        </w:rPr>
        <w:t>2、全费用固定总价是甲方根据本合同要求就单位产品应向乙方支付的所有费用，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14:paraId="167F38EA">
      <w:pPr>
        <w:pStyle w:val="54"/>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rPr>
      </w:pPr>
      <w:r>
        <w:rPr>
          <w:rFonts w:hint="eastAsia" w:asciiTheme="minorEastAsia" w:hAnsiTheme="minorEastAsia" w:eastAsiaTheme="minorEastAsia" w:cstheme="minorEastAsia"/>
          <w:b w:val="0"/>
          <w:color w:val="auto"/>
          <w:kern w:val="2"/>
          <w:position w:val="0"/>
          <w:szCs w:val="24"/>
        </w:rPr>
        <w:t>3、无论原材料市场有何变动，任何一方均不能以任何理由调整本合同的各分项工程固定综合单价。</w:t>
      </w:r>
    </w:p>
    <w:p w14:paraId="75E27103">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4、各分项工程施工图或报价清单中没有说明但在施工过程中为完成各分项工程必须完成的所有工作，视为已经包含在各分项工程固定总价中。各分项工程固定综合单价结算时不做任何调整。</w:t>
      </w:r>
    </w:p>
    <w:p w14:paraId="7E3FBDBC">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5、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14:paraId="633CD56A">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6、施工过程中经甲方认可的实际施工方案仅作为甲方对乙方技术方案的肯定，不作为计价依据，甲方不接受乙方重新组价或者调价的要求。</w:t>
      </w:r>
    </w:p>
    <w:p w14:paraId="666D531A">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包括因深化点位对原有墙体的拆改及修补），不再另计，乙方的报价必须考虑深化后的施工图纸基层做法，不因施工过程中对图纸的深化、做法的不同而增加基层施工的费用。</w:t>
      </w:r>
    </w:p>
    <w:p w14:paraId="57D13F9F">
      <w:pPr>
        <w:pStyle w:val="54"/>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rPr>
      </w:pPr>
      <w:r>
        <w:rPr>
          <w:rFonts w:hint="eastAsia" w:asciiTheme="minorEastAsia" w:hAnsiTheme="minorEastAsia" w:eastAsiaTheme="minorEastAsia" w:cstheme="minorEastAsia"/>
          <w:b w:val="0"/>
          <w:color w:val="auto"/>
          <w:kern w:val="2"/>
          <w:position w:val="0"/>
          <w:szCs w:val="24"/>
        </w:rPr>
        <w:t>8、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14:paraId="5CE0E16C">
      <w:pPr>
        <w:pStyle w:val="54"/>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rPr>
      </w:pPr>
      <w:r>
        <w:rPr>
          <w:rFonts w:hint="eastAsia" w:asciiTheme="minorEastAsia" w:hAnsiTheme="minorEastAsia" w:eastAsiaTheme="minorEastAsia" w:cstheme="minorEastAsia"/>
          <w:b w:val="0"/>
          <w:color w:val="auto"/>
          <w:kern w:val="2"/>
          <w:position w:val="0"/>
          <w:szCs w:val="24"/>
          <w:highlight w:val="none"/>
          <w:lang w:val="en-US" w:eastAsia="zh-CN"/>
        </w:rPr>
        <w:t>9、本工程优先施工样板，样板段需经甲方验收合格后方进行后续大区施工，若样板段验收不合格，甲方有权无责对后续合同及施工内容另行分包，双方就已完成部分进行合同结算。</w:t>
      </w:r>
    </w:p>
    <w:p w14:paraId="543027AD">
      <w:pPr>
        <w:wordWrap w:val="0"/>
        <w:topLinePunct/>
        <w:autoSpaceDE w:val="0"/>
        <w:spacing w:line="360" w:lineRule="auto"/>
        <w:rPr>
          <w:rFonts w:hint="eastAsia" w:asciiTheme="minorEastAsia" w:hAnsiTheme="minorEastAsia" w:eastAsiaTheme="minorEastAsia" w:cstheme="minorEastAsia"/>
          <w:bCs/>
          <w:color w:val="auto"/>
          <w:szCs w:val="24"/>
        </w:rPr>
      </w:pPr>
      <w:r>
        <w:rPr>
          <w:rFonts w:hint="eastAsia" w:asciiTheme="minorEastAsia" w:hAnsiTheme="minorEastAsia" w:eastAsiaTheme="minorEastAsia" w:cstheme="minorEastAsia"/>
          <w:b/>
          <w:bCs/>
          <w:color w:val="auto"/>
          <w:szCs w:val="24"/>
        </w:rPr>
        <w:t>四、工期要求</w:t>
      </w:r>
    </w:p>
    <w:p w14:paraId="35067120">
      <w:pPr>
        <w:wordWrap w:val="0"/>
        <w:topLinePunct/>
        <w:autoSpaceDE w:val="0"/>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1、本施工工期为 90 日历天，分批次施工，首次进场时间暂定于7月5日 ，具体开工时间以甲方发出的书面通知为准。</w:t>
      </w:r>
    </w:p>
    <w:p w14:paraId="17C98D89">
      <w:pPr>
        <w:wordWrap w:val="0"/>
        <w:topLinePunct/>
        <w:autoSpaceDE w:val="0"/>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 xml:space="preserve">2、施工过程中如遇甲方责任或需明确允许工期顺延的各种情况所延误的工期，经甲、乙双方签证认可后予以调整，并在此基础上确定完工日期。 </w:t>
      </w:r>
    </w:p>
    <w:p w14:paraId="397D01D3">
      <w:pPr>
        <w:wordWrap w:val="0"/>
        <w:topLinePunct/>
        <w:autoSpaceDE w:val="0"/>
        <w:spacing w:line="360" w:lineRule="auto"/>
        <w:rPr>
          <w:rFonts w:hint="eastAsia" w:asciiTheme="minorEastAsia" w:hAnsiTheme="minorEastAsia" w:eastAsiaTheme="minorEastAsia" w:cstheme="minorEastAsia"/>
          <w:b/>
          <w:bCs/>
          <w:color w:val="auto"/>
          <w:szCs w:val="24"/>
        </w:rPr>
      </w:pPr>
      <w:r>
        <w:rPr>
          <w:rFonts w:hint="eastAsia" w:asciiTheme="minorEastAsia" w:hAnsiTheme="minorEastAsia" w:eastAsiaTheme="minorEastAsia" w:cstheme="minorEastAsia"/>
          <w:b/>
          <w:bCs/>
          <w:color w:val="auto"/>
          <w:szCs w:val="24"/>
        </w:rPr>
        <w:t>五、合同价格</w:t>
      </w:r>
    </w:p>
    <w:p w14:paraId="1D6F0E95">
      <w:pPr>
        <w:pStyle w:val="55"/>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1、合同含税固定总价为¥</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highlight w:val="none"/>
          <w:u w:val="single"/>
        </w:rPr>
        <w:t>5800000.00</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rPr>
        <w:t>元（大写人民币</w:t>
      </w:r>
      <w:r>
        <w:rPr>
          <w:rFonts w:hint="eastAsia" w:asciiTheme="minorEastAsia" w:hAnsiTheme="minorEastAsia" w:eastAsiaTheme="minorEastAsia" w:cstheme="minorEastAsia"/>
          <w:color w:val="auto"/>
          <w:szCs w:val="24"/>
          <w:u w:val="single"/>
        </w:rPr>
        <w:t xml:space="preserve"> 伍佰捌拾万元整 </w:t>
      </w:r>
      <w:r>
        <w:rPr>
          <w:rFonts w:hint="eastAsia" w:asciiTheme="minorEastAsia" w:hAnsiTheme="minorEastAsia" w:eastAsiaTheme="minorEastAsia" w:cstheme="minorEastAsia"/>
          <w:color w:val="auto"/>
          <w:szCs w:val="24"/>
        </w:rPr>
        <w:t>（以下简称“合同总价”）。其中不含税金额为¥</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highlight w:val="none"/>
          <w:u w:val="single"/>
        </w:rPr>
        <w:t>5321100.92</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rPr>
        <w:t>元（大写人民币</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highlight w:val="none"/>
          <w:u w:val="single"/>
        </w:rPr>
        <w:t>伍佰叁拾贰万壹仟壹佰元玖角贰分</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rPr>
        <w:t>元），增值税税金为¥</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highlight w:val="none"/>
          <w:u w:val="single"/>
        </w:rPr>
        <w:t>478899.08</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rPr>
        <w:t>元（大写人民币</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highlight w:val="none"/>
          <w:u w:val="single"/>
        </w:rPr>
        <w:t>肆拾柒万捌仟捌佰玖拾玖元零角捌分</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rPr>
        <w:t>），税率</w:t>
      </w:r>
      <w:r>
        <w:rPr>
          <w:rFonts w:hint="eastAsia" w:asciiTheme="minorEastAsia" w:hAnsiTheme="minorEastAsia" w:eastAsiaTheme="minorEastAsia" w:cstheme="minorEastAsia"/>
          <w:color w:val="auto"/>
          <w:szCs w:val="24"/>
          <w:u w:val="single"/>
        </w:rPr>
        <w:t xml:space="preserve"> 9 </w:t>
      </w:r>
      <w:r>
        <w:rPr>
          <w:rFonts w:hint="eastAsia" w:asciiTheme="minorEastAsia" w:hAnsiTheme="minorEastAsia" w:eastAsiaTheme="minorEastAsia" w:cstheme="minorEastAsia"/>
          <w:color w:val="auto"/>
          <w:szCs w:val="24"/>
        </w:rPr>
        <w:t>%。详见附件《价格清单》。</w:t>
      </w:r>
    </w:p>
    <w:p w14:paraId="0651D585">
      <w:pPr>
        <w:pStyle w:val="55"/>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 xml:space="preserve">2、增值税税率说明： </w:t>
      </w:r>
    </w:p>
    <w:p w14:paraId="2B13DF24">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2.1、合同价增值税税率按</w:t>
      </w:r>
      <w:r>
        <w:rPr>
          <w:rFonts w:hint="eastAsia" w:asciiTheme="minorEastAsia" w:hAnsiTheme="minorEastAsia" w:eastAsiaTheme="minorEastAsia" w:cstheme="minorEastAsia"/>
          <w:color w:val="auto"/>
          <w:u w:val="single"/>
        </w:rPr>
        <w:t xml:space="preserve"> 9 </w:t>
      </w:r>
      <w:r>
        <w:rPr>
          <w:rFonts w:hint="eastAsia" w:asciiTheme="minorEastAsia" w:hAnsiTheme="minorEastAsia" w:eastAsiaTheme="minorEastAsia" w:cstheme="minorEastAsia"/>
          <w:color w:val="auto"/>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14:paraId="11D1C4A5">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2.2、如因乙方纳税资格变更引起增值税税率变化，风险由乙方自行承担（税率增加的，甲方仍按原税率支付税金；税率减小的，甲方按减小后的税率支付税金）。</w:t>
      </w:r>
    </w:p>
    <w:p w14:paraId="31288C7E">
      <w:pPr>
        <w:pStyle w:val="54"/>
        <w:tabs>
          <w:tab w:val="left" w:pos="0"/>
        </w:tabs>
        <w:wordWrap w:val="0"/>
        <w:topLinePunct/>
        <w:autoSpaceDE w:val="0"/>
        <w:spacing w:line="360" w:lineRule="auto"/>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六、工程价款支付 （分批次施工，按月进度付款）</w:t>
      </w:r>
    </w:p>
    <w:p w14:paraId="7AB4AC98">
      <w:pPr>
        <w:numPr>
          <w:ilvl w:val="0"/>
          <w:numId w:val="2"/>
        </w:numPr>
        <w:spacing w:line="360" w:lineRule="auto"/>
        <w:ind w:firstLine="480" w:firstLineChars="200"/>
        <w:rPr>
          <w:rFonts w:hint="eastAsia" w:asciiTheme="minorEastAsia" w:hAnsiTheme="minorEastAsia" w:eastAsiaTheme="minorEastAsia" w:cstheme="minorEastAsia"/>
          <w:color w:val="auto"/>
        </w:rPr>
      </w:pPr>
      <w:bookmarkStart w:id="0" w:name="_GoBack"/>
      <w:r>
        <w:rPr>
          <w:rFonts w:hint="eastAsia" w:ascii="宋体" w:hAnsi="宋体"/>
          <w:color w:val="auto"/>
        </w:rPr>
        <w:t>每批次按月形象进度进行付款,乙方每月25日前提交本月工程形象进度说明、预算报表、付款申请单等付款资料，甲方审核后</w:t>
      </w:r>
      <w:r>
        <w:rPr>
          <w:rFonts w:hint="eastAsia" w:asciiTheme="minorEastAsia" w:hAnsiTheme="minorEastAsia" w:eastAsiaTheme="minorEastAsia" w:cstheme="minorEastAsia"/>
          <w:color w:val="auto"/>
        </w:rPr>
        <w:t>甲方向乙方支付至已完工程价款及对应材料款的80%；</w:t>
      </w:r>
    </w:p>
    <w:p w14:paraId="2C32ECCD">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2、每批次全部施工完成精保洁后，移交甲方，甲方向乙方支付至已完工程价款的85%；</w:t>
      </w:r>
    </w:p>
    <w:p w14:paraId="1E70BAD6">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3、经甲方及监理验收合格，竣工资料完成，配合甲方完成结算后，支付至整个工程结算金额的97%；</w:t>
      </w:r>
    </w:p>
    <w:p w14:paraId="120D2306">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4、工程剩余金额（即结算金额的3%）留为质保金。工程质保期为</w:t>
      </w:r>
      <w:r>
        <w:rPr>
          <w:rFonts w:hint="eastAsia" w:asciiTheme="minorEastAsia" w:hAnsiTheme="minorEastAsia" w:eastAsiaTheme="minorEastAsia" w:cstheme="minorEastAsia"/>
          <w:color w:val="auto"/>
          <w:lang w:eastAsia="zh-CN"/>
        </w:rPr>
        <w:t>两</w:t>
      </w:r>
      <w:r>
        <w:rPr>
          <w:rFonts w:hint="eastAsia" w:asciiTheme="minorEastAsia" w:hAnsiTheme="minorEastAsia" w:eastAsiaTheme="minorEastAsia" w:cstheme="minorEastAsia"/>
          <w:color w:val="auto"/>
        </w:rPr>
        <w:t>年，自工程全部施工完成，并经甲方、监理及相关部门验收合格之日起开始计算。质保期满且无质量问题无息退还剩余款项（若有）。</w:t>
      </w:r>
      <w:bookmarkEnd w:id="0"/>
      <w:r>
        <w:rPr>
          <w:rFonts w:hint="eastAsia" w:asciiTheme="minorEastAsia" w:hAnsiTheme="minorEastAsia" w:eastAsiaTheme="minorEastAsia" w:cstheme="minorEastAsia"/>
          <w:color w:val="auto"/>
        </w:rPr>
        <w:t>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14:paraId="6336F069">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tab/>
      </w:r>
    </w:p>
    <w:p w14:paraId="504A1D0D">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25EBE8F7">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7、对发票不合规的约定：</w:t>
      </w:r>
    </w:p>
    <w:p w14:paraId="5B1C29FC">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7.1、乙方提供的发票为增值税专用发票的，因乙方迟延送达、开具错误等原因导致其提供的增值税专用发票没有通过税务部门认证，造成甲方不能抵扣的，甲方有权拒绝接收。</w:t>
      </w:r>
    </w:p>
    <w:p w14:paraId="3A8933DA">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14:paraId="20ACAC6D">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8、其他税务风险的合同约定：</w:t>
      </w:r>
    </w:p>
    <w:p w14:paraId="655F5B48">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8.1、如果甲方丢失增值税专用发票联和抵扣联，乙方应向甲方提供专用发票记账联复印件，并加盖乙方发票专用章。</w:t>
      </w:r>
    </w:p>
    <w:p w14:paraId="7E702F0D">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8.2、如果获得开具的汇总专用发票，则乙方应提供其防伪税控系统开具的《销售货物或者提供应税劳务清单》，并加盖发票专用章。</w:t>
      </w:r>
    </w:p>
    <w:p w14:paraId="47B7D707">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14:paraId="6B788634">
      <w:pPr>
        <w:pStyle w:val="7"/>
        <w:keepNext w:val="0"/>
        <w:keepLines w:val="0"/>
        <w:numPr>
          <w:ilvl w:val="0"/>
          <w:numId w:val="0"/>
        </w:numP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七、甲方现场移交标准</w:t>
      </w:r>
    </w:p>
    <w:p w14:paraId="6D230032">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1、本工程移交界面为工地现状条件，且乙方已充分踏勘现场，对工地现状条件下施工所需的措施费等相关费用已综合考虑在固定合同总价内。</w:t>
      </w:r>
    </w:p>
    <w:p w14:paraId="7B3BABC4">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2、甲方只负责告知施工现场堆放材料的场地，乙方自行解决施工及管理人员住宿办公场所，由此产生的费用由乙方自行承担。</w:t>
      </w:r>
    </w:p>
    <w:p w14:paraId="3A6BF33B">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3、甲方告知水源电源接驳点，接驳工作及接驳费用、施工过程中产生的水电费用由乙方承担。</w:t>
      </w:r>
    </w:p>
    <w:p w14:paraId="559ED820">
      <w:pPr>
        <w:pStyle w:val="54"/>
        <w:tabs>
          <w:tab w:val="left" w:pos="0"/>
        </w:tabs>
        <w:wordWrap w:val="0"/>
        <w:topLinePunct/>
        <w:spacing w:line="360" w:lineRule="auto"/>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八、材料供应要求：</w:t>
      </w:r>
    </w:p>
    <w:p w14:paraId="36184418">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14:paraId="54A3DCA6">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 xml:space="preserve">2、在施工时材料在进场前必须先经甲方书面认可后方能进场，否则甲方有权清退相关材料，由此产生的费用由乙方承担。甲方有权自主决定是否改为甲供材料，乙方对此不能有任何异议； </w:t>
      </w:r>
    </w:p>
    <w:p w14:paraId="06FBB3DE">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14:paraId="5EED1A93">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乙方在购置设备及材料前必须经甲方、监理书面认可后方可采购。乙方采购的设备、材料等在进场前要先向甲方和监理方填报《材料、设备进场报验单》，经甲方和监理验收合格并书面签证认可后方能进场，且使用前应按有关规定进行自检或按甲方要求进行检验或试验，不合格的不得使用，检验或试验费用由乙方承担。甲方的认可及/或签证并不视为对乙方供应设备及材料的质量合格的认可，也不因此免除乙方对设备及材料的质量瑕疵担保的责任。未经甲方和监理工程师检查认可的设备、材料不得进场；已进场但自检或甲方检验不合格的设备、材料应清退出场，由此造成的责任及损失由乙方负责。</w:t>
      </w:r>
    </w:p>
    <w:p w14:paraId="5D182FA2">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本工程承包范围内使用的全部设备、材料及产品必须满足合格品规定，满足国家标准和行业标准，并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14:paraId="4962BC42">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乙方采购的材料设备品牌（合同内有具体材料设备品牌约定的材料），未经甲方许可，乙方不得擅自更换品牌；若乙方擅自更换采购的材料设备不符合合同约定的品牌、厂家、产地、材质、工艺、规格、型号等标准或者存在“假冒伪劣”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三倍金额另行向甲方支付惩罚性赔偿（该惩罚性赔偿不足伍万元的，按伍万元计）。若乙方要求更换合同约定材料品牌，须乙方书面申请并经甲方书面审批通过，更换材料应确保与原品牌同等档次，更换材料后甲方保留价格调整的权利（即：引起价格调增的部分甲方不予调整，价格调减的部分甲方可据实调减）。</w:t>
      </w:r>
    </w:p>
    <w:p w14:paraId="20834541">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7、材料品牌约定详见附件三《材料品牌表》。</w:t>
      </w:r>
    </w:p>
    <w:p w14:paraId="1862BFE1">
      <w:pPr>
        <w:pStyle w:val="54"/>
        <w:tabs>
          <w:tab w:val="left" w:pos="0"/>
        </w:tabs>
        <w:wordWrap w:val="0"/>
        <w:topLinePunct/>
        <w:autoSpaceDE w:val="0"/>
        <w:spacing w:line="360" w:lineRule="auto"/>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九、工程质量要求</w:t>
      </w:r>
    </w:p>
    <w:p w14:paraId="07E10DA8">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1、施工质量标准：合格。全部工程（包括材料、工艺等）应符合按合同约定、设计图纸及现行的国家相关行业及工程所在地的技术规范及质量验收评定标准，具体评定标准及奖罚条例如下：</w:t>
      </w:r>
    </w:p>
    <w:p w14:paraId="31DF621E">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1.1、按照有关验收规范和国家标准执行，工程质量为合格。</w:t>
      </w:r>
    </w:p>
    <w:p w14:paraId="3A2801F7">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1.2、不合格工程不予验收和结算，且乙方应赔偿甲方因此遭受的一切损失。</w:t>
      </w:r>
    </w:p>
    <w:p w14:paraId="3AB57D4A">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2、工程质量控制要求：所有装修装饰工程必须达到设计图纸和国家现行施工规范的技术要求。工程质量达不到要求的应予以免费返工，直到达到要求为止，若由此而造成的损失和工程逾期的，由乙方负责。</w:t>
      </w:r>
    </w:p>
    <w:p w14:paraId="54EDDBDD">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3、工程质量必须符合设计图纸及相应设计文件的要求，验收标准执行现行国家质量验收及施工规范和地方行政管理部门制定的规范文件。</w:t>
      </w:r>
    </w:p>
    <w:p w14:paraId="10CA4DE1">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14:paraId="04565E99">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5、乙方在施工现场组织施工时应做好现场成品保护工作，禁止私自拆除或破坏现有成品。如必须拆除或改变需书面报请甲方同意。成品保护需满足附件六</w:t>
      </w:r>
      <w:r>
        <w:rPr>
          <w:rFonts w:hint="eastAsia" w:asciiTheme="minorEastAsia" w:hAnsiTheme="minorEastAsia" w:eastAsiaTheme="minorEastAsia" w:cstheme="minorEastAsia"/>
          <w:color w:val="auto"/>
          <w:szCs w:val="28"/>
        </w:rPr>
        <w:t>《成品保护标准》中对应的要求。</w:t>
      </w:r>
    </w:p>
    <w:p w14:paraId="57F0DABD">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6、如果发生以下情形，甲方有权要求整改，情节严重的甲方有权解除合同，由此造成的损失乙方承担：</w:t>
      </w:r>
    </w:p>
    <w:p w14:paraId="2E6F3C70">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6.1、不按合同约定的要求施工；</w:t>
      </w:r>
    </w:p>
    <w:p w14:paraId="01A49669">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6.2、违反正常施工程序、施工工艺进行野蛮施工；</w:t>
      </w:r>
    </w:p>
    <w:p w14:paraId="519E645A">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6.3、施工质量、安全、环保等达不到有关要求；</w:t>
      </w:r>
    </w:p>
    <w:p w14:paraId="4255646D">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6.4、施工材料不符合本合同规定的品牌或材质的。</w:t>
      </w:r>
    </w:p>
    <w:p w14:paraId="3360DE48">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7、施工厂区每项工序需做到工完料清。</w:t>
      </w:r>
    </w:p>
    <w:p w14:paraId="3A42B55B">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14:paraId="6122915C">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9、国家现行的有关规范、法规及行业标准；</w:t>
      </w:r>
    </w:p>
    <w:p w14:paraId="5724FAB9">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10、应采用的主要设计、施工、检验、评定标准。</w:t>
      </w:r>
    </w:p>
    <w:p w14:paraId="7755DAFE">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(1)《建筑工程施工质量验收统一标准》GB50300-2013</w:t>
      </w:r>
    </w:p>
    <w:p w14:paraId="0D57058D">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(2)《建筑工程质量验收规范》GB50210-2018</w:t>
      </w:r>
    </w:p>
    <w:p w14:paraId="01815316">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(3)与本工程有关的技术规范和验收标准</w:t>
      </w:r>
    </w:p>
    <w:p w14:paraId="7740FA73">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(3.1)《建筑工程施工质量验收统一标准》GB50300-2013</w:t>
      </w:r>
    </w:p>
    <w:p w14:paraId="2C2E6477">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(3.2)《建筑工程质量验收规范》GB50210-2018</w:t>
      </w:r>
    </w:p>
    <w:p w14:paraId="5177EA81">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 xml:space="preserve">(3.3) 《住宅装饰装修工程施工规范》GB50327-2001 </w:t>
      </w:r>
    </w:p>
    <w:p w14:paraId="613EACDD">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11、其他施工及验收规范、质量检验评定标准：</w:t>
      </w:r>
    </w:p>
    <w:p w14:paraId="5ACA8DE2">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(1)《砌体工程施工质量验收规范》GB50203--2019</w:t>
      </w:r>
    </w:p>
    <w:p w14:paraId="31CEA1EC">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(2)《混凝土工程施工质量验收规范》GB50204—2015</w:t>
      </w:r>
    </w:p>
    <w:p w14:paraId="10F1F843">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（3）《建筑电气工程施工质量验收规范》GB50303—2015</w:t>
      </w:r>
    </w:p>
    <w:p w14:paraId="728C64E6">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（4）《河南省工程建设标准设计》12YJ</w:t>
      </w:r>
    </w:p>
    <w:p w14:paraId="3B287E71">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（5）《建筑施工安全检查标准》JGJ59-2011</w:t>
      </w:r>
    </w:p>
    <w:p w14:paraId="7A247ABF">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（6）《施工现场临时用电安全技术规范》JGJ46-2005</w:t>
      </w:r>
    </w:p>
    <w:p w14:paraId="69C2F1DC">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（7）《建筑涂饰工程施工及验收规程》JGJ/T29-2003</w:t>
      </w:r>
    </w:p>
    <w:p w14:paraId="765051B2">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（8）《建筑装饰装修工程质量验收规范》GB50210-2018</w:t>
      </w:r>
    </w:p>
    <w:p w14:paraId="414429D2">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（9）《安全防范工程技术规范》GB50348-2018</w:t>
      </w:r>
    </w:p>
    <w:p w14:paraId="75E39509">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（10）《综合布线系统工程验收规范》 GBT 50312-2016</w:t>
      </w:r>
    </w:p>
    <w:p w14:paraId="0BD688A7">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（11）《建筑给水排水及采暖工程施工质量验收规范》GB50242-2002</w:t>
      </w:r>
    </w:p>
    <w:p w14:paraId="266B9F6C">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（12）《综合布线系统工程验收规范》 GBT 50312-2016</w:t>
      </w:r>
    </w:p>
    <w:p w14:paraId="40EF3F0C">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（13）工程质量同时需满足《中浩德地产集团工程精细化手册1.0工艺标准》中对应的要求。</w:t>
      </w:r>
    </w:p>
    <w:p w14:paraId="0B0A253A">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12、施工及选用设备和材料时按最近的国际或国内标准执行，并提供采用的国际或国内标准、规范和所 应用的最新版本的有关技术依据资料。</w:t>
      </w:r>
    </w:p>
    <w:p w14:paraId="63F550DF">
      <w:pPr>
        <w:tabs>
          <w:tab w:val="left" w:pos="0"/>
        </w:tabs>
        <w:wordWrap w:val="0"/>
        <w:topLinePunct/>
        <w:autoSpaceDE w:val="0"/>
        <w:spacing w:line="360" w:lineRule="auto"/>
        <w:rPr>
          <w:rFonts w:hint="eastAsia" w:asciiTheme="minorEastAsia" w:hAnsiTheme="minorEastAsia" w:eastAsiaTheme="minorEastAsia" w:cstheme="minorEastAsia"/>
          <w:b/>
          <w:bCs/>
          <w:color w:val="auto"/>
          <w:szCs w:val="24"/>
        </w:rPr>
      </w:pPr>
      <w:r>
        <w:rPr>
          <w:rFonts w:hint="eastAsia" w:asciiTheme="minorEastAsia" w:hAnsiTheme="minorEastAsia" w:eastAsiaTheme="minorEastAsia" w:cstheme="minorEastAsia"/>
          <w:b/>
          <w:bCs/>
          <w:color w:val="auto"/>
          <w:szCs w:val="24"/>
        </w:rPr>
        <w:t>十、现场安全文明施工及管理要求</w:t>
      </w:r>
    </w:p>
    <w:p w14:paraId="5F928077">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14:paraId="12DF7242">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2、乙方及乙方施工人员在现场包括但不限于因用水、用电、高空作业、使用机器发生伤亡事故的，其经济责任、法律责任和其他民事责任均由乙方负责。</w:t>
      </w:r>
    </w:p>
    <w:p w14:paraId="38592064">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14:paraId="32287F0C">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4、施工现场用电器具应有接地、接零装置和线路布置规范化，安全防护措施到位。乙方自身职工、与甲方有关的第三方人员在现场发生伤亡事故，其经济责任、法律责任和其他民事责任均由乙方负责。</w:t>
      </w:r>
    </w:p>
    <w:p w14:paraId="70E15F79">
      <w:pPr>
        <w:pStyle w:val="3"/>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5、乙方应加强对现场施工人员的教育。施工现场严禁酗酒、打架斗殴、赌博和其他违法违章现象，每发现一次，乙方按2000元/次向甲方支付违约金，</w:t>
      </w:r>
      <w:r>
        <w:rPr>
          <w:rFonts w:hint="eastAsia" w:hAnsi="宋体"/>
          <w:color w:val="auto"/>
        </w:rPr>
        <w:t>乙方任何人员不得以任何理由出现围堵售楼部、公司、政府部门等现象，每发现一次，乙方向甲方支付违约金10万元，</w:t>
      </w:r>
      <w:r>
        <w:rPr>
          <w:rFonts w:hint="eastAsia" w:hAnsi="宋体"/>
          <w:color w:val="auto"/>
          <w:kern w:val="2"/>
          <w:szCs w:val="22"/>
        </w:rPr>
        <w:t>乙方在施工期间，合同约定项目经理必须24小时在场，甲方、监理随时对乙方项目经理在岗履职情况进行考评，如每发现1次项目经理无故不在岗，乙方向甲方支付违约金5000元。</w:t>
      </w:r>
    </w:p>
    <w:p w14:paraId="0B887A9D">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14:paraId="1B8C6D6D">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7、乙方需遵守甲方、监理及总承包单位的相关安全规程制度，否则按相关制度进行处罚。</w:t>
      </w:r>
    </w:p>
    <w:p w14:paraId="7DD6EB8E">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8、乙方在施工中要服从甲方及监理人员的统一指挥，做好防尘防噪措施，各项措施和管理达到洛阳市文明建设的有关规定。现场施工实行工完场清制度，垃圾及时清运出场。</w:t>
      </w:r>
    </w:p>
    <w:p w14:paraId="2C15391B">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9、乙方应保证施工现场的卫生标准、噪声标准等指标满足国家、地方的有关规定。施工中因乙方违反规定造成的损失和发生的费用（若主管部门罚款）均由乙方承担。</w:t>
      </w:r>
    </w:p>
    <w:p w14:paraId="5FEED715">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10、施工过程中如发生扰民或民扰，由乙方与甲方协调解决，费用乙方承担。</w:t>
      </w:r>
    </w:p>
    <w:p w14:paraId="5000BBEA">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11、安全文明施工标准应符合《浩德地产安全文明措施标准化手册2022版》的相关要求。</w:t>
      </w:r>
    </w:p>
    <w:p w14:paraId="4A73A053">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12、现场安全文明施工、进度及质量等未尽事宜参照《悠然居项目现场管理制度》执行。</w:t>
      </w:r>
    </w:p>
    <w:p w14:paraId="2D397B05">
      <w:pPr>
        <w:pStyle w:val="7"/>
        <w:keepNext w:val="0"/>
        <w:keepLines w:val="0"/>
        <w:numPr>
          <w:ilvl w:val="0"/>
          <w:numId w:val="0"/>
        </w:numP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十一、验收及移交</w:t>
      </w:r>
    </w:p>
    <w:p w14:paraId="5F82F3A6">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14:paraId="1A105135">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1.1、甲方可委托任何设计单位、政府有关质量监督部门或其他单位对施工质量进行检查及对工程质量进行监督，乙方应予积极配合。</w:t>
      </w:r>
    </w:p>
    <w:p w14:paraId="73128ED0">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1.2、甲方有权利随时对本合同范围内产品的生产过程及到场产品进行检查，乙方应予以积极配合，如甲方认定产品的用料、工艺及产品质量不合格，乙方应立即按照合同质量要求重新生产，且工期不予顺延。</w:t>
      </w:r>
    </w:p>
    <w:p w14:paraId="04A8A66B">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1.3、本工程的质量监督验收单位为：甲方、监理方。</w:t>
      </w:r>
    </w:p>
    <w:p w14:paraId="18E3499A">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1.4、工程验收必须以合同约定的质量要求、材料品牌、规格、型号、施工图纸及有关变更的书面文件、国家颁布的施工及验收规范和质量检验标准为依据。乙方施工有防火要求的门窗必须满足施工图设计要求，乙方要负责消防验收通过。</w:t>
      </w:r>
    </w:p>
    <w:p w14:paraId="6F0E8286">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1.5、隐蔽工程由乙方书面通知甲方、监理，由甲方 、监理相关工程技术人员到现场检查验收，经验收合格后并履行隐蔽工程签证手续，乙方可将该部位隐蔽。未经甲方监理验收私自进行隐蔽，甲方有权要求进行破坏性检查，同时乙方承担2000元/次的违约。</w:t>
      </w:r>
    </w:p>
    <w:p w14:paraId="19399762">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14:paraId="61C79AE2">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1.7、验收中如发现不合格需返工或修补的部分，乙方应及时进行整改并在规定期限内完成。由此发生的费用及产生的逾期完工责任由乙方承担；</w:t>
      </w:r>
    </w:p>
    <w:p w14:paraId="38D54C5F">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p>
    <w:p w14:paraId="10DC6AD5">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1.9、工程验收合格后5个工作日内，乙方负责按工程竣工资料归档要求，提交满足相关建筑工程质量监督部门对技术资料的要求的竣工资料，把有关资料送交甲方。</w:t>
      </w:r>
    </w:p>
    <w:p w14:paraId="756E8111">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14:paraId="17CB49B6">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1.11、办理竣工验收、合格证、检测费用等由乙方自行承担。</w:t>
      </w:r>
    </w:p>
    <w:p w14:paraId="33FC47F7">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2、工程的移交：</w:t>
      </w:r>
    </w:p>
    <w:p w14:paraId="3F2E8EB7">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2.1、交房前精装修所有范围内（含精装甲分包、甲供材）所有安保责任均由乙方承担，出现物品丢失，由乙方按照购买同种类及同品质产品的重购价进行赔偿。</w:t>
      </w:r>
    </w:p>
    <w:p w14:paraId="4412F177">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2.2、本工程竣工验收合格之日起3日内由双方负责人共同洽谈交接事宜并办理移交手续。工程自移交第二日起，全部由甲方负责管理。</w:t>
      </w:r>
    </w:p>
    <w:p w14:paraId="0AA9ABAA">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14:paraId="24CB189C">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2.4、工程在未移交甲方之前，乙方承担维护及管理责任；如甲方提前使用，因使用损坏发生的修理费用由甲方承担。</w:t>
      </w:r>
    </w:p>
    <w:p w14:paraId="6D5EBED9">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2.5、工程竣工并达到合同验收要求后，乙方不得因自身的经济纠纷或其他任何原因（含甲方延期付款等）而拒绝交付工程；如乙方拒绝移交工程的，自应当移交工程之日起，乙方每日需向甲方按照合同总价0.5‰承担违约责任，甲方有权从应付未付款项中扣除，应付未付款项不足以抵扣的，乙方应当补足。</w:t>
      </w:r>
    </w:p>
    <w:p w14:paraId="5270A281">
      <w:pPr>
        <w:tabs>
          <w:tab w:val="left" w:pos="0"/>
        </w:tabs>
        <w:wordWrap w:val="0"/>
        <w:topLinePunct/>
        <w:autoSpaceDE w:val="0"/>
        <w:spacing w:line="360" w:lineRule="auto"/>
        <w:rPr>
          <w:rFonts w:hint="eastAsia" w:asciiTheme="minorEastAsia" w:hAnsiTheme="minorEastAsia" w:eastAsiaTheme="minorEastAsia" w:cstheme="minorEastAsia"/>
          <w:b/>
          <w:bCs/>
          <w:color w:val="auto"/>
          <w:szCs w:val="24"/>
        </w:rPr>
      </w:pPr>
      <w:r>
        <w:rPr>
          <w:rFonts w:hint="eastAsia" w:asciiTheme="minorEastAsia" w:hAnsiTheme="minorEastAsia" w:eastAsiaTheme="minorEastAsia" w:cstheme="minorEastAsia"/>
          <w:b/>
          <w:bCs/>
          <w:color w:val="auto"/>
          <w:szCs w:val="24"/>
        </w:rPr>
        <w:t>十二、工程变更、签证</w:t>
      </w:r>
    </w:p>
    <w:p w14:paraId="5D2FED69">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1、乙方应严格按照经甲方审核签认的施工图纸施工，不得随意变更；若确需变更，应按程序报甲方书面同意后，方可变更施工，否则造成的一切后果及责任均由乙方负责。</w:t>
      </w:r>
    </w:p>
    <w:p w14:paraId="018AE1CA">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rPr>
        <w:t>，并不因此要求赔偿/补偿。</w:t>
      </w:r>
    </w:p>
    <w:p w14:paraId="4DCB1977">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14:paraId="7D0DE244">
      <w:pPr>
        <w:pStyle w:val="2"/>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2"/>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14:paraId="20443CD0">
      <w:pPr>
        <w:pStyle w:val="2"/>
        <w:wordWrap w:val="0"/>
        <w:topLinePunct/>
        <w:autoSpaceDE w:val="0"/>
        <w:rPr>
          <w:rFonts w:hint="eastAsia" w:asciiTheme="minorEastAsia" w:hAnsiTheme="minorEastAsia" w:eastAsiaTheme="minorEastAsia" w:cstheme="minorEastAsia"/>
          <w:b/>
          <w:bCs/>
          <w:color w:val="auto"/>
          <w:szCs w:val="24"/>
        </w:rPr>
      </w:pPr>
      <w:r>
        <w:rPr>
          <w:rFonts w:hint="eastAsia" w:asciiTheme="minorEastAsia" w:hAnsiTheme="minorEastAsia" w:eastAsiaTheme="minorEastAsia" w:cstheme="minorEastAsia"/>
          <w:b/>
          <w:bCs/>
          <w:color w:val="auto"/>
          <w:szCs w:val="24"/>
        </w:rPr>
        <w:t>十三、结算方式</w:t>
      </w:r>
    </w:p>
    <w:p w14:paraId="10CB9486">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1、结算依据：甲方审核签认的施工设计方案、甲方认可的变更签证、施工合同、补充协议、招标、投标文件等。</w:t>
      </w:r>
    </w:p>
    <w:p w14:paraId="76D98772">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2、结算价款＝固定总价合同±变更、签证造价－其他应扣费用（含违约金）。</w:t>
      </w:r>
    </w:p>
    <w:p w14:paraId="42BDE132">
      <w:pPr>
        <w:snapToGrid w:val="0"/>
        <w:spacing w:line="360" w:lineRule="auto"/>
        <w:ind w:firstLine="470" w:firstLineChars="196"/>
        <w:jc w:val="left"/>
        <w:rPr>
          <w:rFonts w:hint="eastAsia" w:asciiTheme="minorEastAsia" w:hAnsiTheme="minorEastAsia" w:eastAsiaTheme="minorEastAsia" w:cstheme="min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3</w:t>
      </w:r>
      <w:r>
        <w:rPr>
          <w:rFonts w:hint="eastAsia" w:asciiTheme="majorEastAsia" w:hAnsiTheme="majorEastAsia" w:eastAsiaTheme="majorEastAsia" w:cstheme="majorEastAsia"/>
          <w:color w:val="auto"/>
          <w:sz w:val="24"/>
          <w:szCs w:val="24"/>
          <w:highlight w:val="none"/>
        </w:rPr>
        <w:t>、</w:t>
      </w:r>
      <w:r>
        <w:rPr>
          <w:rFonts w:hint="eastAsia" w:asciiTheme="minorEastAsia" w:hAnsiTheme="minorEastAsia" w:eastAsiaTheme="minorEastAsia" w:cstheme="minorEastAsia"/>
          <w:color w:val="auto"/>
          <w:sz w:val="24"/>
          <w:szCs w:val="24"/>
          <w:highlight w:val="none"/>
        </w:rPr>
        <w:t>工程全部完工，经项目所在地具有管辖权政府职能部门验收合格且出具合格验收意见文件后30日内乙方提交装订成册完整的工程竣工结算资料两套，逾期提交或提交资料不合格，由此产生未能及时结算的责任由乙方承担。若乙方在上述时间内不提交结算资料，甲方有权单独进行结算，乙方应接受甲方结算结果；若提交资料不完整（遗漏或后补资料）视为放弃；放弃部分甲方只计算变更减少部分，不再计算变更增加部分，乙方不得提出异议，由此产生的未能及时结算的责任由乙方自己承担。甲方成本部门收到乙方提交合格的结算资料后90个工作日内审查完毕并通知乙方，乙方接到结算审查通知后10个工作日内确认或提出异议，逾期视为已认可甲方审查意见</w:t>
      </w:r>
      <w:r>
        <w:rPr>
          <w:rFonts w:hint="eastAsia" w:asciiTheme="minorEastAsia" w:hAnsiTheme="minorEastAsia" w:cstheme="minorEastAsia"/>
          <w:color w:val="auto"/>
          <w:sz w:val="24"/>
          <w:szCs w:val="24"/>
          <w:highlight w:val="none"/>
          <w:lang w:eastAsia="zh-CN"/>
        </w:rPr>
        <w:t>，最终结算金额以审计结果为准</w:t>
      </w:r>
      <w:r>
        <w:rPr>
          <w:rFonts w:hint="eastAsia" w:asciiTheme="minorEastAsia" w:hAnsiTheme="minorEastAsia" w:eastAsiaTheme="minorEastAsia" w:cstheme="minorEastAsia"/>
          <w:color w:val="auto"/>
          <w:sz w:val="24"/>
          <w:szCs w:val="24"/>
          <w:highlight w:val="none"/>
        </w:rPr>
        <w:t>。</w:t>
      </w:r>
    </w:p>
    <w:p w14:paraId="3D062040">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4、乙方报送结算书应诚实准确，若最终审减额（报送金额—结算金额）超过结算金额的5%，则需要乙方向甲方支付超出5%部分的费用的3%作为违约金，且违约金在结算金额中一次性扣除。</w:t>
      </w:r>
    </w:p>
    <w:p w14:paraId="2783BE85">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5、办理竣工验收、合格证、检测费用等由乙方自行承担。</w:t>
      </w:r>
    </w:p>
    <w:p w14:paraId="47B297B0">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6、若甲方需在本合同约定的承包范围以外委托乙方完成其他工作，应以正式书面形式将具体工作范围、价款、完成时间、付款方式等主要内容通知乙方。若无正式书面委托，甲方不予结算。</w:t>
      </w:r>
    </w:p>
    <w:p w14:paraId="0E10C5FE">
      <w:pPr>
        <w:pStyle w:val="7"/>
        <w:keepNext w:val="0"/>
        <w:keepLines w:val="0"/>
        <w:numPr>
          <w:ilvl w:val="0"/>
          <w:numId w:val="0"/>
        </w:numPr>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十四、质保期</w:t>
      </w:r>
    </w:p>
    <w:p w14:paraId="7585DECC">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1、本工程的质保期为</w:t>
      </w:r>
      <w:r>
        <w:rPr>
          <w:rFonts w:hint="eastAsia" w:asciiTheme="minorEastAsia" w:hAnsiTheme="minorEastAsia" w:eastAsiaTheme="minorEastAsia" w:cstheme="minorEastAsia"/>
          <w:color w:val="auto"/>
          <w:lang w:eastAsia="zh-CN"/>
        </w:rPr>
        <w:t>两</w:t>
      </w:r>
      <w:r>
        <w:rPr>
          <w:rFonts w:hint="eastAsia" w:asciiTheme="minorEastAsia" w:hAnsiTheme="minorEastAsia" w:eastAsiaTheme="minorEastAsia" w:cstheme="minorEastAsia"/>
          <w:color w:val="auto"/>
        </w:rPr>
        <w:t>年，自工程全部施工完成，经甲方、监理及相关部门验收合格之日起开始计算。</w:t>
      </w:r>
    </w:p>
    <w:p w14:paraId="14D13A29">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14:paraId="7F496D0B">
      <w:pPr>
        <w:pStyle w:val="2"/>
        <w:wordWrap/>
        <w:overflowPunct/>
        <w:topLinePunct w:val="0"/>
        <w:autoSpaceDE/>
        <w:ind w:firstLine="0" w:firstLineChars="0"/>
        <w:outlineLvl w:val="0"/>
        <w:rPr>
          <w:rFonts w:hint="eastAsia" w:asciiTheme="minorEastAsia" w:hAnsiTheme="minorEastAsia" w:eastAsiaTheme="minorEastAsia" w:cstheme="minorEastAsia"/>
          <w:b/>
          <w:bCs/>
          <w:color w:val="auto"/>
          <w:sz w:val="24"/>
          <w:szCs w:val="24"/>
          <w:highlight w:val="none"/>
        </w:rPr>
      </w:pPr>
      <w:r>
        <w:rPr>
          <w:rFonts w:hint="eastAsia" w:asciiTheme="majorEastAsia" w:hAnsiTheme="majorEastAsia" w:eastAsiaTheme="majorEastAsia" w:cstheme="majorEastAsia"/>
          <w:b/>
          <w:bCs/>
          <w:color w:val="auto"/>
          <w:sz w:val="24"/>
          <w:szCs w:val="24"/>
          <w:highlight w:val="none"/>
        </w:rPr>
        <w:t>十</w:t>
      </w:r>
      <w:r>
        <w:rPr>
          <w:rFonts w:hint="eastAsia" w:asciiTheme="majorEastAsia" w:hAnsiTheme="majorEastAsia" w:eastAsiaTheme="majorEastAsia" w:cstheme="majorEastAsia"/>
          <w:b/>
          <w:bCs/>
          <w:color w:val="auto"/>
          <w:sz w:val="24"/>
          <w:szCs w:val="24"/>
          <w:highlight w:val="none"/>
          <w:lang w:eastAsia="zh-CN"/>
        </w:rPr>
        <w:t>五</w:t>
      </w:r>
      <w:r>
        <w:rPr>
          <w:rFonts w:hint="eastAsia" w:asciiTheme="majorEastAsia" w:hAnsiTheme="majorEastAsia" w:eastAsiaTheme="majorEastAsia" w:cstheme="maj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rPr>
        <w:t>履约保证金</w:t>
      </w:r>
    </w:p>
    <w:p w14:paraId="6A539EC7">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1、采用现金形式缴纳投标保证金的，在中标后自动转为履约保证金</w:t>
      </w:r>
      <w:r>
        <w:rPr>
          <w:rFonts w:hint="eastAsia" w:asciiTheme="minorEastAsia" w:hAnsiTheme="minorEastAsia" w:cstheme="minorEastAsia"/>
          <w:color w:val="auto"/>
          <w:sz w:val="24"/>
          <w:szCs w:val="24"/>
          <w:highlight w:val="none"/>
          <w:lang w:eastAsia="zh-CN"/>
        </w:rPr>
        <w:t>。</w:t>
      </w:r>
    </w:p>
    <w:p w14:paraId="6884A7D6">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用银行保函形式的，在合同签订后20日历天内完成合同金额的0.5%现金履约保证金的缴纳或出具合同金额的1%的银行履约保函。逾期未现金缴纳或者未开具保函的，在第一次付款时按合同金额1%进行工程款扣除作为履约保证金。</w:t>
      </w:r>
    </w:p>
    <w:p w14:paraId="70B4DE72">
      <w:pPr>
        <w:pStyle w:val="98"/>
        <w:numPr>
          <w:ilvl w:val="1"/>
          <w:numId w:val="0"/>
        </w:numPr>
        <w:tabs>
          <w:tab w:val="left" w:pos="907"/>
        </w:tabs>
        <w:wordWrap w:val="0"/>
        <w:overflowPunct w:val="0"/>
        <w:topLinePunct/>
        <w:autoSpaceDE w:val="0"/>
        <w:spacing w:before="156" w:beforeLines="50" w:after="156" w:afterLines="50"/>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color w:val="auto"/>
          <w:sz w:val="24"/>
          <w:szCs w:val="24"/>
          <w:highlight w:val="none"/>
        </w:rPr>
        <w:t>3、履约保证金的期限自合同签订之日起至施工完成且验收合格。</w:t>
      </w:r>
    </w:p>
    <w:p w14:paraId="72226095">
      <w:pPr>
        <w:pStyle w:val="2"/>
        <w:overflowPunct w:val="0"/>
        <w:spacing w:line="360" w:lineRule="auto"/>
        <w:ind w:firstLineChars="2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eastAsia="zh-CN"/>
        </w:rPr>
        <w:t>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eastAsia="zh-CN"/>
        </w:rPr>
        <w:t>现金保证金</w:t>
      </w:r>
      <w:r>
        <w:rPr>
          <w:rFonts w:hint="eastAsia" w:asciiTheme="minorEastAsia" w:hAnsiTheme="minorEastAsia" w:eastAsiaTheme="minorEastAsia" w:cstheme="minorEastAsia"/>
          <w:color w:val="auto"/>
          <w:sz w:val="24"/>
          <w:szCs w:val="24"/>
          <w:highlight w:val="none"/>
        </w:rPr>
        <w:t>全部工程施工完成经甲方、监理及相关部门验收合格后7日内</w:t>
      </w:r>
      <w:r>
        <w:rPr>
          <w:rFonts w:hint="eastAsia" w:asciiTheme="minorEastAsia" w:hAnsiTheme="minorEastAsia" w:cstheme="minorEastAsia"/>
          <w:color w:val="auto"/>
          <w:sz w:val="24"/>
          <w:szCs w:val="24"/>
          <w:highlight w:val="none"/>
          <w:lang w:eastAsia="zh-CN"/>
        </w:rPr>
        <w:t>由工程申请</w:t>
      </w:r>
      <w:r>
        <w:rPr>
          <w:rFonts w:hint="eastAsia" w:asciiTheme="minorEastAsia" w:hAnsiTheme="minorEastAsia" w:eastAsiaTheme="minorEastAsia" w:cstheme="minorEastAsia"/>
          <w:color w:val="auto"/>
          <w:sz w:val="24"/>
          <w:szCs w:val="24"/>
          <w:highlight w:val="none"/>
        </w:rPr>
        <w:t>无息退还剩余履约保证金（若有）。</w:t>
      </w:r>
    </w:p>
    <w:p w14:paraId="4FC6840C">
      <w:pPr>
        <w:pStyle w:val="2"/>
        <w:tabs>
          <w:tab w:val="left" w:pos="0"/>
        </w:tabs>
        <w:ind w:firstLine="480" w:firstLineChars="200"/>
        <w:rPr>
          <w:rFonts w:hint="eastAsia"/>
          <w:color w:val="auto"/>
        </w:rPr>
      </w:pPr>
      <w:r>
        <w:rPr>
          <w:rFonts w:hint="eastAsia" w:asciiTheme="minorEastAsia" w:hAnsiTheme="minorEastAsia" w:cstheme="minorEastAsia"/>
          <w:color w:val="auto"/>
          <w:sz w:val="24"/>
          <w:szCs w:val="24"/>
          <w:highlight w:val="none"/>
          <w:lang w:eastAsia="zh-CN"/>
        </w:rPr>
        <w:t>5</w:t>
      </w:r>
      <w:r>
        <w:rPr>
          <w:rFonts w:hint="eastAsia" w:asciiTheme="minorEastAsia" w:hAnsiTheme="minorEastAsia" w:eastAsiaTheme="minorEastAsia" w:cstheme="minorEastAsia"/>
          <w:color w:val="auto"/>
          <w:sz w:val="24"/>
          <w:szCs w:val="24"/>
          <w:highlight w:val="none"/>
        </w:rPr>
        <w:t xml:space="preserve">、凡在工期、工程质量、安全文明施工等要求中，任何一项要求没有达到本合同约定，甲方有权按比例或全额扣除乙方履约保证金，乙方应7日内予以补足，否则，甲方有权在应付款项中暂时扣除用于补足履约保证金。 </w:t>
      </w:r>
    </w:p>
    <w:p w14:paraId="428B42CB">
      <w:pPr>
        <w:pStyle w:val="2"/>
        <w:rPr>
          <w:rFonts w:hint="eastAsia"/>
          <w:color w:val="auto"/>
        </w:rPr>
      </w:pPr>
    </w:p>
    <w:p w14:paraId="2212C29D">
      <w:pPr>
        <w:pStyle w:val="2"/>
        <w:tabs>
          <w:tab w:val="left" w:pos="0"/>
        </w:tabs>
        <w:wordWrap w:val="0"/>
        <w:topLinePunct/>
        <w:autoSpaceDE w:val="0"/>
        <w:rPr>
          <w:rFonts w:hint="eastAsia" w:asciiTheme="minorEastAsia" w:hAnsiTheme="minorEastAsia" w:eastAsiaTheme="minorEastAsia" w:cstheme="minorEastAsia"/>
          <w:b/>
          <w:color w:val="auto"/>
          <w:szCs w:val="24"/>
        </w:rPr>
      </w:pPr>
      <w:r>
        <w:rPr>
          <w:rFonts w:hint="eastAsia" w:asciiTheme="minorEastAsia" w:hAnsiTheme="minorEastAsia" w:eastAsiaTheme="minorEastAsia" w:cstheme="minorEastAsia"/>
          <w:b/>
          <w:bCs/>
          <w:color w:val="auto"/>
          <w:szCs w:val="24"/>
        </w:rPr>
        <w:t>十</w:t>
      </w:r>
      <w:r>
        <w:rPr>
          <w:rFonts w:hint="eastAsia" w:asciiTheme="minorEastAsia" w:hAnsiTheme="minorEastAsia" w:eastAsiaTheme="minorEastAsia" w:cstheme="minorEastAsia"/>
          <w:b/>
          <w:bCs/>
          <w:color w:val="auto"/>
          <w:szCs w:val="24"/>
          <w:lang w:eastAsia="zh-CN"/>
        </w:rPr>
        <w:t>六</w:t>
      </w:r>
      <w:r>
        <w:rPr>
          <w:rFonts w:hint="eastAsia" w:asciiTheme="minorEastAsia" w:hAnsiTheme="minorEastAsia" w:eastAsiaTheme="minorEastAsia" w:cstheme="minorEastAsia"/>
          <w:b/>
          <w:bCs/>
          <w:color w:val="auto"/>
          <w:szCs w:val="24"/>
        </w:rPr>
        <w:t>、双方责任与义务</w:t>
      </w:r>
    </w:p>
    <w:p w14:paraId="389808FA">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1、甲方的责任与义务</w:t>
      </w:r>
    </w:p>
    <w:p w14:paraId="248B0CC7">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4"/>
        </w:rPr>
        <w:t>1.1、遵守法律、法规和规章，甲方应在其实施本合同的全部工作中遵守与本合同有关的法律、法规和规章，并应承担由于其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rPr>
        <w:t>自身违反上述法律、法规和规章的责任。</w:t>
      </w:r>
    </w:p>
    <w:p w14:paraId="7C44F415">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1.2、</w:t>
      </w:r>
      <w:r>
        <w:rPr>
          <w:rFonts w:hint="eastAsia" w:asciiTheme="minorEastAsia" w:hAnsiTheme="minorEastAsia" w:eastAsiaTheme="minorEastAsia" w:cstheme="minorEastAsia"/>
          <w:color w:val="auto"/>
          <w:szCs w:val="24"/>
        </w:rPr>
        <w:t>甲方委派</w:t>
      </w:r>
      <w:r>
        <w:rPr>
          <w:rFonts w:hint="eastAsia" w:asciiTheme="minorEastAsia" w:hAnsiTheme="minorEastAsia" w:cstheme="minorEastAsia"/>
          <w:color w:val="auto"/>
          <w:kern w:val="24"/>
          <w:sz w:val="24"/>
          <w:szCs w:val="24"/>
          <w:highlight w:val="none"/>
          <w:u w:val="single"/>
          <w:lang w:val="en-US" w:eastAsia="zh-CN"/>
        </w:rPr>
        <w:t>陈卓</w:t>
      </w:r>
      <w:r>
        <w:rPr>
          <w:rFonts w:hint="eastAsia" w:asciiTheme="minorEastAsia" w:hAnsiTheme="minorEastAsia" w:eastAsiaTheme="minorEastAsia" w:cstheme="minorEastAsia"/>
          <w:color w:val="auto"/>
          <w:kern w:val="24"/>
          <w:sz w:val="24"/>
          <w:szCs w:val="24"/>
          <w:highlight w:val="none"/>
          <w:u w:val="single"/>
        </w:rPr>
        <w:t>，</w:t>
      </w:r>
      <w:r>
        <w:rPr>
          <w:rFonts w:hint="eastAsia" w:asciiTheme="minorEastAsia" w:hAnsiTheme="minorEastAsia" w:eastAsiaTheme="minorEastAsia" w:cstheme="minorEastAsia"/>
          <w:color w:val="auto"/>
          <w:kern w:val="24"/>
          <w:sz w:val="24"/>
          <w:szCs w:val="24"/>
          <w:highlight w:val="none"/>
        </w:rPr>
        <w:t>电话：</w:t>
      </w:r>
      <w:r>
        <w:rPr>
          <w:rFonts w:hint="eastAsia" w:asciiTheme="minorEastAsia" w:hAnsiTheme="minorEastAsia" w:cstheme="minorEastAsia"/>
          <w:color w:val="auto"/>
          <w:kern w:val="24"/>
          <w:sz w:val="24"/>
          <w:szCs w:val="24"/>
          <w:highlight w:val="none"/>
          <w:u w:val="single"/>
          <w:lang w:val="en-US" w:eastAsia="zh-CN"/>
        </w:rPr>
        <w:t>18611572097，</w:t>
      </w:r>
      <w:r>
        <w:rPr>
          <w:rFonts w:hint="eastAsia" w:ascii="宋体" w:hAnsi="宋体" w:cs="宋体"/>
          <w:color w:val="auto"/>
          <w:sz w:val="24"/>
          <w:highlight w:val="none"/>
          <w:u w:val="single"/>
          <w:lang w:val="en-US" w:eastAsia="zh-CN"/>
        </w:rPr>
        <w:t>为现场代表，</w:t>
      </w:r>
      <w:r>
        <w:rPr>
          <w:rFonts w:hint="eastAsia" w:asciiTheme="minorEastAsia" w:hAnsiTheme="minorEastAsia" w:eastAsiaTheme="minorEastAsia" w:cstheme="minorEastAsia"/>
          <w:color w:val="auto"/>
        </w:rPr>
        <w:t>监督、检查产品、工程的质量，协调工作中发生的有关事宜，并参与产品、工程的初验、验收和签证工作。如现场代表变更则需及时通知乙方。</w:t>
      </w:r>
    </w:p>
    <w:p w14:paraId="528E65A5">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1.3、甲方应提供乙方所需工程建筑图、说明书、建筑平面图、变更图及有关技术文件等作为乙方产品设计和施工的有效依据。</w:t>
      </w:r>
    </w:p>
    <w:p w14:paraId="67124F12">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1.4、甲方协调乙方与土建单位施工配合问题，并督促工程进度。</w:t>
      </w:r>
    </w:p>
    <w:p w14:paraId="56D10B32">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1.5、签订合同时，甲方向乙方提供建筑施工图、变更通知及相关材料1套。</w:t>
      </w:r>
    </w:p>
    <w:p w14:paraId="4D609CD8">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1.6、甲方应及时按合同要求给乙方拨付工程款、组织工程竣工验收并按合同规定办理竣工结算。</w:t>
      </w:r>
    </w:p>
    <w:p w14:paraId="04482CE1">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1.7、进场材料及施工成品、半成品达不到标准要求的，甲方有权责令乙方调换。</w:t>
      </w:r>
    </w:p>
    <w:p w14:paraId="326573D8">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1.8、为乙方协调水源、电源接驳点。</w:t>
      </w:r>
    </w:p>
    <w:p w14:paraId="1AFFAB99">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 乙方责任与义务</w:t>
      </w:r>
    </w:p>
    <w:p w14:paraId="0E53CD3F">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2.1、遵守法律、法规和规章，乙方应在其负责的各项工作中遵守与本合同工程有关的法律、法规和规章，并保证甲方免于承担由于乙方违反上述法律、法规和规章的任何责任。</w:t>
      </w:r>
    </w:p>
    <w:p w14:paraId="17903BC4">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2.2、</w:t>
      </w:r>
      <w:r>
        <w:rPr>
          <w:rFonts w:hint="eastAsia" w:asciiTheme="minorEastAsia" w:hAnsiTheme="minorEastAsia" w:eastAsiaTheme="minorEastAsia" w:cstheme="minorEastAsia"/>
          <w:color w:val="auto"/>
          <w:szCs w:val="24"/>
        </w:rPr>
        <w:t>乙方委派</w:t>
      </w:r>
      <w:r>
        <w:rPr>
          <w:rFonts w:hint="eastAsia" w:asciiTheme="minorEastAsia" w:hAnsiTheme="minorEastAsia" w:eastAsiaTheme="minorEastAsia" w:cstheme="minorEastAsia"/>
          <w:color w:val="auto"/>
          <w:szCs w:val="24"/>
          <w:u w:val="single"/>
        </w:rPr>
        <w:t xml:space="preserve"> 陈远 </w:t>
      </w:r>
      <w:r>
        <w:rPr>
          <w:rFonts w:hint="eastAsia" w:asciiTheme="minorEastAsia" w:hAnsiTheme="minorEastAsia" w:eastAsiaTheme="minorEastAsia" w:cstheme="minorEastAsia"/>
          <w:color w:val="auto"/>
          <w:szCs w:val="24"/>
        </w:rPr>
        <w:t>为现场代表，电话</w:t>
      </w:r>
      <w:r>
        <w:rPr>
          <w:rFonts w:hint="eastAsia" w:asciiTheme="minorEastAsia" w:hAnsiTheme="minorEastAsia" w:eastAsiaTheme="minorEastAsia" w:cstheme="minorEastAsia"/>
          <w:color w:val="auto"/>
          <w:szCs w:val="24"/>
          <w:u w:val="single"/>
        </w:rPr>
        <w:t xml:space="preserve"> 13733846460 </w:t>
      </w:r>
      <w:r>
        <w:rPr>
          <w:rFonts w:hint="eastAsia" w:asciiTheme="minorEastAsia" w:hAnsiTheme="minorEastAsia" w:eastAsiaTheme="minorEastAsia" w:cstheme="minorEastAsia"/>
          <w:color w:val="auto"/>
          <w:szCs w:val="24"/>
        </w:rPr>
        <w:t>，</w:t>
      </w:r>
      <w:r>
        <w:rPr>
          <w:rFonts w:hint="eastAsia" w:asciiTheme="minorEastAsia" w:hAnsiTheme="minorEastAsia" w:eastAsiaTheme="minorEastAsia" w:cstheme="minorEastAsia"/>
          <w:color w:val="auto"/>
        </w:rPr>
        <w:t>并须持有与工程项目相适应的资格证书，负责施工期间的施工质量、安全问题，协调工作中发生的有关事宜。如现场代表变更则需经甲方同意。</w:t>
      </w:r>
    </w:p>
    <w:p w14:paraId="65EB19E0">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2.3、乙方应服从甲方、监理单位、总承包单位的管理，密切配合总承包单位施工，遵守工地的有关规定；严格实行工序开工前向监理报验制度。</w:t>
      </w:r>
    </w:p>
    <w:p w14:paraId="0F03907D">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2.4、乙方需无条件配合其它二次单位（软装、智能化等）做好预留预埋工作。</w:t>
      </w:r>
    </w:p>
    <w:p w14:paraId="4A4A61F7">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2.5、乙方不得将该工程转包或分包，否则甲方不支付乙方所发生的任何费用。</w:t>
      </w:r>
    </w:p>
    <w:p w14:paraId="4C9A91CC">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2.6、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14:paraId="7ABD05D9">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2.7、做好各项质量自检记录，参加竣工验收，编制工程结算。</w:t>
      </w:r>
    </w:p>
    <w:p w14:paraId="24AEEC60">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2.8、遵守国家或地方政府及有关部门对施工现场管理规定；服从甲方的有关指令，积极配合甲方进度安排。</w:t>
      </w:r>
    </w:p>
    <w:p w14:paraId="05B312DD">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2.9、依据规范要求，负责组织工程验收及检测，验收及检测费由乙方自理。</w:t>
      </w:r>
    </w:p>
    <w:p w14:paraId="7C1D101C">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2.10、根据施工验收规范及甲方要求，及时向甲方和总承包单位提供该分项技术资料。</w:t>
      </w:r>
    </w:p>
    <w:p w14:paraId="5D0B9DB9">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rPr>
        <w:t>2.11、甲方告知水源电源接驳点，但是具体接驳工作及产生的水电费由乙方自行承担。</w:t>
      </w:r>
      <w:r>
        <w:rPr>
          <w:rFonts w:hint="eastAsia" w:asciiTheme="minorEastAsia" w:hAnsiTheme="minorEastAsia" w:eastAsiaTheme="minorEastAsia" w:cstheme="minorEastAsia"/>
          <w:color w:val="auto"/>
          <w:szCs w:val="24"/>
        </w:rPr>
        <w:t>乙方在施工中用水、用电耗直接向总承包单位缴纳（具体的计量计价方式由乙方和总承包单位自行协商确定）。</w:t>
      </w:r>
    </w:p>
    <w:p w14:paraId="2E550BFF">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2.12、周边关系由乙方进行协调，包括协调的责任及相关费用。</w:t>
      </w:r>
    </w:p>
    <w:p w14:paraId="1AA54CCD">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2.13、乙方负责电梯门洞及电梯控制箱周边的封堵。</w:t>
      </w:r>
    </w:p>
    <w:p w14:paraId="144A5286">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2.14、乙方负责完工后异味去除、保洁、垃圾清理等收尾工作。</w:t>
      </w:r>
    </w:p>
    <w:p w14:paraId="287DB165">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2.15、乙方承诺本项目不因其他项目的合作（付款）影响本项目的施工，否则自愿承担10万元违约金。</w:t>
      </w:r>
    </w:p>
    <w:p w14:paraId="27B56E2F">
      <w:pPr>
        <w:pStyle w:val="2"/>
        <w:tabs>
          <w:tab w:val="left" w:pos="0"/>
        </w:tabs>
        <w:wordWrap w:val="0"/>
        <w:topLinePunct/>
        <w:autoSpaceDE w:val="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b/>
          <w:bCs/>
          <w:color w:val="auto"/>
          <w:szCs w:val="24"/>
        </w:rPr>
        <w:t>十</w:t>
      </w:r>
      <w:r>
        <w:rPr>
          <w:rFonts w:hint="eastAsia" w:asciiTheme="minorEastAsia" w:hAnsiTheme="minorEastAsia" w:eastAsiaTheme="minorEastAsia" w:cstheme="minorEastAsia"/>
          <w:b/>
          <w:bCs/>
          <w:color w:val="auto"/>
          <w:szCs w:val="24"/>
          <w:lang w:eastAsia="zh-CN"/>
        </w:rPr>
        <w:t>七</w:t>
      </w:r>
      <w:r>
        <w:rPr>
          <w:rFonts w:hint="eastAsia" w:asciiTheme="minorEastAsia" w:hAnsiTheme="minorEastAsia" w:eastAsiaTheme="minorEastAsia" w:cstheme="minorEastAsia"/>
          <w:b/>
          <w:bCs/>
          <w:color w:val="auto"/>
          <w:szCs w:val="24"/>
        </w:rPr>
        <w:t>、违约责任</w:t>
      </w:r>
    </w:p>
    <w:p w14:paraId="6A7A5B32">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1、除不可抗力外，甲乙双方应严格遵守本合同的条款，否则，违约方须承担违约责任。</w:t>
      </w:r>
    </w:p>
    <w:p w14:paraId="3BC8CDC3">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2、乙方逾期进场、完工的或单独楼栋、总体工程未能按本合同约定工期进场、完工的，视为乙方违约，每逾期一天，按2000元/天向甲方支付违约金，同时因施工逾期引起的相关损失由乙方承担。</w:t>
      </w:r>
    </w:p>
    <w:p w14:paraId="01F044F5">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3、乙方存在其他任何逾期违约行为但未达到甲方行使单方解除条件的，每逾期一日，按2000元/日向甲方支付违约金，本合同另有约定时除外。</w:t>
      </w:r>
    </w:p>
    <w:p w14:paraId="2B26AA49">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4、乙方存在其他违约行为但未达到甲方行使单方解除条件的，每存在一项/次违约行为，乙方应按2000元/次（项）向甲方支付违约金。</w:t>
      </w:r>
    </w:p>
    <w:p w14:paraId="6F095D60">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5、乙方提供产品的品牌、规格、型号等与本合同约定不符的，视为乙方违约，甲方有权拒绝验收，乙方应在5日内无偿更换。</w:t>
      </w:r>
    </w:p>
    <w:p w14:paraId="32C77064">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14:paraId="32519D3A">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8、乙方违约导致甲方解除合同的，乙方所有人员必须在3日内撤离施工现场，甲方已支付的预付款（如有）需在3日内退还至甲方，由此造成的所有损失均由乙方负责。</w:t>
      </w:r>
    </w:p>
    <w:p w14:paraId="62BC0890">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9、乙方应向甲方支付的违约金等，甲方有权直接在甲方应付未付款中扣除，违约金不足以弥补甲方损失的，甲方可继续向乙方追偿。</w:t>
      </w:r>
    </w:p>
    <w:p w14:paraId="50D735DC">
      <w:pPr>
        <w:pStyle w:val="2"/>
        <w:ind w:firstLine="480" w:firstLineChars="200"/>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10、合同约定应由乙方完成的工作内容（包括但不限于：承包范围内防火门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14:paraId="69D2D830">
      <w:pPr>
        <w:pStyle w:val="2"/>
        <w:tabs>
          <w:tab w:val="left" w:pos="0"/>
        </w:tabs>
        <w:wordWrap w:val="0"/>
        <w:topLinePunct/>
        <w:rPr>
          <w:rFonts w:hint="eastAsia" w:asciiTheme="minorEastAsia" w:hAnsiTheme="minorEastAsia" w:eastAsiaTheme="minorEastAsia" w:cstheme="minorEastAsia"/>
          <w:b/>
          <w:bCs/>
          <w:color w:val="auto"/>
          <w:szCs w:val="24"/>
        </w:rPr>
      </w:pPr>
      <w:r>
        <w:rPr>
          <w:rFonts w:hint="eastAsia" w:asciiTheme="minorEastAsia" w:hAnsiTheme="minorEastAsia" w:eastAsiaTheme="minorEastAsia" w:cstheme="minorEastAsia"/>
          <w:b/>
          <w:bCs/>
          <w:color w:val="auto"/>
          <w:szCs w:val="24"/>
        </w:rPr>
        <w:t>十</w:t>
      </w:r>
      <w:r>
        <w:rPr>
          <w:rFonts w:hint="eastAsia" w:asciiTheme="minorEastAsia" w:hAnsiTheme="minorEastAsia" w:eastAsiaTheme="minorEastAsia" w:cstheme="minorEastAsia"/>
          <w:b/>
          <w:bCs/>
          <w:color w:val="auto"/>
          <w:szCs w:val="24"/>
          <w:lang w:eastAsia="zh-CN"/>
        </w:rPr>
        <w:t>八</w:t>
      </w:r>
      <w:r>
        <w:rPr>
          <w:rFonts w:hint="eastAsia" w:asciiTheme="minorEastAsia" w:hAnsiTheme="minorEastAsia" w:eastAsiaTheme="minorEastAsia" w:cstheme="minorEastAsia"/>
          <w:b/>
          <w:bCs/>
          <w:color w:val="auto"/>
          <w:szCs w:val="24"/>
        </w:rPr>
        <w:t>、不可抗力</w:t>
      </w:r>
    </w:p>
    <w:p w14:paraId="3C57C57C">
      <w:pPr>
        <w:pStyle w:val="2"/>
        <w:wordWrap w:val="0"/>
        <w:topLinePunct/>
        <w:autoSpaceDE w:val="0"/>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1、不可抗力指因战争、动乱、瘟疫、空中飞行物坠落或其他非双方责任造成的爆炸、火灾以及9级以上的台风、7级及7级以上的地震等。（以当地行业主管部门的公告为准 ）。</w:t>
      </w:r>
    </w:p>
    <w:p w14:paraId="2401ECC7">
      <w:pPr>
        <w:pStyle w:val="2"/>
        <w:wordWrap w:val="0"/>
        <w:topLinePunct/>
        <w:autoSpaceDE w:val="0"/>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14:paraId="79CAF201">
      <w:pPr>
        <w:pStyle w:val="2"/>
        <w:wordWrap w:val="0"/>
        <w:topLinePunct/>
        <w:autoSpaceDE w:val="0"/>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3、费用承担：</w:t>
      </w:r>
    </w:p>
    <w:p w14:paraId="4ECD9C06">
      <w:pPr>
        <w:pStyle w:val="2"/>
        <w:wordWrap w:val="0"/>
        <w:topLinePunct/>
        <w:autoSpaceDE w:val="0"/>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3.1、人员伤亡由所属单位负责，并承担相应费用；</w:t>
      </w:r>
    </w:p>
    <w:p w14:paraId="3D86488F">
      <w:pPr>
        <w:pStyle w:val="2"/>
        <w:wordWrap w:val="0"/>
        <w:topLinePunct/>
        <w:autoSpaceDE w:val="0"/>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3.2、造成乙方工程设备、机械的损失等损失由乙方承担；</w:t>
      </w:r>
    </w:p>
    <w:p w14:paraId="47AF24D1">
      <w:pPr>
        <w:pStyle w:val="2"/>
        <w:wordWrap w:val="0"/>
        <w:topLinePunct/>
        <w:autoSpaceDE w:val="0"/>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3.3、所需清理修复工作的责任与费用的承担，双方另行商定。</w:t>
      </w:r>
    </w:p>
    <w:p w14:paraId="7A114C94">
      <w:pPr>
        <w:pStyle w:val="2"/>
        <w:tabs>
          <w:tab w:val="left" w:pos="0"/>
        </w:tabs>
        <w:wordWrap w:val="0"/>
        <w:topLinePunct/>
        <w:autoSpaceDE w:val="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b/>
          <w:bCs/>
          <w:color w:val="auto"/>
          <w:szCs w:val="24"/>
        </w:rPr>
        <w:t>十</w:t>
      </w:r>
      <w:r>
        <w:rPr>
          <w:rFonts w:hint="eastAsia" w:asciiTheme="minorEastAsia" w:hAnsiTheme="minorEastAsia" w:eastAsiaTheme="minorEastAsia" w:cstheme="minorEastAsia"/>
          <w:b/>
          <w:bCs/>
          <w:color w:val="auto"/>
          <w:szCs w:val="24"/>
          <w:lang w:eastAsia="zh-CN"/>
        </w:rPr>
        <w:t>九</w:t>
      </w:r>
      <w:r>
        <w:rPr>
          <w:rFonts w:hint="eastAsia" w:asciiTheme="minorEastAsia" w:hAnsiTheme="minorEastAsia" w:eastAsiaTheme="minorEastAsia" w:cstheme="minorEastAsia"/>
          <w:b/>
          <w:bCs/>
          <w:color w:val="auto"/>
          <w:szCs w:val="24"/>
        </w:rPr>
        <w:t>、送达条款</w:t>
      </w:r>
    </w:p>
    <w:p w14:paraId="4FD2F846">
      <w:pPr>
        <w:wordWrap w:val="0"/>
        <w:topLinePunct/>
        <w:autoSpaceDE w:val="0"/>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甲乙双方明确送达信息如下：</w:t>
      </w:r>
    </w:p>
    <w:p w14:paraId="425A51E6">
      <w:pPr>
        <w:wordWrap w:val="0"/>
        <w:topLinePunct/>
        <w:autoSpaceDE w:val="0"/>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1、甲方确认的送达信息为：</w:t>
      </w:r>
    </w:p>
    <w:p w14:paraId="3153D974">
      <w:pPr>
        <w:tabs>
          <w:tab w:val="left" w:pos="1276"/>
        </w:tabs>
        <w:wordWrap w:val="0"/>
        <w:topLinePunct/>
        <w:autoSpaceDE w:val="0"/>
        <w:spacing w:line="360" w:lineRule="auto"/>
        <w:ind w:left="480" w:left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送达地址：</w:t>
      </w:r>
      <w:r>
        <w:rPr>
          <w:rFonts w:hint="eastAsia" w:asciiTheme="minorEastAsia" w:hAnsiTheme="minorEastAsia" w:eastAsiaTheme="minorEastAsia" w:cstheme="minorEastAsia"/>
          <w:color w:val="auto"/>
          <w:szCs w:val="24"/>
          <w:u w:val="single"/>
        </w:rPr>
        <w:t xml:space="preserve">洛阳市洛龙区关林西路8号中浩德控股集团有限公司1楼 </w:t>
      </w:r>
      <w:r>
        <w:rPr>
          <w:rFonts w:hint="eastAsia" w:asciiTheme="minorEastAsia" w:hAnsiTheme="minorEastAsia" w:eastAsiaTheme="minorEastAsia" w:cstheme="minorEastAsia"/>
          <w:color w:val="auto"/>
          <w:szCs w:val="24"/>
        </w:rPr>
        <w:t>。           联系人：</w:t>
      </w:r>
      <w:r>
        <w:rPr>
          <w:rFonts w:hint="eastAsia" w:asciiTheme="minorEastAsia" w:hAnsiTheme="minorEastAsia" w:eastAsiaTheme="minorEastAsia" w:cstheme="minorEastAsia"/>
          <w:color w:val="auto"/>
          <w:szCs w:val="24"/>
          <w:u w:val="single"/>
        </w:rPr>
        <w:t>成本管理部</w:t>
      </w:r>
      <w:r>
        <w:rPr>
          <w:rFonts w:hint="eastAsia" w:asciiTheme="minorEastAsia" w:hAnsiTheme="minorEastAsia" w:eastAsiaTheme="minorEastAsia" w:cstheme="minorEastAsia"/>
          <w:color w:val="auto"/>
          <w:szCs w:val="24"/>
        </w:rPr>
        <w:t>；联系固话：</w:t>
      </w:r>
      <w:r>
        <w:rPr>
          <w:rFonts w:hint="eastAsia" w:asciiTheme="minorEastAsia" w:hAnsiTheme="minorEastAsia" w:eastAsiaTheme="minorEastAsia" w:cstheme="minorEastAsia"/>
          <w:color w:val="auto"/>
          <w:szCs w:val="24"/>
          <w:u w:val="single"/>
        </w:rPr>
        <w:t>0379-60667770</w:t>
      </w:r>
      <w:r>
        <w:rPr>
          <w:rFonts w:hint="eastAsia" w:asciiTheme="minorEastAsia" w:hAnsiTheme="minorEastAsia" w:eastAsiaTheme="minorEastAsia" w:cstheme="minorEastAsia"/>
          <w:color w:val="auto"/>
          <w:szCs w:val="24"/>
        </w:rPr>
        <w:t>；联系手机 ：</w:t>
      </w:r>
      <w:r>
        <w:rPr>
          <w:rFonts w:hint="eastAsia" w:asciiTheme="minorEastAsia" w:hAnsiTheme="minorEastAsia" w:eastAsiaTheme="minorEastAsia" w:cstheme="minorEastAsia"/>
          <w:color w:val="auto"/>
          <w:szCs w:val="24"/>
          <w:u w:val="single"/>
        </w:rPr>
        <w:t xml:space="preserve">   /   </w:t>
      </w:r>
      <w:r>
        <w:rPr>
          <w:rFonts w:hint="eastAsia" w:asciiTheme="minorEastAsia" w:hAnsiTheme="minorEastAsia" w:eastAsiaTheme="minorEastAsia" w:cstheme="minorEastAsia"/>
          <w:color w:val="auto"/>
          <w:szCs w:val="24"/>
        </w:rPr>
        <w:t xml:space="preserve">。      </w:t>
      </w:r>
    </w:p>
    <w:p w14:paraId="1F35502B">
      <w:pPr>
        <w:tabs>
          <w:tab w:val="left" w:pos="1276"/>
        </w:tabs>
        <w:wordWrap w:val="0"/>
        <w:topLinePunct/>
        <w:autoSpaceDE w:val="0"/>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2、乙方确认的送达信息为：</w:t>
      </w:r>
    </w:p>
    <w:p w14:paraId="08A074A7">
      <w:pPr>
        <w:spacing w:line="360" w:lineRule="auto"/>
        <w:ind w:firstLine="468" w:firstLineChars="195"/>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送达地址：河南自贸实验区郑州片区（郑东）商都路100号建正东方中心D座2117号。</w:t>
      </w:r>
    </w:p>
    <w:p w14:paraId="03B2908D">
      <w:pPr>
        <w:pStyle w:val="2"/>
        <w:wordWrap w:val="0"/>
        <w:topLinePunct/>
        <w:autoSpaceDE w:val="0"/>
        <w:ind w:left="480" w:left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 xml:space="preserve">联系人： </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highlight w:val="none"/>
          <w:u w:val="single"/>
        </w:rPr>
        <w:t>陈远</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rPr>
        <w:t>；联系固话：</w:t>
      </w:r>
      <w:r>
        <w:rPr>
          <w:rFonts w:hint="eastAsia" w:asciiTheme="minorEastAsia" w:hAnsiTheme="minorEastAsia" w:eastAsiaTheme="minorEastAsia" w:cstheme="minorEastAsia"/>
          <w:color w:val="auto"/>
          <w:szCs w:val="24"/>
          <w:u w:val="single"/>
        </w:rPr>
        <w:t xml:space="preserve">   /  </w:t>
      </w:r>
      <w:r>
        <w:rPr>
          <w:rFonts w:hint="eastAsia" w:asciiTheme="minorEastAsia" w:hAnsiTheme="minorEastAsia" w:eastAsiaTheme="minorEastAsia" w:cstheme="minorEastAsia"/>
          <w:color w:val="auto"/>
          <w:szCs w:val="24"/>
        </w:rPr>
        <w:t>；联系手机 ：</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highlight w:val="none"/>
          <w:u w:val="single"/>
        </w:rPr>
        <w:t>13733846460</w:t>
      </w:r>
      <w:r>
        <w:rPr>
          <w:rFonts w:hint="eastAsia" w:asciiTheme="minorEastAsia" w:hAnsiTheme="minorEastAsia" w:eastAsiaTheme="minorEastAsia" w:cstheme="minorEastAsia"/>
          <w:color w:val="auto"/>
          <w:szCs w:val="24"/>
          <w:u w:val="single"/>
        </w:rPr>
        <w:t xml:space="preserve"> </w:t>
      </w:r>
      <w:r>
        <w:rPr>
          <w:rFonts w:hint="eastAsia" w:asciiTheme="minorEastAsia" w:hAnsiTheme="minorEastAsia" w:eastAsiaTheme="minorEastAsia" w:cstheme="minorEastAsia"/>
          <w:color w:val="auto"/>
          <w:szCs w:val="24"/>
        </w:rPr>
        <w:t xml:space="preserve">。   </w:t>
      </w:r>
    </w:p>
    <w:p w14:paraId="6CD92995">
      <w:pPr>
        <w:spacing w:line="360" w:lineRule="auto"/>
        <w:ind w:firstLine="468" w:firstLineChars="195"/>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14:paraId="1352B60D">
      <w:pPr>
        <w:pStyle w:val="2"/>
        <w:wordWrap w:val="0"/>
        <w:topLinePunct/>
        <w:autoSpaceDE w:val="0"/>
        <w:rPr>
          <w:rFonts w:hint="eastAsia" w:asciiTheme="minorEastAsia" w:hAnsiTheme="minorEastAsia" w:eastAsiaTheme="minorEastAsia" w:cstheme="minorEastAsia"/>
          <w:b/>
          <w:bCs/>
          <w:color w:val="auto"/>
          <w:szCs w:val="24"/>
        </w:rPr>
      </w:pPr>
      <w:r>
        <w:rPr>
          <w:rFonts w:hint="eastAsia" w:asciiTheme="minorEastAsia" w:hAnsiTheme="minorEastAsia" w:eastAsiaTheme="minorEastAsia" w:cstheme="minorEastAsia"/>
          <w:b/>
          <w:bCs/>
          <w:color w:val="auto"/>
          <w:szCs w:val="24"/>
          <w:lang w:eastAsia="zh-CN"/>
        </w:rPr>
        <w:t>二十</w:t>
      </w:r>
      <w:r>
        <w:rPr>
          <w:rFonts w:hint="eastAsia" w:asciiTheme="minorEastAsia" w:hAnsiTheme="minorEastAsia" w:eastAsiaTheme="minorEastAsia" w:cstheme="minorEastAsia"/>
          <w:b/>
          <w:bCs/>
          <w:color w:val="auto"/>
          <w:szCs w:val="24"/>
        </w:rPr>
        <w:t>、合同解约条款</w:t>
      </w:r>
    </w:p>
    <w:p w14:paraId="325BC194">
      <w:pPr>
        <w:tabs>
          <w:tab w:val="left" w:pos="900"/>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乙方存在如下任一情况的，甲方有权要求乙方按照合同总价的20%支付违约金（本合同另有约定时除外），且有权解除本合同，解除通知到达乙方之日生效，该违约金不足以弥补甲方损失，乙方还应继续承担赔偿责任。</w:t>
      </w:r>
    </w:p>
    <w:p w14:paraId="48E0FD73">
      <w:pPr>
        <w:tabs>
          <w:tab w:val="left" w:pos="900"/>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1.1、本工程不能通过验收的；</w:t>
      </w:r>
    </w:p>
    <w:p w14:paraId="169F9846">
      <w:pPr>
        <w:tabs>
          <w:tab w:val="left" w:pos="900"/>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1.2、乙方未能按时进场施工的，在甲方发出书面通知后的5日内仍未进场施工的；</w:t>
      </w:r>
    </w:p>
    <w:p w14:paraId="4DA23BAE">
      <w:pPr>
        <w:tabs>
          <w:tab w:val="left" w:pos="900"/>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1.3、乙方在施工过程中非因不可抗力或甲方原因造成连续停工7日以上或累计达7日的；</w:t>
      </w:r>
    </w:p>
    <w:p w14:paraId="4C04668A">
      <w:pPr>
        <w:tabs>
          <w:tab w:val="left" w:pos="900"/>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1.4、乙方逾期竣工、向甲方提交竣工结算书及完整的竣工结算资料、核对工程价款或其他逾期行为达7日及以上的；</w:t>
      </w:r>
    </w:p>
    <w:p w14:paraId="268E09B1">
      <w:pPr>
        <w:tabs>
          <w:tab w:val="left" w:pos="900"/>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1.5、乙方人员在施工区内出现打架斗殴行为至警察出警、立案、相关行为人收到行政处罚或刑事处罚的；</w:t>
      </w:r>
    </w:p>
    <w:p w14:paraId="18D19A49">
      <w:pPr>
        <w:tabs>
          <w:tab w:val="left" w:pos="900"/>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1.6、乙方擅自把工程分包或转包给其他任何单位的；</w:t>
      </w:r>
    </w:p>
    <w:p w14:paraId="2C1CDCE5">
      <w:pPr>
        <w:tabs>
          <w:tab w:val="left" w:pos="900"/>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1.7、乙方与甲方工作人员串通、虚构事实或使用其他方式虚报工程量的；</w:t>
      </w:r>
    </w:p>
    <w:p w14:paraId="23DB3AF4">
      <w:pPr>
        <w:tabs>
          <w:tab w:val="left" w:pos="900"/>
        </w:tabs>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rPr>
        <w:t>1.8、</w:t>
      </w:r>
      <w:r>
        <w:rPr>
          <w:rFonts w:hint="eastAsia" w:asciiTheme="minorEastAsia" w:hAnsiTheme="minorEastAsia" w:eastAsiaTheme="minorEastAsia" w:cstheme="minorEastAsia"/>
          <w:color w:val="auto"/>
          <w:szCs w:val="24"/>
        </w:rPr>
        <w:t>甲方或监理方对同一施工问题连续下发三次整改通知书后乙方无作为或整改问题未在整改通知书要求的期限内解决；</w:t>
      </w:r>
    </w:p>
    <w:p w14:paraId="4183B79B">
      <w:pPr>
        <w:tabs>
          <w:tab w:val="left" w:pos="900"/>
        </w:tabs>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1.9、乙方购置不符合合同约定的品牌、厂家、产地、材质、工艺、规格、型号等标准的产品或者假冒伪劣产品用于本工程；</w:t>
      </w:r>
    </w:p>
    <w:p w14:paraId="62717573">
      <w:pPr>
        <w:tabs>
          <w:tab w:val="left" w:pos="900"/>
        </w:tabs>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4"/>
        </w:rPr>
        <w:t>1.10、</w:t>
      </w:r>
      <w:r>
        <w:rPr>
          <w:rFonts w:hint="eastAsia" w:asciiTheme="minorEastAsia" w:hAnsiTheme="minorEastAsia" w:eastAsiaTheme="minorEastAsia" w:cstheme="minorEastAsia"/>
          <w:color w:val="auto"/>
        </w:rPr>
        <w:t>乙方存在其他违约行为，经甲方书面通知之日7日内仍未纠正的。</w:t>
      </w:r>
    </w:p>
    <w:p w14:paraId="3AA57B0D">
      <w:pPr>
        <w:spacing w:line="360" w:lineRule="auto"/>
        <w:ind w:firstLine="480"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14:paraId="48C2BD1E">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Cs/>
          <w:color w:val="auto"/>
          <w:szCs w:val="24"/>
        </w:rPr>
        <w:t>3、如合同解约甲方有权委托其他公司进行施工。</w:t>
      </w:r>
    </w:p>
    <w:p w14:paraId="297ADF17">
      <w:pPr>
        <w:pStyle w:val="2"/>
        <w:wordWrap w:val="0"/>
        <w:topLinePunct/>
        <w:autoSpaceDE w:val="0"/>
        <w:rPr>
          <w:rFonts w:hint="eastAsia" w:asciiTheme="minorEastAsia" w:hAnsiTheme="minorEastAsia" w:eastAsiaTheme="minorEastAsia" w:cstheme="minorEastAsia"/>
          <w:b/>
          <w:bCs/>
          <w:color w:val="auto"/>
          <w:szCs w:val="24"/>
        </w:rPr>
      </w:pPr>
      <w:r>
        <w:rPr>
          <w:rFonts w:hint="eastAsia" w:asciiTheme="minorEastAsia" w:hAnsiTheme="minorEastAsia" w:eastAsiaTheme="minorEastAsia" w:cstheme="minorEastAsia"/>
          <w:b/>
          <w:bCs/>
          <w:color w:val="auto"/>
          <w:szCs w:val="24"/>
        </w:rPr>
        <w:t>二十</w:t>
      </w:r>
      <w:r>
        <w:rPr>
          <w:rFonts w:hint="eastAsia" w:asciiTheme="minorEastAsia" w:hAnsiTheme="minorEastAsia" w:eastAsiaTheme="minorEastAsia" w:cstheme="minorEastAsia"/>
          <w:b/>
          <w:bCs/>
          <w:color w:val="auto"/>
          <w:szCs w:val="24"/>
          <w:lang w:eastAsia="zh-CN"/>
        </w:rPr>
        <w:t>一</w:t>
      </w:r>
      <w:r>
        <w:rPr>
          <w:rFonts w:hint="eastAsia" w:asciiTheme="minorEastAsia" w:hAnsiTheme="minorEastAsia" w:eastAsiaTheme="minorEastAsia" w:cstheme="minorEastAsia"/>
          <w:b/>
          <w:bCs/>
          <w:color w:val="auto"/>
          <w:szCs w:val="24"/>
        </w:rPr>
        <w:t>、争议的解决</w:t>
      </w:r>
    </w:p>
    <w:p w14:paraId="3006855F">
      <w:pPr>
        <w:wordWrap w:val="0"/>
        <w:topLinePunct/>
        <w:autoSpaceDE w:val="0"/>
        <w:spacing w:line="360" w:lineRule="auto"/>
        <w:ind w:firstLine="512" w:firstLineChars="200"/>
        <w:rPr>
          <w:rFonts w:hint="eastAsia" w:asciiTheme="minorEastAsia" w:hAnsiTheme="minorEastAsia" w:eastAsiaTheme="minorEastAsia" w:cstheme="minorEastAsia"/>
          <w:b/>
          <w:color w:val="auto"/>
          <w:szCs w:val="24"/>
        </w:rPr>
      </w:pPr>
      <w:r>
        <w:rPr>
          <w:rFonts w:hint="eastAsia" w:asciiTheme="minorEastAsia" w:hAnsiTheme="minorEastAsia" w:eastAsiaTheme="minorEastAsia" w:cstheme="minorEastAsia"/>
          <w:color w:val="auto"/>
          <w:spacing w:val="8"/>
          <w:szCs w:val="24"/>
        </w:rPr>
        <w:t>本合同履行过程中发生争议或纠纷的，由当事人双方协商解决。协商不成时，双方同意向合同签约地人民法院提起诉讼。</w:t>
      </w:r>
    </w:p>
    <w:p w14:paraId="68CF23AB">
      <w:pPr>
        <w:pStyle w:val="2"/>
        <w:wordWrap w:val="0"/>
        <w:topLinePunct/>
        <w:autoSpaceDE w:val="0"/>
        <w:rPr>
          <w:rFonts w:hint="eastAsia" w:asciiTheme="minorEastAsia" w:hAnsiTheme="minorEastAsia" w:eastAsiaTheme="minorEastAsia" w:cstheme="minorEastAsia"/>
          <w:b/>
          <w:bCs/>
          <w:color w:val="auto"/>
          <w:szCs w:val="24"/>
        </w:rPr>
      </w:pPr>
      <w:r>
        <w:rPr>
          <w:rFonts w:hint="eastAsia" w:asciiTheme="minorEastAsia" w:hAnsiTheme="minorEastAsia" w:eastAsiaTheme="minorEastAsia" w:cstheme="minorEastAsia"/>
          <w:b/>
          <w:bCs/>
          <w:color w:val="auto"/>
          <w:szCs w:val="24"/>
        </w:rPr>
        <w:t>二十</w:t>
      </w:r>
      <w:r>
        <w:rPr>
          <w:rFonts w:hint="eastAsia" w:asciiTheme="minorEastAsia" w:hAnsiTheme="minorEastAsia" w:eastAsiaTheme="minorEastAsia" w:cstheme="minorEastAsia"/>
          <w:b/>
          <w:bCs/>
          <w:color w:val="auto"/>
          <w:szCs w:val="24"/>
          <w:lang w:eastAsia="zh-CN"/>
        </w:rPr>
        <w:t>二</w:t>
      </w:r>
      <w:r>
        <w:rPr>
          <w:rFonts w:hint="eastAsia" w:asciiTheme="minorEastAsia" w:hAnsiTheme="minorEastAsia" w:eastAsiaTheme="minorEastAsia" w:cstheme="minorEastAsia"/>
          <w:b/>
          <w:bCs/>
          <w:color w:val="auto"/>
          <w:szCs w:val="24"/>
        </w:rPr>
        <w:t>、其他</w:t>
      </w:r>
    </w:p>
    <w:p w14:paraId="756CA958">
      <w:pPr>
        <w:wordWrap w:val="0"/>
        <w:topLinePunct/>
        <w:autoSpaceDE w:val="0"/>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1、本合同未尽事宜双方协商解决或另签补充协议，补充协议与本合同具有同等法律效力。</w:t>
      </w:r>
    </w:p>
    <w:p w14:paraId="0245CBF9">
      <w:pPr>
        <w:wordWrap w:val="0"/>
        <w:topLinePunct/>
        <w:autoSpaceDE w:val="0"/>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2、本合同一式柒份，甲方伍份，乙方贰份，均具有同等法律效力。</w:t>
      </w:r>
    </w:p>
    <w:p w14:paraId="6EDBF893">
      <w:pPr>
        <w:wordWrap w:val="0"/>
        <w:topLinePunct/>
        <w:autoSpaceDE w:val="0"/>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3、本合同及其补充协议自双方盖章之日起生效。</w:t>
      </w:r>
    </w:p>
    <w:p w14:paraId="3977608B">
      <w:pPr>
        <w:pStyle w:val="2"/>
        <w:wordWrap w:val="0"/>
        <w:topLinePunct/>
        <w:autoSpaceDE w:val="0"/>
        <w:ind w:firstLine="512" w:firstLineChars="20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pacing w:val="8"/>
          <w:szCs w:val="24"/>
        </w:rPr>
        <w:t xml:space="preserve">4、合同签订地点：洛阳市洛龙区关林西路8号中浩德控股集团有限公司1楼。 </w:t>
      </w:r>
      <w:r>
        <w:rPr>
          <w:rFonts w:hint="eastAsia" w:asciiTheme="minorEastAsia" w:hAnsiTheme="minorEastAsia" w:eastAsiaTheme="minorEastAsia" w:cstheme="minorEastAsia"/>
          <w:b/>
          <w:bCs/>
          <w:color w:val="auto"/>
          <w:szCs w:val="24"/>
        </w:rPr>
        <w:t>二十</w:t>
      </w:r>
      <w:r>
        <w:rPr>
          <w:rFonts w:hint="eastAsia" w:asciiTheme="minorEastAsia" w:hAnsiTheme="minorEastAsia" w:eastAsiaTheme="minorEastAsia" w:cstheme="minorEastAsia"/>
          <w:b/>
          <w:bCs/>
          <w:color w:val="auto"/>
          <w:szCs w:val="24"/>
          <w:lang w:eastAsia="zh-CN"/>
        </w:rPr>
        <w:t>三</w:t>
      </w:r>
      <w:r>
        <w:rPr>
          <w:rFonts w:hint="eastAsia" w:asciiTheme="minorEastAsia" w:hAnsiTheme="minorEastAsia" w:eastAsiaTheme="minorEastAsia" w:cstheme="minorEastAsia"/>
          <w:b/>
          <w:bCs/>
          <w:color w:val="auto"/>
          <w:szCs w:val="24"/>
        </w:rPr>
        <w:t>、合同附件</w:t>
      </w:r>
    </w:p>
    <w:p w14:paraId="44BD20B6">
      <w:pPr>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1、合同附件一、《廉政合作协议》</w:t>
      </w:r>
    </w:p>
    <w:p w14:paraId="6E2FAA91">
      <w:pPr>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2、合同附件二、《乙方派驻本工程人员名单表》</w:t>
      </w:r>
    </w:p>
    <w:p w14:paraId="2F1576F0">
      <w:pPr>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3、合同附件三、《材料品牌表》</w:t>
      </w:r>
    </w:p>
    <w:p w14:paraId="7DF7B2F7">
      <w:pPr>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4、合同附件四、《装修工程外观验收标准》</w:t>
      </w:r>
    </w:p>
    <w:p w14:paraId="0D0BDD3A">
      <w:pPr>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5、合同附件五、《工程完工清洁移交标准》</w:t>
      </w:r>
    </w:p>
    <w:p w14:paraId="748BEA22">
      <w:pPr>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6、合同附件六、《成品保护标准》</w:t>
      </w:r>
    </w:p>
    <w:p w14:paraId="4BA3FBC1">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lang w:val="en-US" w:eastAsia="zh-CN"/>
        </w:rPr>
      </w:pPr>
      <w:r>
        <w:rPr>
          <w:rFonts w:hint="eastAsia" w:asciiTheme="minorEastAsia" w:hAnsiTheme="minorEastAsia" w:eastAsiaTheme="minorEastAsia" w:cstheme="minorEastAsia"/>
          <w:color w:val="auto"/>
          <w:spacing w:val="8"/>
          <w:szCs w:val="24"/>
          <w:highlight w:val="none"/>
          <w:lang w:val="en-US" w:eastAsia="zh-CN"/>
        </w:rPr>
        <w:t>7、</w:t>
      </w:r>
      <w:r>
        <w:rPr>
          <w:rFonts w:hint="eastAsia" w:asciiTheme="minorEastAsia" w:hAnsiTheme="minorEastAsia" w:eastAsiaTheme="minorEastAsia" w:cstheme="minorEastAsia"/>
          <w:color w:val="auto"/>
          <w:spacing w:val="8"/>
          <w:szCs w:val="24"/>
          <w:highlight w:val="none"/>
        </w:rPr>
        <w:t>合同附件七、</w:t>
      </w:r>
      <w:r>
        <w:rPr>
          <w:rFonts w:hint="eastAsia" w:asciiTheme="minorEastAsia" w:hAnsiTheme="minorEastAsia" w:eastAsiaTheme="minorEastAsia" w:cstheme="minorEastAsia"/>
          <w:color w:val="auto"/>
          <w:spacing w:val="8"/>
          <w:szCs w:val="24"/>
          <w:highlight w:val="none"/>
          <w:lang w:eastAsia="zh-CN"/>
        </w:rPr>
        <w:t>《</w:t>
      </w:r>
      <w:r>
        <w:rPr>
          <w:rFonts w:hint="eastAsia" w:asciiTheme="minorEastAsia" w:hAnsiTheme="minorEastAsia" w:eastAsiaTheme="minorEastAsia" w:cstheme="minorEastAsia"/>
          <w:color w:val="auto"/>
          <w:spacing w:val="8"/>
          <w:szCs w:val="24"/>
          <w:highlight w:val="none"/>
          <w:lang w:val="en-US" w:eastAsia="zh-CN"/>
        </w:rPr>
        <w:t>招标答疑及回复</w:t>
      </w:r>
      <w:r>
        <w:rPr>
          <w:rFonts w:hint="eastAsia" w:asciiTheme="minorEastAsia" w:hAnsiTheme="minorEastAsia" w:eastAsiaTheme="minorEastAsia" w:cstheme="minorEastAsia"/>
          <w:color w:val="auto"/>
          <w:spacing w:val="8"/>
          <w:szCs w:val="24"/>
          <w:highlight w:val="none"/>
          <w:lang w:eastAsia="zh-CN"/>
        </w:rPr>
        <w:t>》</w:t>
      </w:r>
    </w:p>
    <w:p w14:paraId="06D2CAD5">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val="en-US" w:eastAsia="zh-CN"/>
        </w:rPr>
        <w:t>8</w:t>
      </w: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14:paraId="7E788DDA">
      <w:pPr>
        <w:rPr>
          <w:rFonts w:hint="eastAsia" w:asciiTheme="minorEastAsia" w:hAnsiTheme="minorEastAsia" w:eastAsiaTheme="minorEastAsia" w:cstheme="minorEastAsia"/>
          <w:bCs/>
          <w:color w:val="auto"/>
          <w:szCs w:val="24"/>
        </w:rPr>
      </w:pPr>
      <w:r>
        <w:rPr>
          <w:rFonts w:hint="eastAsia" w:asciiTheme="minorEastAsia" w:hAnsiTheme="minorEastAsia" w:eastAsiaTheme="minorEastAsia" w:cstheme="minorEastAsia"/>
          <w:color w:val="auto"/>
          <w:szCs w:val="28"/>
        </w:rPr>
        <w:t>（以下无正文）</w:t>
      </w:r>
    </w:p>
    <w:p w14:paraId="2590F8C6">
      <w:pPr>
        <w:spacing w:line="360" w:lineRule="auto"/>
        <w:ind w:firstLine="480"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bCs/>
          <w:color w:val="auto"/>
          <w:szCs w:val="24"/>
        </w:rPr>
        <w:t>甲方：（盖章）</w:t>
      </w:r>
      <w:r>
        <w:rPr>
          <w:rFonts w:hint="eastAsia" w:asciiTheme="minorEastAsia" w:hAnsiTheme="minorEastAsia" w:eastAsiaTheme="minorEastAsia" w:cstheme="minorEastAsia"/>
          <w:color w:val="auto"/>
          <w:spacing w:val="8"/>
          <w:szCs w:val="24"/>
        </w:rPr>
        <w:t xml:space="preserve">                     </w:t>
      </w:r>
      <w:r>
        <w:rPr>
          <w:rFonts w:hint="eastAsia" w:asciiTheme="minorEastAsia" w:hAnsiTheme="minorEastAsia" w:eastAsiaTheme="minorEastAsia" w:cstheme="minorEastAsia"/>
          <w:bCs/>
          <w:color w:val="auto"/>
          <w:szCs w:val="24"/>
        </w:rPr>
        <w:t>乙方：（盖章）</w:t>
      </w:r>
    </w:p>
    <w:p w14:paraId="7307CF28">
      <w:pPr>
        <w:spacing w:line="360" w:lineRule="auto"/>
        <w:ind w:firstLine="512" w:firstLineChars="200"/>
        <w:jc w:val="left"/>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 xml:space="preserve">河南浩德龙瑞置业有限公司           万象建设发展有限公司        </w:t>
      </w:r>
    </w:p>
    <w:p w14:paraId="4C62303A">
      <w:pPr>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法定代表人：                      法定代表人：于洪志</w:t>
      </w:r>
    </w:p>
    <w:p w14:paraId="515E2837">
      <w:pPr>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委托代理人：                      委托代理人：</w:t>
      </w:r>
    </w:p>
    <w:p w14:paraId="1CBE7D32">
      <w:pPr>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 xml:space="preserve">纳税人识别号：91410300MA9MYURF5B   纳税人识别号：91410100MA9L529C0T </w:t>
      </w:r>
    </w:p>
    <w:p w14:paraId="0CE25BE9">
      <w:pPr>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开户行：中原银行股份有限公司       开户行：上海浦东发展银行股份有限公司</w:t>
      </w:r>
    </w:p>
    <w:p w14:paraId="4F117191">
      <w:pPr>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 xml:space="preserve">洛阳万豪中心支行                         郑州东风支行    </w:t>
      </w:r>
    </w:p>
    <w:p w14:paraId="5854C65F">
      <w:pPr>
        <w:spacing w:line="360" w:lineRule="auto"/>
        <w:ind w:firstLine="512" w:firstLineChars="200"/>
        <w:rPr>
          <w:rFonts w:hint="eastAsia" w:asciiTheme="minorEastAsia" w:hAnsiTheme="minorEastAsia" w:eastAsiaTheme="minorEastAsia" w:cstheme="minorEastAsia"/>
          <w:color w:val="auto"/>
          <w:spacing w:val="8"/>
          <w:szCs w:val="24"/>
        </w:rPr>
      </w:pPr>
      <w:r>
        <w:rPr>
          <w:rFonts w:hint="eastAsia" w:asciiTheme="minorEastAsia" w:hAnsiTheme="minorEastAsia" w:eastAsiaTheme="minorEastAsia" w:cstheme="minorEastAsia"/>
          <w:color w:val="auto"/>
          <w:spacing w:val="8"/>
          <w:szCs w:val="24"/>
        </w:rPr>
        <w:t>账号：410311010160004001           账号： 76220078801600003000</w:t>
      </w:r>
    </w:p>
    <w:p w14:paraId="2E1B46EC">
      <w:pPr>
        <w:wordWrap w:val="0"/>
        <w:topLinePunct/>
        <w:autoSpaceDE w:val="0"/>
        <w:ind w:firstLine="480" w:firstLineChars="200"/>
        <w:rPr>
          <w:rFonts w:hint="eastAsia" w:asciiTheme="minorEastAsia" w:hAnsiTheme="minorEastAsia" w:eastAsiaTheme="minorEastAsia" w:cstheme="minorEastAsia"/>
          <w:b/>
          <w:color w:val="auto"/>
          <w:szCs w:val="24"/>
        </w:rPr>
      </w:pPr>
      <w:r>
        <w:rPr>
          <w:rFonts w:hint="eastAsia" w:asciiTheme="minorEastAsia" w:hAnsiTheme="minorEastAsia" w:eastAsiaTheme="minorEastAsia" w:cstheme="minorEastAsia"/>
          <w:bCs/>
          <w:color w:val="auto"/>
          <w:szCs w:val="24"/>
        </w:rPr>
        <w:t>签订日期：</w:t>
      </w:r>
      <w:r>
        <w:rPr>
          <w:rFonts w:hint="eastAsia" w:asciiTheme="minorEastAsia" w:hAnsiTheme="minorEastAsia" w:eastAsiaTheme="minorEastAsia" w:cstheme="minorEastAsia"/>
          <w:bCs/>
          <w:color w:val="auto"/>
          <w:szCs w:val="24"/>
          <w:u w:val="single"/>
        </w:rPr>
        <w:t>2024</w:t>
      </w:r>
      <w:r>
        <w:rPr>
          <w:rFonts w:hint="eastAsia" w:asciiTheme="minorEastAsia" w:hAnsiTheme="minorEastAsia" w:eastAsiaTheme="minorEastAsia" w:cstheme="minorEastAsia"/>
          <w:bCs/>
          <w:color w:val="auto"/>
          <w:szCs w:val="24"/>
        </w:rPr>
        <w:t>年</w:t>
      </w:r>
      <w:r>
        <w:rPr>
          <w:rFonts w:hint="eastAsia" w:asciiTheme="minorEastAsia" w:hAnsiTheme="minorEastAsia" w:eastAsiaTheme="minorEastAsia" w:cstheme="minorEastAsia"/>
          <w:bCs/>
          <w:color w:val="auto"/>
          <w:szCs w:val="24"/>
          <w:u w:val="single"/>
          <w:lang w:eastAsia="zh-CN"/>
        </w:rPr>
        <w:t>7</w:t>
      </w:r>
      <w:r>
        <w:rPr>
          <w:rFonts w:hint="eastAsia" w:asciiTheme="minorEastAsia" w:hAnsiTheme="minorEastAsia" w:eastAsiaTheme="minorEastAsia" w:cstheme="minorEastAsia"/>
          <w:bCs/>
          <w:color w:val="auto"/>
          <w:szCs w:val="24"/>
        </w:rPr>
        <w:t>月</w:t>
      </w:r>
      <w:r>
        <w:rPr>
          <w:rFonts w:hint="eastAsia" w:asciiTheme="minorEastAsia" w:hAnsiTheme="minorEastAsia" w:eastAsiaTheme="minorEastAsia" w:cstheme="minorEastAsia"/>
          <w:bCs/>
          <w:color w:val="auto"/>
          <w:szCs w:val="24"/>
          <w:u w:val="single"/>
          <w:lang w:val="en-US" w:eastAsia="zh-CN"/>
        </w:rPr>
        <w:t>18</w:t>
      </w:r>
      <w:r>
        <w:rPr>
          <w:rFonts w:hint="eastAsia" w:asciiTheme="minorEastAsia" w:hAnsiTheme="minorEastAsia" w:eastAsiaTheme="minorEastAsia" w:cstheme="minorEastAsia"/>
          <w:bCs/>
          <w:color w:val="auto"/>
          <w:szCs w:val="24"/>
        </w:rPr>
        <w:t>日              签订日期：</w:t>
      </w:r>
      <w:r>
        <w:rPr>
          <w:rFonts w:hint="eastAsia" w:asciiTheme="minorEastAsia" w:hAnsiTheme="minorEastAsia" w:eastAsiaTheme="minorEastAsia" w:cstheme="minorEastAsia"/>
          <w:bCs/>
          <w:color w:val="auto"/>
          <w:szCs w:val="24"/>
          <w:u w:val="single"/>
        </w:rPr>
        <w:t>2024</w:t>
      </w:r>
      <w:r>
        <w:rPr>
          <w:rFonts w:hint="eastAsia" w:asciiTheme="minorEastAsia" w:hAnsiTheme="minorEastAsia" w:eastAsiaTheme="minorEastAsia" w:cstheme="minorEastAsia"/>
          <w:bCs/>
          <w:color w:val="auto"/>
          <w:szCs w:val="24"/>
        </w:rPr>
        <w:t>年</w:t>
      </w:r>
      <w:r>
        <w:rPr>
          <w:rFonts w:hint="eastAsia" w:asciiTheme="minorEastAsia" w:hAnsiTheme="minorEastAsia" w:eastAsiaTheme="minorEastAsia" w:cstheme="minorEastAsia"/>
          <w:bCs/>
          <w:color w:val="auto"/>
          <w:szCs w:val="24"/>
          <w:u w:val="single"/>
          <w:lang w:eastAsia="zh-CN"/>
        </w:rPr>
        <w:t>7</w:t>
      </w:r>
      <w:r>
        <w:rPr>
          <w:rFonts w:hint="eastAsia" w:asciiTheme="minorEastAsia" w:hAnsiTheme="minorEastAsia" w:eastAsiaTheme="minorEastAsia" w:cstheme="minorEastAsia"/>
          <w:bCs/>
          <w:color w:val="auto"/>
          <w:szCs w:val="24"/>
        </w:rPr>
        <w:t>月</w:t>
      </w:r>
      <w:r>
        <w:rPr>
          <w:rFonts w:hint="eastAsia" w:asciiTheme="minorEastAsia" w:hAnsiTheme="minorEastAsia" w:eastAsiaTheme="minorEastAsia" w:cstheme="minorEastAsia"/>
          <w:bCs/>
          <w:color w:val="auto"/>
          <w:szCs w:val="24"/>
          <w:u w:val="single"/>
          <w:lang w:val="en-US" w:eastAsia="zh-CN"/>
        </w:rPr>
        <w:t>18</w:t>
      </w:r>
      <w:r>
        <w:rPr>
          <w:rFonts w:hint="eastAsia" w:asciiTheme="minorEastAsia" w:hAnsiTheme="minorEastAsia" w:eastAsiaTheme="minorEastAsia" w:cstheme="minorEastAsia"/>
          <w:bCs/>
          <w:color w:val="auto"/>
          <w:szCs w:val="24"/>
        </w:rPr>
        <w:t>日</w:t>
      </w:r>
    </w:p>
    <w:p w14:paraId="2E19AC47">
      <w:pPr>
        <w:rPr>
          <w:rFonts w:hint="eastAsia" w:asciiTheme="minorEastAsia" w:hAnsiTheme="minorEastAsia" w:eastAsiaTheme="minorEastAsia" w:cstheme="minorEastAsia"/>
          <w:b/>
          <w:color w:val="auto"/>
          <w:szCs w:val="24"/>
        </w:rPr>
      </w:pPr>
    </w:p>
    <w:p w14:paraId="488BFBAD">
      <w:pPr>
        <w:rPr>
          <w:rFonts w:hint="eastAsia" w:asciiTheme="minorEastAsia" w:hAnsiTheme="minorEastAsia" w:eastAsiaTheme="minorEastAsia" w:cstheme="minorEastAsia"/>
          <w:color w:val="auto"/>
        </w:rPr>
      </w:pPr>
    </w:p>
    <w:p w14:paraId="4C1A2392">
      <w:pPr>
        <w:tabs>
          <w:tab w:val="left" w:pos="4465"/>
        </w:tabs>
        <w:spacing w:line="360" w:lineRule="auto"/>
        <w:rPr>
          <w:rFonts w:hint="eastAsia" w:asciiTheme="minorEastAsia" w:hAnsiTheme="minorEastAsia" w:eastAsiaTheme="minorEastAsia" w:cstheme="minorEastAsia"/>
          <w:b/>
          <w:color w:val="auto"/>
          <w:szCs w:val="24"/>
        </w:rPr>
      </w:pPr>
      <w:r>
        <w:rPr>
          <w:rFonts w:hint="eastAsia" w:asciiTheme="minorEastAsia" w:hAnsiTheme="minorEastAsia" w:eastAsiaTheme="minorEastAsia" w:cstheme="minorEastAsia"/>
          <w:b/>
          <w:color w:val="auto"/>
          <w:szCs w:val="24"/>
        </w:rPr>
        <w:t>附件一、廉政合作协议</w:t>
      </w:r>
    </w:p>
    <w:p w14:paraId="3E7BCFFC">
      <w:pPr>
        <w:spacing w:line="360" w:lineRule="auto"/>
        <w:ind w:firstLine="292" w:firstLineChars="91"/>
        <w:jc w:val="center"/>
        <w:rPr>
          <w:rFonts w:hint="eastAsia" w:asciiTheme="minorEastAsia" w:hAnsiTheme="minorEastAsia" w:eastAsiaTheme="minorEastAsia" w:cstheme="minorEastAsia"/>
          <w:b/>
          <w:bCs/>
          <w:color w:val="auto"/>
          <w:sz w:val="32"/>
          <w:szCs w:val="32"/>
          <w:lang w:val="zh-CN"/>
        </w:rPr>
      </w:pPr>
      <w:r>
        <w:rPr>
          <w:rFonts w:hint="eastAsia" w:asciiTheme="minorEastAsia" w:hAnsiTheme="minorEastAsia" w:eastAsiaTheme="minorEastAsia" w:cstheme="minorEastAsia"/>
          <w:b/>
          <w:bCs/>
          <w:color w:val="auto"/>
          <w:sz w:val="32"/>
          <w:szCs w:val="32"/>
          <w:lang w:val="zh-CN"/>
        </w:rPr>
        <w:t>廉政合作协议</w:t>
      </w:r>
    </w:p>
    <w:p w14:paraId="650C302E">
      <w:pPr>
        <w:spacing w:line="360" w:lineRule="auto"/>
        <w:rPr>
          <w:rFonts w:hint="eastAsia" w:asciiTheme="minorEastAsia" w:hAnsiTheme="minorEastAsia" w:eastAsiaTheme="minorEastAsia" w:cstheme="minorEastAsia"/>
          <w:b/>
          <w:color w:val="auto"/>
          <w:szCs w:val="24"/>
          <w:u w:val="single"/>
        </w:rPr>
      </w:pPr>
      <w:r>
        <w:rPr>
          <w:rFonts w:hint="eastAsia" w:asciiTheme="minorEastAsia" w:hAnsiTheme="minorEastAsia" w:eastAsiaTheme="minorEastAsia" w:cstheme="minorEastAsia"/>
          <w:b/>
          <w:color w:val="auto"/>
          <w:szCs w:val="24"/>
        </w:rPr>
        <w:t>甲方：</w:t>
      </w:r>
      <w:r>
        <w:rPr>
          <w:rFonts w:hint="eastAsia" w:asciiTheme="minorEastAsia" w:hAnsiTheme="minorEastAsia" w:eastAsiaTheme="minorEastAsia" w:cstheme="minorEastAsia"/>
          <w:color w:val="auto"/>
          <w:spacing w:val="8"/>
          <w:szCs w:val="24"/>
          <w:u w:val="single"/>
        </w:rPr>
        <w:t>河南浩德龙瑞置业有限公司</w:t>
      </w:r>
    </w:p>
    <w:p w14:paraId="54FA4A01">
      <w:pPr>
        <w:spacing w:line="360" w:lineRule="auto"/>
        <w:rPr>
          <w:rFonts w:hint="eastAsia" w:asciiTheme="minorEastAsia" w:hAnsiTheme="minorEastAsia" w:eastAsiaTheme="minorEastAsia" w:cstheme="minorEastAsia"/>
          <w:color w:val="auto"/>
          <w:spacing w:val="8"/>
          <w:szCs w:val="24"/>
          <w:u w:val="single"/>
        </w:rPr>
      </w:pPr>
      <w:r>
        <w:rPr>
          <w:rFonts w:hint="eastAsia" w:asciiTheme="minorEastAsia" w:hAnsiTheme="minorEastAsia" w:eastAsiaTheme="minorEastAsia" w:cstheme="minorEastAsia"/>
          <w:b/>
          <w:color w:val="auto"/>
          <w:szCs w:val="24"/>
        </w:rPr>
        <w:t>乙方：</w:t>
      </w:r>
      <w:r>
        <w:rPr>
          <w:rFonts w:hint="eastAsia" w:asciiTheme="minorEastAsia" w:hAnsiTheme="minorEastAsia" w:eastAsiaTheme="minorEastAsia" w:cstheme="minorEastAsia"/>
          <w:color w:val="auto"/>
          <w:spacing w:val="8"/>
          <w:szCs w:val="24"/>
          <w:u w:val="single"/>
        </w:rPr>
        <w:t>万象建设发展有限公司</w:t>
      </w:r>
    </w:p>
    <w:p w14:paraId="3AECAC90">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为加强工程项目建设期间的廉政管理，确保项目高效优质按期竣工，甲、乙双方经协商签订本协议并作为双方共同遵守的廉政行为准则。</w:t>
      </w:r>
    </w:p>
    <w:p w14:paraId="09ED4677">
      <w:pPr>
        <w:spacing w:line="360" w:lineRule="auto"/>
        <w:ind w:firstLine="482" w:firstLineChars="200"/>
        <w:rPr>
          <w:rFonts w:hint="eastAsia" w:asciiTheme="minorEastAsia" w:hAnsiTheme="minorEastAsia" w:eastAsiaTheme="minorEastAsia" w:cstheme="minorEastAsia"/>
          <w:b/>
          <w:color w:val="auto"/>
          <w:szCs w:val="28"/>
        </w:rPr>
      </w:pPr>
      <w:r>
        <w:rPr>
          <w:rFonts w:hint="eastAsia" w:asciiTheme="minorEastAsia" w:hAnsiTheme="minorEastAsia" w:eastAsiaTheme="minorEastAsia" w:cstheme="minorEastAsia"/>
          <w:b/>
          <w:color w:val="auto"/>
          <w:szCs w:val="28"/>
        </w:rPr>
        <w:t>一．甲方责任</w:t>
      </w:r>
    </w:p>
    <w:p w14:paraId="022F757E">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1．甲方有责任向乙方介绍本单位有关廉政管理的各项制度和规定。</w:t>
      </w:r>
    </w:p>
    <w:p w14:paraId="6E5333AD">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2．甲方有责任对本单位项目管理人员进行廉政教育。</w:t>
      </w:r>
    </w:p>
    <w:p w14:paraId="651A0F65">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3．甲方人员应严格遵守本单位有关廉政管理的规定，不得接受乙方的宴请，不得接受任何形式的实物、现金或礼券。</w:t>
      </w:r>
    </w:p>
    <w:p w14:paraId="74F0CC1A">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4．甲方在项目建设期间发现甲方人员任何形式的索贿受贿行为，均应及时采取措施予以制止，并及时通报乙方单位领导。</w:t>
      </w:r>
    </w:p>
    <w:p w14:paraId="529CB0EC">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5．甲方人员如违反廉政管理制度及本协议规定，甲方应视情节轻重、影响大小给予处罚。</w:t>
      </w:r>
    </w:p>
    <w:p w14:paraId="6730B011">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6．对于乙方举报甲方人员违反廉政规定的情况，甲方应及时进行调查，根据调查情况进行处理。</w:t>
      </w:r>
    </w:p>
    <w:p w14:paraId="33A54D99">
      <w:pPr>
        <w:spacing w:line="360" w:lineRule="auto"/>
        <w:ind w:firstLine="482" w:firstLineChars="200"/>
        <w:rPr>
          <w:rFonts w:hint="eastAsia" w:asciiTheme="minorEastAsia" w:hAnsiTheme="minorEastAsia" w:eastAsiaTheme="minorEastAsia" w:cstheme="minorEastAsia"/>
          <w:b/>
          <w:color w:val="auto"/>
          <w:szCs w:val="28"/>
        </w:rPr>
      </w:pPr>
      <w:r>
        <w:rPr>
          <w:rFonts w:hint="eastAsia" w:asciiTheme="minorEastAsia" w:hAnsiTheme="minorEastAsia" w:eastAsiaTheme="minorEastAsia" w:cstheme="minorEastAsia"/>
          <w:b/>
          <w:color w:val="auto"/>
          <w:szCs w:val="28"/>
        </w:rPr>
        <w:t>二．乙方责任</w:t>
      </w:r>
    </w:p>
    <w:p w14:paraId="5136A3DF">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1．乙方应保证乙方有关人员了解甲方有关廉政管理的各项制度及本协议的规定，并遵照执行。</w:t>
      </w:r>
    </w:p>
    <w:p w14:paraId="18A043F7">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2．乙方不得宴请甲方人员，不得以任何形式赠送实物、现金或礼券。</w:t>
      </w:r>
    </w:p>
    <w:p w14:paraId="2A308E5F">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3．乙方在项目建设期间发现乙方人员任何向甲方人员行贿行为，均应及时采取措施予以制止，并及时通报甲方单位领导。</w:t>
      </w:r>
    </w:p>
    <w:p w14:paraId="36735E38">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4．乙方有责任接受甲方对乙方在项目建设期间廉政管理执行情况的监督。</w:t>
      </w:r>
    </w:p>
    <w:p w14:paraId="7F628056">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14:paraId="21186219">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6．如因乙方或其人员在项目建设期间贿赂甲方人员，被检察机关立案查处的，甲方有权终止合同履行或解除合同，由此给甲方造成的损失，均由乙方负责赔偿。</w:t>
      </w:r>
    </w:p>
    <w:p w14:paraId="6C62D224">
      <w:pPr>
        <w:spacing w:line="360" w:lineRule="auto"/>
        <w:ind w:firstLine="482" w:firstLineChars="200"/>
        <w:rPr>
          <w:rFonts w:hint="eastAsia" w:asciiTheme="minorEastAsia" w:hAnsiTheme="minorEastAsia" w:eastAsiaTheme="minorEastAsia" w:cstheme="minorEastAsia"/>
          <w:b/>
          <w:color w:val="auto"/>
          <w:szCs w:val="28"/>
        </w:rPr>
      </w:pPr>
      <w:r>
        <w:rPr>
          <w:rFonts w:hint="eastAsia" w:asciiTheme="minorEastAsia" w:hAnsiTheme="minorEastAsia" w:eastAsiaTheme="minorEastAsia" w:cstheme="minorEastAsia"/>
          <w:b/>
          <w:color w:val="auto"/>
          <w:szCs w:val="28"/>
        </w:rPr>
        <w:t xml:space="preserve"> 三、为维护甲乙双方的合法利益，营造良好的商务环境，甲方建立多种举报渠道（如下）。甲方风控部人员将恪守职业道德，严格履行保密义务！</w:t>
      </w:r>
    </w:p>
    <w:p w14:paraId="2BD2C5B1">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（1）微信小程序举报（扫描右侧二维码进入程序，举报信息直达集团董事长）；</w:t>
      </w:r>
    </w:p>
    <w:p w14:paraId="21C9E1E7">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1"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rPr>
        <w:t>（2）邮箱：shenji@chinahonden.com</w:t>
      </w:r>
    </w:p>
    <w:p w14:paraId="533D2671">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（3）电话：风控总监毛政辉：13693798532</w:t>
      </w:r>
    </w:p>
    <w:p w14:paraId="208EDEC0">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（4）电话：审计监察副总监齐全中：18137710188</w:t>
      </w:r>
    </w:p>
    <w:p w14:paraId="07503C71">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（5）电话：审计监察高级经理苏文倩：18839528225</w:t>
      </w:r>
    </w:p>
    <w:p w14:paraId="105B61C7">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（6）信件举报邮寄地址：洛阳市洛龙区关林西路8号中浩德控股集团有限公司审计监察部（收）。</w:t>
      </w:r>
    </w:p>
    <w:p w14:paraId="3F5C322B">
      <w:pPr>
        <w:spacing w:line="360" w:lineRule="auto"/>
        <w:ind w:firstLine="482" w:firstLineChars="200"/>
        <w:rPr>
          <w:rFonts w:hint="eastAsia" w:asciiTheme="minorEastAsia" w:hAnsiTheme="minorEastAsia" w:eastAsiaTheme="minorEastAsia" w:cstheme="minorEastAsia"/>
          <w:b/>
          <w:color w:val="auto"/>
          <w:szCs w:val="28"/>
        </w:rPr>
      </w:pPr>
      <w:r>
        <w:rPr>
          <w:rFonts w:hint="eastAsia" w:asciiTheme="minorEastAsia" w:hAnsiTheme="minorEastAsia" w:eastAsiaTheme="minorEastAsia" w:cstheme="minorEastAsia"/>
          <w:b/>
          <w:color w:val="auto"/>
          <w:szCs w:val="28"/>
        </w:rPr>
        <w:t>四、甲乙双方发现对方工作人员有下列行为之一的，可通过第三条约定的渠道进行举报：</w:t>
      </w:r>
    </w:p>
    <w:p w14:paraId="6DA3658A">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1.推诿扯皮、有责不负、处事消极、渎职失职、弄虚作假等行为。</w:t>
      </w:r>
    </w:p>
    <w:p w14:paraId="2A6C7036">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2.以权谋私、滥用职权、处事不公、隐瞒事故、违章指挥造成公司严重事故隐患的行为。</w:t>
      </w:r>
    </w:p>
    <w:p w14:paraId="289E2E70">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3.贪污、受贿、盗窃、欺上瞒下等违法乱纪行为。</w:t>
      </w:r>
    </w:p>
    <w:p w14:paraId="7E16AA46">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4.出卖、泄露公司商业机密等危害公司行为。</w:t>
      </w:r>
    </w:p>
    <w:p w14:paraId="26D81A6E">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5.重大经济活动未按公司制度、流程执行的违规违纪行为。</w:t>
      </w:r>
    </w:p>
    <w:p w14:paraId="7036DECE">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6.利用职权，任人唯亲，拉帮结派，搞小利益团体或对同事正当行使权利进行打击报复的行为。</w:t>
      </w:r>
    </w:p>
    <w:p w14:paraId="068AB106">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7.故意涂改公司文件或以公司名义谋私利，损害公司荣誉和利益的行为。</w:t>
      </w:r>
    </w:p>
    <w:p w14:paraId="6F5ACBDD">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8.私自侵占、挪用公司财物，损坏公司重要设备或资产的行为。</w:t>
      </w:r>
    </w:p>
    <w:p w14:paraId="201A4D1E">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9.破坏团队和谐，故意挑拨员工之间关系，对同事恶意侮辱、陷害、制造事端的行为。</w:t>
      </w:r>
    </w:p>
    <w:p w14:paraId="78609CD7">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10.妄议集团经营、管理、决策部署、会议决议，对正当行使职权的执法部门、员工进行设置障碍、诋毁、恶意侮辱的行为。</w:t>
      </w:r>
    </w:p>
    <w:p w14:paraId="0522F6D3">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8"/>
        </w:rPr>
        <w:t>11.其他违反法律或者甲方公司相关制度的行为。</w:t>
      </w:r>
    </w:p>
    <w:p w14:paraId="253BFD40">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（以下无正文）</w:t>
      </w:r>
    </w:p>
    <w:p w14:paraId="19D703CA">
      <w:pPr>
        <w:autoSpaceDN w:val="0"/>
        <w:spacing w:line="360" w:lineRule="auto"/>
        <w:ind w:firstLine="480" w:firstLineChars="200"/>
        <w:rPr>
          <w:rFonts w:hint="eastAsia" w:asciiTheme="minorEastAsia" w:hAnsiTheme="minorEastAsia" w:eastAsiaTheme="minorEastAsia" w:cstheme="minorEastAsia"/>
          <w:color w:val="auto"/>
          <w:szCs w:val="28"/>
        </w:rPr>
      </w:pPr>
    </w:p>
    <w:p w14:paraId="6DE552CB">
      <w:pPr>
        <w:spacing w:line="360" w:lineRule="auto"/>
        <w:ind w:left="6960" w:hanging="6960" w:hangingChars="29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甲方（盖章）：河南浩德龙瑞置业有限公司  乙方（盖章）：万象建设发展有限公司             </w:t>
      </w:r>
    </w:p>
    <w:p w14:paraId="71FC93FF">
      <w:pP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签订日期：</w:t>
      </w:r>
      <w:r>
        <w:rPr>
          <w:rFonts w:hint="eastAsia" w:asciiTheme="minorEastAsia" w:hAnsiTheme="minorEastAsia" w:eastAsiaTheme="minorEastAsia" w:cstheme="minorEastAsia"/>
          <w:color w:val="auto"/>
          <w:szCs w:val="28"/>
          <w:u w:val="single"/>
        </w:rPr>
        <w:t>2024</w:t>
      </w:r>
      <w:r>
        <w:rPr>
          <w:rFonts w:hint="eastAsia" w:asciiTheme="minorEastAsia" w:hAnsiTheme="minorEastAsia" w:eastAsiaTheme="minorEastAsia" w:cstheme="minorEastAsia"/>
          <w:color w:val="auto"/>
          <w:szCs w:val="28"/>
        </w:rPr>
        <w:t>年</w:t>
      </w:r>
      <w:r>
        <w:rPr>
          <w:rFonts w:hint="eastAsia" w:asciiTheme="minorEastAsia" w:hAnsiTheme="minorEastAsia" w:eastAsiaTheme="minorEastAsia" w:cstheme="minorEastAsia"/>
          <w:color w:val="auto"/>
          <w:szCs w:val="28"/>
          <w:lang w:val="en-US" w:eastAsia="zh-CN"/>
        </w:rPr>
        <w:t>7</w:t>
      </w:r>
      <w:r>
        <w:rPr>
          <w:rFonts w:hint="eastAsia" w:asciiTheme="minorEastAsia" w:hAnsiTheme="minorEastAsia" w:eastAsiaTheme="minorEastAsia" w:cstheme="minorEastAsia"/>
          <w:color w:val="auto"/>
          <w:szCs w:val="28"/>
        </w:rPr>
        <w:t>月</w:t>
      </w:r>
      <w:r>
        <w:rPr>
          <w:rFonts w:hint="eastAsia" w:asciiTheme="minorEastAsia" w:hAnsiTheme="minorEastAsia" w:eastAsiaTheme="minorEastAsia" w:cstheme="minorEastAsia"/>
          <w:color w:val="auto"/>
          <w:szCs w:val="28"/>
          <w:u w:val="single"/>
          <w:lang w:eastAsia="zh-CN"/>
        </w:rPr>
        <w:t>3</w:t>
      </w:r>
      <w:r>
        <w:rPr>
          <w:rFonts w:hint="eastAsia" w:asciiTheme="minorEastAsia" w:hAnsiTheme="minorEastAsia" w:eastAsiaTheme="minorEastAsia" w:cstheme="minorEastAsia"/>
          <w:color w:val="auto"/>
          <w:szCs w:val="28"/>
          <w:u w:val="single"/>
          <w:lang w:val="en-US" w:eastAsia="zh-CN"/>
        </w:rPr>
        <w:t>1</w:t>
      </w:r>
      <w:r>
        <w:rPr>
          <w:rFonts w:hint="eastAsia" w:asciiTheme="minorEastAsia" w:hAnsiTheme="minorEastAsia" w:eastAsiaTheme="minorEastAsia" w:cstheme="minorEastAsia"/>
          <w:color w:val="auto"/>
          <w:szCs w:val="28"/>
        </w:rPr>
        <w:t>日             签订日期：</w:t>
      </w:r>
      <w:r>
        <w:rPr>
          <w:rFonts w:hint="eastAsia" w:asciiTheme="minorEastAsia" w:hAnsiTheme="minorEastAsia" w:eastAsiaTheme="minorEastAsia" w:cstheme="minorEastAsia"/>
          <w:color w:val="auto"/>
          <w:szCs w:val="28"/>
          <w:u w:val="single"/>
        </w:rPr>
        <w:t>2024</w:t>
      </w:r>
      <w:r>
        <w:rPr>
          <w:rFonts w:hint="eastAsia" w:asciiTheme="minorEastAsia" w:hAnsiTheme="minorEastAsia" w:eastAsiaTheme="minorEastAsia" w:cstheme="minorEastAsia"/>
          <w:color w:val="auto"/>
          <w:szCs w:val="28"/>
        </w:rPr>
        <w:t>年</w:t>
      </w:r>
      <w:r>
        <w:rPr>
          <w:rFonts w:hint="eastAsia" w:asciiTheme="minorEastAsia" w:hAnsiTheme="minorEastAsia" w:eastAsiaTheme="minorEastAsia" w:cstheme="minorEastAsia"/>
          <w:color w:val="auto"/>
          <w:szCs w:val="28"/>
          <w:u w:val="single"/>
          <w:lang w:eastAsia="zh-CN"/>
        </w:rPr>
        <w:t>7</w:t>
      </w:r>
      <w:r>
        <w:rPr>
          <w:rFonts w:hint="eastAsia" w:asciiTheme="minorEastAsia" w:hAnsiTheme="minorEastAsia" w:eastAsiaTheme="minorEastAsia" w:cstheme="minorEastAsia"/>
          <w:color w:val="auto"/>
          <w:szCs w:val="28"/>
        </w:rPr>
        <w:t>月</w:t>
      </w:r>
      <w:r>
        <w:rPr>
          <w:rFonts w:hint="eastAsia" w:asciiTheme="minorEastAsia" w:hAnsiTheme="minorEastAsia" w:eastAsiaTheme="minorEastAsia" w:cstheme="minorEastAsia"/>
          <w:color w:val="auto"/>
          <w:szCs w:val="28"/>
          <w:u w:val="single"/>
          <w:lang w:eastAsia="zh-CN"/>
        </w:rPr>
        <w:t>3</w:t>
      </w:r>
      <w:r>
        <w:rPr>
          <w:rFonts w:hint="eastAsia" w:asciiTheme="minorEastAsia" w:hAnsiTheme="minorEastAsia" w:eastAsiaTheme="minorEastAsia" w:cstheme="minorEastAsia"/>
          <w:color w:val="auto"/>
          <w:szCs w:val="28"/>
          <w:u w:val="single"/>
          <w:lang w:val="en-US" w:eastAsia="zh-CN"/>
        </w:rPr>
        <w:t>1</w:t>
      </w:r>
      <w:r>
        <w:rPr>
          <w:rFonts w:hint="eastAsia" w:asciiTheme="minorEastAsia" w:hAnsiTheme="minorEastAsia" w:eastAsiaTheme="minorEastAsia" w:cstheme="minorEastAsia"/>
          <w:color w:val="auto"/>
          <w:szCs w:val="28"/>
        </w:rPr>
        <w:t xml:space="preserve">日  </w:t>
      </w:r>
    </w:p>
    <w:p w14:paraId="66081B01">
      <w:pPr>
        <w:pStyle w:val="54"/>
        <w:spacing w:line="360" w:lineRule="auto"/>
        <w:rPr>
          <w:rFonts w:hint="eastAsia" w:asciiTheme="minorEastAsia" w:hAnsiTheme="minorEastAsia" w:eastAsiaTheme="minorEastAsia" w:cstheme="minorEastAsia"/>
          <w:bCs/>
          <w:color w:val="auto"/>
          <w:szCs w:val="28"/>
        </w:rPr>
      </w:pPr>
    </w:p>
    <w:p w14:paraId="695983D2">
      <w:pPr>
        <w:tabs>
          <w:tab w:val="left" w:pos="6587"/>
        </w:tabs>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b/>
      </w:r>
    </w:p>
    <w:p w14:paraId="04589239">
      <w:pPr>
        <w:pStyle w:val="54"/>
        <w:spacing w:line="360" w:lineRule="auto"/>
        <w:rPr>
          <w:rFonts w:hint="eastAsia" w:asciiTheme="minorEastAsia" w:hAnsiTheme="minorEastAsia" w:eastAsiaTheme="minorEastAsia" w:cstheme="minorEastAsia"/>
          <w:bCs/>
          <w:color w:val="auto"/>
          <w:szCs w:val="28"/>
        </w:rPr>
      </w:pPr>
      <w:r>
        <w:rPr>
          <w:rFonts w:hint="eastAsia" w:asciiTheme="minorEastAsia" w:hAnsiTheme="minorEastAsia" w:eastAsiaTheme="minorEastAsia" w:cstheme="minorEastAsia"/>
          <w:bCs/>
          <w:color w:val="auto"/>
          <w:szCs w:val="28"/>
        </w:rPr>
        <w:t>附件二、《乙方派驻本工程人员名单表》</w:t>
      </w:r>
    </w:p>
    <w:tbl>
      <w:tblPr>
        <w:tblStyle w:val="47"/>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14:paraId="4A4A7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vAlign w:val="center"/>
          </w:tcPr>
          <w:p w14:paraId="5BAFE637">
            <w:pPr>
              <w:pStyle w:val="101"/>
              <w:spacing w:before="132"/>
              <w:ind w:left="39"/>
              <w:jc w:val="center"/>
              <w:rPr>
                <w:rFonts w:hint="eastAsia" w:asciiTheme="minorEastAsia" w:hAnsiTheme="minorEastAsia" w:eastAsiaTheme="minorEastAsia" w:cstheme="minorEastAsia"/>
                <w:color w:val="auto"/>
                <w:kern w:val="0"/>
                <w:szCs w:val="24"/>
                <w:lang w:val="en-US" w:bidi="ar-SA"/>
              </w:rPr>
            </w:pPr>
            <w:r>
              <w:rPr>
                <w:rFonts w:hint="eastAsia" w:asciiTheme="minorEastAsia" w:hAnsiTheme="minorEastAsia" w:eastAsiaTheme="minorEastAsia" w:cstheme="minorEastAsia"/>
                <w:b/>
                <w:color w:val="auto"/>
                <w:kern w:val="0"/>
                <w:szCs w:val="20"/>
                <w:lang w:val="en-US" w:bidi="ar-SA"/>
              </w:rPr>
              <w:t>《</w:t>
            </w:r>
            <w:r>
              <w:rPr>
                <w:rFonts w:hint="eastAsia" w:asciiTheme="minorEastAsia" w:hAnsiTheme="minorEastAsia" w:eastAsiaTheme="minorEastAsia" w:cstheme="minorEastAsia"/>
                <w:b/>
                <w:bCs/>
                <w:color w:val="auto"/>
                <w:szCs w:val="28"/>
              </w:rPr>
              <w:t>乙方派驻本工程</w:t>
            </w:r>
            <w:r>
              <w:rPr>
                <w:rFonts w:hint="eastAsia" w:asciiTheme="minorEastAsia" w:hAnsiTheme="minorEastAsia" w:eastAsiaTheme="minorEastAsia" w:cstheme="minorEastAsia"/>
                <w:b/>
                <w:bCs/>
                <w:color w:val="auto"/>
                <w:szCs w:val="28"/>
                <w:lang w:val="en-US"/>
              </w:rPr>
              <w:t>人员名单表</w:t>
            </w:r>
            <w:r>
              <w:rPr>
                <w:rFonts w:hint="eastAsia" w:asciiTheme="minorEastAsia" w:hAnsiTheme="minorEastAsia" w:eastAsiaTheme="minorEastAsia" w:cstheme="minorEastAsia"/>
                <w:b/>
                <w:color w:val="auto"/>
                <w:kern w:val="0"/>
                <w:szCs w:val="20"/>
                <w:lang w:val="en-US" w:bidi="ar-SA"/>
              </w:rPr>
              <w:t>》</w:t>
            </w:r>
          </w:p>
        </w:tc>
      </w:tr>
      <w:tr w14:paraId="2FA62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vAlign w:val="center"/>
          </w:tcPr>
          <w:p w14:paraId="6E1FB925">
            <w:pPr>
              <w:pStyle w:val="101"/>
              <w:spacing w:before="132"/>
              <w:ind w:left="51" w:right="44"/>
              <w:jc w:val="center"/>
              <w:rPr>
                <w:rFonts w:hint="eastAsia" w:asciiTheme="minorEastAsia" w:hAnsiTheme="minorEastAsia" w:eastAsiaTheme="minorEastAsia" w:cstheme="minorEastAsia"/>
                <w:color w:val="auto"/>
                <w:kern w:val="0"/>
                <w:szCs w:val="24"/>
                <w:lang w:val="en-US" w:bidi="ar-SA"/>
              </w:rPr>
            </w:pPr>
            <w:r>
              <w:rPr>
                <w:rFonts w:hint="eastAsia" w:asciiTheme="minorEastAsia" w:hAnsiTheme="minorEastAsia" w:eastAsiaTheme="minorEastAsia" w:cstheme="minorEastAsia"/>
                <w:color w:val="auto"/>
                <w:kern w:val="0"/>
                <w:szCs w:val="24"/>
                <w:lang w:val="en-US" w:bidi="ar-SA"/>
              </w:rPr>
              <w:t>序号</w:t>
            </w:r>
          </w:p>
        </w:tc>
        <w:tc>
          <w:tcPr>
            <w:tcW w:w="1315" w:type="dxa"/>
            <w:vAlign w:val="center"/>
          </w:tcPr>
          <w:p w14:paraId="52EE02F8">
            <w:pPr>
              <w:pStyle w:val="101"/>
              <w:spacing w:before="132"/>
              <w:ind w:right="167"/>
              <w:jc w:val="center"/>
              <w:rPr>
                <w:rFonts w:hint="eastAsia" w:asciiTheme="minorEastAsia" w:hAnsiTheme="minorEastAsia" w:eastAsiaTheme="minorEastAsia" w:cstheme="minorEastAsia"/>
                <w:color w:val="auto"/>
                <w:kern w:val="0"/>
                <w:szCs w:val="24"/>
                <w:lang w:val="en-US" w:bidi="ar-SA"/>
              </w:rPr>
            </w:pPr>
            <w:r>
              <w:rPr>
                <w:rFonts w:hint="eastAsia" w:asciiTheme="minorEastAsia" w:hAnsiTheme="minorEastAsia" w:eastAsiaTheme="minorEastAsia" w:cstheme="minorEastAsia"/>
                <w:color w:val="auto"/>
                <w:kern w:val="0"/>
                <w:szCs w:val="24"/>
                <w:lang w:val="en-US" w:bidi="ar-SA"/>
              </w:rPr>
              <w:t>专业</w:t>
            </w:r>
          </w:p>
        </w:tc>
        <w:tc>
          <w:tcPr>
            <w:tcW w:w="1152" w:type="dxa"/>
            <w:vAlign w:val="center"/>
          </w:tcPr>
          <w:p w14:paraId="04CE3E0E">
            <w:pPr>
              <w:pStyle w:val="101"/>
              <w:spacing w:before="132"/>
              <w:ind w:left="201" w:right="178"/>
              <w:jc w:val="center"/>
              <w:rPr>
                <w:rFonts w:hint="eastAsia" w:asciiTheme="minorEastAsia" w:hAnsiTheme="minorEastAsia" w:eastAsiaTheme="minorEastAsia" w:cstheme="minorEastAsia"/>
                <w:color w:val="auto"/>
                <w:kern w:val="0"/>
                <w:szCs w:val="24"/>
                <w:lang w:val="en-US" w:bidi="ar-SA"/>
              </w:rPr>
            </w:pPr>
            <w:r>
              <w:rPr>
                <w:rFonts w:hint="eastAsia" w:asciiTheme="minorEastAsia" w:hAnsiTheme="minorEastAsia" w:eastAsiaTheme="minorEastAsia" w:cstheme="minorEastAsia"/>
                <w:color w:val="auto"/>
                <w:kern w:val="0"/>
                <w:szCs w:val="24"/>
                <w:lang w:val="en-US" w:bidi="ar-SA"/>
              </w:rPr>
              <w:t>姓名</w:t>
            </w:r>
          </w:p>
        </w:tc>
        <w:tc>
          <w:tcPr>
            <w:tcW w:w="1584" w:type="dxa"/>
            <w:vAlign w:val="center"/>
          </w:tcPr>
          <w:p w14:paraId="1372CD23">
            <w:pPr>
              <w:pStyle w:val="101"/>
              <w:spacing w:before="132"/>
              <w:ind w:left="41" w:right="31"/>
              <w:jc w:val="center"/>
              <w:rPr>
                <w:rFonts w:hint="eastAsia" w:asciiTheme="minorEastAsia" w:hAnsiTheme="minorEastAsia" w:eastAsiaTheme="minorEastAsia" w:cstheme="minorEastAsia"/>
                <w:color w:val="auto"/>
                <w:kern w:val="0"/>
                <w:szCs w:val="24"/>
                <w:lang w:val="en-US" w:bidi="ar-SA"/>
              </w:rPr>
            </w:pPr>
            <w:r>
              <w:rPr>
                <w:rFonts w:hint="eastAsia" w:asciiTheme="minorEastAsia" w:hAnsiTheme="minorEastAsia" w:eastAsiaTheme="minorEastAsia" w:cstheme="minorEastAsia"/>
                <w:color w:val="auto"/>
                <w:kern w:val="0"/>
                <w:szCs w:val="24"/>
                <w:lang w:val="en-US" w:bidi="ar-SA"/>
              </w:rPr>
              <w:t>职称</w:t>
            </w:r>
          </w:p>
        </w:tc>
        <w:tc>
          <w:tcPr>
            <w:tcW w:w="1132" w:type="dxa"/>
            <w:vAlign w:val="center"/>
          </w:tcPr>
          <w:p w14:paraId="5DAD64DF">
            <w:pPr>
              <w:pStyle w:val="101"/>
              <w:spacing w:before="132"/>
              <w:ind w:right="95"/>
              <w:jc w:val="center"/>
              <w:rPr>
                <w:rFonts w:hint="eastAsia" w:asciiTheme="minorEastAsia" w:hAnsiTheme="minorEastAsia" w:eastAsiaTheme="minorEastAsia" w:cstheme="minorEastAsia"/>
                <w:color w:val="auto"/>
                <w:kern w:val="0"/>
                <w:szCs w:val="24"/>
                <w:lang w:val="en-US" w:bidi="ar-SA"/>
              </w:rPr>
            </w:pPr>
            <w:r>
              <w:rPr>
                <w:rFonts w:hint="eastAsia" w:asciiTheme="minorEastAsia" w:hAnsiTheme="minorEastAsia" w:eastAsiaTheme="minorEastAsia" w:cstheme="minorEastAsia"/>
                <w:color w:val="auto"/>
                <w:kern w:val="0"/>
                <w:szCs w:val="24"/>
                <w:lang w:val="en-US" w:bidi="ar-SA"/>
              </w:rPr>
              <w:t>学历</w:t>
            </w:r>
          </w:p>
        </w:tc>
        <w:tc>
          <w:tcPr>
            <w:tcW w:w="1229" w:type="dxa"/>
            <w:vAlign w:val="center"/>
          </w:tcPr>
          <w:p w14:paraId="30BDA3C1">
            <w:pPr>
              <w:pStyle w:val="101"/>
              <w:spacing w:before="132"/>
              <w:ind w:left="189" w:right="183"/>
              <w:jc w:val="center"/>
              <w:rPr>
                <w:rFonts w:hint="eastAsia" w:asciiTheme="minorEastAsia" w:hAnsiTheme="minorEastAsia" w:eastAsiaTheme="minorEastAsia" w:cstheme="minorEastAsia"/>
                <w:color w:val="auto"/>
                <w:kern w:val="0"/>
                <w:szCs w:val="24"/>
                <w:lang w:val="en-US" w:bidi="ar-SA"/>
              </w:rPr>
            </w:pPr>
            <w:r>
              <w:rPr>
                <w:rFonts w:hint="eastAsia" w:asciiTheme="minorEastAsia" w:hAnsiTheme="minorEastAsia" w:eastAsiaTheme="minorEastAsia" w:cstheme="minorEastAsia"/>
                <w:color w:val="auto"/>
                <w:kern w:val="0"/>
                <w:szCs w:val="24"/>
                <w:lang w:val="en-US" w:bidi="ar-SA"/>
              </w:rPr>
              <w:t>工作年限</w:t>
            </w:r>
          </w:p>
        </w:tc>
        <w:tc>
          <w:tcPr>
            <w:tcW w:w="1744" w:type="dxa"/>
            <w:vAlign w:val="center"/>
          </w:tcPr>
          <w:p w14:paraId="59D116CE">
            <w:pPr>
              <w:pStyle w:val="101"/>
              <w:spacing w:before="132"/>
              <w:ind w:left="39"/>
              <w:jc w:val="center"/>
              <w:rPr>
                <w:rFonts w:hint="eastAsia" w:asciiTheme="minorEastAsia" w:hAnsiTheme="minorEastAsia" w:eastAsiaTheme="minorEastAsia" w:cstheme="minorEastAsia"/>
                <w:color w:val="auto"/>
                <w:kern w:val="0"/>
                <w:szCs w:val="24"/>
                <w:lang w:val="en-US" w:bidi="ar-SA"/>
              </w:rPr>
            </w:pPr>
            <w:r>
              <w:rPr>
                <w:rFonts w:hint="eastAsia" w:asciiTheme="minorEastAsia" w:hAnsiTheme="minorEastAsia" w:eastAsiaTheme="minorEastAsia" w:cstheme="minorEastAsia"/>
                <w:color w:val="auto"/>
                <w:kern w:val="0"/>
                <w:szCs w:val="24"/>
                <w:lang w:val="en-US" w:bidi="ar-SA"/>
              </w:rPr>
              <w:t>担任本工程</w:t>
            </w:r>
          </w:p>
          <w:p w14:paraId="7F3F9B4D">
            <w:pPr>
              <w:pStyle w:val="101"/>
              <w:spacing w:before="132"/>
              <w:ind w:left="39"/>
              <w:jc w:val="center"/>
              <w:rPr>
                <w:rFonts w:hint="eastAsia" w:asciiTheme="minorEastAsia" w:hAnsiTheme="minorEastAsia" w:eastAsiaTheme="minorEastAsia" w:cstheme="minorEastAsia"/>
                <w:color w:val="auto"/>
                <w:kern w:val="0"/>
                <w:szCs w:val="24"/>
                <w:lang w:val="en-US" w:bidi="ar-SA"/>
              </w:rPr>
            </w:pPr>
            <w:r>
              <w:rPr>
                <w:rFonts w:hint="eastAsia" w:asciiTheme="minorEastAsia" w:hAnsiTheme="minorEastAsia" w:eastAsiaTheme="minorEastAsia" w:cstheme="minorEastAsia"/>
                <w:color w:val="auto"/>
                <w:kern w:val="0"/>
                <w:szCs w:val="24"/>
                <w:lang w:val="en-US" w:bidi="ar-SA"/>
              </w:rPr>
              <w:t>的职务</w:t>
            </w:r>
          </w:p>
        </w:tc>
      </w:tr>
      <w:tr w14:paraId="6EDBE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0914F3AB">
            <w:pPr>
              <w:jc w:val="cente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bidi="ar"/>
              </w:rPr>
              <w:t>1</w:t>
            </w:r>
          </w:p>
        </w:tc>
        <w:tc>
          <w:tcPr>
            <w:tcW w:w="1315" w:type="dxa"/>
            <w:vAlign w:val="center"/>
          </w:tcPr>
          <w:p w14:paraId="00BBE80C">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建筑工程</w:t>
            </w:r>
          </w:p>
        </w:tc>
        <w:tc>
          <w:tcPr>
            <w:tcW w:w="1152" w:type="dxa"/>
            <w:vAlign w:val="center"/>
          </w:tcPr>
          <w:p w14:paraId="7F196A7C">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陈  远</w:t>
            </w:r>
          </w:p>
        </w:tc>
        <w:tc>
          <w:tcPr>
            <w:tcW w:w="1584" w:type="dxa"/>
            <w:vAlign w:val="center"/>
          </w:tcPr>
          <w:p w14:paraId="71DB519D">
            <w:pPr>
              <w:spacing w:line="360" w:lineRule="auto"/>
              <w:jc w:val="center"/>
              <w:rPr>
                <w:rFonts w:hint="eastAsia" w:ascii="宋体" w:hAnsi="宋体" w:cs="宋体"/>
                <w:color w:val="auto"/>
                <w:szCs w:val="24"/>
              </w:rPr>
            </w:pPr>
            <w:r>
              <w:rPr>
                <w:rFonts w:hint="eastAsia" w:ascii="宋体" w:hAnsi="宋体" w:cs="宋体"/>
                <w:color w:val="auto"/>
                <w:szCs w:val="24"/>
              </w:rPr>
              <w:t>建造师</w:t>
            </w:r>
          </w:p>
          <w:p w14:paraId="1EE70193">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中级工程师</w:t>
            </w:r>
          </w:p>
        </w:tc>
        <w:tc>
          <w:tcPr>
            <w:tcW w:w="1132" w:type="dxa"/>
            <w:vAlign w:val="center"/>
          </w:tcPr>
          <w:p w14:paraId="2F998D48">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专科</w:t>
            </w:r>
          </w:p>
        </w:tc>
        <w:tc>
          <w:tcPr>
            <w:tcW w:w="1229" w:type="dxa"/>
            <w:vAlign w:val="center"/>
          </w:tcPr>
          <w:p w14:paraId="3D811254">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16</w:t>
            </w:r>
            <w:r>
              <w:rPr>
                <w:rFonts w:hint="eastAsia" w:ascii="宋体" w:hAnsi="宋体" w:cs="宋体"/>
                <w:color w:val="auto"/>
                <w:szCs w:val="24"/>
              </w:rPr>
              <w:t>年</w:t>
            </w:r>
          </w:p>
        </w:tc>
        <w:tc>
          <w:tcPr>
            <w:tcW w:w="1744" w:type="dxa"/>
            <w:vAlign w:val="center"/>
          </w:tcPr>
          <w:p w14:paraId="249CCADE">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项目经理</w:t>
            </w:r>
          </w:p>
        </w:tc>
      </w:tr>
      <w:tr w14:paraId="0EEB4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6286AB82">
            <w:pPr>
              <w:jc w:val="cente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bidi="ar"/>
              </w:rPr>
              <w:t>2</w:t>
            </w:r>
          </w:p>
        </w:tc>
        <w:tc>
          <w:tcPr>
            <w:tcW w:w="1315" w:type="dxa"/>
          </w:tcPr>
          <w:p w14:paraId="2B292840">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建筑工程</w:t>
            </w:r>
          </w:p>
        </w:tc>
        <w:tc>
          <w:tcPr>
            <w:tcW w:w="1152" w:type="dxa"/>
          </w:tcPr>
          <w:p w14:paraId="6FFE48C2">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周  勇</w:t>
            </w:r>
          </w:p>
        </w:tc>
        <w:tc>
          <w:tcPr>
            <w:tcW w:w="1584" w:type="dxa"/>
          </w:tcPr>
          <w:p w14:paraId="59192E2A">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技术员</w:t>
            </w:r>
          </w:p>
        </w:tc>
        <w:tc>
          <w:tcPr>
            <w:tcW w:w="1132" w:type="dxa"/>
          </w:tcPr>
          <w:p w14:paraId="5B6476D2">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本科</w:t>
            </w:r>
          </w:p>
        </w:tc>
        <w:tc>
          <w:tcPr>
            <w:tcW w:w="1229" w:type="dxa"/>
          </w:tcPr>
          <w:p w14:paraId="38430EE8">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24</w:t>
            </w:r>
            <w:r>
              <w:rPr>
                <w:rFonts w:hint="eastAsia" w:ascii="宋体" w:hAnsi="宋体" w:cs="宋体"/>
                <w:color w:val="auto"/>
                <w:szCs w:val="24"/>
              </w:rPr>
              <w:t>年</w:t>
            </w:r>
          </w:p>
        </w:tc>
        <w:tc>
          <w:tcPr>
            <w:tcW w:w="1744" w:type="dxa"/>
          </w:tcPr>
          <w:p w14:paraId="4F9F9D25">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技术负责人</w:t>
            </w:r>
          </w:p>
        </w:tc>
      </w:tr>
      <w:tr w14:paraId="5F3EC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428C4680">
            <w:pPr>
              <w:jc w:val="cente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bidi="ar"/>
              </w:rPr>
              <w:t>3</w:t>
            </w:r>
          </w:p>
        </w:tc>
        <w:tc>
          <w:tcPr>
            <w:tcW w:w="1315" w:type="dxa"/>
          </w:tcPr>
          <w:p w14:paraId="516E2E97">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建筑工程</w:t>
            </w:r>
          </w:p>
        </w:tc>
        <w:tc>
          <w:tcPr>
            <w:tcW w:w="1152" w:type="dxa"/>
          </w:tcPr>
          <w:p w14:paraId="30FE8EDC">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刘  奇</w:t>
            </w:r>
          </w:p>
        </w:tc>
        <w:tc>
          <w:tcPr>
            <w:tcW w:w="1584" w:type="dxa"/>
          </w:tcPr>
          <w:p w14:paraId="1DA618F3">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w:t>
            </w:r>
          </w:p>
        </w:tc>
        <w:tc>
          <w:tcPr>
            <w:tcW w:w="1132" w:type="dxa"/>
          </w:tcPr>
          <w:p w14:paraId="009AC58F">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专科</w:t>
            </w:r>
          </w:p>
        </w:tc>
        <w:tc>
          <w:tcPr>
            <w:tcW w:w="1229" w:type="dxa"/>
          </w:tcPr>
          <w:p w14:paraId="48881C64">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10</w:t>
            </w:r>
            <w:r>
              <w:rPr>
                <w:rFonts w:hint="eastAsia" w:ascii="宋体" w:hAnsi="宋体" w:cs="宋体"/>
                <w:color w:val="auto"/>
                <w:szCs w:val="24"/>
              </w:rPr>
              <w:t>年</w:t>
            </w:r>
          </w:p>
        </w:tc>
        <w:tc>
          <w:tcPr>
            <w:tcW w:w="1744" w:type="dxa"/>
          </w:tcPr>
          <w:p w14:paraId="687E7786">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安全员</w:t>
            </w:r>
          </w:p>
        </w:tc>
      </w:tr>
      <w:tr w14:paraId="43973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1B1DF6BA">
            <w:pPr>
              <w:jc w:val="cente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bidi="ar"/>
              </w:rPr>
              <w:t>4</w:t>
            </w:r>
          </w:p>
        </w:tc>
        <w:tc>
          <w:tcPr>
            <w:tcW w:w="1315" w:type="dxa"/>
          </w:tcPr>
          <w:p w14:paraId="49FF89D3">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建筑工程</w:t>
            </w:r>
          </w:p>
        </w:tc>
        <w:tc>
          <w:tcPr>
            <w:tcW w:w="1152" w:type="dxa"/>
          </w:tcPr>
          <w:p w14:paraId="48426F85">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闫科学</w:t>
            </w:r>
          </w:p>
        </w:tc>
        <w:tc>
          <w:tcPr>
            <w:tcW w:w="1584" w:type="dxa"/>
          </w:tcPr>
          <w:p w14:paraId="5ADECD31">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w:t>
            </w:r>
          </w:p>
        </w:tc>
        <w:tc>
          <w:tcPr>
            <w:tcW w:w="1132" w:type="dxa"/>
          </w:tcPr>
          <w:p w14:paraId="1290142A">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专科</w:t>
            </w:r>
          </w:p>
        </w:tc>
        <w:tc>
          <w:tcPr>
            <w:tcW w:w="1229" w:type="dxa"/>
          </w:tcPr>
          <w:p w14:paraId="303019F2">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7</w:t>
            </w:r>
            <w:r>
              <w:rPr>
                <w:rFonts w:hint="eastAsia" w:ascii="宋体" w:hAnsi="宋体" w:cs="宋体"/>
                <w:color w:val="auto"/>
                <w:szCs w:val="24"/>
              </w:rPr>
              <w:t>年</w:t>
            </w:r>
          </w:p>
        </w:tc>
        <w:tc>
          <w:tcPr>
            <w:tcW w:w="1744" w:type="dxa"/>
          </w:tcPr>
          <w:p w14:paraId="2D1D4534">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施工员</w:t>
            </w:r>
          </w:p>
        </w:tc>
      </w:tr>
      <w:tr w14:paraId="739D2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7C4E98B3">
            <w:pPr>
              <w:jc w:val="cente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bidi="ar"/>
              </w:rPr>
              <w:t>5</w:t>
            </w:r>
          </w:p>
        </w:tc>
        <w:tc>
          <w:tcPr>
            <w:tcW w:w="1315" w:type="dxa"/>
          </w:tcPr>
          <w:p w14:paraId="13922555">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建筑工程</w:t>
            </w:r>
          </w:p>
        </w:tc>
        <w:tc>
          <w:tcPr>
            <w:tcW w:w="1152" w:type="dxa"/>
          </w:tcPr>
          <w:p w14:paraId="02A5FD5C">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王朋远</w:t>
            </w:r>
          </w:p>
        </w:tc>
        <w:tc>
          <w:tcPr>
            <w:tcW w:w="1584" w:type="dxa"/>
          </w:tcPr>
          <w:p w14:paraId="45E52D75">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w:t>
            </w:r>
          </w:p>
        </w:tc>
        <w:tc>
          <w:tcPr>
            <w:tcW w:w="1132" w:type="dxa"/>
          </w:tcPr>
          <w:p w14:paraId="51E3F167">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本科</w:t>
            </w:r>
          </w:p>
        </w:tc>
        <w:tc>
          <w:tcPr>
            <w:tcW w:w="1229" w:type="dxa"/>
          </w:tcPr>
          <w:p w14:paraId="1EB36787">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14年</w:t>
            </w:r>
          </w:p>
        </w:tc>
        <w:tc>
          <w:tcPr>
            <w:tcW w:w="1744" w:type="dxa"/>
          </w:tcPr>
          <w:p w14:paraId="0ACAB975">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质量</w:t>
            </w:r>
            <w:r>
              <w:rPr>
                <w:rFonts w:hint="eastAsia" w:ascii="宋体" w:hAnsi="宋体" w:cs="宋体"/>
                <w:color w:val="auto"/>
                <w:szCs w:val="24"/>
              </w:rPr>
              <w:t>员</w:t>
            </w:r>
          </w:p>
        </w:tc>
      </w:tr>
      <w:tr w14:paraId="6BC39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460BE005">
            <w:pPr>
              <w:jc w:val="cente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bidi="ar"/>
              </w:rPr>
              <w:t>6</w:t>
            </w:r>
          </w:p>
        </w:tc>
        <w:tc>
          <w:tcPr>
            <w:tcW w:w="1315" w:type="dxa"/>
          </w:tcPr>
          <w:p w14:paraId="5D42A2F5">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建筑工程</w:t>
            </w:r>
          </w:p>
        </w:tc>
        <w:tc>
          <w:tcPr>
            <w:tcW w:w="1152" w:type="dxa"/>
          </w:tcPr>
          <w:p w14:paraId="0C449F09">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于坤鹏</w:t>
            </w:r>
          </w:p>
        </w:tc>
        <w:tc>
          <w:tcPr>
            <w:tcW w:w="1584" w:type="dxa"/>
          </w:tcPr>
          <w:p w14:paraId="68976AED">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w:t>
            </w:r>
          </w:p>
        </w:tc>
        <w:tc>
          <w:tcPr>
            <w:tcW w:w="1132" w:type="dxa"/>
          </w:tcPr>
          <w:p w14:paraId="1837A0DD">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专科</w:t>
            </w:r>
          </w:p>
        </w:tc>
        <w:tc>
          <w:tcPr>
            <w:tcW w:w="1229" w:type="dxa"/>
          </w:tcPr>
          <w:p w14:paraId="2ED3BBFE">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12年</w:t>
            </w:r>
          </w:p>
        </w:tc>
        <w:tc>
          <w:tcPr>
            <w:tcW w:w="1744" w:type="dxa"/>
          </w:tcPr>
          <w:p w14:paraId="14FBA2A6">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材料员</w:t>
            </w:r>
          </w:p>
        </w:tc>
      </w:tr>
      <w:tr w14:paraId="34342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1F41E229">
            <w:pPr>
              <w:jc w:val="cente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bidi="ar"/>
              </w:rPr>
              <w:t>7</w:t>
            </w:r>
          </w:p>
        </w:tc>
        <w:tc>
          <w:tcPr>
            <w:tcW w:w="1315" w:type="dxa"/>
          </w:tcPr>
          <w:p w14:paraId="1044807A">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建筑工程</w:t>
            </w:r>
          </w:p>
        </w:tc>
        <w:tc>
          <w:tcPr>
            <w:tcW w:w="1152" w:type="dxa"/>
          </w:tcPr>
          <w:p w14:paraId="2B5383D5">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李小爽</w:t>
            </w:r>
          </w:p>
        </w:tc>
        <w:tc>
          <w:tcPr>
            <w:tcW w:w="1584" w:type="dxa"/>
          </w:tcPr>
          <w:p w14:paraId="1FCE8BE1">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w:t>
            </w:r>
          </w:p>
        </w:tc>
        <w:tc>
          <w:tcPr>
            <w:tcW w:w="1132" w:type="dxa"/>
          </w:tcPr>
          <w:p w14:paraId="6F06F31E">
            <w:pPr>
              <w:spacing w:line="360" w:lineRule="auto"/>
              <w:jc w:val="center"/>
              <w:rPr>
                <w:rFonts w:hint="eastAsia" w:asciiTheme="minorEastAsia" w:hAnsiTheme="minorEastAsia" w:eastAsiaTheme="minorEastAsia" w:cstheme="minorEastAsia"/>
                <w:color w:val="auto"/>
                <w:szCs w:val="24"/>
              </w:rPr>
            </w:pPr>
            <w:r>
              <w:rPr>
                <w:rFonts w:hint="eastAsia" w:cs="宋体"/>
                <w:color w:val="auto"/>
                <w:szCs w:val="24"/>
              </w:rPr>
              <w:t>专科</w:t>
            </w:r>
          </w:p>
        </w:tc>
        <w:tc>
          <w:tcPr>
            <w:tcW w:w="1229" w:type="dxa"/>
          </w:tcPr>
          <w:p w14:paraId="5B8FC2CB">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9年</w:t>
            </w:r>
          </w:p>
        </w:tc>
        <w:tc>
          <w:tcPr>
            <w:tcW w:w="1744" w:type="dxa"/>
          </w:tcPr>
          <w:p w14:paraId="50D8F1C4">
            <w:pPr>
              <w:spacing w:line="360" w:lineRule="auto"/>
              <w:jc w:val="center"/>
              <w:rPr>
                <w:rFonts w:hint="eastAsia" w:asciiTheme="minorEastAsia" w:hAnsiTheme="minorEastAsia" w:eastAsiaTheme="minorEastAsia" w:cstheme="minorEastAsia"/>
                <w:color w:val="auto"/>
                <w:szCs w:val="24"/>
              </w:rPr>
            </w:pPr>
            <w:r>
              <w:rPr>
                <w:rFonts w:hint="eastAsia" w:ascii="宋体" w:hAnsi="宋体" w:cs="宋体"/>
                <w:color w:val="auto"/>
                <w:szCs w:val="24"/>
              </w:rPr>
              <w:t>资料员</w:t>
            </w:r>
          </w:p>
        </w:tc>
      </w:tr>
      <w:tr w14:paraId="73334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44" w:type="dxa"/>
            <w:vAlign w:val="center"/>
          </w:tcPr>
          <w:p w14:paraId="7198FD68">
            <w:pPr>
              <w:jc w:val="cente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bidi="ar"/>
              </w:rPr>
              <w:t>8</w:t>
            </w:r>
          </w:p>
        </w:tc>
        <w:tc>
          <w:tcPr>
            <w:tcW w:w="1315" w:type="dxa"/>
            <w:vAlign w:val="center"/>
          </w:tcPr>
          <w:p w14:paraId="3C8D6E95">
            <w:pPr>
              <w:jc w:val="center"/>
              <w:rPr>
                <w:rFonts w:hint="eastAsia" w:asciiTheme="minorEastAsia" w:hAnsiTheme="minorEastAsia" w:eastAsiaTheme="minorEastAsia" w:cstheme="minorEastAsia"/>
                <w:color w:val="auto"/>
                <w:szCs w:val="24"/>
              </w:rPr>
            </w:pPr>
          </w:p>
        </w:tc>
        <w:tc>
          <w:tcPr>
            <w:tcW w:w="1152" w:type="dxa"/>
            <w:vAlign w:val="center"/>
          </w:tcPr>
          <w:p w14:paraId="5683E9EC">
            <w:pPr>
              <w:jc w:val="center"/>
              <w:rPr>
                <w:rFonts w:hint="eastAsia" w:asciiTheme="minorEastAsia" w:hAnsiTheme="minorEastAsia" w:eastAsiaTheme="minorEastAsia" w:cstheme="minorEastAsia"/>
                <w:color w:val="auto"/>
                <w:szCs w:val="24"/>
              </w:rPr>
            </w:pPr>
          </w:p>
        </w:tc>
        <w:tc>
          <w:tcPr>
            <w:tcW w:w="1584" w:type="dxa"/>
            <w:vAlign w:val="center"/>
          </w:tcPr>
          <w:p w14:paraId="39AE4EBD">
            <w:pPr>
              <w:jc w:val="center"/>
              <w:rPr>
                <w:rFonts w:hint="eastAsia" w:asciiTheme="minorEastAsia" w:hAnsiTheme="minorEastAsia" w:eastAsiaTheme="minorEastAsia" w:cstheme="minorEastAsia"/>
                <w:color w:val="auto"/>
                <w:szCs w:val="24"/>
              </w:rPr>
            </w:pPr>
          </w:p>
        </w:tc>
        <w:tc>
          <w:tcPr>
            <w:tcW w:w="1132" w:type="dxa"/>
            <w:vAlign w:val="center"/>
          </w:tcPr>
          <w:p w14:paraId="06140DB7">
            <w:pPr>
              <w:jc w:val="center"/>
              <w:rPr>
                <w:rFonts w:hint="eastAsia" w:asciiTheme="minorEastAsia" w:hAnsiTheme="minorEastAsia" w:eastAsiaTheme="minorEastAsia" w:cstheme="minorEastAsia"/>
                <w:color w:val="auto"/>
                <w:szCs w:val="24"/>
              </w:rPr>
            </w:pPr>
          </w:p>
        </w:tc>
        <w:tc>
          <w:tcPr>
            <w:tcW w:w="1229" w:type="dxa"/>
            <w:vAlign w:val="center"/>
          </w:tcPr>
          <w:p w14:paraId="69507A3A">
            <w:pPr>
              <w:jc w:val="center"/>
              <w:rPr>
                <w:rFonts w:hint="eastAsia" w:asciiTheme="minorEastAsia" w:hAnsiTheme="minorEastAsia" w:eastAsiaTheme="minorEastAsia" w:cstheme="minorEastAsia"/>
                <w:color w:val="auto"/>
                <w:szCs w:val="24"/>
              </w:rPr>
            </w:pPr>
          </w:p>
        </w:tc>
        <w:tc>
          <w:tcPr>
            <w:tcW w:w="1744" w:type="dxa"/>
            <w:vAlign w:val="center"/>
          </w:tcPr>
          <w:p w14:paraId="770AD063">
            <w:pPr>
              <w:jc w:val="center"/>
              <w:rPr>
                <w:rFonts w:hint="eastAsia" w:asciiTheme="minorEastAsia" w:hAnsiTheme="minorEastAsia" w:eastAsiaTheme="minorEastAsia" w:cstheme="minorEastAsia"/>
                <w:color w:val="auto"/>
                <w:szCs w:val="24"/>
              </w:rPr>
            </w:pPr>
          </w:p>
        </w:tc>
      </w:tr>
    </w:tbl>
    <w:p w14:paraId="0F41C472">
      <w:pPr>
        <w:pStyle w:val="54"/>
        <w:spacing w:line="360" w:lineRule="auto"/>
        <w:rPr>
          <w:rFonts w:hint="eastAsia" w:asciiTheme="minorEastAsia" w:hAnsiTheme="minorEastAsia" w:eastAsiaTheme="minorEastAsia" w:cstheme="minorEastAsia"/>
          <w:bCs/>
          <w:color w:val="auto"/>
          <w:szCs w:val="28"/>
        </w:rPr>
      </w:pPr>
    </w:p>
    <w:p w14:paraId="3B764365">
      <w:pPr>
        <w:pStyle w:val="54"/>
        <w:spacing w:line="360" w:lineRule="auto"/>
        <w:rPr>
          <w:rFonts w:hint="eastAsia" w:asciiTheme="minorEastAsia" w:hAnsiTheme="minorEastAsia" w:eastAsiaTheme="minorEastAsia" w:cstheme="minorEastAsia"/>
          <w:bCs/>
          <w:color w:val="auto"/>
          <w:szCs w:val="28"/>
        </w:rPr>
      </w:pPr>
      <w:r>
        <w:rPr>
          <w:rFonts w:hint="eastAsia" w:asciiTheme="minorEastAsia" w:hAnsiTheme="minorEastAsia" w:eastAsiaTheme="minorEastAsia" w:cstheme="minorEastAsia"/>
          <w:bCs/>
          <w:color w:val="auto"/>
          <w:szCs w:val="28"/>
        </w:rPr>
        <w:t>附件三、材料品牌表</w:t>
      </w:r>
    </w:p>
    <w:tbl>
      <w:tblPr>
        <w:tblStyle w:val="47"/>
        <w:tblW w:w="9840" w:type="dxa"/>
        <w:tblInd w:w="93" w:type="dxa"/>
        <w:tblLayout w:type="autofit"/>
        <w:tblCellMar>
          <w:top w:w="0" w:type="dxa"/>
          <w:left w:w="108" w:type="dxa"/>
          <w:bottom w:w="0" w:type="dxa"/>
          <w:right w:w="108" w:type="dxa"/>
        </w:tblCellMar>
      </w:tblPr>
      <w:tblGrid>
        <w:gridCol w:w="612"/>
        <w:gridCol w:w="2398"/>
        <w:gridCol w:w="1679"/>
        <w:gridCol w:w="3268"/>
        <w:gridCol w:w="1883"/>
      </w:tblGrid>
      <w:tr w14:paraId="6BC8F4EE">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CB20">
            <w:pPr>
              <w:widowControl/>
              <w:jc w:val="center"/>
              <w:textAlignment w:val="center"/>
              <w:rPr>
                <w:rFonts w:hint="eastAsia" w:asciiTheme="minorEastAsia" w:hAnsiTheme="minorEastAsia" w:eastAsiaTheme="minorEastAsia" w:cstheme="minorEastAsia"/>
                <w:b/>
                <w:bCs/>
                <w:color w:val="auto"/>
                <w:sz w:val="22"/>
              </w:rPr>
            </w:pPr>
            <w:r>
              <w:rPr>
                <w:rFonts w:hint="eastAsia" w:asciiTheme="minorEastAsia" w:hAnsiTheme="minorEastAsia" w:eastAsiaTheme="minorEastAsia" w:cstheme="minorEastAsia"/>
                <w:b/>
                <w:bCs/>
                <w:color w:val="auto"/>
                <w:kern w:val="0"/>
                <w:sz w:val="22"/>
                <w:lang w:bidi="ar"/>
              </w:rPr>
              <w:t>序号</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6953">
            <w:pPr>
              <w:widowControl/>
              <w:jc w:val="center"/>
              <w:textAlignment w:val="center"/>
              <w:rPr>
                <w:rFonts w:hint="eastAsia" w:asciiTheme="minorEastAsia" w:hAnsiTheme="minorEastAsia" w:eastAsiaTheme="minorEastAsia" w:cstheme="minorEastAsia"/>
                <w:b/>
                <w:bCs/>
                <w:color w:val="auto"/>
                <w:sz w:val="22"/>
              </w:rPr>
            </w:pPr>
            <w:r>
              <w:rPr>
                <w:rFonts w:hint="eastAsia" w:asciiTheme="minorEastAsia" w:hAnsiTheme="minorEastAsia" w:eastAsiaTheme="minorEastAsia" w:cstheme="minorEastAsia"/>
                <w:b/>
                <w:bCs/>
                <w:color w:val="auto"/>
                <w:kern w:val="0"/>
                <w:sz w:val="22"/>
                <w:lang w:bidi="ar"/>
              </w:rPr>
              <w:t>材料名称</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91E6">
            <w:pPr>
              <w:widowControl/>
              <w:jc w:val="center"/>
              <w:textAlignment w:val="center"/>
              <w:rPr>
                <w:rFonts w:hint="eastAsia" w:asciiTheme="minorEastAsia" w:hAnsiTheme="minorEastAsia" w:eastAsiaTheme="minorEastAsia" w:cstheme="minorEastAsia"/>
                <w:b/>
                <w:bCs/>
                <w:color w:val="auto"/>
                <w:sz w:val="22"/>
              </w:rPr>
            </w:pPr>
            <w:r>
              <w:rPr>
                <w:rFonts w:hint="eastAsia" w:asciiTheme="minorEastAsia" w:hAnsiTheme="minorEastAsia" w:eastAsiaTheme="minorEastAsia" w:cstheme="minorEastAsia"/>
                <w:b/>
                <w:bCs/>
                <w:color w:val="auto"/>
                <w:kern w:val="0"/>
                <w:sz w:val="22"/>
                <w:lang w:bidi="ar"/>
              </w:rPr>
              <w:t>供应方式</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1D54">
            <w:pPr>
              <w:widowControl/>
              <w:jc w:val="center"/>
              <w:textAlignment w:val="center"/>
              <w:rPr>
                <w:rFonts w:hint="eastAsia" w:asciiTheme="minorEastAsia" w:hAnsiTheme="minorEastAsia" w:eastAsiaTheme="minorEastAsia" w:cstheme="minorEastAsia"/>
                <w:b/>
                <w:bCs/>
                <w:color w:val="auto"/>
                <w:sz w:val="22"/>
              </w:rPr>
            </w:pPr>
            <w:r>
              <w:rPr>
                <w:rFonts w:hint="eastAsia" w:asciiTheme="minorEastAsia" w:hAnsiTheme="minorEastAsia" w:eastAsiaTheme="minorEastAsia" w:cstheme="minorEastAsia"/>
                <w:b/>
                <w:bCs/>
                <w:color w:val="auto"/>
                <w:kern w:val="0"/>
                <w:sz w:val="22"/>
                <w:lang w:bidi="ar"/>
              </w:rPr>
              <w:t>限定品牌范围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FE65">
            <w:pPr>
              <w:widowControl/>
              <w:jc w:val="center"/>
              <w:textAlignment w:val="center"/>
              <w:rPr>
                <w:rFonts w:hint="eastAsia" w:asciiTheme="minorEastAsia" w:hAnsiTheme="minorEastAsia" w:eastAsiaTheme="minorEastAsia" w:cstheme="minorEastAsia"/>
                <w:b/>
                <w:bCs/>
                <w:color w:val="auto"/>
                <w:sz w:val="22"/>
              </w:rPr>
            </w:pPr>
            <w:r>
              <w:rPr>
                <w:rFonts w:hint="eastAsia" w:asciiTheme="minorEastAsia" w:hAnsiTheme="minorEastAsia" w:eastAsiaTheme="minorEastAsia" w:cstheme="minorEastAsia"/>
                <w:b/>
                <w:bCs/>
                <w:color w:val="auto"/>
                <w:kern w:val="0"/>
                <w:sz w:val="22"/>
                <w:lang w:bidi="ar"/>
              </w:rPr>
              <w:t>乙方选定品牌</w:t>
            </w:r>
          </w:p>
        </w:tc>
      </w:tr>
      <w:tr w14:paraId="51D2C003">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087A">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54B3">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墙地砖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8E9C5">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39F3">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诺贝尔（MS807807用于楼梯踏步及标准层公区地面，RA15072356用于地下一层大堂地面，RA1507622YN用于公区墙面）</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79F2">
            <w:pPr>
              <w:jc w:val="center"/>
              <w:rPr>
                <w:rFonts w:hint="eastAsia" w:asciiTheme="minorEastAsia" w:hAnsiTheme="minorEastAsia" w:eastAsiaTheme="minorEastAsia" w:cstheme="minorEastAsia"/>
                <w:color w:val="auto"/>
                <w:sz w:val="22"/>
              </w:rPr>
            </w:pPr>
            <w:r>
              <w:rPr>
                <w:rFonts w:hint="eastAsia" w:ascii="宋体" w:hAnsi="宋体" w:cs="宋体"/>
                <w:color w:val="auto"/>
                <w:kern w:val="0"/>
                <w:sz w:val="22"/>
                <w:lang w:bidi="ar"/>
              </w:rPr>
              <w:t xml:space="preserve">诺贝尔、马可波罗、蒙娜丽莎 </w:t>
            </w:r>
          </w:p>
        </w:tc>
      </w:tr>
      <w:tr w14:paraId="50CF743A">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A3AE">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3D93">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木饰面</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6B5F">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6739">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无</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43F5">
            <w:pPr>
              <w:jc w:val="center"/>
              <w:rPr>
                <w:rFonts w:hint="eastAsia" w:asciiTheme="minorEastAsia" w:hAnsiTheme="minorEastAsia" w:eastAsiaTheme="minorEastAsia" w:cstheme="minorEastAsia"/>
                <w:color w:val="auto"/>
                <w:sz w:val="22"/>
              </w:rPr>
            </w:pPr>
            <w:r>
              <w:rPr>
                <w:rFonts w:cs="宋体"/>
                <w:color w:val="auto"/>
                <w:sz w:val="22"/>
              </w:rPr>
              <w:t>/</w:t>
            </w:r>
          </w:p>
        </w:tc>
      </w:tr>
      <w:tr w14:paraId="125D51C8">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2F30">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FCF4">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灯具（工艺吊灯除外）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FE14">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A44B">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西顿、三雄、雷士</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AA6A">
            <w:pPr>
              <w:jc w:val="center"/>
              <w:rPr>
                <w:rFonts w:hint="eastAsia" w:asciiTheme="minorEastAsia" w:hAnsiTheme="minorEastAsia" w:eastAsiaTheme="minorEastAsia" w:cstheme="minorEastAsia"/>
                <w:color w:val="auto"/>
                <w:sz w:val="22"/>
              </w:rPr>
            </w:pPr>
            <w:r>
              <w:rPr>
                <w:rFonts w:hint="eastAsia" w:ascii="宋体" w:hAnsi="宋体" w:cs="宋体"/>
                <w:color w:val="auto"/>
                <w:kern w:val="0"/>
                <w:sz w:val="22"/>
                <w:lang w:bidi="ar"/>
              </w:rPr>
              <w:t>西顿</w:t>
            </w:r>
          </w:p>
        </w:tc>
      </w:tr>
      <w:tr w14:paraId="64884246">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30B7">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8E62">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开关插座</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ECC2">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874E">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罗格朗、西蒙、西门子</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E0A9">
            <w:pPr>
              <w:widowControl/>
              <w:jc w:val="center"/>
              <w:textAlignment w:val="center"/>
              <w:rPr>
                <w:rFonts w:hint="eastAsia" w:asciiTheme="minorEastAsia" w:hAnsiTheme="minorEastAsia" w:eastAsiaTheme="minorEastAsia" w:cstheme="minorEastAsia"/>
                <w:color w:val="auto"/>
                <w:sz w:val="22"/>
              </w:rPr>
            </w:pPr>
            <w:r>
              <w:rPr>
                <w:rFonts w:hint="eastAsia" w:ascii="宋体" w:hAnsi="宋体" w:cs="宋体"/>
                <w:color w:val="auto"/>
                <w:kern w:val="0"/>
                <w:sz w:val="22"/>
                <w:lang w:bidi="ar"/>
              </w:rPr>
              <w:t>罗格朗</w:t>
            </w:r>
          </w:p>
        </w:tc>
      </w:tr>
      <w:tr w14:paraId="7E1CC796">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96E6">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39E5">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电线电缆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5C64">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255D">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郑三、金水、恒天、郑缆</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B53B">
            <w:pPr>
              <w:jc w:val="center"/>
              <w:rPr>
                <w:rFonts w:hint="eastAsia" w:asciiTheme="minorEastAsia" w:hAnsiTheme="minorEastAsia" w:eastAsiaTheme="minorEastAsia" w:cstheme="minorEastAsia"/>
                <w:color w:val="auto"/>
                <w:sz w:val="22"/>
              </w:rPr>
            </w:pPr>
            <w:r>
              <w:rPr>
                <w:rFonts w:hint="eastAsia" w:ascii="宋体" w:hAnsi="宋体" w:cs="宋体"/>
                <w:color w:val="auto"/>
                <w:kern w:val="0"/>
                <w:sz w:val="22"/>
                <w:lang w:bidi="ar"/>
              </w:rPr>
              <w:t>郑三</w:t>
            </w:r>
          </w:p>
        </w:tc>
      </w:tr>
      <w:tr w14:paraId="31888462">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A6D6">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8E64">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防水石膏板、普通石膏板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34E0">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0402">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龙牌、泰山</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3D99">
            <w:pPr>
              <w:jc w:val="center"/>
              <w:rPr>
                <w:rFonts w:hint="eastAsia" w:asciiTheme="minorEastAsia" w:hAnsiTheme="minorEastAsia" w:eastAsiaTheme="minorEastAsia" w:cstheme="minorEastAsia"/>
                <w:color w:val="auto"/>
                <w:sz w:val="22"/>
              </w:rPr>
            </w:pPr>
            <w:r>
              <w:rPr>
                <w:rFonts w:hint="eastAsia" w:ascii="宋体" w:hAnsi="宋体" w:cs="宋体"/>
                <w:color w:val="auto"/>
                <w:kern w:val="0"/>
                <w:sz w:val="22"/>
                <w:lang w:bidi="ar"/>
              </w:rPr>
              <w:t>龙牌、泰山</w:t>
            </w:r>
          </w:p>
        </w:tc>
      </w:tr>
      <w:tr w14:paraId="0C7FE4DE">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58B0">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7</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66B5">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轻钢龙骨</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F483">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B4D7">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龙牌、北新建材、可耐福</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DE9F">
            <w:pPr>
              <w:jc w:val="center"/>
              <w:rPr>
                <w:rFonts w:hint="eastAsia" w:asciiTheme="minorEastAsia" w:hAnsiTheme="minorEastAsia" w:eastAsiaTheme="minorEastAsia" w:cstheme="minorEastAsia"/>
                <w:color w:val="auto"/>
                <w:sz w:val="22"/>
              </w:rPr>
            </w:pPr>
            <w:r>
              <w:rPr>
                <w:rFonts w:hint="eastAsia" w:ascii="宋体" w:hAnsi="宋体" w:cs="宋体"/>
                <w:color w:val="auto"/>
                <w:kern w:val="0"/>
                <w:sz w:val="22"/>
                <w:lang w:bidi="ar"/>
              </w:rPr>
              <w:t>龙牌、北新建材</w:t>
            </w:r>
          </w:p>
        </w:tc>
      </w:tr>
      <w:tr w14:paraId="14A7BAD8">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46DA">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8</w:t>
            </w:r>
          </w:p>
        </w:tc>
        <w:tc>
          <w:tcPr>
            <w:tcW w:w="2398" w:type="dxa"/>
            <w:tcBorders>
              <w:top w:val="single" w:color="000000" w:sz="4" w:space="0"/>
              <w:left w:val="single" w:color="000000" w:sz="4" w:space="0"/>
              <w:bottom w:val="nil"/>
              <w:right w:val="single" w:color="000000" w:sz="4" w:space="0"/>
            </w:tcBorders>
            <w:shd w:val="clear" w:color="auto" w:fill="auto"/>
            <w:vAlign w:val="center"/>
          </w:tcPr>
          <w:p w14:paraId="2C9F7BD0">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乳胶漆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BF66">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nil"/>
              <w:right w:val="single" w:color="000000" w:sz="4" w:space="0"/>
            </w:tcBorders>
            <w:shd w:val="clear" w:color="auto" w:fill="auto"/>
            <w:vAlign w:val="center"/>
          </w:tcPr>
          <w:p w14:paraId="2E0DF1A8">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立邦、多乐士、嘉宝莉</w:t>
            </w:r>
          </w:p>
        </w:tc>
        <w:tc>
          <w:tcPr>
            <w:tcW w:w="1883" w:type="dxa"/>
            <w:tcBorders>
              <w:top w:val="single" w:color="000000" w:sz="4" w:space="0"/>
              <w:left w:val="single" w:color="000000" w:sz="4" w:space="0"/>
              <w:bottom w:val="nil"/>
              <w:right w:val="single" w:color="000000" w:sz="4" w:space="0"/>
            </w:tcBorders>
            <w:shd w:val="clear" w:color="auto" w:fill="auto"/>
            <w:vAlign w:val="center"/>
          </w:tcPr>
          <w:p w14:paraId="70706AB3">
            <w:pPr>
              <w:jc w:val="center"/>
              <w:rPr>
                <w:rFonts w:hint="eastAsia" w:asciiTheme="minorEastAsia" w:hAnsiTheme="minorEastAsia" w:eastAsiaTheme="minorEastAsia" w:cstheme="minorEastAsia"/>
                <w:color w:val="auto"/>
                <w:sz w:val="22"/>
              </w:rPr>
            </w:pPr>
            <w:r>
              <w:rPr>
                <w:rFonts w:hint="eastAsia" w:ascii="宋体" w:hAnsi="宋体" w:cs="宋体"/>
                <w:color w:val="auto"/>
                <w:kern w:val="0"/>
                <w:sz w:val="22"/>
                <w:lang w:bidi="ar"/>
              </w:rPr>
              <w:t>立邦、嘉宝莉</w:t>
            </w:r>
          </w:p>
        </w:tc>
      </w:tr>
      <w:tr w14:paraId="7C8A21C8">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5707">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9</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50BD">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铝合金门窗内墙密封胶</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85EF">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D892">
            <w:pPr>
              <w:jc w:val="center"/>
              <w:rPr>
                <w:rFonts w:hint="eastAsia" w:asciiTheme="minorEastAsia" w:hAnsiTheme="minorEastAsia" w:eastAsiaTheme="minorEastAsia" w:cstheme="minorEastAsia"/>
                <w:color w:val="auto"/>
                <w:sz w:val="22"/>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2D62">
            <w:pPr>
              <w:jc w:val="center"/>
              <w:rPr>
                <w:rFonts w:hint="eastAsia" w:asciiTheme="minorEastAsia" w:hAnsiTheme="minorEastAsia" w:eastAsiaTheme="minorEastAsia" w:cstheme="minorEastAsia"/>
                <w:color w:val="auto"/>
                <w:sz w:val="22"/>
              </w:rPr>
            </w:pPr>
            <w:r>
              <w:rPr>
                <w:rFonts w:hint="eastAsia" w:cs="宋体"/>
                <w:color w:val="auto"/>
                <w:sz w:val="22"/>
              </w:rPr>
              <w:t>安泰、之江、思兰德</w:t>
            </w:r>
          </w:p>
        </w:tc>
      </w:tr>
      <w:tr w14:paraId="2D811651">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9008">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953D">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给排水管</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2575">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0B1E">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2323">
            <w:pPr>
              <w:jc w:val="center"/>
              <w:rPr>
                <w:rFonts w:hint="eastAsia" w:asciiTheme="minorEastAsia" w:hAnsiTheme="minorEastAsia" w:eastAsiaTheme="minorEastAsia" w:cstheme="minorEastAsia"/>
                <w:color w:val="auto"/>
                <w:sz w:val="22"/>
              </w:rPr>
            </w:pPr>
            <w:r>
              <w:rPr>
                <w:rFonts w:hint="eastAsia" w:ascii="宋体" w:hAnsi="宋体" w:cs="宋体"/>
                <w:color w:val="auto"/>
                <w:kern w:val="0"/>
                <w:sz w:val="22"/>
                <w:lang w:bidi="ar"/>
              </w:rPr>
              <w:t>保利、金牛等</w:t>
            </w:r>
          </w:p>
        </w:tc>
      </w:tr>
      <w:tr w14:paraId="0A8C5F41">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215F">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11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CAE4">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地暖管材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F41F">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98A5">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3A65">
            <w:pPr>
              <w:jc w:val="center"/>
              <w:rPr>
                <w:rFonts w:hint="eastAsia" w:asciiTheme="minorEastAsia" w:hAnsiTheme="minorEastAsia" w:eastAsiaTheme="minorEastAsia" w:cstheme="minorEastAsia"/>
                <w:color w:val="auto"/>
                <w:sz w:val="22"/>
              </w:rPr>
            </w:pPr>
            <w:r>
              <w:rPr>
                <w:rFonts w:hint="eastAsia" w:ascii="宋体" w:hAnsi="宋体" w:cs="宋体"/>
                <w:color w:val="auto"/>
                <w:kern w:val="0"/>
                <w:sz w:val="22"/>
                <w:lang w:bidi="ar"/>
              </w:rPr>
              <w:t>保利、金牛等</w:t>
            </w:r>
          </w:p>
        </w:tc>
      </w:tr>
      <w:tr w14:paraId="5DC1D2DA">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8845">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12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5307">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石膏阴角线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5DE4">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20ED">
            <w:pPr>
              <w:jc w:val="center"/>
              <w:rPr>
                <w:rFonts w:hint="eastAsia" w:asciiTheme="minorEastAsia" w:hAnsiTheme="minorEastAsia" w:eastAsiaTheme="minorEastAsia" w:cstheme="minorEastAsia"/>
                <w:color w:val="auto"/>
                <w:sz w:val="22"/>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4D04">
            <w:pPr>
              <w:jc w:val="center"/>
              <w:rPr>
                <w:rFonts w:hint="eastAsia" w:asciiTheme="minorEastAsia" w:hAnsiTheme="minorEastAsia" w:eastAsiaTheme="minorEastAsia" w:cstheme="minorEastAsia"/>
                <w:color w:val="auto"/>
                <w:sz w:val="22"/>
              </w:rPr>
            </w:pPr>
            <w:r>
              <w:rPr>
                <w:rFonts w:cs="宋体"/>
                <w:color w:val="auto"/>
                <w:sz w:val="22"/>
              </w:rPr>
              <w:t>/</w:t>
            </w:r>
          </w:p>
        </w:tc>
      </w:tr>
      <w:tr w14:paraId="64BCC2C0">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0921">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13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A148">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石材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23DF">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C9C3">
            <w:pPr>
              <w:jc w:val="center"/>
              <w:rPr>
                <w:rFonts w:hint="eastAsia" w:asciiTheme="minorEastAsia" w:hAnsiTheme="minorEastAsia" w:eastAsiaTheme="minorEastAsia" w:cstheme="minorEastAsia"/>
                <w:color w:val="auto"/>
                <w:sz w:val="22"/>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CF83">
            <w:pPr>
              <w:jc w:val="center"/>
              <w:rPr>
                <w:rFonts w:hint="eastAsia" w:asciiTheme="minorEastAsia" w:hAnsiTheme="minorEastAsia" w:eastAsiaTheme="minorEastAsia" w:cstheme="minorEastAsia"/>
                <w:color w:val="auto"/>
                <w:sz w:val="22"/>
              </w:rPr>
            </w:pPr>
            <w:r>
              <w:rPr>
                <w:rFonts w:cs="宋体"/>
                <w:color w:val="auto"/>
                <w:sz w:val="22"/>
              </w:rPr>
              <w:t>/</w:t>
            </w:r>
          </w:p>
        </w:tc>
      </w:tr>
      <w:tr w14:paraId="2F1700A4">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BB0D">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14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9068D">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内墙腻子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78E5">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E424">
            <w:pPr>
              <w:jc w:val="center"/>
              <w:rPr>
                <w:rFonts w:hint="eastAsia" w:asciiTheme="minorEastAsia" w:hAnsiTheme="minorEastAsia" w:eastAsiaTheme="minorEastAsia" w:cstheme="minorEastAsia"/>
                <w:color w:val="auto"/>
                <w:sz w:val="22"/>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4B4D">
            <w:pPr>
              <w:jc w:val="center"/>
              <w:rPr>
                <w:rFonts w:hint="eastAsia" w:asciiTheme="minorEastAsia" w:hAnsiTheme="minorEastAsia" w:eastAsiaTheme="minorEastAsia" w:cstheme="minorEastAsia"/>
                <w:color w:val="auto"/>
                <w:sz w:val="22"/>
              </w:rPr>
            </w:pPr>
            <w:r>
              <w:rPr>
                <w:rFonts w:cs="宋体"/>
                <w:color w:val="auto"/>
                <w:sz w:val="22"/>
              </w:rPr>
              <w:t>/</w:t>
            </w:r>
          </w:p>
        </w:tc>
      </w:tr>
      <w:tr w14:paraId="5A17C4E8">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AA7F">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B4AB">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沙、石</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FA06">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48FA">
            <w:pPr>
              <w:jc w:val="center"/>
              <w:rPr>
                <w:rFonts w:hint="eastAsia" w:asciiTheme="minorEastAsia" w:hAnsiTheme="minorEastAsia" w:eastAsiaTheme="minorEastAsia" w:cstheme="minorEastAsia"/>
                <w:color w:val="auto"/>
                <w:sz w:val="22"/>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9776">
            <w:pPr>
              <w:jc w:val="center"/>
              <w:rPr>
                <w:rFonts w:hint="eastAsia" w:asciiTheme="minorEastAsia" w:hAnsiTheme="minorEastAsia" w:eastAsiaTheme="minorEastAsia" w:cstheme="minorEastAsia"/>
                <w:color w:val="auto"/>
                <w:sz w:val="22"/>
              </w:rPr>
            </w:pPr>
            <w:r>
              <w:rPr>
                <w:rFonts w:cs="宋体"/>
                <w:color w:val="auto"/>
                <w:sz w:val="22"/>
              </w:rPr>
              <w:t>/</w:t>
            </w:r>
          </w:p>
        </w:tc>
      </w:tr>
      <w:tr w14:paraId="250F6ECB">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63C2">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16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14B2">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防水材料</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FE22">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C303">
            <w:pPr>
              <w:widowControl/>
              <w:jc w:val="center"/>
              <w:textAlignment w:val="center"/>
              <w:rPr>
                <w:rFonts w:hint="eastAsia"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kern w:val="0"/>
                <w:sz w:val="22"/>
                <w:lang w:bidi="ar"/>
              </w:rPr>
              <w:t>雨中情、三棵树、宏源、华瑞</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E714">
            <w:pPr>
              <w:jc w:val="center"/>
              <w:rPr>
                <w:rFonts w:hint="eastAsia" w:asciiTheme="minorEastAsia" w:hAnsiTheme="minorEastAsia" w:eastAsiaTheme="minorEastAsia" w:cstheme="minorEastAsia"/>
                <w:color w:val="auto"/>
                <w:sz w:val="22"/>
              </w:rPr>
            </w:pPr>
            <w:r>
              <w:rPr>
                <w:rFonts w:hint="eastAsia" w:ascii="宋体" w:hAnsi="宋体" w:cs="宋体"/>
                <w:color w:val="auto"/>
                <w:kern w:val="0"/>
                <w:sz w:val="22"/>
                <w:lang w:bidi="ar"/>
              </w:rPr>
              <w:t>三棵树等</w:t>
            </w:r>
          </w:p>
        </w:tc>
      </w:tr>
    </w:tbl>
    <w:p w14:paraId="521A9E56">
      <w:pPr>
        <w:pStyle w:val="54"/>
        <w:rPr>
          <w:rFonts w:hint="eastAsia" w:asciiTheme="minorEastAsia" w:hAnsiTheme="minorEastAsia" w:eastAsiaTheme="minorEastAsia" w:cstheme="minorEastAsia"/>
          <w:bCs/>
          <w:color w:val="auto"/>
          <w:szCs w:val="28"/>
        </w:rPr>
      </w:pPr>
    </w:p>
    <w:p w14:paraId="7180A3AF">
      <w:pPr>
        <w:pStyle w:val="54"/>
        <w:rPr>
          <w:rFonts w:hint="eastAsia" w:asciiTheme="minorEastAsia" w:hAnsiTheme="minorEastAsia" w:eastAsiaTheme="minorEastAsia" w:cstheme="minorEastAsia"/>
          <w:bCs/>
          <w:color w:val="auto"/>
          <w:szCs w:val="28"/>
        </w:rPr>
      </w:pPr>
    </w:p>
    <w:p w14:paraId="08D0FD5A">
      <w:pPr>
        <w:pStyle w:val="54"/>
        <w:rPr>
          <w:rFonts w:hint="eastAsia" w:asciiTheme="minorEastAsia" w:hAnsiTheme="minorEastAsia" w:eastAsiaTheme="minorEastAsia" w:cstheme="minorEastAsia"/>
          <w:bCs/>
          <w:color w:val="auto"/>
          <w:szCs w:val="28"/>
        </w:rPr>
      </w:pPr>
    </w:p>
    <w:p w14:paraId="5BE5B9DE">
      <w:pPr>
        <w:pStyle w:val="54"/>
        <w:rPr>
          <w:rFonts w:hint="eastAsia" w:asciiTheme="minorEastAsia" w:hAnsiTheme="minorEastAsia" w:eastAsiaTheme="minorEastAsia" w:cstheme="minorEastAsia"/>
          <w:bCs/>
          <w:color w:val="auto"/>
          <w:szCs w:val="28"/>
        </w:rPr>
      </w:pPr>
    </w:p>
    <w:p w14:paraId="03CFCC92">
      <w:pPr>
        <w:pStyle w:val="54"/>
        <w:spacing w:line="360" w:lineRule="auto"/>
        <w:rPr>
          <w:rFonts w:hint="eastAsia" w:asciiTheme="minorEastAsia" w:hAnsiTheme="minorEastAsia" w:eastAsiaTheme="minorEastAsia" w:cstheme="minorEastAsia"/>
          <w:bCs/>
          <w:color w:val="auto"/>
          <w:szCs w:val="28"/>
        </w:rPr>
      </w:pPr>
      <w:r>
        <w:rPr>
          <w:rFonts w:hint="eastAsia" w:asciiTheme="minorEastAsia" w:hAnsiTheme="minorEastAsia" w:eastAsiaTheme="minorEastAsia" w:cstheme="minorEastAsia"/>
          <w:bCs/>
          <w:color w:val="auto"/>
          <w:szCs w:val="28"/>
        </w:rPr>
        <w:t>附件四、《装修工程外观验收标准》</w:t>
      </w:r>
    </w:p>
    <w:tbl>
      <w:tblPr>
        <w:tblStyle w:val="47"/>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14:paraId="0D43A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tcPr>
          <w:p w14:paraId="51319442">
            <w:pPr>
              <w:pStyle w:val="101"/>
              <w:spacing w:before="37"/>
              <w:ind w:left="10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检查内容</w:t>
            </w:r>
          </w:p>
        </w:tc>
        <w:tc>
          <w:tcPr>
            <w:tcW w:w="8321" w:type="dxa"/>
            <w:gridSpan w:val="2"/>
          </w:tcPr>
          <w:p w14:paraId="5CFB0ABE">
            <w:pPr>
              <w:pStyle w:val="101"/>
              <w:spacing w:before="37"/>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检查标准</w:t>
            </w:r>
          </w:p>
        </w:tc>
      </w:tr>
      <w:tr w14:paraId="34C07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tcPr>
          <w:p w14:paraId="0F71825F">
            <w:pPr>
              <w:pStyle w:val="101"/>
              <w:spacing w:before="20"/>
              <w:ind w:left="10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交楼标准</w:t>
            </w:r>
          </w:p>
        </w:tc>
        <w:tc>
          <w:tcPr>
            <w:tcW w:w="8321" w:type="dxa"/>
            <w:gridSpan w:val="2"/>
          </w:tcPr>
          <w:p w14:paraId="1FB1727E">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是否符合</w:t>
            </w:r>
          </w:p>
        </w:tc>
      </w:tr>
      <w:tr w14:paraId="2B459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3ACC3DE2">
            <w:pPr>
              <w:pStyle w:val="101"/>
              <w:rPr>
                <w:rFonts w:hint="eastAsia" w:asciiTheme="minorEastAsia" w:hAnsiTheme="minorEastAsia" w:eastAsiaTheme="minorEastAsia" w:cstheme="minorEastAsia"/>
                <w:b/>
                <w:color w:val="auto"/>
                <w:szCs w:val="24"/>
              </w:rPr>
            </w:pPr>
          </w:p>
          <w:p w14:paraId="74EB6F79">
            <w:pPr>
              <w:pStyle w:val="101"/>
              <w:rPr>
                <w:rFonts w:hint="eastAsia" w:asciiTheme="minorEastAsia" w:hAnsiTheme="minorEastAsia" w:eastAsiaTheme="minorEastAsia" w:cstheme="minorEastAsia"/>
                <w:b/>
                <w:color w:val="auto"/>
                <w:szCs w:val="24"/>
              </w:rPr>
            </w:pPr>
          </w:p>
          <w:p w14:paraId="5AC479EB">
            <w:pPr>
              <w:pStyle w:val="101"/>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地面</w:t>
            </w:r>
          </w:p>
        </w:tc>
        <w:tc>
          <w:tcPr>
            <w:tcW w:w="820" w:type="dxa"/>
            <w:vMerge w:val="restart"/>
          </w:tcPr>
          <w:p w14:paraId="37C0A17D">
            <w:pPr>
              <w:pStyle w:val="101"/>
              <w:spacing w:line="269" w:lineRule="exact"/>
              <w:ind w:left="219"/>
              <w:jc w:val="left"/>
              <w:rPr>
                <w:rFonts w:hint="eastAsia" w:asciiTheme="minorEastAsia" w:hAnsiTheme="minorEastAsia" w:eastAsiaTheme="minorEastAsia" w:cstheme="minorEastAsia"/>
                <w:color w:val="auto"/>
                <w:szCs w:val="24"/>
              </w:rPr>
            </w:pPr>
          </w:p>
          <w:p w14:paraId="0F3FF9DE">
            <w:pPr>
              <w:pStyle w:val="101"/>
              <w:spacing w:line="269" w:lineRule="exact"/>
              <w:ind w:left="219"/>
              <w:jc w:val="left"/>
              <w:rPr>
                <w:rFonts w:hint="eastAsia" w:asciiTheme="minorEastAsia" w:hAnsiTheme="minorEastAsia" w:eastAsiaTheme="minorEastAsia" w:cstheme="minorEastAsia"/>
                <w:color w:val="auto"/>
                <w:szCs w:val="24"/>
              </w:rPr>
            </w:pPr>
          </w:p>
          <w:p w14:paraId="309BDE86">
            <w:pPr>
              <w:pStyle w:val="101"/>
              <w:spacing w:line="269" w:lineRule="exact"/>
              <w:jc w:val="left"/>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 xml:space="preserve">瓷 </w:t>
            </w:r>
            <w:r>
              <w:rPr>
                <w:rFonts w:hint="eastAsia" w:asciiTheme="minorEastAsia" w:hAnsiTheme="minorEastAsia" w:eastAsiaTheme="minorEastAsia" w:cstheme="minorEastAsia"/>
                <w:color w:val="auto"/>
                <w:spacing w:val="-16"/>
                <w:szCs w:val="24"/>
              </w:rPr>
              <w:t>砖</w:t>
            </w:r>
          </w:p>
        </w:tc>
        <w:tc>
          <w:tcPr>
            <w:tcW w:w="7501" w:type="dxa"/>
          </w:tcPr>
          <w:p w14:paraId="359B2588">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瓷砖铺贴平整、对缝整齐，无空鼓、开裂、缺棱、掉角、色差、污染。</w:t>
            </w:r>
          </w:p>
        </w:tc>
      </w:tr>
      <w:tr w14:paraId="0C2D1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0F2CE665">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66B8806A">
            <w:pPr>
              <w:jc w:val="left"/>
              <w:rPr>
                <w:rFonts w:hint="eastAsia" w:asciiTheme="minorEastAsia" w:hAnsiTheme="minorEastAsia" w:eastAsiaTheme="minorEastAsia" w:cstheme="minorEastAsia"/>
                <w:color w:val="auto"/>
                <w:szCs w:val="24"/>
              </w:rPr>
            </w:pPr>
          </w:p>
        </w:tc>
        <w:tc>
          <w:tcPr>
            <w:tcW w:w="7501" w:type="dxa"/>
          </w:tcPr>
          <w:p w14:paraId="6C825868">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地漏口须设置在对角裁开的方砖正中，且收边美观、圆滑。</w:t>
            </w:r>
          </w:p>
        </w:tc>
      </w:tr>
      <w:tr w14:paraId="2C4D7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72EBB868">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149FC404">
            <w:pPr>
              <w:jc w:val="left"/>
              <w:rPr>
                <w:rFonts w:hint="eastAsia" w:asciiTheme="minorEastAsia" w:hAnsiTheme="minorEastAsia" w:eastAsiaTheme="minorEastAsia" w:cstheme="minorEastAsia"/>
                <w:color w:val="auto"/>
                <w:szCs w:val="24"/>
              </w:rPr>
            </w:pPr>
          </w:p>
        </w:tc>
        <w:tc>
          <w:tcPr>
            <w:tcW w:w="7501" w:type="dxa"/>
          </w:tcPr>
          <w:p w14:paraId="4BF00320">
            <w:pPr>
              <w:pStyle w:val="101"/>
              <w:spacing w:before="21"/>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厨卫和阳台地面肉眼可见明显坡向地漏，须放水检验排水畅通、不积水、不渗漏。</w:t>
            </w:r>
          </w:p>
        </w:tc>
      </w:tr>
      <w:tr w14:paraId="4D93B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4138BAB0">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368B8861">
            <w:pPr>
              <w:jc w:val="left"/>
              <w:rPr>
                <w:rFonts w:hint="eastAsia" w:asciiTheme="minorEastAsia" w:hAnsiTheme="minorEastAsia" w:eastAsiaTheme="minorEastAsia" w:cstheme="minorEastAsia"/>
                <w:color w:val="auto"/>
                <w:szCs w:val="24"/>
              </w:rPr>
            </w:pPr>
          </w:p>
        </w:tc>
        <w:tc>
          <w:tcPr>
            <w:tcW w:w="7501" w:type="dxa"/>
          </w:tcPr>
          <w:p w14:paraId="065E7719">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pacing w:val="-16"/>
                <w:szCs w:val="24"/>
              </w:rPr>
              <w:t>地漏不应设在厨房菜盆、灶台、冰箱、卫生间洗脸盆的前方或阳台上经常行走的部位。</w:t>
            </w:r>
          </w:p>
        </w:tc>
      </w:tr>
      <w:tr w14:paraId="57519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6D3C3016">
            <w:pPr>
              <w:rPr>
                <w:rFonts w:hint="eastAsia" w:asciiTheme="minorEastAsia" w:hAnsiTheme="minorEastAsia" w:eastAsiaTheme="minorEastAsia" w:cstheme="minorEastAsia"/>
                <w:color w:val="auto"/>
                <w:szCs w:val="24"/>
              </w:rPr>
            </w:pPr>
          </w:p>
        </w:tc>
        <w:tc>
          <w:tcPr>
            <w:tcW w:w="820" w:type="dxa"/>
            <w:vMerge w:val="restart"/>
          </w:tcPr>
          <w:p w14:paraId="65B5B093">
            <w:pPr>
              <w:pStyle w:val="101"/>
              <w:spacing w:before="11"/>
              <w:jc w:val="left"/>
              <w:rPr>
                <w:rFonts w:hint="eastAsia" w:asciiTheme="minorEastAsia" w:hAnsiTheme="minorEastAsia" w:eastAsiaTheme="minorEastAsia" w:cstheme="minorEastAsia"/>
                <w:b/>
                <w:color w:val="auto"/>
                <w:szCs w:val="24"/>
              </w:rPr>
            </w:pPr>
          </w:p>
          <w:p w14:paraId="3D911738">
            <w:pPr>
              <w:pStyle w:val="101"/>
              <w:jc w:val="left"/>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木地板</w:t>
            </w:r>
          </w:p>
        </w:tc>
        <w:tc>
          <w:tcPr>
            <w:tcW w:w="7501" w:type="dxa"/>
          </w:tcPr>
          <w:p w14:paraId="30256383">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表面平直，颜色、木纹协调一致，洁净无胶痕。</w:t>
            </w:r>
          </w:p>
        </w:tc>
      </w:tr>
      <w:tr w14:paraId="1F0B9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1A786A96">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6C5DABEF">
            <w:pPr>
              <w:jc w:val="left"/>
              <w:rPr>
                <w:rFonts w:hint="eastAsia" w:asciiTheme="minorEastAsia" w:hAnsiTheme="minorEastAsia" w:eastAsiaTheme="minorEastAsia" w:cstheme="minorEastAsia"/>
                <w:color w:val="auto"/>
                <w:szCs w:val="24"/>
              </w:rPr>
            </w:pPr>
          </w:p>
        </w:tc>
        <w:tc>
          <w:tcPr>
            <w:tcW w:w="7501" w:type="dxa"/>
          </w:tcPr>
          <w:p w14:paraId="06CE8F89">
            <w:pPr>
              <w:pStyle w:val="101"/>
              <w:spacing w:before="21"/>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地板无松动、爆裂或撞凹，行走时无吱吱作响声。</w:t>
            </w:r>
          </w:p>
        </w:tc>
      </w:tr>
      <w:tr w14:paraId="3D5BB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5DC96D69">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63CB958C">
            <w:pPr>
              <w:jc w:val="left"/>
              <w:rPr>
                <w:rFonts w:hint="eastAsia" w:asciiTheme="minorEastAsia" w:hAnsiTheme="minorEastAsia" w:eastAsiaTheme="minorEastAsia" w:cstheme="minorEastAsia"/>
                <w:color w:val="auto"/>
                <w:szCs w:val="24"/>
              </w:rPr>
            </w:pPr>
          </w:p>
        </w:tc>
        <w:tc>
          <w:tcPr>
            <w:tcW w:w="7501" w:type="dxa"/>
          </w:tcPr>
          <w:p w14:paraId="5C035ABF">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地脚线接口，无松动现象。</w:t>
            </w:r>
          </w:p>
        </w:tc>
      </w:tr>
      <w:tr w14:paraId="62827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30095A1A">
            <w:pPr>
              <w:pStyle w:val="101"/>
              <w:rPr>
                <w:rFonts w:hint="eastAsia" w:asciiTheme="minorEastAsia" w:hAnsiTheme="minorEastAsia" w:eastAsiaTheme="minorEastAsia" w:cstheme="minorEastAsia"/>
                <w:b/>
                <w:color w:val="auto"/>
                <w:szCs w:val="24"/>
              </w:rPr>
            </w:pPr>
          </w:p>
          <w:p w14:paraId="0DD84D37">
            <w:pPr>
              <w:pStyle w:val="101"/>
              <w:spacing w:before="1"/>
              <w:rPr>
                <w:rFonts w:hint="eastAsia" w:asciiTheme="minorEastAsia" w:hAnsiTheme="minorEastAsia" w:eastAsiaTheme="minorEastAsia" w:cstheme="minorEastAsia"/>
                <w:color w:val="auto"/>
                <w:szCs w:val="24"/>
              </w:rPr>
            </w:pPr>
          </w:p>
          <w:p w14:paraId="0BAA56DE">
            <w:pPr>
              <w:pStyle w:val="101"/>
              <w:spacing w:before="1"/>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墙面</w:t>
            </w:r>
          </w:p>
        </w:tc>
        <w:tc>
          <w:tcPr>
            <w:tcW w:w="820" w:type="dxa"/>
            <w:vMerge w:val="restart"/>
          </w:tcPr>
          <w:p w14:paraId="7EF0ACBC">
            <w:pPr>
              <w:pStyle w:val="101"/>
              <w:spacing w:before="4"/>
              <w:jc w:val="left"/>
              <w:rPr>
                <w:rFonts w:hint="eastAsia" w:asciiTheme="minorEastAsia" w:hAnsiTheme="minorEastAsia" w:eastAsiaTheme="minorEastAsia" w:cstheme="minorEastAsia"/>
                <w:b/>
                <w:color w:val="auto"/>
                <w:szCs w:val="24"/>
              </w:rPr>
            </w:pPr>
          </w:p>
          <w:p w14:paraId="37270459">
            <w:pPr>
              <w:pStyle w:val="101"/>
              <w:spacing w:line="278" w:lineRule="auto"/>
              <w:ind w:right="80"/>
              <w:jc w:val="left"/>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乳胶漆墙面</w:t>
            </w:r>
          </w:p>
        </w:tc>
        <w:tc>
          <w:tcPr>
            <w:tcW w:w="7501" w:type="dxa"/>
          </w:tcPr>
          <w:p w14:paraId="4BC1ECD9">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无裂缝、裂纹，无掉粉、起皮，无流坠、疙瘩，无漏刷、污损、透底。</w:t>
            </w:r>
          </w:p>
        </w:tc>
      </w:tr>
      <w:tr w14:paraId="7F4E9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tcPr>
          <w:p w14:paraId="492E1DF5">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6BE7CD16">
            <w:pPr>
              <w:jc w:val="left"/>
              <w:rPr>
                <w:rFonts w:hint="eastAsia" w:asciiTheme="minorEastAsia" w:hAnsiTheme="minorEastAsia" w:eastAsiaTheme="minorEastAsia" w:cstheme="minorEastAsia"/>
                <w:color w:val="auto"/>
                <w:szCs w:val="24"/>
              </w:rPr>
            </w:pPr>
          </w:p>
        </w:tc>
        <w:tc>
          <w:tcPr>
            <w:tcW w:w="7501" w:type="dxa"/>
          </w:tcPr>
          <w:p w14:paraId="3F954253">
            <w:pPr>
              <w:pStyle w:val="101"/>
              <w:spacing w:before="52"/>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刷纹通顺、无明显刷纹，光感均匀、无起伏阴影和色差。</w:t>
            </w:r>
          </w:p>
        </w:tc>
      </w:tr>
      <w:tr w14:paraId="73543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20EC2104">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6A40EB2E">
            <w:pPr>
              <w:jc w:val="left"/>
              <w:rPr>
                <w:rFonts w:hint="eastAsia" w:asciiTheme="minorEastAsia" w:hAnsiTheme="minorEastAsia" w:eastAsiaTheme="minorEastAsia" w:cstheme="minorEastAsia"/>
                <w:color w:val="auto"/>
                <w:szCs w:val="24"/>
              </w:rPr>
            </w:pPr>
          </w:p>
        </w:tc>
        <w:tc>
          <w:tcPr>
            <w:tcW w:w="7501" w:type="dxa"/>
          </w:tcPr>
          <w:p w14:paraId="2A8ED0D5">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阴阳角线条清晰、方正顺直。</w:t>
            </w:r>
          </w:p>
        </w:tc>
      </w:tr>
      <w:tr w14:paraId="6C757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018E7365">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14C780CF">
            <w:pPr>
              <w:jc w:val="left"/>
              <w:rPr>
                <w:rFonts w:hint="eastAsia" w:asciiTheme="minorEastAsia" w:hAnsiTheme="minorEastAsia" w:eastAsiaTheme="minorEastAsia" w:cstheme="minorEastAsia"/>
                <w:color w:val="auto"/>
                <w:szCs w:val="24"/>
              </w:rPr>
            </w:pPr>
          </w:p>
        </w:tc>
        <w:tc>
          <w:tcPr>
            <w:tcW w:w="7501" w:type="dxa"/>
          </w:tcPr>
          <w:p w14:paraId="56E0D5FC">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基本无反碱、咬色。</w:t>
            </w:r>
          </w:p>
        </w:tc>
      </w:tr>
      <w:tr w14:paraId="758DC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2C261F38">
            <w:pPr>
              <w:rPr>
                <w:rFonts w:hint="eastAsia" w:asciiTheme="minorEastAsia" w:hAnsiTheme="minorEastAsia" w:eastAsiaTheme="minorEastAsia" w:cstheme="minorEastAsia"/>
                <w:color w:val="auto"/>
                <w:szCs w:val="24"/>
              </w:rPr>
            </w:pPr>
          </w:p>
        </w:tc>
        <w:tc>
          <w:tcPr>
            <w:tcW w:w="820" w:type="dxa"/>
            <w:vMerge w:val="restart"/>
          </w:tcPr>
          <w:p w14:paraId="37A76245">
            <w:pPr>
              <w:pStyle w:val="101"/>
              <w:spacing w:before="11"/>
              <w:jc w:val="left"/>
              <w:rPr>
                <w:rFonts w:hint="eastAsia" w:asciiTheme="minorEastAsia" w:hAnsiTheme="minorEastAsia" w:eastAsiaTheme="minorEastAsia" w:cstheme="minorEastAsia"/>
                <w:b/>
                <w:color w:val="auto"/>
                <w:szCs w:val="24"/>
              </w:rPr>
            </w:pPr>
          </w:p>
          <w:p w14:paraId="6E1748BE">
            <w:pPr>
              <w:pStyle w:val="101"/>
              <w:jc w:val="left"/>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val="en-US"/>
              </w:rPr>
              <w:t>瓷砖</w:t>
            </w:r>
            <w:r>
              <w:rPr>
                <w:rFonts w:hint="eastAsia" w:asciiTheme="minorEastAsia" w:hAnsiTheme="minorEastAsia" w:eastAsiaTheme="minorEastAsia" w:cstheme="minorEastAsia"/>
                <w:color w:val="auto"/>
                <w:szCs w:val="24"/>
              </w:rPr>
              <w:t>墙面</w:t>
            </w:r>
          </w:p>
        </w:tc>
        <w:tc>
          <w:tcPr>
            <w:tcW w:w="7501" w:type="dxa"/>
          </w:tcPr>
          <w:p w14:paraId="03C4B179">
            <w:pPr>
              <w:pStyle w:val="101"/>
              <w:spacing w:before="21"/>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瓷片牢固平整、对缝整齐、勾缝饱满均匀。</w:t>
            </w:r>
          </w:p>
        </w:tc>
      </w:tr>
      <w:tr w14:paraId="1E626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2A04FD75">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01692C59">
            <w:pPr>
              <w:jc w:val="left"/>
              <w:rPr>
                <w:rFonts w:hint="eastAsia" w:asciiTheme="minorEastAsia" w:hAnsiTheme="minorEastAsia" w:eastAsiaTheme="minorEastAsia" w:cstheme="minorEastAsia"/>
                <w:color w:val="auto"/>
                <w:szCs w:val="24"/>
              </w:rPr>
            </w:pPr>
          </w:p>
        </w:tc>
        <w:tc>
          <w:tcPr>
            <w:tcW w:w="7501" w:type="dxa"/>
          </w:tcPr>
          <w:p w14:paraId="25C4D726">
            <w:pPr>
              <w:pStyle w:val="101"/>
              <w:spacing w:before="21"/>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无破裂、空鼓、色差、污渍，无缺棱掉角、歪斜。</w:t>
            </w:r>
          </w:p>
        </w:tc>
      </w:tr>
      <w:tr w14:paraId="1EB0E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240F5DC5">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44456F74">
            <w:pPr>
              <w:jc w:val="left"/>
              <w:rPr>
                <w:rFonts w:hint="eastAsia" w:asciiTheme="minorEastAsia" w:hAnsiTheme="minorEastAsia" w:eastAsiaTheme="minorEastAsia" w:cstheme="minorEastAsia"/>
                <w:color w:val="auto"/>
                <w:szCs w:val="24"/>
              </w:rPr>
            </w:pPr>
          </w:p>
        </w:tc>
        <w:tc>
          <w:tcPr>
            <w:tcW w:w="7501" w:type="dxa"/>
          </w:tcPr>
          <w:p w14:paraId="616573E8">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阴阳角处瓷片搭接方向正确。</w:t>
            </w:r>
          </w:p>
        </w:tc>
      </w:tr>
      <w:tr w14:paraId="62CE9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75D3D378">
            <w:pPr>
              <w:pStyle w:val="101"/>
              <w:rPr>
                <w:rFonts w:hint="eastAsia" w:asciiTheme="minorEastAsia" w:hAnsiTheme="minorEastAsia" w:eastAsiaTheme="minorEastAsia" w:cstheme="minorEastAsia"/>
                <w:color w:val="auto"/>
                <w:szCs w:val="24"/>
              </w:rPr>
            </w:pPr>
          </w:p>
          <w:p w14:paraId="735790E0">
            <w:pPr>
              <w:pStyle w:val="101"/>
              <w:rPr>
                <w:rFonts w:hint="eastAsia" w:asciiTheme="minorEastAsia" w:hAnsiTheme="minorEastAsia" w:eastAsiaTheme="minorEastAsia" w:cstheme="minorEastAsia"/>
                <w:color w:val="auto"/>
                <w:szCs w:val="24"/>
              </w:rPr>
            </w:pPr>
          </w:p>
          <w:p w14:paraId="28929DBF">
            <w:pPr>
              <w:pStyle w:val="101"/>
              <w:rPr>
                <w:rFonts w:hint="eastAsia" w:asciiTheme="minorEastAsia" w:hAnsiTheme="minorEastAsia" w:eastAsiaTheme="minorEastAsia" w:cstheme="minorEastAsia"/>
                <w:color w:val="auto"/>
                <w:szCs w:val="24"/>
              </w:rPr>
            </w:pPr>
          </w:p>
          <w:p w14:paraId="58810C52">
            <w:pPr>
              <w:pStyle w:val="101"/>
              <w:rPr>
                <w:rFonts w:hint="eastAsia" w:asciiTheme="minorEastAsia" w:hAnsiTheme="minorEastAsia" w:eastAsiaTheme="minorEastAsia" w:cstheme="minorEastAsia"/>
                <w:color w:val="auto"/>
                <w:szCs w:val="24"/>
              </w:rPr>
            </w:pPr>
          </w:p>
          <w:p w14:paraId="516D02CC">
            <w:pPr>
              <w:pStyle w:val="101"/>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天花</w:t>
            </w:r>
          </w:p>
        </w:tc>
        <w:tc>
          <w:tcPr>
            <w:tcW w:w="820" w:type="dxa"/>
            <w:vMerge w:val="restart"/>
          </w:tcPr>
          <w:p w14:paraId="224A41E6">
            <w:pPr>
              <w:pStyle w:val="101"/>
              <w:spacing w:before="7"/>
              <w:jc w:val="left"/>
              <w:rPr>
                <w:rFonts w:hint="eastAsia" w:asciiTheme="minorEastAsia" w:hAnsiTheme="minorEastAsia" w:eastAsiaTheme="minorEastAsia" w:cstheme="minorEastAsia"/>
                <w:b/>
                <w:color w:val="auto"/>
                <w:szCs w:val="24"/>
              </w:rPr>
            </w:pPr>
          </w:p>
          <w:p w14:paraId="49208DBC">
            <w:pPr>
              <w:pStyle w:val="101"/>
              <w:spacing w:line="278" w:lineRule="auto"/>
              <w:ind w:right="80"/>
              <w:jc w:val="left"/>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乳胶漆天花</w:t>
            </w:r>
          </w:p>
        </w:tc>
        <w:tc>
          <w:tcPr>
            <w:tcW w:w="7501" w:type="dxa"/>
          </w:tcPr>
          <w:p w14:paraId="56E7FAF1">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无裂缝、裂纹，无掉粉、起皮，无流坠、疙瘩，无漏刷、污损、透底。</w:t>
            </w:r>
          </w:p>
        </w:tc>
      </w:tr>
      <w:tr w14:paraId="76C19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1162CD45">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77B8917E">
            <w:pPr>
              <w:jc w:val="left"/>
              <w:rPr>
                <w:rFonts w:hint="eastAsia" w:asciiTheme="minorEastAsia" w:hAnsiTheme="minorEastAsia" w:eastAsiaTheme="minorEastAsia" w:cstheme="minorEastAsia"/>
                <w:color w:val="auto"/>
                <w:szCs w:val="24"/>
              </w:rPr>
            </w:pPr>
          </w:p>
        </w:tc>
        <w:tc>
          <w:tcPr>
            <w:tcW w:w="7501" w:type="dxa"/>
          </w:tcPr>
          <w:p w14:paraId="67588001">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刷纹通顺、无明显刷纹，光感均匀、无起伏阴影和色差。</w:t>
            </w:r>
          </w:p>
        </w:tc>
      </w:tr>
      <w:tr w14:paraId="34FF6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502BB986">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3417B166">
            <w:pPr>
              <w:jc w:val="left"/>
              <w:rPr>
                <w:rFonts w:hint="eastAsia" w:asciiTheme="minorEastAsia" w:hAnsiTheme="minorEastAsia" w:eastAsiaTheme="minorEastAsia" w:cstheme="minorEastAsia"/>
                <w:color w:val="auto"/>
                <w:szCs w:val="24"/>
              </w:rPr>
            </w:pPr>
          </w:p>
        </w:tc>
        <w:tc>
          <w:tcPr>
            <w:tcW w:w="7501" w:type="dxa"/>
          </w:tcPr>
          <w:p w14:paraId="615C13D5">
            <w:pPr>
              <w:pStyle w:val="101"/>
              <w:spacing w:before="21"/>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装饰线、分色线平直，阴阳角线条清晰、方正顺直。</w:t>
            </w:r>
          </w:p>
        </w:tc>
      </w:tr>
      <w:tr w14:paraId="78760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32D3FEFB">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00764028">
            <w:pPr>
              <w:jc w:val="left"/>
              <w:rPr>
                <w:rFonts w:hint="eastAsia" w:asciiTheme="minorEastAsia" w:hAnsiTheme="minorEastAsia" w:eastAsiaTheme="minorEastAsia" w:cstheme="minorEastAsia"/>
                <w:color w:val="auto"/>
                <w:szCs w:val="24"/>
              </w:rPr>
            </w:pPr>
          </w:p>
        </w:tc>
        <w:tc>
          <w:tcPr>
            <w:tcW w:w="7501" w:type="dxa"/>
          </w:tcPr>
          <w:p w14:paraId="3B18DE7B">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基本无反碱、咬色。</w:t>
            </w:r>
          </w:p>
        </w:tc>
      </w:tr>
      <w:tr w14:paraId="78F59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15A1F8A2">
            <w:pPr>
              <w:rPr>
                <w:rFonts w:hint="eastAsia" w:asciiTheme="minorEastAsia" w:hAnsiTheme="minorEastAsia" w:eastAsiaTheme="minorEastAsia" w:cstheme="minorEastAsia"/>
                <w:color w:val="auto"/>
                <w:szCs w:val="24"/>
              </w:rPr>
            </w:pPr>
          </w:p>
        </w:tc>
        <w:tc>
          <w:tcPr>
            <w:tcW w:w="820" w:type="dxa"/>
            <w:vMerge w:val="restart"/>
          </w:tcPr>
          <w:p w14:paraId="5A328347">
            <w:pPr>
              <w:pStyle w:val="101"/>
              <w:spacing w:before="11"/>
              <w:jc w:val="left"/>
              <w:rPr>
                <w:rFonts w:hint="eastAsia" w:asciiTheme="minorEastAsia" w:hAnsiTheme="minorEastAsia" w:eastAsiaTheme="minorEastAsia" w:cstheme="minorEastAsia"/>
                <w:b/>
                <w:color w:val="auto"/>
                <w:szCs w:val="24"/>
              </w:rPr>
            </w:pPr>
          </w:p>
          <w:p w14:paraId="3F89A1DF">
            <w:pPr>
              <w:pStyle w:val="101"/>
              <w:jc w:val="left"/>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吊顶</w:t>
            </w:r>
          </w:p>
        </w:tc>
        <w:tc>
          <w:tcPr>
            <w:tcW w:w="7501" w:type="dxa"/>
          </w:tcPr>
          <w:p w14:paraId="4DCBEB89">
            <w:pPr>
              <w:pStyle w:val="101"/>
              <w:spacing w:before="21"/>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整体完好、安装牢固，表面平整、颜色均匀，线角顺直方正。</w:t>
            </w:r>
          </w:p>
        </w:tc>
      </w:tr>
      <w:tr w14:paraId="7F61C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03D60790">
            <w:pPr>
              <w:rPr>
                <w:rFonts w:hint="eastAsia" w:asciiTheme="minorEastAsia" w:hAnsiTheme="minorEastAsia" w:eastAsiaTheme="minorEastAsia" w:cstheme="minorEastAsia"/>
                <w:color w:val="auto"/>
                <w:szCs w:val="24"/>
              </w:rPr>
            </w:pPr>
          </w:p>
        </w:tc>
        <w:tc>
          <w:tcPr>
            <w:tcW w:w="820" w:type="dxa"/>
            <w:vMerge w:val="continue"/>
            <w:tcBorders>
              <w:top w:val="nil"/>
            </w:tcBorders>
          </w:tcPr>
          <w:p w14:paraId="07CAFBD3">
            <w:pPr>
              <w:rPr>
                <w:rFonts w:hint="eastAsia" w:asciiTheme="minorEastAsia" w:hAnsiTheme="minorEastAsia" w:eastAsiaTheme="minorEastAsia" w:cstheme="minorEastAsia"/>
                <w:color w:val="auto"/>
                <w:szCs w:val="24"/>
              </w:rPr>
            </w:pPr>
          </w:p>
        </w:tc>
        <w:tc>
          <w:tcPr>
            <w:tcW w:w="7501" w:type="dxa"/>
          </w:tcPr>
          <w:p w14:paraId="61522D48">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无污染、折裂、锤伤、缺棱掉角。</w:t>
            </w:r>
          </w:p>
        </w:tc>
      </w:tr>
      <w:tr w14:paraId="7CFF6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tcPr>
          <w:p w14:paraId="74906770">
            <w:pPr>
              <w:rPr>
                <w:rFonts w:hint="eastAsia" w:asciiTheme="minorEastAsia" w:hAnsiTheme="minorEastAsia" w:eastAsiaTheme="minorEastAsia" w:cstheme="minorEastAsia"/>
                <w:color w:val="auto"/>
                <w:szCs w:val="24"/>
              </w:rPr>
            </w:pPr>
          </w:p>
        </w:tc>
        <w:tc>
          <w:tcPr>
            <w:tcW w:w="820" w:type="dxa"/>
            <w:vMerge w:val="continue"/>
            <w:tcBorders>
              <w:top w:val="nil"/>
              <w:bottom w:val="single" w:color="auto" w:sz="4" w:space="0"/>
            </w:tcBorders>
          </w:tcPr>
          <w:p w14:paraId="16314715">
            <w:pPr>
              <w:rPr>
                <w:rFonts w:hint="eastAsia" w:asciiTheme="minorEastAsia" w:hAnsiTheme="minorEastAsia" w:eastAsiaTheme="minorEastAsia" w:cstheme="minorEastAsia"/>
                <w:color w:val="auto"/>
                <w:szCs w:val="24"/>
              </w:rPr>
            </w:pPr>
          </w:p>
        </w:tc>
        <w:tc>
          <w:tcPr>
            <w:tcW w:w="7501" w:type="dxa"/>
          </w:tcPr>
          <w:p w14:paraId="7FAE547D">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接缝均匀一致。</w:t>
            </w:r>
          </w:p>
        </w:tc>
      </w:tr>
      <w:tr w14:paraId="725C5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tcPr>
          <w:p w14:paraId="3077E8D3">
            <w:pPr>
              <w:rPr>
                <w:rFonts w:hint="eastAsia" w:asciiTheme="minorEastAsia" w:hAnsiTheme="minorEastAsia" w:eastAsiaTheme="minorEastAsia" w:cstheme="minorEastAsia"/>
                <w:color w:val="auto"/>
                <w:szCs w:val="24"/>
              </w:rPr>
            </w:pPr>
          </w:p>
          <w:p w14:paraId="7003046F">
            <w:pP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给排水</w:t>
            </w:r>
          </w:p>
        </w:tc>
        <w:tc>
          <w:tcPr>
            <w:tcW w:w="820" w:type="dxa"/>
            <w:tcBorders>
              <w:top w:val="single" w:color="auto" w:sz="4" w:space="0"/>
              <w:left w:val="single" w:color="auto" w:sz="4" w:space="0"/>
              <w:bottom w:val="single" w:color="auto" w:sz="4" w:space="0"/>
              <w:right w:val="single" w:color="auto" w:sz="4" w:space="0"/>
            </w:tcBorders>
          </w:tcPr>
          <w:p w14:paraId="59E6DD89">
            <w:pPr>
              <w:pStyle w:val="101"/>
              <w:spacing w:before="2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给水</w:t>
            </w:r>
          </w:p>
        </w:tc>
        <w:tc>
          <w:tcPr>
            <w:tcW w:w="7501" w:type="dxa"/>
            <w:tcBorders>
              <w:left w:val="single" w:color="auto" w:sz="4" w:space="0"/>
            </w:tcBorders>
          </w:tcPr>
          <w:p w14:paraId="64ACAF51">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给水分户总阀开关正常、操作灵活自如、无渗漏，水表无损伤，运转方向正确。</w:t>
            </w:r>
          </w:p>
        </w:tc>
      </w:tr>
      <w:tr w14:paraId="1029D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tcPr>
          <w:p w14:paraId="5AC1FA1C">
            <w:pPr>
              <w:rPr>
                <w:rFonts w:hint="eastAsia" w:asciiTheme="minorEastAsia" w:hAnsiTheme="minorEastAsia" w:eastAsiaTheme="minorEastAsia" w:cstheme="minorEastAsia"/>
                <w:color w:val="auto"/>
                <w:szCs w:val="24"/>
              </w:rPr>
            </w:pPr>
          </w:p>
        </w:tc>
        <w:tc>
          <w:tcPr>
            <w:tcW w:w="820" w:type="dxa"/>
            <w:tcBorders>
              <w:top w:val="single" w:color="auto" w:sz="4" w:space="0"/>
              <w:left w:val="single" w:color="auto" w:sz="4" w:space="0"/>
              <w:bottom w:val="single" w:color="auto" w:sz="4" w:space="0"/>
              <w:right w:val="single" w:color="auto" w:sz="4" w:space="0"/>
            </w:tcBorders>
          </w:tcPr>
          <w:p w14:paraId="5B9C871F">
            <w:pPr>
              <w:pStyle w:val="101"/>
              <w:spacing w:before="17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排水</w:t>
            </w:r>
          </w:p>
        </w:tc>
        <w:tc>
          <w:tcPr>
            <w:tcW w:w="7501" w:type="dxa"/>
            <w:tcBorders>
              <w:left w:val="single" w:color="auto" w:sz="4" w:space="0"/>
              <w:bottom w:val="single" w:color="auto" w:sz="4" w:space="0"/>
            </w:tcBorders>
          </w:tcPr>
          <w:p w14:paraId="6456AB74">
            <w:pPr>
              <w:pStyle w:val="101"/>
              <w:spacing w:before="21"/>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pacing w:val="-16"/>
                <w:szCs w:val="24"/>
              </w:rPr>
              <w:t>排水顺畅、有吸力，不渗漏，配件齐全，安装到位。预留口位置准确，保护有效，管内无</w:t>
            </w:r>
          </w:p>
          <w:p w14:paraId="7BB243F3">
            <w:pPr>
              <w:pStyle w:val="101"/>
              <w:spacing w:before="43"/>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异物。</w:t>
            </w:r>
          </w:p>
        </w:tc>
      </w:tr>
      <w:tr w14:paraId="12BC4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tcPr>
          <w:p w14:paraId="13A17216">
            <w:pPr>
              <w:rPr>
                <w:rFonts w:hint="eastAsia" w:asciiTheme="minorEastAsia" w:hAnsiTheme="minorEastAsia" w:eastAsiaTheme="minorEastAsia" w:cstheme="minorEastAsia"/>
                <w:color w:val="auto"/>
                <w:szCs w:val="24"/>
              </w:rPr>
            </w:pPr>
          </w:p>
          <w:p w14:paraId="58CB0F3E">
            <w:pPr>
              <w:rPr>
                <w:rFonts w:hint="eastAsia" w:asciiTheme="minorEastAsia" w:hAnsiTheme="minorEastAsia" w:eastAsiaTheme="minorEastAsia" w:cstheme="minorEastAsia"/>
                <w:color w:val="auto"/>
                <w:szCs w:val="24"/>
              </w:rPr>
            </w:pPr>
          </w:p>
          <w:p w14:paraId="1AC373AA">
            <w:pPr>
              <w:rPr>
                <w:rFonts w:hint="eastAsia" w:asciiTheme="minorEastAsia" w:hAnsiTheme="minorEastAsia" w:eastAsiaTheme="minorEastAsia" w:cstheme="minorEastAsia"/>
                <w:color w:val="auto"/>
                <w:szCs w:val="24"/>
              </w:rPr>
            </w:pPr>
          </w:p>
          <w:p w14:paraId="6C138589">
            <w:pPr>
              <w:rPr>
                <w:rFonts w:hint="eastAsia" w:asciiTheme="minorEastAsia" w:hAnsiTheme="minorEastAsia" w:eastAsiaTheme="minorEastAsia" w:cstheme="minorEastAsia"/>
                <w:color w:val="auto"/>
                <w:szCs w:val="24"/>
              </w:rPr>
            </w:pPr>
          </w:p>
          <w:p w14:paraId="501F8801">
            <w:pPr>
              <w:rPr>
                <w:rFonts w:hint="eastAsia" w:asciiTheme="minorEastAsia" w:hAnsiTheme="minorEastAsia" w:eastAsiaTheme="minorEastAsia" w:cstheme="minorEastAsia"/>
                <w:color w:val="auto"/>
                <w:szCs w:val="24"/>
              </w:rPr>
            </w:pPr>
          </w:p>
          <w:p w14:paraId="7128A809">
            <w:pPr>
              <w:rPr>
                <w:rFonts w:hint="eastAsia" w:asciiTheme="minorEastAsia" w:hAnsiTheme="minorEastAsia" w:eastAsiaTheme="minorEastAsia" w:cstheme="minorEastAsia"/>
                <w:color w:val="auto"/>
                <w:szCs w:val="24"/>
              </w:rPr>
            </w:pPr>
          </w:p>
          <w:p w14:paraId="3AB4A7A0">
            <w:pP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安装类</w:t>
            </w:r>
          </w:p>
        </w:tc>
        <w:tc>
          <w:tcPr>
            <w:tcW w:w="820" w:type="dxa"/>
            <w:vMerge w:val="restart"/>
            <w:tcBorders>
              <w:top w:val="single" w:color="auto" w:sz="4" w:space="0"/>
              <w:left w:val="single" w:color="auto" w:sz="4" w:space="0"/>
              <w:bottom w:val="single" w:color="auto" w:sz="4" w:space="0"/>
              <w:right w:val="single" w:color="auto" w:sz="4" w:space="0"/>
            </w:tcBorders>
          </w:tcPr>
          <w:p w14:paraId="6F0CE65F">
            <w:pPr>
              <w:jc w:val="left"/>
              <w:rPr>
                <w:rFonts w:hint="eastAsia" w:asciiTheme="minorEastAsia" w:hAnsiTheme="minorEastAsia" w:eastAsiaTheme="minorEastAsia" w:cstheme="minorEastAsia"/>
                <w:color w:val="auto"/>
                <w:szCs w:val="24"/>
              </w:rPr>
            </w:pPr>
          </w:p>
          <w:p w14:paraId="4D985CE6">
            <w:pPr>
              <w:jc w:val="left"/>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灯具</w:t>
            </w:r>
          </w:p>
        </w:tc>
        <w:tc>
          <w:tcPr>
            <w:tcW w:w="7501" w:type="dxa"/>
            <w:tcBorders>
              <w:top w:val="single" w:color="auto" w:sz="4" w:space="0"/>
              <w:left w:val="single" w:color="auto" w:sz="4" w:space="0"/>
              <w:bottom w:val="single" w:color="auto" w:sz="4" w:space="0"/>
              <w:right w:val="single" w:color="auto" w:sz="4" w:space="0"/>
            </w:tcBorders>
          </w:tcPr>
          <w:p w14:paraId="560613F6">
            <w:pPr>
              <w:pStyle w:val="101"/>
              <w:spacing w:before="21"/>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无松动、破损，表面整洁、开关正常、位置正确。</w:t>
            </w:r>
          </w:p>
        </w:tc>
      </w:tr>
      <w:tr w14:paraId="06AA1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tcPr>
          <w:p w14:paraId="19788B82">
            <w:pPr>
              <w:rPr>
                <w:rFonts w:hint="eastAsia" w:asciiTheme="minorEastAsia" w:hAnsiTheme="minorEastAsia" w:eastAsiaTheme="minorEastAsia" w:cstheme="minorEastAsia"/>
                <w:color w:val="auto"/>
                <w:szCs w:val="24"/>
              </w:rPr>
            </w:pPr>
          </w:p>
        </w:tc>
        <w:tc>
          <w:tcPr>
            <w:tcW w:w="820" w:type="dxa"/>
            <w:vMerge w:val="continue"/>
            <w:tcBorders>
              <w:top w:val="single" w:color="auto" w:sz="4" w:space="0"/>
              <w:left w:val="single" w:color="auto" w:sz="4" w:space="0"/>
              <w:bottom w:val="single" w:color="auto" w:sz="4" w:space="0"/>
              <w:right w:val="single" w:color="auto" w:sz="4" w:space="0"/>
            </w:tcBorders>
          </w:tcPr>
          <w:p w14:paraId="61379B7C">
            <w:pPr>
              <w:jc w:val="left"/>
              <w:rPr>
                <w:rFonts w:hint="eastAsia" w:asciiTheme="minorEastAsia" w:hAnsiTheme="minorEastAsia" w:eastAsiaTheme="minorEastAsia" w:cstheme="minorEastAsia"/>
                <w:color w:val="auto"/>
                <w:szCs w:val="24"/>
              </w:rPr>
            </w:pPr>
          </w:p>
        </w:tc>
        <w:tc>
          <w:tcPr>
            <w:tcW w:w="7501" w:type="dxa"/>
            <w:tcBorders>
              <w:top w:val="single" w:color="auto" w:sz="4" w:space="0"/>
              <w:left w:val="single" w:color="auto" w:sz="4" w:space="0"/>
              <w:bottom w:val="single" w:color="auto" w:sz="4" w:space="0"/>
              <w:right w:val="single" w:color="auto" w:sz="4" w:space="0"/>
            </w:tcBorders>
          </w:tcPr>
          <w:p w14:paraId="201BDF92">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灯泡完好、规格型号正确，符合设计要求。</w:t>
            </w:r>
          </w:p>
        </w:tc>
      </w:tr>
      <w:tr w14:paraId="78B99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33ACF410">
            <w:pPr>
              <w:jc w:val="left"/>
              <w:rPr>
                <w:rFonts w:hint="eastAsia" w:asciiTheme="minorEastAsia" w:hAnsiTheme="minorEastAsia" w:eastAsiaTheme="minorEastAsia" w:cstheme="minorEastAsia"/>
                <w:color w:val="auto"/>
                <w:szCs w:val="24"/>
              </w:rPr>
            </w:pPr>
          </w:p>
        </w:tc>
        <w:tc>
          <w:tcPr>
            <w:tcW w:w="820" w:type="dxa"/>
            <w:vMerge w:val="restart"/>
            <w:tcBorders>
              <w:top w:val="single" w:color="auto" w:sz="4" w:space="0"/>
              <w:left w:val="single" w:color="auto" w:sz="4" w:space="0"/>
              <w:bottom w:val="single" w:color="auto" w:sz="4" w:space="0"/>
              <w:right w:val="single" w:color="auto" w:sz="4" w:space="0"/>
            </w:tcBorders>
          </w:tcPr>
          <w:p w14:paraId="7D5CE23A">
            <w:pPr>
              <w:jc w:val="left"/>
              <w:rPr>
                <w:rFonts w:hint="eastAsia" w:asciiTheme="minorEastAsia" w:hAnsiTheme="minorEastAsia" w:eastAsiaTheme="minorEastAsia" w:cstheme="minorEastAsia"/>
                <w:color w:val="auto"/>
                <w:szCs w:val="24"/>
              </w:rPr>
            </w:pPr>
          </w:p>
          <w:p w14:paraId="63FA7875">
            <w:pPr>
              <w:jc w:val="left"/>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开关插座等</w:t>
            </w:r>
          </w:p>
        </w:tc>
        <w:tc>
          <w:tcPr>
            <w:tcW w:w="7501" w:type="dxa"/>
            <w:tcBorders>
              <w:top w:val="single" w:color="auto" w:sz="4" w:space="0"/>
              <w:left w:val="single" w:color="auto" w:sz="4" w:space="0"/>
              <w:bottom w:val="single" w:color="auto" w:sz="4" w:space="0"/>
              <w:right w:val="single" w:color="auto" w:sz="4" w:space="0"/>
            </w:tcBorders>
          </w:tcPr>
          <w:p w14:paraId="1DF911FB">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位置、高度正确合理，安装牢固、端正。</w:t>
            </w:r>
          </w:p>
        </w:tc>
      </w:tr>
      <w:tr w14:paraId="4C0BD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5888E7A0">
            <w:pPr>
              <w:jc w:val="left"/>
              <w:rPr>
                <w:rFonts w:hint="eastAsia" w:asciiTheme="minorEastAsia" w:hAnsiTheme="minorEastAsia" w:eastAsiaTheme="minorEastAsia" w:cstheme="minorEastAsia"/>
                <w:color w:val="auto"/>
                <w:szCs w:val="24"/>
              </w:rPr>
            </w:pPr>
          </w:p>
        </w:tc>
        <w:tc>
          <w:tcPr>
            <w:tcW w:w="820" w:type="dxa"/>
            <w:vMerge w:val="continue"/>
            <w:tcBorders>
              <w:top w:val="single" w:color="auto" w:sz="4" w:space="0"/>
              <w:left w:val="single" w:color="auto" w:sz="4" w:space="0"/>
              <w:bottom w:val="single" w:color="auto" w:sz="4" w:space="0"/>
              <w:right w:val="single" w:color="auto" w:sz="4" w:space="0"/>
            </w:tcBorders>
          </w:tcPr>
          <w:p w14:paraId="207E0D3E">
            <w:pPr>
              <w:jc w:val="left"/>
              <w:rPr>
                <w:rFonts w:hint="eastAsia" w:asciiTheme="minorEastAsia" w:hAnsiTheme="minorEastAsia" w:eastAsiaTheme="minorEastAsia" w:cstheme="minorEastAsia"/>
                <w:color w:val="auto"/>
                <w:szCs w:val="24"/>
              </w:rPr>
            </w:pPr>
          </w:p>
        </w:tc>
        <w:tc>
          <w:tcPr>
            <w:tcW w:w="7501" w:type="dxa"/>
            <w:tcBorders>
              <w:top w:val="single" w:color="auto" w:sz="4" w:space="0"/>
              <w:left w:val="single" w:color="auto" w:sz="4" w:space="0"/>
              <w:bottom w:val="single" w:color="auto" w:sz="4" w:space="0"/>
              <w:right w:val="single" w:color="auto" w:sz="4" w:space="0"/>
            </w:tcBorders>
          </w:tcPr>
          <w:p w14:paraId="6E553BC7">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规格型号符合设计要求，使用、通电正常。</w:t>
            </w:r>
          </w:p>
        </w:tc>
      </w:tr>
      <w:tr w14:paraId="7E7ED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1718EDF1">
            <w:pPr>
              <w:rPr>
                <w:rFonts w:hint="eastAsia" w:asciiTheme="minorEastAsia" w:hAnsiTheme="minorEastAsia" w:eastAsiaTheme="minorEastAsia" w:cstheme="minorEastAsia"/>
                <w:color w:val="auto"/>
                <w:szCs w:val="24"/>
              </w:rPr>
            </w:pPr>
          </w:p>
        </w:tc>
        <w:tc>
          <w:tcPr>
            <w:tcW w:w="820" w:type="dxa"/>
            <w:vMerge w:val="continue"/>
            <w:tcBorders>
              <w:top w:val="single" w:color="auto" w:sz="4" w:space="0"/>
              <w:left w:val="single" w:color="auto" w:sz="4" w:space="0"/>
              <w:bottom w:val="single" w:color="auto" w:sz="4" w:space="0"/>
              <w:right w:val="single" w:color="auto" w:sz="4" w:space="0"/>
            </w:tcBorders>
          </w:tcPr>
          <w:p w14:paraId="66AB3529">
            <w:pPr>
              <w:rPr>
                <w:rFonts w:hint="eastAsia" w:asciiTheme="minorEastAsia" w:hAnsiTheme="minorEastAsia" w:eastAsiaTheme="minorEastAsia" w:cstheme="minorEastAsia"/>
                <w:color w:val="auto"/>
                <w:szCs w:val="24"/>
              </w:rPr>
            </w:pPr>
          </w:p>
        </w:tc>
        <w:tc>
          <w:tcPr>
            <w:tcW w:w="7501" w:type="dxa"/>
            <w:tcBorders>
              <w:top w:val="single" w:color="auto" w:sz="4" w:space="0"/>
              <w:left w:val="single" w:color="auto" w:sz="4" w:space="0"/>
              <w:bottom w:val="single" w:color="auto" w:sz="4" w:space="0"/>
              <w:right w:val="single" w:color="auto" w:sz="4" w:space="0"/>
            </w:tcBorders>
          </w:tcPr>
          <w:p w14:paraId="5058E2FB">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表面完好，无破损、磕伤、划痕、锈蚀、污染等。</w:t>
            </w:r>
          </w:p>
        </w:tc>
      </w:tr>
      <w:tr w14:paraId="5FF9D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4E5BD256">
            <w:pPr>
              <w:rPr>
                <w:rFonts w:hint="eastAsia" w:asciiTheme="minorEastAsia" w:hAnsiTheme="minorEastAsia" w:eastAsiaTheme="minorEastAsia" w:cstheme="minorEastAsia"/>
                <w:color w:val="auto"/>
                <w:szCs w:val="24"/>
              </w:rPr>
            </w:pPr>
          </w:p>
        </w:tc>
        <w:tc>
          <w:tcPr>
            <w:tcW w:w="820" w:type="dxa"/>
            <w:vMerge w:val="continue"/>
            <w:tcBorders>
              <w:top w:val="single" w:color="auto" w:sz="4" w:space="0"/>
              <w:left w:val="single" w:color="auto" w:sz="4" w:space="0"/>
              <w:bottom w:val="single" w:color="auto" w:sz="4" w:space="0"/>
              <w:right w:val="single" w:color="auto" w:sz="4" w:space="0"/>
            </w:tcBorders>
          </w:tcPr>
          <w:p w14:paraId="34D7D18F">
            <w:pPr>
              <w:rPr>
                <w:rFonts w:hint="eastAsia" w:asciiTheme="minorEastAsia" w:hAnsiTheme="minorEastAsia" w:eastAsiaTheme="minorEastAsia" w:cstheme="minorEastAsia"/>
                <w:color w:val="auto"/>
                <w:szCs w:val="24"/>
              </w:rPr>
            </w:pPr>
          </w:p>
        </w:tc>
        <w:tc>
          <w:tcPr>
            <w:tcW w:w="7501" w:type="dxa"/>
            <w:tcBorders>
              <w:top w:val="single" w:color="auto" w:sz="4" w:space="0"/>
              <w:left w:val="single" w:color="auto" w:sz="4" w:space="0"/>
              <w:bottom w:val="single" w:color="auto" w:sz="4" w:space="0"/>
              <w:right w:val="single" w:color="auto" w:sz="4" w:space="0"/>
            </w:tcBorders>
          </w:tcPr>
          <w:p w14:paraId="338CCE92">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开、关位置与标示对应，控制灯具正确。</w:t>
            </w:r>
          </w:p>
        </w:tc>
      </w:tr>
      <w:tr w14:paraId="034A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0FB2447C">
            <w:pPr>
              <w:rPr>
                <w:rFonts w:hint="eastAsia" w:asciiTheme="minorEastAsia" w:hAnsiTheme="minorEastAsia" w:eastAsiaTheme="minorEastAsia" w:cstheme="minorEastAsia"/>
                <w:color w:val="auto"/>
                <w:szCs w:val="24"/>
              </w:rPr>
            </w:pPr>
          </w:p>
        </w:tc>
        <w:tc>
          <w:tcPr>
            <w:tcW w:w="820" w:type="dxa"/>
            <w:vMerge w:val="continue"/>
            <w:tcBorders>
              <w:top w:val="single" w:color="auto" w:sz="4" w:space="0"/>
              <w:left w:val="single" w:color="auto" w:sz="4" w:space="0"/>
              <w:bottom w:val="single" w:color="auto" w:sz="4" w:space="0"/>
              <w:right w:val="single" w:color="auto" w:sz="4" w:space="0"/>
            </w:tcBorders>
          </w:tcPr>
          <w:p w14:paraId="54175139">
            <w:pPr>
              <w:rPr>
                <w:rFonts w:hint="eastAsia" w:asciiTheme="minorEastAsia" w:hAnsiTheme="minorEastAsia" w:eastAsiaTheme="minorEastAsia" w:cstheme="minorEastAsia"/>
                <w:color w:val="auto"/>
                <w:szCs w:val="24"/>
              </w:rPr>
            </w:pPr>
          </w:p>
        </w:tc>
        <w:tc>
          <w:tcPr>
            <w:tcW w:w="7501" w:type="dxa"/>
            <w:tcBorders>
              <w:top w:val="single" w:color="auto" w:sz="4" w:space="0"/>
              <w:left w:val="single" w:color="auto" w:sz="4" w:space="0"/>
              <w:bottom w:val="single" w:color="auto" w:sz="4" w:space="0"/>
              <w:right w:val="single" w:color="auto" w:sz="4" w:space="0"/>
            </w:tcBorders>
          </w:tcPr>
          <w:p w14:paraId="0DD6CC27">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pacing w:val="-16"/>
                <w:szCs w:val="24"/>
              </w:rPr>
              <w:t>配电箱内布线整齐，接点紧固，负荷及支线开关标识清楚，漏电开关自检正常，箱体接地良好。</w:t>
            </w:r>
          </w:p>
        </w:tc>
      </w:tr>
      <w:tr w14:paraId="518F3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09A15D4E">
            <w:pPr>
              <w:rPr>
                <w:rFonts w:hint="eastAsia" w:asciiTheme="minorEastAsia" w:hAnsiTheme="minorEastAsia" w:eastAsiaTheme="minorEastAsia" w:cstheme="minorEastAsia"/>
                <w:color w:val="auto"/>
                <w:szCs w:val="24"/>
              </w:rPr>
            </w:pPr>
          </w:p>
        </w:tc>
        <w:tc>
          <w:tcPr>
            <w:tcW w:w="820" w:type="dxa"/>
            <w:vMerge w:val="restart"/>
            <w:tcBorders>
              <w:top w:val="single" w:color="auto" w:sz="4" w:space="0"/>
              <w:left w:val="single" w:color="auto" w:sz="4" w:space="0"/>
              <w:right w:val="single" w:color="auto" w:sz="4" w:space="0"/>
            </w:tcBorders>
          </w:tcPr>
          <w:p w14:paraId="76D5CC77">
            <w:pPr>
              <w:rPr>
                <w:rFonts w:hint="eastAsia" w:asciiTheme="minorEastAsia" w:hAnsiTheme="minorEastAsia" w:eastAsiaTheme="minorEastAsia" w:cstheme="minorEastAsia"/>
                <w:color w:val="auto"/>
                <w:szCs w:val="24"/>
              </w:rPr>
            </w:pPr>
          </w:p>
          <w:p w14:paraId="69DABF91">
            <w:pPr>
              <w:rPr>
                <w:rFonts w:hint="eastAsia" w:asciiTheme="minorEastAsia" w:hAnsiTheme="minorEastAsia" w:eastAsiaTheme="minorEastAsia" w:cstheme="minorEastAsia"/>
                <w:color w:val="auto"/>
                <w:szCs w:val="24"/>
              </w:rPr>
            </w:pPr>
          </w:p>
          <w:p w14:paraId="6E7DCCFC">
            <w:pP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洁具</w:t>
            </w:r>
          </w:p>
        </w:tc>
        <w:tc>
          <w:tcPr>
            <w:tcW w:w="7501" w:type="dxa"/>
            <w:tcBorders>
              <w:top w:val="single" w:color="auto" w:sz="4" w:space="0"/>
              <w:left w:val="single" w:color="auto" w:sz="4" w:space="0"/>
              <w:bottom w:val="single" w:color="auto" w:sz="4" w:space="0"/>
              <w:right w:val="single" w:color="auto" w:sz="4" w:space="0"/>
            </w:tcBorders>
          </w:tcPr>
          <w:p w14:paraId="6AB3977D">
            <w:pPr>
              <w:pStyle w:val="101"/>
              <w:spacing w:before="21"/>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pacing w:val="-16"/>
                <w:szCs w:val="24"/>
              </w:rPr>
              <w:t>洁具及配件安装牢固端正，无破裂、脱瓷、划痕、水锈、污渍，洗手盆闭水器启闭灵活自</w:t>
            </w:r>
            <w:r>
              <w:rPr>
                <w:rFonts w:hint="eastAsia" w:asciiTheme="minorEastAsia" w:hAnsiTheme="minorEastAsia" w:eastAsiaTheme="minorEastAsia" w:cstheme="minorEastAsia"/>
                <w:color w:val="auto"/>
                <w:szCs w:val="24"/>
              </w:rPr>
              <w:t>如。</w:t>
            </w:r>
          </w:p>
        </w:tc>
      </w:tr>
      <w:tr w14:paraId="56759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54E2D6E1">
            <w:pPr>
              <w:rPr>
                <w:rFonts w:hint="eastAsia" w:asciiTheme="minorEastAsia" w:hAnsiTheme="minorEastAsia" w:eastAsiaTheme="minorEastAsia" w:cstheme="minorEastAsia"/>
                <w:color w:val="auto"/>
                <w:szCs w:val="24"/>
              </w:rPr>
            </w:pPr>
          </w:p>
        </w:tc>
        <w:tc>
          <w:tcPr>
            <w:tcW w:w="820" w:type="dxa"/>
            <w:vMerge w:val="continue"/>
            <w:tcBorders>
              <w:left w:val="single" w:color="auto" w:sz="4" w:space="0"/>
              <w:right w:val="single" w:color="auto" w:sz="4" w:space="0"/>
            </w:tcBorders>
          </w:tcPr>
          <w:p w14:paraId="13603F65">
            <w:pPr>
              <w:rPr>
                <w:rFonts w:hint="eastAsia" w:asciiTheme="minorEastAsia" w:hAnsiTheme="minorEastAsia" w:eastAsiaTheme="minorEastAsia" w:cstheme="minorEastAsia"/>
                <w:color w:val="auto"/>
                <w:szCs w:val="24"/>
              </w:rPr>
            </w:pPr>
          </w:p>
        </w:tc>
        <w:tc>
          <w:tcPr>
            <w:tcW w:w="7501" w:type="dxa"/>
            <w:tcBorders>
              <w:top w:val="single" w:color="auto" w:sz="4" w:space="0"/>
              <w:left w:val="single" w:color="auto" w:sz="4" w:space="0"/>
              <w:bottom w:val="single" w:color="auto" w:sz="4" w:space="0"/>
              <w:right w:val="single" w:color="auto" w:sz="4" w:space="0"/>
            </w:tcBorders>
          </w:tcPr>
          <w:p w14:paraId="74BE0220">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洁具及存水弯无渗漏，排水畅通有吸力，无反臭现象。</w:t>
            </w:r>
          </w:p>
        </w:tc>
      </w:tr>
      <w:tr w14:paraId="4CCD4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39978A32">
            <w:pPr>
              <w:rPr>
                <w:rFonts w:hint="eastAsia" w:asciiTheme="minorEastAsia" w:hAnsiTheme="minorEastAsia" w:eastAsiaTheme="minorEastAsia" w:cstheme="minorEastAsia"/>
                <w:color w:val="auto"/>
                <w:szCs w:val="24"/>
              </w:rPr>
            </w:pPr>
          </w:p>
        </w:tc>
        <w:tc>
          <w:tcPr>
            <w:tcW w:w="820" w:type="dxa"/>
            <w:vMerge w:val="continue"/>
            <w:tcBorders>
              <w:left w:val="single" w:color="auto" w:sz="4" w:space="0"/>
              <w:right w:val="single" w:color="auto" w:sz="4" w:space="0"/>
            </w:tcBorders>
          </w:tcPr>
          <w:p w14:paraId="69066FD4">
            <w:pPr>
              <w:rPr>
                <w:rFonts w:hint="eastAsia" w:asciiTheme="minorEastAsia" w:hAnsiTheme="minorEastAsia" w:eastAsiaTheme="minorEastAsia" w:cstheme="minorEastAsia"/>
                <w:color w:val="auto"/>
                <w:szCs w:val="24"/>
              </w:rPr>
            </w:pPr>
          </w:p>
        </w:tc>
        <w:tc>
          <w:tcPr>
            <w:tcW w:w="7501" w:type="dxa"/>
            <w:tcBorders>
              <w:top w:val="single" w:color="auto" w:sz="4" w:space="0"/>
              <w:left w:val="single" w:color="auto" w:sz="4" w:space="0"/>
              <w:bottom w:val="single" w:color="auto" w:sz="4" w:space="0"/>
              <w:right w:val="single" w:color="auto" w:sz="4" w:space="0"/>
            </w:tcBorders>
          </w:tcPr>
          <w:p w14:paraId="579BF377">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坐便器紧靠墙面，水箱进水阀启闭自如不渗漏。</w:t>
            </w:r>
          </w:p>
        </w:tc>
      </w:tr>
      <w:tr w14:paraId="47A5A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57F47265">
            <w:pPr>
              <w:rPr>
                <w:rFonts w:hint="eastAsia" w:asciiTheme="minorEastAsia" w:hAnsiTheme="minorEastAsia" w:eastAsiaTheme="minorEastAsia" w:cstheme="minorEastAsia"/>
                <w:color w:val="auto"/>
                <w:szCs w:val="24"/>
              </w:rPr>
            </w:pPr>
          </w:p>
        </w:tc>
        <w:tc>
          <w:tcPr>
            <w:tcW w:w="820" w:type="dxa"/>
            <w:vMerge w:val="continue"/>
            <w:tcBorders>
              <w:left w:val="single" w:color="auto" w:sz="4" w:space="0"/>
              <w:right w:val="single" w:color="auto" w:sz="4" w:space="0"/>
            </w:tcBorders>
          </w:tcPr>
          <w:p w14:paraId="2F32E97B">
            <w:pPr>
              <w:rPr>
                <w:rFonts w:hint="eastAsia" w:asciiTheme="minorEastAsia" w:hAnsiTheme="minorEastAsia" w:eastAsiaTheme="minorEastAsia" w:cstheme="minorEastAsia"/>
                <w:color w:val="auto"/>
                <w:szCs w:val="24"/>
              </w:rPr>
            </w:pPr>
          </w:p>
        </w:tc>
        <w:tc>
          <w:tcPr>
            <w:tcW w:w="7501" w:type="dxa"/>
            <w:tcBorders>
              <w:top w:val="single" w:color="auto" w:sz="4" w:space="0"/>
              <w:left w:val="single" w:color="auto" w:sz="4" w:space="0"/>
              <w:bottom w:val="single" w:color="auto" w:sz="4" w:space="0"/>
              <w:right w:val="single" w:color="auto" w:sz="4" w:space="0"/>
            </w:tcBorders>
          </w:tcPr>
          <w:p w14:paraId="17E5BE4E">
            <w:pPr>
              <w:pStyle w:val="101"/>
              <w:spacing w:before="20"/>
              <w:ind w:left="108"/>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出水流速及水量正常，无滴漏现象。</w:t>
            </w:r>
          </w:p>
        </w:tc>
      </w:tr>
    </w:tbl>
    <w:p w14:paraId="7A9FA178">
      <w:pPr>
        <w:pStyle w:val="54"/>
        <w:spacing w:line="360" w:lineRule="auto"/>
        <w:ind w:firstLine="0"/>
        <w:rPr>
          <w:rFonts w:hint="eastAsia" w:asciiTheme="minorEastAsia" w:hAnsiTheme="minorEastAsia" w:eastAsiaTheme="minorEastAsia" w:cstheme="minorEastAsia"/>
          <w:color w:val="auto"/>
          <w:szCs w:val="24"/>
        </w:rPr>
      </w:pPr>
    </w:p>
    <w:p w14:paraId="619FBC46">
      <w:pPr>
        <w:pStyle w:val="54"/>
        <w:spacing w:line="360" w:lineRule="auto"/>
        <w:rPr>
          <w:rFonts w:hint="eastAsia" w:asciiTheme="minorEastAsia" w:hAnsiTheme="minorEastAsia" w:eastAsiaTheme="minorEastAsia" w:cstheme="minorEastAsia"/>
          <w:bCs/>
          <w:color w:val="auto"/>
          <w:szCs w:val="28"/>
        </w:rPr>
      </w:pPr>
      <w:r>
        <w:rPr>
          <w:rFonts w:hint="eastAsia" w:asciiTheme="minorEastAsia" w:hAnsiTheme="minorEastAsia" w:eastAsiaTheme="minorEastAsia" w:cstheme="minorEastAsia"/>
          <w:bCs/>
          <w:color w:val="auto"/>
          <w:szCs w:val="28"/>
        </w:rPr>
        <w:t>附件五、《工程完工清洁移交标准》</w:t>
      </w:r>
    </w:p>
    <w:p w14:paraId="21A234B7">
      <w:pPr>
        <w:spacing w:line="360" w:lineRule="auto"/>
        <w:outlineLvl w:val="2"/>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 xml:space="preserve">                  </w:t>
      </w:r>
      <w:r>
        <w:rPr>
          <w:rFonts w:hint="eastAsia" w:asciiTheme="minorEastAsia" w:hAnsiTheme="minorEastAsia" w:eastAsiaTheme="minorEastAsia" w:cstheme="minorEastAsia"/>
          <w:b/>
          <w:bCs/>
          <w:color w:val="auto"/>
          <w:sz w:val="28"/>
          <w:szCs w:val="28"/>
        </w:rPr>
        <w:t xml:space="preserve">   工程完工清洁移交标准</w:t>
      </w:r>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14:paraId="2AC6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vAlign w:val="center"/>
          </w:tcPr>
          <w:p w14:paraId="300D70A1">
            <w:pPr>
              <w:widowControl/>
              <w:jc w:val="center"/>
              <w:rPr>
                <w:rFonts w:hint="eastAsia" w:asciiTheme="minorEastAsia" w:hAnsiTheme="minorEastAsia" w:eastAsiaTheme="minorEastAsia" w:cstheme="minorEastAsia"/>
                <w:b/>
                <w:bCs/>
                <w:color w:val="auto"/>
                <w:kern w:val="0"/>
                <w:szCs w:val="24"/>
              </w:rPr>
            </w:pPr>
            <w:r>
              <w:rPr>
                <w:rFonts w:hint="eastAsia" w:asciiTheme="minorEastAsia" w:hAnsiTheme="minorEastAsia" w:eastAsiaTheme="minorEastAsia" w:cstheme="minorEastAsia"/>
                <w:b/>
                <w:bCs/>
                <w:color w:val="auto"/>
                <w:kern w:val="0"/>
                <w:szCs w:val="24"/>
              </w:rPr>
              <w:t>项目</w:t>
            </w:r>
          </w:p>
        </w:tc>
        <w:tc>
          <w:tcPr>
            <w:tcW w:w="1552" w:type="dxa"/>
            <w:vAlign w:val="center"/>
          </w:tcPr>
          <w:p w14:paraId="4F65465A">
            <w:pPr>
              <w:widowControl/>
              <w:jc w:val="center"/>
              <w:rPr>
                <w:rFonts w:hint="eastAsia" w:asciiTheme="minorEastAsia" w:hAnsiTheme="minorEastAsia" w:eastAsiaTheme="minorEastAsia" w:cstheme="minorEastAsia"/>
                <w:b/>
                <w:bCs/>
                <w:color w:val="auto"/>
                <w:kern w:val="0"/>
                <w:szCs w:val="24"/>
              </w:rPr>
            </w:pPr>
            <w:r>
              <w:rPr>
                <w:rFonts w:hint="eastAsia" w:asciiTheme="minorEastAsia" w:hAnsiTheme="minorEastAsia" w:eastAsiaTheme="minorEastAsia" w:cstheme="minorEastAsia"/>
                <w:b/>
                <w:bCs/>
                <w:color w:val="auto"/>
                <w:kern w:val="0"/>
                <w:szCs w:val="24"/>
              </w:rPr>
              <w:t>部位</w:t>
            </w:r>
          </w:p>
        </w:tc>
        <w:tc>
          <w:tcPr>
            <w:tcW w:w="7567" w:type="dxa"/>
            <w:vAlign w:val="center"/>
          </w:tcPr>
          <w:p w14:paraId="21047E5C">
            <w:pPr>
              <w:widowControl/>
              <w:jc w:val="center"/>
              <w:rPr>
                <w:rFonts w:hint="eastAsia" w:asciiTheme="minorEastAsia" w:hAnsiTheme="minorEastAsia" w:eastAsiaTheme="minorEastAsia" w:cstheme="minorEastAsia"/>
                <w:b/>
                <w:bCs/>
                <w:color w:val="auto"/>
                <w:kern w:val="0"/>
                <w:szCs w:val="24"/>
              </w:rPr>
            </w:pPr>
            <w:r>
              <w:rPr>
                <w:rFonts w:hint="eastAsia" w:asciiTheme="minorEastAsia" w:hAnsiTheme="minorEastAsia" w:eastAsiaTheme="minorEastAsia" w:cstheme="minorEastAsia"/>
                <w:b/>
                <w:bCs/>
                <w:color w:val="auto"/>
                <w:kern w:val="0"/>
                <w:szCs w:val="24"/>
              </w:rPr>
              <w:t>清洁移交标准</w:t>
            </w:r>
          </w:p>
        </w:tc>
      </w:tr>
      <w:tr w14:paraId="165D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vAlign w:val="center"/>
          </w:tcPr>
          <w:p w14:paraId="4E642F1D">
            <w:pPr>
              <w:widowControl/>
              <w:jc w:val="left"/>
              <w:rPr>
                <w:rFonts w:hint="eastAsia" w:asciiTheme="minorEastAsia" w:hAnsiTheme="minorEastAsia" w:eastAsiaTheme="minorEastAsia" w:cstheme="minorEastAsia"/>
                <w:b/>
                <w:bCs/>
                <w:color w:val="auto"/>
                <w:kern w:val="0"/>
                <w:szCs w:val="24"/>
              </w:rPr>
            </w:pPr>
            <w:r>
              <w:rPr>
                <w:rFonts w:hint="eastAsia" w:asciiTheme="minorEastAsia" w:hAnsiTheme="minorEastAsia" w:eastAsiaTheme="minorEastAsia" w:cstheme="minorEastAsia"/>
                <w:b/>
                <w:bCs/>
                <w:color w:val="auto"/>
                <w:kern w:val="0"/>
                <w:szCs w:val="24"/>
              </w:rPr>
              <w:t>室内部位</w:t>
            </w:r>
          </w:p>
        </w:tc>
        <w:tc>
          <w:tcPr>
            <w:tcW w:w="1552" w:type="dxa"/>
            <w:vAlign w:val="center"/>
          </w:tcPr>
          <w:p w14:paraId="7BD392CD">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楼地面</w:t>
            </w:r>
          </w:p>
        </w:tc>
        <w:tc>
          <w:tcPr>
            <w:tcW w:w="7567" w:type="dxa"/>
            <w:vAlign w:val="center"/>
          </w:tcPr>
          <w:p w14:paraId="31563CC3">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无积水、无泥沙、无灰尘、无污渍、无拖痕、无垃圾杂物、无建筑装修材料残留、无胶渍等异物、无涂料斑点、无异色污染，石材、瓷砖地面（含踢脚线）需保持光亮，木地板应显本色。</w:t>
            </w:r>
          </w:p>
        </w:tc>
      </w:tr>
      <w:tr w14:paraId="6466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0D074F85">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2873AB7A">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墙面</w:t>
            </w:r>
          </w:p>
        </w:tc>
        <w:tc>
          <w:tcPr>
            <w:tcW w:w="7567" w:type="dxa"/>
            <w:vAlign w:val="center"/>
          </w:tcPr>
          <w:p w14:paraId="5FFAB1CB">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无粘贴物、无灰尘、无污渍、无建筑装修材料残留、无印迹、无划痕、无胶渍等异物、无异色污染，石材、瓷砖墙面需保持光亮，木制品应显本色。</w:t>
            </w:r>
          </w:p>
        </w:tc>
      </w:tr>
      <w:tr w14:paraId="2BF4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87AA251">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0DD8193E">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天棚</w:t>
            </w:r>
          </w:p>
        </w:tc>
        <w:tc>
          <w:tcPr>
            <w:tcW w:w="7567" w:type="dxa"/>
            <w:vAlign w:val="center"/>
          </w:tcPr>
          <w:p w14:paraId="59B98AF0">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无蛛网、无灰尘、无划痕、无污渍、无建筑装修材料残留，阴阳角无暗灰、无异色污染。</w:t>
            </w:r>
          </w:p>
        </w:tc>
      </w:tr>
      <w:tr w14:paraId="1231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49F9A2A">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671FC46F">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门（包括入户门和室内门）</w:t>
            </w:r>
          </w:p>
        </w:tc>
        <w:tc>
          <w:tcPr>
            <w:tcW w:w="7567" w:type="dxa"/>
            <w:vAlign w:val="center"/>
          </w:tcPr>
          <w:p w14:paraId="4476F394">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无粘贴物、无灰尘、无划痕、无污渍、无水泥迹、无涂料斑点（包括门吸），木制品应显本色、金属制品无锈渍。</w:t>
            </w:r>
          </w:p>
        </w:tc>
      </w:tr>
      <w:tr w14:paraId="7CD3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F5029B1">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1CC157D7">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开关面板</w:t>
            </w:r>
          </w:p>
        </w:tc>
        <w:tc>
          <w:tcPr>
            <w:tcW w:w="7567" w:type="dxa"/>
            <w:vAlign w:val="center"/>
          </w:tcPr>
          <w:p w14:paraId="2375B75C">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无灰尘、无划痕、无污渍、无水泥迹、无涂料斑点。</w:t>
            </w:r>
          </w:p>
        </w:tc>
      </w:tr>
      <w:tr w14:paraId="3F9C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D972078">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541B66F3">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入户电箱</w:t>
            </w:r>
          </w:p>
        </w:tc>
        <w:tc>
          <w:tcPr>
            <w:tcW w:w="7567" w:type="dxa"/>
            <w:vAlign w:val="center"/>
          </w:tcPr>
          <w:p w14:paraId="5E0B3652">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无粘贴物、无灰尘、无划痕、无污渍、无水泥迹、无涂料斑点、金属制品无锈渍。</w:t>
            </w:r>
          </w:p>
        </w:tc>
      </w:tr>
      <w:tr w14:paraId="0309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D5BD252">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48B2400F">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栏杆以及扶手</w:t>
            </w:r>
          </w:p>
        </w:tc>
        <w:tc>
          <w:tcPr>
            <w:tcW w:w="7567" w:type="dxa"/>
            <w:vAlign w:val="center"/>
          </w:tcPr>
          <w:p w14:paraId="19C4D19A">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无粘贴物、无灰尘、无污渍、无划痕、无水泥迹、无印迹、无涂料斑点、木制品应显本色、金属制品无锈渍。</w:t>
            </w:r>
          </w:p>
        </w:tc>
      </w:tr>
      <w:tr w14:paraId="6177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54FB9460">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1D4A846A">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橱柜</w:t>
            </w:r>
          </w:p>
        </w:tc>
        <w:tc>
          <w:tcPr>
            <w:tcW w:w="7567" w:type="dxa"/>
            <w:vAlign w:val="center"/>
          </w:tcPr>
          <w:p w14:paraId="68D7BD53">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无粘贴物、无灰尘、无污渍、无水渍、无水泥迹、无胶渍、无划痕、无印迹、无垃圾杂物、金属制品无锈渍，面层洁净、明亮、显本色。</w:t>
            </w:r>
          </w:p>
        </w:tc>
      </w:tr>
      <w:tr w14:paraId="37A5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7902EDE">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4EB97301">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淋浴屏风</w:t>
            </w:r>
          </w:p>
        </w:tc>
        <w:tc>
          <w:tcPr>
            <w:tcW w:w="7567" w:type="dxa"/>
            <w:vAlign w:val="center"/>
          </w:tcPr>
          <w:p w14:paraId="1E0A3984">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无粘贴物、无灰尘、无污渍、无水渍、无划痕、无印迹、金属制品无锈渍、玻璃洁净明亮。</w:t>
            </w:r>
          </w:p>
        </w:tc>
      </w:tr>
      <w:tr w14:paraId="5C07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875720F">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0F3241E6">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线管及管道</w:t>
            </w:r>
          </w:p>
        </w:tc>
        <w:tc>
          <w:tcPr>
            <w:tcW w:w="7567" w:type="dxa"/>
            <w:vAlign w:val="center"/>
          </w:tcPr>
          <w:p w14:paraId="419A7252">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无粘贴物、内部无杂物、无泥沙、无污渍，外部表面清洁、金属制品无锈渍。</w:t>
            </w:r>
          </w:p>
        </w:tc>
      </w:tr>
      <w:tr w14:paraId="32EF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95F34EC">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2AF9F3ED">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玻璃</w:t>
            </w:r>
          </w:p>
        </w:tc>
        <w:tc>
          <w:tcPr>
            <w:tcW w:w="7567" w:type="dxa"/>
            <w:vAlign w:val="center"/>
          </w:tcPr>
          <w:p w14:paraId="4FD9EBA4">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1）室内所有玻璃内外洁净光亮无尘，无水迹、胶迹及指纹印迹，用白手套套擦拭无污迹。（2）玻璃边框呈本色，无胶迹、无涂料污染，光亮无尘；上下左右框槽内无污迹、无灰。（3）通风窗侧视无灰尘、呈本色。</w:t>
            </w:r>
          </w:p>
        </w:tc>
      </w:tr>
      <w:tr w14:paraId="3A87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61C7CA8">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3E4B2D6E">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空调机位</w:t>
            </w:r>
          </w:p>
        </w:tc>
        <w:tc>
          <w:tcPr>
            <w:tcW w:w="7567" w:type="dxa"/>
            <w:vAlign w:val="center"/>
          </w:tcPr>
          <w:p w14:paraId="727A7DDD">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无杂物、百叶隔栅无涂料、胶迹污染、无灰尘。</w:t>
            </w:r>
          </w:p>
        </w:tc>
      </w:tr>
      <w:tr w14:paraId="41FF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9B3637B">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69275D4F">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空调</w:t>
            </w:r>
          </w:p>
        </w:tc>
        <w:tc>
          <w:tcPr>
            <w:tcW w:w="7567" w:type="dxa"/>
            <w:vAlign w:val="center"/>
          </w:tcPr>
          <w:p w14:paraId="4DA7613F">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面板呈本色，无灰无污，白手套擦拭无污迹。</w:t>
            </w:r>
          </w:p>
        </w:tc>
      </w:tr>
      <w:tr w14:paraId="45AD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21641F5">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2297D750">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可视对讲、报警安防</w:t>
            </w:r>
          </w:p>
        </w:tc>
        <w:tc>
          <w:tcPr>
            <w:tcW w:w="7567" w:type="dxa"/>
            <w:vAlign w:val="center"/>
          </w:tcPr>
          <w:p w14:paraId="588A8512">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无灰，无污，呈本色。</w:t>
            </w:r>
          </w:p>
        </w:tc>
      </w:tr>
      <w:tr w14:paraId="5A12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10B1574">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44745609">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龙头</w:t>
            </w:r>
          </w:p>
        </w:tc>
        <w:tc>
          <w:tcPr>
            <w:tcW w:w="7567" w:type="dxa"/>
            <w:vAlign w:val="center"/>
          </w:tcPr>
          <w:p w14:paraId="2C6745CA">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无水迹，呈本色，无锈迹。</w:t>
            </w:r>
          </w:p>
        </w:tc>
      </w:tr>
      <w:tr w14:paraId="15B9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26D8CBB">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5AD5600A">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拖把池</w:t>
            </w:r>
          </w:p>
        </w:tc>
        <w:tc>
          <w:tcPr>
            <w:tcW w:w="7567" w:type="dxa"/>
            <w:vAlign w:val="center"/>
          </w:tcPr>
          <w:p w14:paraId="6070B839">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呈本色无污无垢。</w:t>
            </w:r>
          </w:p>
        </w:tc>
      </w:tr>
      <w:tr w14:paraId="545A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563E3DA">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2BDE95C6">
            <w:pPr>
              <w:adjustRightInd w:val="0"/>
              <w:snapToGrid w:val="0"/>
              <w:ind w:left="-3" w:leftChars="-4" w:hanging="7" w:hangingChars="3"/>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灯罩</w:t>
            </w:r>
          </w:p>
        </w:tc>
        <w:tc>
          <w:tcPr>
            <w:tcW w:w="7567" w:type="dxa"/>
            <w:vAlign w:val="center"/>
          </w:tcPr>
          <w:p w14:paraId="708D341D">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无污迹、无涂料污染、无虫。</w:t>
            </w:r>
          </w:p>
        </w:tc>
      </w:tr>
      <w:tr w14:paraId="4DA0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9104CF4">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1E01DE91">
            <w:pPr>
              <w:adjustRightInd w:val="0"/>
              <w:snapToGrid w:val="0"/>
              <w:ind w:left="-3" w:leftChars="-4" w:hanging="7" w:hangingChars="3"/>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空调孔</w:t>
            </w:r>
          </w:p>
        </w:tc>
        <w:tc>
          <w:tcPr>
            <w:tcW w:w="7567" w:type="dxa"/>
            <w:vAlign w:val="center"/>
          </w:tcPr>
          <w:p w14:paraId="11949A37">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无杂物、无灰尘。</w:t>
            </w:r>
          </w:p>
        </w:tc>
      </w:tr>
      <w:tr w14:paraId="4F64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0E9A66C">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7BBFFAAD">
            <w:pPr>
              <w:adjustRightInd w:val="0"/>
              <w:snapToGrid w:val="0"/>
              <w:ind w:left="-3" w:leftChars="-4" w:hanging="7" w:hangingChars="3"/>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报警按钮</w:t>
            </w:r>
          </w:p>
        </w:tc>
        <w:tc>
          <w:tcPr>
            <w:tcW w:w="7567" w:type="dxa"/>
            <w:vAlign w:val="center"/>
          </w:tcPr>
          <w:p w14:paraId="58446F29">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无涂料污染，处于复位状态。</w:t>
            </w:r>
          </w:p>
        </w:tc>
      </w:tr>
      <w:tr w14:paraId="4E6C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DC7FD0A">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2F97E3B6">
            <w:pPr>
              <w:adjustRightInd w:val="0"/>
              <w:snapToGrid w:val="0"/>
              <w:ind w:left="-3" w:leftChars="-4" w:hanging="7" w:hangingChars="3"/>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窗台</w:t>
            </w:r>
          </w:p>
        </w:tc>
        <w:tc>
          <w:tcPr>
            <w:tcW w:w="7567" w:type="dxa"/>
            <w:vAlign w:val="center"/>
          </w:tcPr>
          <w:p w14:paraId="0745BF75">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无杂物、无污迹、无灰尘。</w:t>
            </w:r>
          </w:p>
        </w:tc>
      </w:tr>
      <w:tr w14:paraId="4196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82EBF65">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4600E0FA">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小家电（脱排、灶具、燃气热水器）</w:t>
            </w:r>
          </w:p>
        </w:tc>
        <w:tc>
          <w:tcPr>
            <w:tcW w:w="7567" w:type="dxa"/>
            <w:vAlign w:val="center"/>
          </w:tcPr>
          <w:p w14:paraId="078F93F1">
            <w:pPr>
              <w:adjustRightInd w:val="0"/>
              <w:snapToGrid w:val="0"/>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抽油烟机、灶台面呈本色，无油迹、光亮，用白色手套擦拭无污迹。</w:t>
            </w:r>
          </w:p>
        </w:tc>
      </w:tr>
      <w:tr w14:paraId="7A8F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55ECE7A">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4DA59C58">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不锈钢水槽</w:t>
            </w:r>
          </w:p>
        </w:tc>
        <w:tc>
          <w:tcPr>
            <w:tcW w:w="7567" w:type="dxa"/>
            <w:vAlign w:val="center"/>
          </w:tcPr>
          <w:p w14:paraId="4773B05D">
            <w:pPr>
              <w:adjustRightInd w:val="0"/>
              <w:snapToGrid w:val="0"/>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不锈钢面盆呈本色，无油迹、光亮，用白色手套擦拭无污迹。</w:t>
            </w:r>
          </w:p>
        </w:tc>
      </w:tr>
      <w:tr w14:paraId="7EE5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5C8140A">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1ED3EE9A">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浴霸</w:t>
            </w:r>
          </w:p>
        </w:tc>
        <w:tc>
          <w:tcPr>
            <w:tcW w:w="7567" w:type="dxa"/>
            <w:vAlign w:val="center"/>
          </w:tcPr>
          <w:p w14:paraId="7D23CFE2">
            <w:pPr>
              <w:adjustRightInd w:val="0"/>
              <w:snapToGrid w:val="0"/>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侧面无灰无污，呈本色。</w:t>
            </w:r>
          </w:p>
        </w:tc>
      </w:tr>
      <w:tr w14:paraId="13A7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6C1CF19">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7A9088CF">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镜面梳妆柜</w:t>
            </w:r>
          </w:p>
        </w:tc>
        <w:tc>
          <w:tcPr>
            <w:tcW w:w="7567" w:type="dxa"/>
            <w:vAlign w:val="center"/>
          </w:tcPr>
          <w:p w14:paraId="2CAFC781">
            <w:pPr>
              <w:adjustRightInd w:val="0"/>
              <w:snapToGrid w:val="0"/>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镜面洁净光亮，侧面无灰无污。</w:t>
            </w:r>
          </w:p>
        </w:tc>
      </w:tr>
      <w:tr w14:paraId="0BE1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B32E9D8">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08E3A41C">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浴巾架</w:t>
            </w:r>
          </w:p>
        </w:tc>
        <w:tc>
          <w:tcPr>
            <w:tcW w:w="7567" w:type="dxa"/>
            <w:vAlign w:val="center"/>
          </w:tcPr>
          <w:p w14:paraId="5A9DA907">
            <w:pPr>
              <w:adjustRightInd w:val="0"/>
              <w:snapToGrid w:val="0"/>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无灰无污，不锈钢呈本色，并且无水迹。</w:t>
            </w:r>
          </w:p>
        </w:tc>
      </w:tr>
      <w:tr w14:paraId="3D39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D403982">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7A2FBAE8">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毛巾杆</w:t>
            </w:r>
          </w:p>
        </w:tc>
        <w:tc>
          <w:tcPr>
            <w:tcW w:w="7567" w:type="dxa"/>
            <w:vAlign w:val="center"/>
          </w:tcPr>
          <w:p w14:paraId="3D79CC9D">
            <w:pPr>
              <w:adjustRightInd w:val="0"/>
              <w:snapToGrid w:val="0"/>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无灰无污，不锈钢呈本色，并且无水迹。</w:t>
            </w:r>
          </w:p>
        </w:tc>
      </w:tr>
      <w:tr w14:paraId="72D7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C31E7DE">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318AA3A8">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台盆</w:t>
            </w:r>
          </w:p>
        </w:tc>
        <w:tc>
          <w:tcPr>
            <w:tcW w:w="7567" w:type="dxa"/>
            <w:vAlign w:val="center"/>
          </w:tcPr>
          <w:p w14:paraId="166D091A">
            <w:pPr>
              <w:adjustRightInd w:val="0"/>
              <w:snapToGrid w:val="0"/>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无水迹，呈本色，无锈蚀。</w:t>
            </w:r>
          </w:p>
        </w:tc>
      </w:tr>
      <w:tr w14:paraId="3AAE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7170839">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29895BF3">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储藏间</w:t>
            </w:r>
          </w:p>
        </w:tc>
        <w:tc>
          <w:tcPr>
            <w:tcW w:w="7567" w:type="dxa"/>
            <w:vAlign w:val="center"/>
          </w:tcPr>
          <w:p w14:paraId="17929B54">
            <w:pPr>
              <w:adjustRightInd w:val="0"/>
              <w:snapToGrid w:val="0"/>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无死角，无灰，用白手套擦拭无灰无污。</w:t>
            </w:r>
          </w:p>
        </w:tc>
      </w:tr>
      <w:tr w14:paraId="41CD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93ABDE5">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666D0086">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晾衣架</w:t>
            </w:r>
          </w:p>
        </w:tc>
        <w:tc>
          <w:tcPr>
            <w:tcW w:w="7567" w:type="dxa"/>
            <w:vAlign w:val="center"/>
          </w:tcPr>
          <w:p w14:paraId="527851B9">
            <w:pPr>
              <w:adjustRightInd w:val="0"/>
              <w:snapToGrid w:val="0"/>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呈本色，无油迹，无灰，白手套擦拭无灰。</w:t>
            </w:r>
          </w:p>
        </w:tc>
      </w:tr>
      <w:tr w14:paraId="2FD6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vAlign w:val="center"/>
          </w:tcPr>
          <w:p w14:paraId="25C2EB7D">
            <w:pPr>
              <w:widowControl/>
              <w:jc w:val="center"/>
              <w:rPr>
                <w:rFonts w:hint="eastAsia" w:asciiTheme="minorEastAsia" w:hAnsiTheme="minorEastAsia" w:eastAsiaTheme="minorEastAsia" w:cstheme="minorEastAsia"/>
                <w:b/>
                <w:bCs/>
                <w:color w:val="auto"/>
                <w:kern w:val="0"/>
                <w:szCs w:val="24"/>
              </w:rPr>
            </w:pPr>
            <w:r>
              <w:rPr>
                <w:rFonts w:hint="eastAsia" w:asciiTheme="minorEastAsia" w:hAnsiTheme="minorEastAsia" w:eastAsiaTheme="minorEastAsia" w:cstheme="minorEastAsia"/>
                <w:b/>
                <w:bCs/>
                <w:color w:val="auto"/>
                <w:kern w:val="0"/>
                <w:szCs w:val="24"/>
              </w:rPr>
              <w:t>公共</w:t>
            </w:r>
          </w:p>
          <w:p w14:paraId="61373D9F">
            <w:pPr>
              <w:widowControl/>
              <w:jc w:val="center"/>
              <w:rPr>
                <w:rFonts w:hint="eastAsia" w:asciiTheme="minorEastAsia" w:hAnsiTheme="minorEastAsia" w:eastAsiaTheme="minorEastAsia" w:cstheme="minorEastAsia"/>
                <w:b/>
                <w:bCs/>
                <w:color w:val="auto"/>
                <w:kern w:val="0"/>
                <w:szCs w:val="24"/>
              </w:rPr>
            </w:pPr>
            <w:r>
              <w:rPr>
                <w:rFonts w:hint="eastAsia" w:asciiTheme="minorEastAsia" w:hAnsiTheme="minorEastAsia" w:eastAsiaTheme="minorEastAsia" w:cstheme="minorEastAsia"/>
                <w:b/>
                <w:bCs/>
                <w:color w:val="auto"/>
                <w:kern w:val="0"/>
                <w:szCs w:val="24"/>
              </w:rPr>
              <w:t>部位</w:t>
            </w:r>
          </w:p>
        </w:tc>
        <w:tc>
          <w:tcPr>
            <w:tcW w:w="1552" w:type="dxa"/>
            <w:vAlign w:val="center"/>
          </w:tcPr>
          <w:p w14:paraId="1D2084EA">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电梯（含轿厢、门扇、门套及控制面板）</w:t>
            </w:r>
          </w:p>
        </w:tc>
        <w:tc>
          <w:tcPr>
            <w:tcW w:w="7567" w:type="dxa"/>
            <w:vAlign w:val="center"/>
          </w:tcPr>
          <w:p w14:paraId="6920D7E4">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无粘贴物、无垃圾杂物、无灰尘、无污渍、无水泥渍、无划痕、金属制品无锈渍，面层清洁、明亮</w:t>
            </w:r>
          </w:p>
        </w:tc>
      </w:tr>
      <w:tr w14:paraId="1C91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vAlign w:val="center"/>
          </w:tcPr>
          <w:p w14:paraId="53E6F5E0">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4CD7F3DE">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楼地面（入户大堂及电梯厅）</w:t>
            </w:r>
          </w:p>
        </w:tc>
        <w:tc>
          <w:tcPr>
            <w:tcW w:w="7567" w:type="dxa"/>
            <w:vAlign w:val="center"/>
          </w:tcPr>
          <w:p w14:paraId="6BF2895C">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无积水、无泥沙、无灰尘、无污渍、无拖痕、无垃圾杂物、无建筑装修材料残留、无胶渍等异物、无涂料斑点、无异色污染，石材、瓷砖地面（含踢脚线）需保持光亮。</w:t>
            </w:r>
          </w:p>
        </w:tc>
      </w:tr>
      <w:tr w14:paraId="2954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515326A1">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1BBFDD6D">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墙面（入户大堂及电梯厅）</w:t>
            </w:r>
          </w:p>
        </w:tc>
        <w:tc>
          <w:tcPr>
            <w:tcW w:w="7567" w:type="dxa"/>
            <w:vAlign w:val="center"/>
          </w:tcPr>
          <w:p w14:paraId="57A8FAB7">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无粘贴物、无灰尘、无污渍、无建筑装修材料残留、无印迹、无划痕、无胶渍等异物、无异色污染，石材、瓷砖墙面需保持光亮，木制品应显本色。</w:t>
            </w:r>
          </w:p>
        </w:tc>
      </w:tr>
      <w:tr w14:paraId="1EFC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40D9C83">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5A6633EB">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天棚（入户大堂及电梯厅）</w:t>
            </w:r>
          </w:p>
        </w:tc>
        <w:tc>
          <w:tcPr>
            <w:tcW w:w="7567" w:type="dxa"/>
            <w:vAlign w:val="center"/>
          </w:tcPr>
          <w:p w14:paraId="65B35FE3">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无蛛网、无灰尘、无划痕、无污渍、无建筑装修材料残留，阴阳角无暗灰、无异色污染。</w:t>
            </w:r>
          </w:p>
        </w:tc>
      </w:tr>
      <w:tr w14:paraId="6E94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81CE74F">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294C6240">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防火门</w:t>
            </w:r>
          </w:p>
        </w:tc>
        <w:tc>
          <w:tcPr>
            <w:tcW w:w="7567" w:type="dxa"/>
            <w:vAlign w:val="center"/>
          </w:tcPr>
          <w:p w14:paraId="6B5017A4">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无粘贴物、无灰尘、无划痕、无污渍、无水泥迹、无涂料斑点（包括门吸），木制品应显本色、金属制品无锈渍。</w:t>
            </w:r>
          </w:p>
        </w:tc>
      </w:tr>
      <w:tr w14:paraId="2AA5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7CD156A">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500FAB09">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消火栓箱</w:t>
            </w:r>
          </w:p>
        </w:tc>
        <w:tc>
          <w:tcPr>
            <w:tcW w:w="7567" w:type="dxa"/>
            <w:vAlign w:val="center"/>
          </w:tcPr>
          <w:p w14:paraId="11A86099">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无粘贴物、无灰尘、无划痕、无污渍、无水泥迹、无涂料斑点、金属制品无锈渍。</w:t>
            </w:r>
          </w:p>
        </w:tc>
      </w:tr>
      <w:tr w14:paraId="4BE7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85B3ADB">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1731A9CE">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楼地面（楼梯）</w:t>
            </w:r>
          </w:p>
        </w:tc>
        <w:tc>
          <w:tcPr>
            <w:tcW w:w="7567" w:type="dxa"/>
            <w:vAlign w:val="center"/>
          </w:tcPr>
          <w:p w14:paraId="7F9E6602">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无灰尘、无垃圾杂物、无污渍、无涂料斑点，石材、瓷砖地面需保持光亮，踢脚线上无涂料和水泥迹。</w:t>
            </w:r>
          </w:p>
        </w:tc>
      </w:tr>
      <w:tr w14:paraId="5F80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56D04F1">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33CC9BEF">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墙面（楼梯）</w:t>
            </w:r>
          </w:p>
        </w:tc>
        <w:tc>
          <w:tcPr>
            <w:tcW w:w="7567" w:type="dxa"/>
            <w:vAlign w:val="center"/>
          </w:tcPr>
          <w:p w14:paraId="07A4E791">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无粘贴物、无灰尘、无污渍、无建筑装修材料残留、无印迹、无划痕、无胶渍等异物、无异色污染，瓷砖墙面需保持光亮。</w:t>
            </w:r>
          </w:p>
        </w:tc>
      </w:tr>
      <w:tr w14:paraId="64C6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54EA217">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5B3935C5">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天棚（楼梯）</w:t>
            </w:r>
          </w:p>
        </w:tc>
        <w:tc>
          <w:tcPr>
            <w:tcW w:w="7567" w:type="dxa"/>
            <w:vAlign w:val="center"/>
          </w:tcPr>
          <w:p w14:paraId="65576489">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无蛛网、无灰尘、无划痕、无污渍、无建筑装修材料残留，阴阳角无暗灰、无异色污染。</w:t>
            </w:r>
          </w:p>
        </w:tc>
      </w:tr>
      <w:tr w14:paraId="7285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C96B682">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0814803E">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开关面板</w:t>
            </w:r>
          </w:p>
        </w:tc>
        <w:tc>
          <w:tcPr>
            <w:tcW w:w="7567" w:type="dxa"/>
            <w:vAlign w:val="center"/>
          </w:tcPr>
          <w:p w14:paraId="276A3744">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无灰尘、无划痕、无污渍、无水泥迹、无涂料斑点。</w:t>
            </w:r>
          </w:p>
        </w:tc>
      </w:tr>
      <w:tr w14:paraId="3855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F0490B7">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44148A81">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电箱</w:t>
            </w:r>
          </w:p>
        </w:tc>
        <w:tc>
          <w:tcPr>
            <w:tcW w:w="7567" w:type="dxa"/>
            <w:vAlign w:val="center"/>
          </w:tcPr>
          <w:p w14:paraId="542576A5">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无粘贴物、无灰尘、无划痕、无污渍、无水泥迹、无涂料斑点、金属制品无锈渍。</w:t>
            </w:r>
          </w:p>
        </w:tc>
      </w:tr>
      <w:tr w14:paraId="49F9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0A63774">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1B029036">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栏杆以及扶手</w:t>
            </w:r>
          </w:p>
        </w:tc>
        <w:tc>
          <w:tcPr>
            <w:tcW w:w="7567" w:type="dxa"/>
            <w:vAlign w:val="center"/>
          </w:tcPr>
          <w:p w14:paraId="7BF0F800">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无粘贴物、无灰尘、无污渍、无划痕、无水泥迹、无印迹、无涂料斑点、木制品应显本色、金属制品无锈渍。</w:t>
            </w:r>
          </w:p>
        </w:tc>
      </w:tr>
      <w:tr w14:paraId="4D55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D712704">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14D9FA73">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单元门</w:t>
            </w:r>
          </w:p>
        </w:tc>
        <w:tc>
          <w:tcPr>
            <w:tcW w:w="7567" w:type="dxa"/>
            <w:vAlign w:val="center"/>
          </w:tcPr>
          <w:p w14:paraId="69E21B75">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无粘贴物、无灰尘、无划痕、无污渍、无水泥迹、无涂料斑点（包括门吸），木制品应显本色、金属制品无锈渍。</w:t>
            </w:r>
          </w:p>
        </w:tc>
      </w:tr>
      <w:tr w14:paraId="332D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BF3D498">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683F1E50">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线管及管道</w:t>
            </w:r>
          </w:p>
        </w:tc>
        <w:tc>
          <w:tcPr>
            <w:tcW w:w="7567" w:type="dxa"/>
            <w:vAlign w:val="center"/>
          </w:tcPr>
          <w:p w14:paraId="71D892AE">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内部无杂物、无泥沙、无污渍，外部表面清洁、金属制品无锈渍。</w:t>
            </w:r>
          </w:p>
        </w:tc>
      </w:tr>
      <w:tr w14:paraId="3BC3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6F9FC5C">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38760B65">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指示牌</w:t>
            </w:r>
          </w:p>
        </w:tc>
        <w:tc>
          <w:tcPr>
            <w:tcW w:w="7567" w:type="dxa"/>
            <w:vAlign w:val="center"/>
          </w:tcPr>
          <w:p w14:paraId="4C1BBE69">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无粘贴物、无灰尘、无划痕、无污渍、无水泥迹、无涂料斑点、金属制品无锈渍、无印迹。</w:t>
            </w:r>
          </w:p>
        </w:tc>
      </w:tr>
      <w:tr w14:paraId="6768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60B5057">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0F81310F">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信报箱</w:t>
            </w:r>
          </w:p>
        </w:tc>
        <w:tc>
          <w:tcPr>
            <w:tcW w:w="7567" w:type="dxa"/>
            <w:vAlign w:val="center"/>
          </w:tcPr>
          <w:p w14:paraId="2A4846A7">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无粘贴物、无灰尘、无划痕、无污渍、无水泥迹、无涂料斑点、金属制品无锈渍、无印迹。</w:t>
            </w:r>
          </w:p>
        </w:tc>
      </w:tr>
      <w:tr w14:paraId="3F39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14D4423">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0EF039CC">
            <w:pPr>
              <w:adjustRightInd w:val="0"/>
              <w:snapToGrid w:val="0"/>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玻璃</w:t>
            </w:r>
          </w:p>
        </w:tc>
        <w:tc>
          <w:tcPr>
            <w:tcW w:w="7567" w:type="dxa"/>
            <w:vAlign w:val="center"/>
          </w:tcPr>
          <w:p w14:paraId="2A3F297C">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1）室内所有玻璃内外洁净光亮无尘，无水迹、胶迹及指纹印迹，用白手套套擦拭无污迹。（2）玻璃边框呈本色，无胶迹、无涂料污染，光亮无尘；上下左右框槽内无污迹、无灰。（3）通风窗侧视无灰尘、呈本色。</w:t>
            </w:r>
          </w:p>
        </w:tc>
      </w:tr>
      <w:tr w14:paraId="1458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2AD0E81">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3EF0AF9A">
            <w:pPr>
              <w:adjustRightInd w:val="0"/>
              <w:snapToGrid w:val="0"/>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灯罩</w:t>
            </w:r>
          </w:p>
        </w:tc>
        <w:tc>
          <w:tcPr>
            <w:tcW w:w="7567" w:type="dxa"/>
            <w:vAlign w:val="center"/>
          </w:tcPr>
          <w:p w14:paraId="3EF18575">
            <w:pPr>
              <w:adjustRightInd w:val="0"/>
              <w:snapToGrid w:val="0"/>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灯罩外无污迹、无涂料污染、灯罩内无蚊虫残留。</w:t>
            </w:r>
          </w:p>
        </w:tc>
      </w:tr>
      <w:tr w14:paraId="1078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vAlign w:val="center"/>
          </w:tcPr>
          <w:p w14:paraId="60783992">
            <w:pPr>
              <w:widowControl/>
              <w:jc w:val="center"/>
              <w:rPr>
                <w:rFonts w:hint="eastAsia" w:asciiTheme="minorEastAsia" w:hAnsiTheme="minorEastAsia" w:eastAsiaTheme="minorEastAsia" w:cstheme="minorEastAsia"/>
                <w:b/>
                <w:bCs/>
                <w:color w:val="auto"/>
                <w:kern w:val="0"/>
                <w:szCs w:val="24"/>
              </w:rPr>
            </w:pPr>
            <w:r>
              <w:rPr>
                <w:rFonts w:hint="eastAsia" w:asciiTheme="minorEastAsia" w:hAnsiTheme="minorEastAsia" w:eastAsiaTheme="minorEastAsia" w:cstheme="minorEastAsia"/>
                <w:b/>
                <w:bCs/>
                <w:color w:val="auto"/>
                <w:kern w:val="0"/>
                <w:szCs w:val="24"/>
              </w:rPr>
              <w:t>室外</w:t>
            </w:r>
          </w:p>
          <w:p w14:paraId="6020292A">
            <w:pPr>
              <w:widowControl/>
              <w:jc w:val="center"/>
              <w:rPr>
                <w:rFonts w:hint="eastAsia" w:asciiTheme="minorEastAsia" w:hAnsiTheme="minorEastAsia" w:eastAsiaTheme="minorEastAsia" w:cstheme="minorEastAsia"/>
                <w:b/>
                <w:bCs/>
                <w:color w:val="auto"/>
                <w:kern w:val="0"/>
                <w:szCs w:val="24"/>
              </w:rPr>
            </w:pPr>
            <w:r>
              <w:rPr>
                <w:rFonts w:hint="eastAsia" w:asciiTheme="minorEastAsia" w:hAnsiTheme="minorEastAsia" w:eastAsiaTheme="minorEastAsia" w:cstheme="minorEastAsia"/>
                <w:b/>
                <w:bCs/>
                <w:color w:val="auto"/>
                <w:kern w:val="0"/>
                <w:szCs w:val="24"/>
              </w:rPr>
              <w:t>部位</w:t>
            </w:r>
          </w:p>
        </w:tc>
        <w:tc>
          <w:tcPr>
            <w:tcW w:w="1552" w:type="dxa"/>
            <w:vAlign w:val="center"/>
          </w:tcPr>
          <w:p w14:paraId="211A0E6F">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外墙面</w:t>
            </w:r>
          </w:p>
        </w:tc>
        <w:tc>
          <w:tcPr>
            <w:tcW w:w="7567" w:type="dxa"/>
            <w:vAlign w:val="center"/>
          </w:tcPr>
          <w:p w14:paraId="17526BF3">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无粘贴物、无灰尘、无污渍、无建筑装修材料残留、无印迹、无划痕、无胶渍等异物、无异色污染，石材、瓷砖墙面需保持光亮。</w:t>
            </w:r>
          </w:p>
        </w:tc>
      </w:tr>
      <w:tr w14:paraId="456C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6CDC374">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176E5F16">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玻璃幕墙、门窗</w:t>
            </w:r>
          </w:p>
        </w:tc>
        <w:tc>
          <w:tcPr>
            <w:tcW w:w="7567" w:type="dxa"/>
            <w:vAlign w:val="center"/>
          </w:tcPr>
          <w:p w14:paraId="7260FC1E">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无粘贴物、无灰尘、无污渍、无水渍、无划痕、无印迹、金属制品无锈渍、玻璃洁净明亮。</w:t>
            </w:r>
          </w:p>
        </w:tc>
      </w:tr>
      <w:tr w14:paraId="2294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B59E94D">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17F1C2D0">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阳光棚或雨棚</w:t>
            </w:r>
          </w:p>
        </w:tc>
        <w:tc>
          <w:tcPr>
            <w:tcW w:w="7567" w:type="dxa"/>
            <w:vAlign w:val="center"/>
          </w:tcPr>
          <w:p w14:paraId="744B9B2C">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无粘贴物、无灰尘、无污渍、无水渍、无划痕、无印迹、金属制品无锈渍、玻璃洁净明亮。</w:t>
            </w:r>
          </w:p>
        </w:tc>
      </w:tr>
      <w:tr w14:paraId="795D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10ACF27">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6E328D7E">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百叶窗</w:t>
            </w:r>
          </w:p>
        </w:tc>
        <w:tc>
          <w:tcPr>
            <w:tcW w:w="7567" w:type="dxa"/>
            <w:vAlign w:val="center"/>
          </w:tcPr>
          <w:p w14:paraId="0A953D06">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无粘贴物、无灰尘、无污渍、无水渍、无划痕、无印迹、金属制品无锈渍、玻璃洁净明亮。</w:t>
            </w:r>
          </w:p>
        </w:tc>
      </w:tr>
      <w:tr w14:paraId="498D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9A73218">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3C9D6B03">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屋顶（含天沟）</w:t>
            </w:r>
          </w:p>
        </w:tc>
        <w:tc>
          <w:tcPr>
            <w:tcW w:w="7567" w:type="dxa"/>
            <w:vAlign w:val="center"/>
          </w:tcPr>
          <w:p w14:paraId="510EC81E">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无积水、无泥沙、无垃圾杂物、无建筑装修材料残留，面层显本色。</w:t>
            </w:r>
          </w:p>
        </w:tc>
      </w:tr>
      <w:tr w14:paraId="0CE2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0EC4B04">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0379244F">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室外地面</w:t>
            </w:r>
          </w:p>
        </w:tc>
        <w:tc>
          <w:tcPr>
            <w:tcW w:w="7567" w:type="dxa"/>
            <w:vAlign w:val="center"/>
          </w:tcPr>
          <w:p w14:paraId="3D727012">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无粘贴物、无垃圾、无积砂、无印迹、无异色污染。</w:t>
            </w:r>
          </w:p>
        </w:tc>
      </w:tr>
      <w:tr w14:paraId="1662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64BBD19">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50CD972A">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室外道路</w:t>
            </w:r>
          </w:p>
        </w:tc>
        <w:tc>
          <w:tcPr>
            <w:tcW w:w="7567" w:type="dxa"/>
            <w:vAlign w:val="center"/>
          </w:tcPr>
          <w:p w14:paraId="1E6AFF4B">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无粘贴物、无垃圾、无积砂、无异色污染。</w:t>
            </w:r>
          </w:p>
        </w:tc>
      </w:tr>
      <w:tr w14:paraId="4260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43F7806">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1F9AB531">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告示牌</w:t>
            </w:r>
          </w:p>
        </w:tc>
        <w:tc>
          <w:tcPr>
            <w:tcW w:w="7567" w:type="dxa"/>
            <w:vAlign w:val="center"/>
          </w:tcPr>
          <w:p w14:paraId="1E218525">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无粘贴物、无灰尘、无划痕、无污渍、无水泥迹、无涂料斑点、金属制品无锈渍、无印迹。</w:t>
            </w:r>
          </w:p>
        </w:tc>
      </w:tr>
      <w:tr w14:paraId="4891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1F6AAC4">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0D2502EA">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水篦子</w:t>
            </w:r>
          </w:p>
        </w:tc>
        <w:tc>
          <w:tcPr>
            <w:tcW w:w="7567" w:type="dxa"/>
            <w:vAlign w:val="center"/>
          </w:tcPr>
          <w:p w14:paraId="7C1EB0DC">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无垃圾杂物、无积砂、金属无锈渍、表面清洁。</w:t>
            </w:r>
          </w:p>
        </w:tc>
      </w:tr>
      <w:tr w14:paraId="02C2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vAlign w:val="center"/>
          </w:tcPr>
          <w:p w14:paraId="44908D19">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57A72EAA">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线管及管道</w:t>
            </w:r>
          </w:p>
        </w:tc>
        <w:tc>
          <w:tcPr>
            <w:tcW w:w="7567" w:type="dxa"/>
            <w:vAlign w:val="center"/>
          </w:tcPr>
          <w:p w14:paraId="7C8EC3FC">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内部无杂物、无泥沙、无污渍，外部表面清洁、金属制品无锈渍。</w:t>
            </w:r>
          </w:p>
        </w:tc>
      </w:tr>
      <w:tr w14:paraId="6A9C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81C1323">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5F1C1016">
            <w:pPr>
              <w:widowControl/>
              <w:jc w:val="left"/>
              <w:rPr>
                <w:rFonts w:hint="eastAsia" w:asciiTheme="minorEastAsia" w:hAnsiTheme="minorEastAsia" w:eastAsiaTheme="minorEastAsia" w:cstheme="minorEastAsia"/>
                <w:color w:val="auto"/>
                <w:kern w:val="0"/>
                <w:szCs w:val="24"/>
              </w:rPr>
            </w:pPr>
          </w:p>
          <w:p w14:paraId="233D0DAB">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消火栓</w:t>
            </w:r>
          </w:p>
          <w:p w14:paraId="597B3BD8">
            <w:pPr>
              <w:widowControl/>
              <w:jc w:val="left"/>
              <w:rPr>
                <w:rFonts w:hint="eastAsia" w:asciiTheme="minorEastAsia" w:hAnsiTheme="minorEastAsia" w:eastAsiaTheme="minorEastAsia" w:cstheme="minorEastAsia"/>
                <w:color w:val="auto"/>
                <w:kern w:val="0"/>
                <w:szCs w:val="24"/>
              </w:rPr>
            </w:pPr>
          </w:p>
        </w:tc>
        <w:tc>
          <w:tcPr>
            <w:tcW w:w="7567" w:type="dxa"/>
            <w:vAlign w:val="center"/>
          </w:tcPr>
          <w:p w14:paraId="696CA96B">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无粘贴物、无灰尘、无划痕、无污渍、无水泥迹、无涂料斑点、金属制品无锈渍。</w:t>
            </w:r>
          </w:p>
        </w:tc>
      </w:tr>
      <w:tr w14:paraId="3D03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vAlign w:val="center"/>
          </w:tcPr>
          <w:p w14:paraId="346B03D1">
            <w:pPr>
              <w:widowControl/>
              <w:jc w:val="center"/>
              <w:rPr>
                <w:rFonts w:hint="eastAsia" w:asciiTheme="minorEastAsia" w:hAnsiTheme="minorEastAsia" w:eastAsiaTheme="minorEastAsia" w:cstheme="minorEastAsia"/>
                <w:b/>
                <w:bCs/>
                <w:color w:val="auto"/>
                <w:kern w:val="0"/>
                <w:szCs w:val="24"/>
              </w:rPr>
            </w:pPr>
            <w:r>
              <w:rPr>
                <w:rFonts w:hint="eastAsia" w:asciiTheme="minorEastAsia" w:hAnsiTheme="minorEastAsia" w:eastAsiaTheme="minorEastAsia" w:cstheme="minorEastAsia"/>
                <w:b/>
                <w:bCs/>
                <w:color w:val="auto"/>
                <w:kern w:val="0"/>
                <w:szCs w:val="24"/>
              </w:rPr>
              <w:t>其他</w:t>
            </w:r>
          </w:p>
        </w:tc>
        <w:tc>
          <w:tcPr>
            <w:tcW w:w="1552" w:type="dxa"/>
            <w:vAlign w:val="center"/>
          </w:tcPr>
          <w:p w14:paraId="3DBFCCAF">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卫浴洁具</w:t>
            </w:r>
          </w:p>
        </w:tc>
        <w:tc>
          <w:tcPr>
            <w:tcW w:w="7567" w:type="dxa"/>
            <w:vAlign w:val="center"/>
          </w:tcPr>
          <w:p w14:paraId="7EE4DBDE">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无粘贴物、无灰尘、无污渍、无水渍、无水泥迹、无胶渍、无划痕、无印迹、无垃圾杂物、金属制品无锈渍，表面洁净、明亮、显本色。</w:t>
            </w:r>
          </w:p>
        </w:tc>
      </w:tr>
      <w:tr w14:paraId="70AF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A22262A">
            <w:pPr>
              <w:widowControl/>
              <w:jc w:val="left"/>
              <w:rPr>
                <w:rFonts w:hint="eastAsia" w:asciiTheme="minorEastAsia" w:hAnsiTheme="minorEastAsia" w:eastAsiaTheme="minorEastAsia" w:cstheme="minorEastAsia"/>
                <w:b/>
                <w:bCs/>
                <w:color w:val="auto"/>
                <w:kern w:val="0"/>
                <w:szCs w:val="24"/>
              </w:rPr>
            </w:pPr>
          </w:p>
        </w:tc>
        <w:tc>
          <w:tcPr>
            <w:tcW w:w="1552" w:type="dxa"/>
            <w:vMerge w:val="restart"/>
            <w:vAlign w:val="center"/>
          </w:tcPr>
          <w:p w14:paraId="1CF1CF67">
            <w:pPr>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灯具</w:t>
            </w:r>
          </w:p>
        </w:tc>
        <w:tc>
          <w:tcPr>
            <w:tcW w:w="7567" w:type="dxa"/>
            <w:vAlign w:val="center"/>
          </w:tcPr>
          <w:p w14:paraId="6E0C9121">
            <w:pPr>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灯具、灯座呈本色，无涂料污染、无灰尘，要求目测洁净光亮。</w:t>
            </w:r>
          </w:p>
        </w:tc>
      </w:tr>
      <w:tr w14:paraId="6432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7675C80">
            <w:pPr>
              <w:widowControl/>
              <w:jc w:val="left"/>
              <w:rPr>
                <w:rFonts w:hint="eastAsia" w:asciiTheme="minorEastAsia" w:hAnsiTheme="minorEastAsia" w:eastAsiaTheme="minorEastAsia" w:cstheme="minorEastAsia"/>
                <w:b/>
                <w:bCs/>
                <w:color w:val="auto"/>
                <w:kern w:val="0"/>
                <w:szCs w:val="24"/>
              </w:rPr>
            </w:pPr>
          </w:p>
        </w:tc>
        <w:tc>
          <w:tcPr>
            <w:tcW w:w="1552" w:type="dxa"/>
            <w:vMerge w:val="continue"/>
            <w:vAlign w:val="center"/>
          </w:tcPr>
          <w:p w14:paraId="7FCE9AE3">
            <w:pPr>
              <w:widowControl/>
              <w:jc w:val="left"/>
              <w:rPr>
                <w:rFonts w:hint="eastAsia" w:asciiTheme="minorEastAsia" w:hAnsiTheme="minorEastAsia" w:eastAsiaTheme="minorEastAsia" w:cstheme="minorEastAsia"/>
                <w:color w:val="auto"/>
                <w:kern w:val="0"/>
                <w:szCs w:val="24"/>
              </w:rPr>
            </w:pPr>
          </w:p>
        </w:tc>
        <w:tc>
          <w:tcPr>
            <w:tcW w:w="7567" w:type="dxa"/>
            <w:vAlign w:val="center"/>
          </w:tcPr>
          <w:p w14:paraId="135DE444">
            <w:pPr>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1）室内所有玻璃内外洁净光亮无尘，无水迹、胶迹及指纹印迹，用白手套套擦拭无污迹。（2）玻璃边框呈本色，无胶迹、无涂料污染，光亮无尘；上下左右框槽内无污迹、无灰。（3）通风窗侧视无灰尘、呈本色。</w:t>
            </w:r>
          </w:p>
        </w:tc>
      </w:tr>
      <w:tr w14:paraId="6269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7EBF3C4E">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51986DE7">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柜子（如有）</w:t>
            </w:r>
          </w:p>
        </w:tc>
        <w:tc>
          <w:tcPr>
            <w:tcW w:w="7567" w:type="dxa"/>
            <w:vAlign w:val="center"/>
          </w:tcPr>
          <w:p w14:paraId="54024504">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无粘贴物、无灰尘、无污渍、无水渍、无水泥迹、无胶渍、无划痕、无印迹、无垃圾杂物、金属制品无锈渍，表面洁净、明亮、显本色。</w:t>
            </w:r>
          </w:p>
        </w:tc>
      </w:tr>
      <w:tr w14:paraId="79AB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vAlign w:val="center"/>
          </w:tcPr>
          <w:p w14:paraId="18BA0667">
            <w:pPr>
              <w:widowControl/>
              <w:jc w:val="center"/>
              <w:rPr>
                <w:rFonts w:hint="eastAsia" w:asciiTheme="minorEastAsia" w:hAnsiTheme="minorEastAsia" w:eastAsiaTheme="minorEastAsia" w:cstheme="minorEastAsia"/>
                <w:b/>
                <w:bCs/>
                <w:color w:val="auto"/>
                <w:kern w:val="0"/>
                <w:szCs w:val="24"/>
              </w:rPr>
            </w:pPr>
            <w:r>
              <w:rPr>
                <w:rFonts w:hint="eastAsia" w:asciiTheme="minorEastAsia" w:hAnsiTheme="minorEastAsia" w:eastAsiaTheme="minorEastAsia" w:cstheme="minorEastAsia"/>
                <w:b/>
                <w:bCs/>
                <w:color w:val="auto"/>
                <w:kern w:val="0"/>
                <w:szCs w:val="24"/>
              </w:rPr>
              <w:t>地下</w:t>
            </w:r>
          </w:p>
          <w:p w14:paraId="538444C7">
            <w:pPr>
              <w:widowControl/>
              <w:jc w:val="center"/>
              <w:rPr>
                <w:rFonts w:hint="eastAsia" w:asciiTheme="minorEastAsia" w:hAnsiTheme="minorEastAsia" w:eastAsiaTheme="minorEastAsia" w:cstheme="minorEastAsia"/>
                <w:b/>
                <w:bCs/>
                <w:color w:val="auto"/>
                <w:kern w:val="0"/>
                <w:szCs w:val="24"/>
              </w:rPr>
            </w:pPr>
            <w:r>
              <w:rPr>
                <w:rFonts w:hint="eastAsia" w:asciiTheme="minorEastAsia" w:hAnsiTheme="minorEastAsia" w:eastAsiaTheme="minorEastAsia" w:cstheme="minorEastAsia"/>
                <w:b/>
                <w:bCs/>
                <w:color w:val="auto"/>
                <w:kern w:val="0"/>
                <w:szCs w:val="24"/>
              </w:rPr>
              <w:t>车库</w:t>
            </w:r>
          </w:p>
        </w:tc>
        <w:tc>
          <w:tcPr>
            <w:tcW w:w="1552" w:type="dxa"/>
            <w:vAlign w:val="center"/>
          </w:tcPr>
          <w:p w14:paraId="780CB206">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地面</w:t>
            </w:r>
          </w:p>
        </w:tc>
        <w:tc>
          <w:tcPr>
            <w:tcW w:w="7567" w:type="dxa"/>
            <w:vAlign w:val="center"/>
          </w:tcPr>
          <w:p w14:paraId="363EA9D1">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无泥沙、无灰尘、无垃圾杂物、无污渍、无建筑装修材料残留，踢脚线上无涂料和水泥渍，金刚砂、地坪漆地面需保持整洁、光亮、无划痕。</w:t>
            </w:r>
          </w:p>
        </w:tc>
      </w:tr>
      <w:tr w14:paraId="75B4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A76F213">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2B1C3711">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墙面</w:t>
            </w:r>
          </w:p>
        </w:tc>
        <w:tc>
          <w:tcPr>
            <w:tcW w:w="7567" w:type="dxa"/>
            <w:vAlign w:val="center"/>
          </w:tcPr>
          <w:p w14:paraId="2A98967E">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无粘贴物、无灰尘、无污渍、无建筑装修材料残留、无印迹、无划痕、无胶渍等异物、无异色污染。</w:t>
            </w:r>
          </w:p>
        </w:tc>
      </w:tr>
      <w:tr w14:paraId="63EC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8E7FF84">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4618988A">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天棚</w:t>
            </w:r>
          </w:p>
        </w:tc>
        <w:tc>
          <w:tcPr>
            <w:tcW w:w="7567" w:type="dxa"/>
            <w:vAlign w:val="center"/>
          </w:tcPr>
          <w:p w14:paraId="0AF398F8">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无蛛网、无灰尘、无划痕、无污渍、无建筑装修材料残留，阴阳角无暗灰、无异色污染。</w:t>
            </w:r>
          </w:p>
        </w:tc>
      </w:tr>
      <w:tr w14:paraId="6DE6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FF98C3E">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7FBDD1DA">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各类管道</w:t>
            </w:r>
          </w:p>
        </w:tc>
        <w:tc>
          <w:tcPr>
            <w:tcW w:w="7567" w:type="dxa"/>
            <w:vAlign w:val="center"/>
          </w:tcPr>
          <w:p w14:paraId="5CCCB282">
            <w:pPr>
              <w:widowControl/>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无涂料、胶迹污染，无灰尘，目测洁净。</w:t>
            </w:r>
          </w:p>
        </w:tc>
      </w:tr>
      <w:tr w14:paraId="14F8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B5F00E7">
            <w:pPr>
              <w:widowControl/>
              <w:jc w:val="left"/>
              <w:rPr>
                <w:rFonts w:hint="eastAsia" w:asciiTheme="minorEastAsia" w:hAnsiTheme="minorEastAsia" w:eastAsiaTheme="minorEastAsia" w:cstheme="minorEastAsia"/>
                <w:b/>
                <w:bCs/>
                <w:color w:val="auto"/>
                <w:kern w:val="0"/>
                <w:szCs w:val="24"/>
              </w:rPr>
            </w:pPr>
          </w:p>
        </w:tc>
        <w:tc>
          <w:tcPr>
            <w:tcW w:w="1552" w:type="dxa"/>
            <w:vAlign w:val="center"/>
          </w:tcPr>
          <w:p w14:paraId="7E94F15D">
            <w:pPr>
              <w:widowControl/>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水泵房、设备间等</w:t>
            </w:r>
          </w:p>
        </w:tc>
        <w:tc>
          <w:tcPr>
            <w:tcW w:w="7567" w:type="dxa"/>
            <w:vAlign w:val="center"/>
          </w:tcPr>
          <w:p w14:paraId="1ECF9C0E">
            <w:pPr>
              <w:widowControl/>
              <w:ind w:firstLine="33" w:firstLineChars="14"/>
              <w:jc w:val="left"/>
              <w:rPr>
                <w:rFonts w:hint="eastAsia" w:asciiTheme="minorEastAsia" w:hAnsiTheme="minorEastAsia" w:eastAsiaTheme="minorEastAsia" w:cstheme="minorEastAsia"/>
                <w:color w:val="auto"/>
                <w:kern w:val="0"/>
                <w:szCs w:val="24"/>
              </w:rPr>
            </w:pPr>
            <w:r>
              <w:rPr>
                <w:rFonts w:hint="eastAsia" w:asciiTheme="minorEastAsia" w:hAnsiTheme="minorEastAsia" w:eastAsiaTheme="minorEastAsia" w:cstheme="minorEastAsia"/>
                <w:color w:val="auto"/>
                <w:kern w:val="0"/>
                <w:szCs w:val="24"/>
              </w:rPr>
              <w:t>地面无涂料污染，内外无垃圾灰尘。</w:t>
            </w:r>
          </w:p>
        </w:tc>
      </w:tr>
    </w:tbl>
    <w:p w14:paraId="3EDEC026">
      <w:pPr>
        <w:pStyle w:val="54"/>
        <w:spacing w:line="360" w:lineRule="auto"/>
        <w:rPr>
          <w:rFonts w:hint="eastAsia" w:asciiTheme="minorEastAsia" w:hAnsiTheme="minorEastAsia" w:eastAsiaTheme="minorEastAsia" w:cstheme="minorEastAsia"/>
          <w:color w:val="auto"/>
          <w:spacing w:val="8"/>
          <w:szCs w:val="24"/>
        </w:rPr>
      </w:pPr>
    </w:p>
    <w:p w14:paraId="13F7F945">
      <w:pPr>
        <w:pStyle w:val="54"/>
        <w:spacing w:line="360" w:lineRule="auto"/>
        <w:rPr>
          <w:rFonts w:hint="eastAsia" w:asciiTheme="minorEastAsia" w:hAnsiTheme="minorEastAsia" w:eastAsiaTheme="minorEastAsia" w:cstheme="minorEastAsia"/>
          <w:bCs/>
          <w:color w:val="auto"/>
          <w:spacing w:val="8"/>
          <w:szCs w:val="24"/>
        </w:rPr>
      </w:pPr>
    </w:p>
    <w:p w14:paraId="16CDF4BF">
      <w:pPr>
        <w:pStyle w:val="54"/>
        <w:spacing w:line="360" w:lineRule="auto"/>
        <w:rPr>
          <w:rFonts w:hint="eastAsia" w:hAnsi="宋体" w:cs="宋体"/>
          <w:b w:val="0"/>
          <w:color w:val="auto"/>
          <w:szCs w:val="24"/>
        </w:rPr>
      </w:pPr>
      <w:r>
        <w:rPr>
          <w:rFonts w:hint="eastAsia" w:asciiTheme="minorEastAsia" w:hAnsiTheme="minorEastAsia" w:eastAsiaTheme="minorEastAsia" w:cstheme="minorEastAsia"/>
          <w:bCs/>
          <w:color w:val="auto"/>
          <w:szCs w:val="28"/>
        </w:rPr>
        <w:t>附件六、</w:t>
      </w:r>
      <w:r>
        <w:rPr>
          <w:rFonts w:hint="eastAsia" w:hAnsi="宋体" w:cs="宋体"/>
          <w:bCs/>
          <w:color w:val="auto"/>
          <w:szCs w:val="28"/>
        </w:rPr>
        <w:t>《成品保护标准》：</w:t>
      </w:r>
      <w:r>
        <w:rPr>
          <w:rFonts w:hint="eastAsia" w:hAnsi="宋体" w:cs="宋体"/>
          <w:b w:val="0"/>
          <w:color w:val="auto"/>
          <w:szCs w:val="24"/>
        </w:rPr>
        <w:t>详见《浩德地产精装修品质管控标准（V1.0版）》第五部分“成品保护10类”。</w:t>
      </w:r>
    </w:p>
    <w:p w14:paraId="7EED8269"/>
    <w:p w14:paraId="18B11A84">
      <w:pPr>
        <w:pStyle w:val="54"/>
        <w:spacing w:line="360" w:lineRule="auto"/>
        <w:rPr>
          <w:rFonts w:hint="eastAsia" w:hAnsi="宋体" w:cs="宋体"/>
          <w:bCs/>
          <w:color w:val="auto"/>
          <w:szCs w:val="28"/>
        </w:rPr>
      </w:pPr>
    </w:p>
    <w:p w14:paraId="647F3083">
      <w:pPr>
        <w:pStyle w:val="54"/>
        <w:spacing w:line="360" w:lineRule="auto"/>
        <w:rPr>
          <w:rFonts w:hint="eastAsia" w:hAnsi="宋体" w:cs="宋体"/>
          <w:bCs/>
          <w:color w:val="auto"/>
          <w:szCs w:val="28"/>
        </w:rPr>
      </w:pPr>
    </w:p>
    <w:p w14:paraId="2437B3A0">
      <w:pPr>
        <w:pStyle w:val="54"/>
        <w:spacing w:line="360" w:lineRule="auto"/>
        <w:rPr>
          <w:color w:val="auto"/>
        </w:rPr>
      </w:pPr>
      <w:r>
        <w:rPr>
          <w:color w:val="auto"/>
        </w:rPr>
        <w:drawing>
          <wp:inline distT="0" distB="0" distL="114300" distR="114300">
            <wp:extent cx="6312535" cy="3220720"/>
            <wp:effectExtent l="0" t="0" r="12065"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6312535" cy="3220720"/>
                    </a:xfrm>
                    <a:prstGeom prst="rect">
                      <a:avLst/>
                    </a:prstGeom>
                    <a:noFill/>
                    <a:ln>
                      <a:noFill/>
                    </a:ln>
                  </pic:spPr>
                </pic:pic>
              </a:graphicData>
            </a:graphic>
          </wp:inline>
        </w:drawing>
      </w:r>
    </w:p>
    <w:p w14:paraId="7FA1B253">
      <w:pPr>
        <w:pStyle w:val="54"/>
        <w:spacing w:line="360" w:lineRule="auto"/>
        <w:rPr>
          <w:color w:val="auto"/>
        </w:rPr>
      </w:pPr>
      <w:r>
        <w:rPr>
          <w:color w:val="auto"/>
        </w:rPr>
        <w:drawing>
          <wp:inline distT="0" distB="0" distL="114300" distR="114300">
            <wp:extent cx="6327775" cy="3560445"/>
            <wp:effectExtent l="0" t="0" r="1206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6327775" cy="3560445"/>
                    </a:xfrm>
                    <a:prstGeom prst="rect">
                      <a:avLst/>
                    </a:prstGeom>
                    <a:noFill/>
                    <a:ln>
                      <a:noFill/>
                    </a:ln>
                  </pic:spPr>
                </pic:pic>
              </a:graphicData>
            </a:graphic>
          </wp:inline>
        </w:drawing>
      </w:r>
    </w:p>
    <w:p w14:paraId="1EB30D15">
      <w:pPr>
        <w:pStyle w:val="54"/>
        <w:spacing w:line="360" w:lineRule="auto"/>
        <w:rPr>
          <w:rFonts w:hint="eastAsia" w:hAnsi="宋体" w:cs="宋体"/>
          <w:bCs/>
          <w:color w:val="auto"/>
          <w:szCs w:val="28"/>
        </w:rPr>
      </w:pPr>
      <w:r>
        <w:rPr>
          <w:color w:val="auto"/>
        </w:rPr>
        <w:drawing>
          <wp:inline distT="0" distB="0" distL="114300" distR="114300">
            <wp:extent cx="6372860" cy="3578225"/>
            <wp:effectExtent l="0" t="0" r="12700"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6372860" cy="3578225"/>
                    </a:xfrm>
                    <a:prstGeom prst="rect">
                      <a:avLst/>
                    </a:prstGeom>
                    <a:noFill/>
                    <a:ln>
                      <a:noFill/>
                    </a:ln>
                  </pic:spPr>
                </pic:pic>
              </a:graphicData>
            </a:graphic>
          </wp:inline>
        </w:drawing>
      </w:r>
    </w:p>
    <w:p w14:paraId="68299E4D">
      <w:pPr>
        <w:pStyle w:val="54"/>
        <w:spacing w:line="360" w:lineRule="auto"/>
        <w:rPr>
          <w:rFonts w:hint="eastAsia" w:hAnsi="宋体" w:cs="宋体"/>
          <w:bCs/>
          <w:color w:val="auto"/>
          <w:szCs w:val="28"/>
        </w:rPr>
      </w:pPr>
      <w:r>
        <w:rPr>
          <w:color w:val="auto"/>
        </w:rPr>
        <w:drawing>
          <wp:inline distT="0" distB="0" distL="114300" distR="114300">
            <wp:extent cx="6491605" cy="3650615"/>
            <wp:effectExtent l="0" t="0" r="63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0"/>
                    <a:stretch>
                      <a:fillRect/>
                    </a:stretch>
                  </pic:blipFill>
                  <pic:spPr>
                    <a:xfrm>
                      <a:off x="0" y="0"/>
                      <a:ext cx="6491605" cy="3650615"/>
                    </a:xfrm>
                    <a:prstGeom prst="rect">
                      <a:avLst/>
                    </a:prstGeom>
                    <a:noFill/>
                    <a:ln>
                      <a:noFill/>
                    </a:ln>
                  </pic:spPr>
                </pic:pic>
              </a:graphicData>
            </a:graphic>
          </wp:inline>
        </w:drawing>
      </w:r>
    </w:p>
    <w:p w14:paraId="09F6C8E6">
      <w:pPr>
        <w:pStyle w:val="54"/>
        <w:spacing w:line="360" w:lineRule="auto"/>
        <w:rPr>
          <w:rFonts w:hint="eastAsia" w:hAnsi="宋体" w:cs="宋体"/>
          <w:bCs/>
          <w:color w:val="auto"/>
          <w:szCs w:val="28"/>
        </w:rPr>
      </w:pPr>
      <w:r>
        <w:rPr>
          <w:color w:val="auto"/>
        </w:rPr>
        <w:drawing>
          <wp:inline distT="0" distB="0" distL="114300" distR="114300">
            <wp:extent cx="6245225" cy="3518535"/>
            <wp:effectExtent l="0" t="0" r="3175" b="19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a:stretch>
                      <a:fillRect/>
                    </a:stretch>
                  </pic:blipFill>
                  <pic:spPr>
                    <a:xfrm>
                      <a:off x="0" y="0"/>
                      <a:ext cx="6245225" cy="3518535"/>
                    </a:xfrm>
                    <a:prstGeom prst="rect">
                      <a:avLst/>
                    </a:prstGeom>
                    <a:noFill/>
                    <a:ln>
                      <a:noFill/>
                    </a:ln>
                  </pic:spPr>
                </pic:pic>
              </a:graphicData>
            </a:graphic>
          </wp:inline>
        </w:drawing>
      </w:r>
    </w:p>
    <w:p w14:paraId="1B98F7E6">
      <w:pPr>
        <w:rPr>
          <w:color w:val="auto"/>
        </w:rPr>
      </w:pPr>
      <w:r>
        <w:rPr>
          <w:color w:val="auto"/>
        </w:rPr>
        <w:drawing>
          <wp:inline distT="0" distB="0" distL="114300" distR="114300">
            <wp:extent cx="6210935" cy="3489325"/>
            <wp:effectExtent l="0" t="0" r="6985"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6210935" cy="3489325"/>
                    </a:xfrm>
                    <a:prstGeom prst="rect">
                      <a:avLst/>
                    </a:prstGeom>
                    <a:noFill/>
                    <a:ln>
                      <a:noFill/>
                    </a:ln>
                  </pic:spPr>
                </pic:pic>
              </a:graphicData>
            </a:graphic>
          </wp:inline>
        </w:drawing>
      </w:r>
    </w:p>
    <w:p w14:paraId="3358A701">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8"/>
          <w:szCs w:val="24"/>
          <w:highlight w:val="none"/>
        </w:rPr>
        <w:t>附件七、</w:t>
      </w:r>
      <w:r>
        <w:rPr>
          <w:rFonts w:hint="eastAsia" w:asciiTheme="minorEastAsia" w:hAnsiTheme="minorEastAsia" w:eastAsiaTheme="minorEastAsia" w:cstheme="minorEastAsia"/>
          <w:b/>
          <w:bCs/>
          <w:color w:val="auto"/>
          <w:spacing w:val="8"/>
          <w:szCs w:val="24"/>
          <w:highlight w:val="none"/>
          <w:lang w:eastAsia="zh-CN"/>
        </w:rPr>
        <w:t>招标答疑及回复</w:t>
      </w:r>
    </w:p>
    <w:p w14:paraId="0C440428">
      <w:pPr>
        <w:keepNext w:val="0"/>
        <w:keepLines w:val="0"/>
        <w:pageBreakBefore w:val="0"/>
        <w:widowControl w:val="0"/>
        <w:numPr>
          <w:ilvl w:val="-1"/>
          <w:numId w:val="0"/>
        </w:numPr>
        <w:kinsoku/>
        <w:wordWrap/>
        <w:overflowPunct/>
        <w:topLinePunct w:val="0"/>
        <w:autoSpaceDE/>
        <w:autoSpaceDN/>
        <w:bidi w:val="0"/>
        <w:adjustRightInd/>
        <w:snapToGrid/>
        <w:spacing w:line="288" w:lineRule="auto"/>
        <w:jc w:val="center"/>
        <w:textAlignment w:val="auto"/>
        <w:rPr>
          <w:rFonts w:hint="eastAsia"/>
          <w:color w:val="auto"/>
          <w:sz w:val="28"/>
          <w:szCs w:val="28"/>
          <w:lang w:val="en-US" w:eastAsia="zh-CN"/>
        </w:rPr>
      </w:pPr>
      <w:r>
        <w:rPr>
          <w:rFonts w:hint="eastAsia"/>
          <w:color w:val="auto"/>
          <w:sz w:val="28"/>
          <w:szCs w:val="28"/>
          <w:lang w:val="en-US" w:eastAsia="zh-CN"/>
        </w:rPr>
        <w:t>悠然居项目二标段公区、大堂及门头精装修工程答疑及回复</w:t>
      </w:r>
    </w:p>
    <w:p w14:paraId="1322C246">
      <w:pPr>
        <w:keepNext w:val="0"/>
        <w:keepLines w:val="0"/>
        <w:pageBreakBefore w:val="0"/>
        <w:widowControl w:val="0"/>
        <w:numPr>
          <w:ilvl w:val="0"/>
          <w:numId w:val="3"/>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如下图所示，因石材种类繁多，请贵司明确石材的种类。</w:t>
      </w:r>
    </w:p>
    <w:p w14:paraId="72FD1234">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2397760" cy="756920"/>
            <wp:effectExtent l="0" t="0" r="10160" b="5080"/>
            <wp:docPr id="5" name="图片 5" descr="c81c52d8edd0c242a3cb3bc43c10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81c52d8edd0c242a3cb3bc43c10b75"/>
                    <pic:cNvPicPr>
                      <a:picLocks noChangeAspect="1"/>
                    </pic:cNvPicPr>
                  </pic:nvPicPr>
                  <pic:blipFill>
                    <a:blip r:embed="rId13"/>
                    <a:stretch>
                      <a:fillRect/>
                    </a:stretch>
                  </pic:blipFill>
                  <pic:spPr>
                    <a:xfrm>
                      <a:off x="0" y="0"/>
                      <a:ext cx="2397760" cy="756920"/>
                    </a:xfrm>
                    <a:prstGeom prst="rect">
                      <a:avLst/>
                    </a:prstGeom>
                  </pic:spPr>
                </pic:pic>
              </a:graphicData>
            </a:graphic>
          </wp:inline>
        </w:drawing>
      </w:r>
    </w:p>
    <w:p w14:paraId="23D9556E">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440" w:hanging="1440" w:hangingChars="6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设计回复：ST-03为地下层大厅内，黑色石材，ST-04为光厅墙面石材，详见</w:t>
      </w:r>
    </w:p>
    <w:p w14:paraId="1CBCD07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440" w:hanging="1440" w:hangingChars="6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地下层施工图，例1#地下层1#A-DE-01-01立面和1#地下层1#B-DE-02-07立面</w:t>
      </w:r>
    </w:p>
    <w:p w14:paraId="3F11A11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请贵司明确仿古铜不锈钢材质是201的还是304的？厚度是多少？</w:t>
      </w:r>
    </w:p>
    <w:p w14:paraId="3C5F54DD">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3509010" cy="737235"/>
            <wp:effectExtent l="0" t="0" r="1143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3509010" cy="737235"/>
                    </a:xfrm>
                    <a:prstGeom prst="rect">
                      <a:avLst/>
                    </a:prstGeom>
                    <a:noFill/>
                    <a:ln>
                      <a:noFill/>
                    </a:ln>
                  </pic:spPr>
                </pic:pic>
              </a:graphicData>
            </a:graphic>
          </wp:inline>
        </w:drawing>
      </w:r>
    </w:p>
    <w:p w14:paraId="02C80AD6">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设计回复：不锈钢304   1.2厚</w:t>
      </w:r>
    </w:p>
    <w:p w14:paraId="7D7F9C4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请贵司明确铝板的厚度</w:t>
      </w:r>
    </w:p>
    <w:p w14:paraId="6C7D9CA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4462145" cy="521335"/>
            <wp:effectExtent l="0" t="0" r="3175" b="1206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15"/>
                    <a:stretch>
                      <a:fillRect/>
                    </a:stretch>
                  </pic:blipFill>
                  <pic:spPr>
                    <a:xfrm>
                      <a:off x="0" y="0"/>
                      <a:ext cx="4462145" cy="521335"/>
                    </a:xfrm>
                    <a:prstGeom prst="rect">
                      <a:avLst/>
                    </a:prstGeom>
                    <a:noFill/>
                    <a:ln>
                      <a:noFill/>
                    </a:ln>
                  </pic:spPr>
                </pic:pic>
              </a:graphicData>
            </a:graphic>
          </wp:inline>
        </w:drawing>
      </w:r>
    </w:p>
    <w:p w14:paraId="34120F56">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设计回复：0.6mm</w:t>
      </w:r>
    </w:p>
    <w:p w14:paraId="144CDDF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请贵司明确地下一层大堂感应玻璃推拉门的玻璃材质要求。</w:t>
      </w:r>
    </w:p>
    <w:p w14:paraId="15C2048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1316355" cy="1097915"/>
            <wp:effectExtent l="0" t="0" r="952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a:off x="0" y="0"/>
                      <a:ext cx="1316355" cy="1097915"/>
                    </a:xfrm>
                    <a:prstGeom prst="rect">
                      <a:avLst/>
                    </a:prstGeom>
                    <a:noFill/>
                    <a:ln>
                      <a:noFill/>
                    </a:ln>
                  </pic:spPr>
                </pic:pic>
              </a:graphicData>
            </a:graphic>
          </wp:inline>
        </w:drawing>
      </w:r>
    </w:p>
    <w:p w14:paraId="346EAB60">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设计回复：超白玻，玻璃厚度10mm厚</w:t>
      </w:r>
    </w:p>
    <w:p w14:paraId="75EEE91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15#楼未见图纸，请补充图纸？</w:t>
      </w:r>
    </w:p>
    <w:p w14:paraId="0C28F957">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设计回复：为售楼部已施工</w:t>
      </w:r>
    </w:p>
    <w:p w14:paraId="6C22480A">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标准层墙面木饰面与另一面墙砖阳角收口如何处理？立面图与节点图矛盾。</w:t>
      </w:r>
    </w:p>
    <w:p w14:paraId="7B7C52E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drawing>
          <wp:inline distT="0" distB="0" distL="114300" distR="114300">
            <wp:extent cx="1187450" cy="454025"/>
            <wp:effectExtent l="0" t="0" r="1270" b="3175"/>
            <wp:docPr id="74" name="图片 74" descr="171902420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719024204843"/>
                    <pic:cNvPicPr>
                      <a:picLocks noChangeAspect="1"/>
                    </pic:cNvPicPr>
                  </pic:nvPicPr>
                  <pic:blipFill>
                    <a:blip r:embed="rId17"/>
                    <a:stretch>
                      <a:fillRect/>
                    </a:stretch>
                  </pic:blipFill>
                  <pic:spPr>
                    <a:xfrm>
                      <a:off x="0" y="0"/>
                      <a:ext cx="1187450" cy="454025"/>
                    </a:xfrm>
                    <a:prstGeom prst="rect">
                      <a:avLst/>
                    </a:prstGeom>
                  </pic:spPr>
                </pic:pic>
              </a:graphicData>
            </a:graphic>
          </wp:inline>
        </w:drawing>
      </w:r>
      <w:r>
        <w:rPr>
          <w:rFonts w:hint="eastAsia" w:ascii="宋体" w:hAnsi="宋体" w:eastAsia="宋体" w:cs="宋体"/>
          <w:color w:val="auto"/>
          <w:sz w:val="24"/>
          <w:szCs w:val="24"/>
        </w:rPr>
        <w:drawing>
          <wp:inline distT="0" distB="0" distL="114300" distR="114300">
            <wp:extent cx="554990" cy="554355"/>
            <wp:effectExtent l="0" t="0" r="8890" b="952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18"/>
                    <a:stretch>
                      <a:fillRect/>
                    </a:stretch>
                  </pic:blipFill>
                  <pic:spPr>
                    <a:xfrm flipV="1">
                      <a:off x="0" y="0"/>
                      <a:ext cx="554990" cy="554355"/>
                    </a:xfrm>
                    <a:prstGeom prst="rect">
                      <a:avLst/>
                    </a:prstGeom>
                    <a:noFill/>
                    <a:ln>
                      <a:noFill/>
                    </a:ln>
                  </pic:spPr>
                </pic:pic>
              </a:graphicData>
            </a:graphic>
          </wp:inline>
        </w:drawing>
      </w:r>
    </w:p>
    <w:p w14:paraId="735A490F">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设计回复：类似2#.5#.6#.11#木饰面阳角碰瓷砖的情况，做1公分金属收口</w:t>
      </w:r>
    </w:p>
    <w:p w14:paraId="730B422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首层大堂消防箱位置面层材料为墙砖，该墙面墙砖为湿贴，消防箱位置是否考虑剔除墙体部分进行墙砖干挂？清单未单独列项。</w:t>
      </w:r>
    </w:p>
    <w:p w14:paraId="1DD2459F">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工程结合设计回复：消火栓半嵌入式，建议后期核查后调整</w:t>
      </w:r>
    </w:p>
    <w:p w14:paraId="05E44A2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3#楼标准层消防箱位置墙面有消防管道包封，面层材料图纸显示为干挂，清单未单独列项。</w:t>
      </w:r>
    </w:p>
    <w:p w14:paraId="33E397C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2371090" cy="570230"/>
            <wp:effectExtent l="0" t="0" r="635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371090" cy="570230"/>
                    </a:xfrm>
                    <a:prstGeom prst="rect">
                      <a:avLst/>
                    </a:prstGeom>
                    <a:noFill/>
                    <a:ln>
                      <a:noFill/>
                    </a:ln>
                  </pic:spPr>
                </pic:pic>
              </a:graphicData>
            </a:graphic>
          </wp:inline>
        </w:drawing>
      </w:r>
      <w:r>
        <w:rPr>
          <w:rFonts w:hint="eastAsia" w:ascii="宋体" w:hAnsi="宋体" w:eastAsia="宋体" w:cs="宋体"/>
          <w:color w:val="auto"/>
          <w:sz w:val="24"/>
          <w:szCs w:val="24"/>
        </w:rPr>
        <w:drawing>
          <wp:inline distT="0" distB="0" distL="114300" distR="114300">
            <wp:extent cx="1632585" cy="619760"/>
            <wp:effectExtent l="0" t="0" r="13335"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0"/>
                    <a:stretch>
                      <a:fillRect/>
                    </a:stretch>
                  </pic:blipFill>
                  <pic:spPr>
                    <a:xfrm>
                      <a:off x="0" y="0"/>
                      <a:ext cx="1632585" cy="619760"/>
                    </a:xfrm>
                    <a:prstGeom prst="rect">
                      <a:avLst/>
                    </a:prstGeom>
                    <a:noFill/>
                    <a:ln>
                      <a:noFill/>
                    </a:ln>
                  </pic:spPr>
                </pic:pic>
              </a:graphicData>
            </a:graphic>
          </wp:inline>
        </w:drawing>
      </w:r>
    </w:p>
    <w:p w14:paraId="28449C68">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成本回复：随答疑发修订清单并标注颜色区分</w:t>
      </w:r>
    </w:p>
    <w:p w14:paraId="37F7C72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lang w:val="en-US" w:eastAsia="zh-CN"/>
        </w:rPr>
        <w:t>单元门头没有图纸，请补充相关图纸。</w:t>
      </w:r>
    </w:p>
    <w:p w14:paraId="39A3C0E7">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lang w:val="en-US" w:eastAsia="zh-CN"/>
        </w:rPr>
        <w:t>设计回复：已补发图纸</w:t>
      </w:r>
    </w:p>
    <w:p w14:paraId="4CE1FFF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本招标工程固定总价包干，因招标时间太短，无法复核工程量，请贵单位酌情延长开标时间。</w:t>
      </w:r>
    </w:p>
    <w:p w14:paraId="6720B9D5">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招采工程结合回复：开标时间暂定于27日下午14点30分</w:t>
      </w:r>
    </w:p>
    <w:p w14:paraId="4F120F2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招标工程量清单-负一层大堂，1#地下精装大堂“原建筑门垛新建”，招标工程量为0.62m3，我单位复核体积1.33m2（两个单元），请贵单位复核。</w:t>
      </w:r>
      <w:r>
        <w:rPr>
          <w:rFonts w:hint="eastAsia" w:ascii="宋体" w:hAnsi="宋体" w:eastAsia="宋体" w:cs="宋体"/>
          <w:color w:val="auto"/>
          <w:sz w:val="24"/>
          <w:szCs w:val="24"/>
        </w:rPr>
        <w:drawing>
          <wp:inline distT="0" distB="0" distL="114300" distR="114300">
            <wp:extent cx="2407920" cy="53276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2407920" cy="532765"/>
                    </a:xfrm>
                    <a:prstGeom prst="rect">
                      <a:avLst/>
                    </a:prstGeom>
                    <a:noFill/>
                    <a:ln>
                      <a:noFill/>
                    </a:ln>
                  </pic:spPr>
                </pic:pic>
              </a:graphicData>
            </a:graphic>
          </wp:inline>
        </w:drawing>
      </w:r>
      <w:r>
        <w:rPr>
          <w:rFonts w:hint="eastAsia" w:ascii="宋体" w:hAnsi="宋体" w:eastAsia="宋体" w:cs="宋体"/>
          <w:color w:val="auto"/>
          <w:sz w:val="24"/>
          <w:szCs w:val="24"/>
        </w:rPr>
        <w:drawing>
          <wp:inline distT="0" distB="0" distL="114300" distR="114300">
            <wp:extent cx="1022350" cy="538480"/>
            <wp:effectExtent l="0" t="0" r="13970" b="1016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2"/>
                    <a:stretch>
                      <a:fillRect/>
                    </a:stretch>
                  </pic:blipFill>
                  <pic:spPr>
                    <a:xfrm>
                      <a:off x="0" y="0"/>
                      <a:ext cx="1022350" cy="538480"/>
                    </a:xfrm>
                    <a:prstGeom prst="rect">
                      <a:avLst/>
                    </a:prstGeom>
                    <a:noFill/>
                    <a:ln>
                      <a:noFill/>
                    </a:ln>
                  </pic:spPr>
                </pic:pic>
              </a:graphicData>
            </a:graphic>
          </wp:inline>
        </w:drawing>
      </w:r>
    </w:p>
    <w:p w14:paraId="33D09580">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成本回复：已复核，工程量为：1.18m3</w:t>
      </w:r>
    </w:p>
    <w:p w14:paraId="734D3E2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请贵单位补充对应新建墙体的抹灰工程。</w:t>
      </w:r>
    </w:p>
    <w:p w14:paraId="224994E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成本结合工程范围回复：包含抹灰</w:t>
      </w:r>
    </w:p>
    <w:p w14:paraId="707F889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地下室集水坑盖板是否在本次招标范围内？盖板上面是否需要贴砖？如果在招标范围内，请补充清单并提供节点图纸。 </w:t>
      </w:r>
    </w:p>
    <w:p w14:paraId="2FB1115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1356995" cy="834390"/>
            <wp:effectExtent l="0" t="0" r="14605"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3"/>
                    <a:stretch>
                      <a:fillRect/>
                    </a:stretch>
                  </pic:blipFill>
                  <pic:spPr>
                    <a:xfrm>
                      <a:off x="0" y="0"/>
                      <a:ext cx="1356995" cy="834390"/>
                    </a:xfrm>
                    <a:prstGeom prst="rect">
                      <a:avLst/>
                    </a:prstGeom>
                    <a:noFill/>
                    <a:ln>
                      <a:noFill/>
                    </a:ln>
                  </pic:spPr>
                </pic:pic>
              </a:graphicData>
            </a:graphic>
          </wp:inline>
        </w:drawing>
      </w:r>
    </w:p>
    <w:p w14:paraId="34A509E8">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工程设计结合回复：</w:t>
      </w:r>
      <w:r>
        <w:rPr>
          <w:rFonts w:hint="eastAsia" w:ascii="宋体" w:hAnsi="宋体" w:eastAsia="宋体" w:cs="宋体"/>
          <w:color w:val="auto"/>
          <w:sz w:val="24"/>
          <w:szCs w:val="24"/>
          <w:lang w:val="en-US" w:eastAsia="zh-CN"/>
        </w:rPr>
        <w:t>需要贴砖</w:t>
      </w:r>
    </w:p>
    <w:p w14:paraId="285CB78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color w:val="auto"/>
          <w:lang w:val="en-US" w:eastAsia="zh-CN"/>
        </w:rPr>
      </w:pPr>
      <w:r>
        <w:rPr>
          <w:rFonts w:hint="eastAsia" w:ascii="宋体" w:hAnsi="宋体" w:eastAsia="宋体" w:cs="宋体"/>
          <w:color w:val="auto"/>
          <w:sz w:val="24"/>
          <w:szCs w:val="24"/>
          <w:lang w:val="en-US" w:eastAsia="zh-CN"/>
        </w:rPr>
        <w:t>招标工程量清单-负一层大堂，1#地下精装大堂“石材地面”，招标工程量为1.44m2，我单位复核体积1.68m2（两个单元），请贵单位复核。</w:t>
      </w:r>
      <w:r>
        <w:rPr>
          <w:color w:val="auto"/>
        </w:rPr>
        <w:drawing>
          <wp:inline distT="0" distB="0" distL="114300" distR="114300">
            <wp:extent cx="4060190" cy="737870"/>
            <wp:effectExtent l="0" t="0" r="8890"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4"/>
                    <a:stretch>
                      <a:fillRect/>
                    </a:stretch>
                  </pic:blipFill>
                  <pic:spPr>
                    <a:xfrm>
                      <a:off x="0" y="0"/>
                      <a:ext cx="4060190" cy="737870"/>
                    </a:xfrm>
                    <a:prstGeom prst="rect">
                      <a:avLst/>
                    </a:prstGeom>
                    <a:noFill/>
                    <a:ln>
                      <a:noFill/>
                    </a:ln>
                  </pic:spPr>
                </pic:pic>
              </a:graphicData>
            </a:graphic>
          </wp:inline>
        </w:drawing>
      </w:r>
    </w:p>
    <w:p w14:paraId="6B192929">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color w:val="auto"/>
          <w:sz w:val="24"/>
          <w:szCs w:val="24"/>
          <w:lang w:val="en-US" w:eastAsia="zh-CN"/>
        </w:rPr>
      </w:pPr>
      <w:r>
        <w:rPr>
          <w:rFonts w:hint="eastAsia" w:ascii="宋体" w:hAnsi="宋体" w:eastAsia="宋体" w:cs="宋体"/>
          <w:color w:val="auto"/>
          <w:sz w:val="24"/>
          <w:szCs w:val="24"/>
          <w:lang w:val="en-US" w:eastAsia="zh-CN"/>
        </w:rPr>
        <w:t>成本回复：已复核，工程为：1.68m2</w:t>
      </w:r>
    </w:p>
    <w:p w14:paraId="4EDC5C6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请问现场现场施工电梯或者室内电梯是否可以使用，怎么收费。</w:t>
      </w:r>
    </w:p>
    <w:p w14:paraId="266231D9">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工程回复：甲方不提供垂直运输设备，精装单位垂直运输措施自行在报价中综合考虑。室内电梯安装验收后由精装管理，每栋楼配电梯司机，费用单列。</w:t>
      </w:r>
    </w:p>
    <w:p w14:paraId="527CBC8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请贵司明确成品保护的标准。</w:t>
      </w:r>
    </w:p>
    <w:p w14:paraId="69B79585">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工程回复：公区墙砖阳角用pvc阳角条保护，大堂公区地面及楼梯间用木工板保护，室内施工电梯轿厢用木工板保护，由单位安装呼叫面板，其余未明确详见合同成品保护内容及制度要求。</w:t>
      </w:r>
    </w:p>
    <w:p w14:paraId="68E63E0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招标文件第11页：评标小组应首先核验投标人在投标文件中所附证明文件的原件，请问是标书中所有证明文件的原件都需要携带吗？若不是，请贵司明确下主要携带哪些原件？</w:t>
      </w:r>
    </w:p>
    <w:p w14:paraId="4E20D11D">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回复：主要指资质、业绩、拟派项目管理人员资格相关证书的原件</w:t>
      </w:r>
    </w:p>
    <w:p w14:paraId="751B4E7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招标文件第6页：2.2.8、近三年工程业绩的合同及战略协议（主要页复印件或扫描件）、中标通知书、验收意见书等证明材料；请问业绩资料合同、中标通知书、竣工验收三者是要同时具备还是只有其一即可？</w:t>
      </w:r>
    </w:p>
    <w:p w14:paraId="739AFF5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回复：以原版合同及电子扫描件合同为主，只有中标书合同未签的可提供中标书</w:t>
      </w:r>
    </w:p>
    <w:p w14:paraId="105441F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请贵司明确负一层大堂吊顶及墙面铝板厚度。</w:t>
      </w:r>
    </w:p>
    <w:p w14:paraId="2059F83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设计回复：</w:t>
      </w:r>
      <w:r>
        <w:rPr>
          <w:rFonts w:hint="eastAsia" w:asciiTheme="minorEastAsia" w:hAnsiTheme="minorEastAsia" w:cstheme="minorEastAsia"/>
          <w:b w:val="0"/>
          <w:bCs w:val="0"/>
          <w:color w:val="auto"/>
          <w:sz w:val="24"/>
          <w:szCs w:val="24"/>
          <w:lang w:val="en-US" w:eastAsia="zh-CN"/>
        </w:rPr>
        <w:t>吊顶为穿孔铝板，厚度2.5mm厚</w:t>
      </w:r>
    </w:p>
    <w:p w14:paraId="6A777A1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请贵司明确入户脚垫的规格尺寸及材质。</w:t>
      </w:r>
    </w:p>
    <w:p w14:paraId="38E6859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设计回复：</w:t>
      </w:r>
      <w:r>
        <w:rPr>
          <w:rFonts w:hint="eastAsia" w:asciiTheme="minorEastAsia" w:hAnsiTheme="minorEastAsia" w:cstheme="minorEastAsia"/>
          <w:b w:val="0"/>
          <w:bCs w:val="0"/>
          <w:color w:val="auto"/>
          <w:sz w:val="24"/>
          <w:szCs w:val="24"/>
          <w:lang w:val="en-US" w:eastAsia="zh-CN"/>
        </w:rPr>
        <w:t>详见样板段，具体尺寸需根据各个楼栋入户尺寸现场复尺后确认。</w:t>
      </w:r>
    </w:p>
    <w:p w14:paraId="0276BBB2">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cstheme="minorEastAsia"/>
          <w:b w:val="0"/>
          <w:bCs w:val="0"/>
          <w:color w:val="auto"/>
          <w:sz w:val="24"/>
          <w:szCs w:val="24"/>
          <w:lang w:val="en-US" w:eastAsia="zh-CN"/>
        </w:rPr>
      </w:pPr>
      <w:r>
        <w:rPr>
          <w:color w:val="auto"/>
        </w:rPr>
        <w:drawing>
          <wp:inline distT="0" distB="0" distL="114300" distR="114300">
            <wp:extent cx="2606040" cy="1332230"/>
            <wp:effectExtent l="0" t="0" r="0" b="889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25"/>
                    <a:stretch>
                      <a:fillRect/>
                    </a:stretch>
                  </pic:blipFill>
                  <pic:spPr>
                    <a:xfrm>
                      <a:off x="0" y="0"/>
                      <a:ext cx="2606040" cy="1332230"/>
                    </a:xfrm>
                    <a:prstGeom prst="rect">
                      <a:avLst/>
                    </a:prstGeom>
                    <a:noFill/>
                    <a:ln>
                      <a:noFill/>
                    </a:ln>
                  </pic:spPr>
                </pic:pic>
              </a:graphicData>
            </a:graphic>
          </wp:inline>
        </w:drawing>
      </w:r>
    </w:p>
    <w:p w14:paraId="4FAF04D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请贵司明确室内石材是否需要结晶？</w:t>
      </w:r>
    </w:p>
    <w:p w14:paraId="1A2E5C0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设计结合工程回复：</w:t>
      </w:r>
      <w:r>
        <w:rPr>
          <w:rFonts w:hint="eastAsia" w:asciiTheme="minorEastAsia" w:hAnsiTheme="minorEastAsia" w:cstheme="minorEastAsia"/>
          <w:b w:val="0"/>
          <w:bCs w:val="0"/>
          <w:color w:val="auto"/>
          <w:sz w:val="24"/>
          <w:szCs w:val="24"/>
          <w:lang w:val="en-US" w:eastAsia="zh-CN"/>
        </w:rPr>
        <w:t>需要</w:t>
      </w:r>
    </w:p>
    <w:p w14:paraId="73FF656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请贵司明确标准层公区不锈钢字体规格尺寸及厚度。</w:t>
      </w:r>
    </w:p>
    <w:p w14:paraId="737E3D5A">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设计回复：</w:t>
      </w:r>
      <w:r>
        <w:rPr>
          <w:rFonts w:hint="eastAsia" w:asciiTheme="minorEastAsia" w:hAnsiTheme="minorEastAsia" w:cstheme="minorEastAsia"/>
          <w:b w:val="0"/>
          <w:bCs w:val="0"/>
          <w:color w:val="auto"/>
          <w:sz w:val="24"/>
          <w:szCs w:val="24"/>
          <w:lang w:val="en-US" w:eastAsia="zh-CN"/>
        </w:rPr>
        <w:t>详见方案效果，220mm高，1.2mm厚不锈钢，具体需专业厂家后期深化。</w:t>
      </w:r>
    </w:p>
    <w:p w14:paraId="5ABACBBD">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请贵司提供建筑图以便我司复核楼层数量及核算楼梯间工程量。</w:t>
      </w:r>
    </w:p>
    <w:p w14:paraId="43DA9396">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设计回复：</w:t>
      </w:r>
      <w:r>
        <w:rPr>
          <w:rFonts w:hint="eastAsia" w:asciiTheme="minorEastAsia" w:hAnsiTheme="minorEastAsia" w:cstheme="minorEastAsia"/>
          <w:b w:val="0"/>
          <w:bCs w:val="0"/>
          <w:color w:val="auto"/>
          <w:sz w:val="24"/>
          <w:szCs w:val="24"/>
          <w:lang w:val="en-US" w:eastAsia="zh-CN"/>
        </w:rPr>
        <w:t>详见附件</w:t>
      </w:r>
    </w:p>
    <w:p w14:paraId="4F85BBC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请贵司提供地下室墙面ST-04石材的选型照片。</w:t>
      </w:r>
      <w:r>
        <w:rPr>
          <w:rFonts w:hint="eastAsia" w:ascii="宋体" w:hAnsi="宋体" w:eastAsia="宋体" w:cs="宋体"/>
          <w:color w:val="auto"/>
          <w:sz w:val="24"/>
          <w:szCs w:val="24"/>
          <w:lang w:val="en-US" w:eastAsia="zh-CN"/>
        </w:rPr>
        <w:tab/>
      </w:r>
      <w:r>
        <w:rPr>
          <w:rFonts w:hint="eastAsia" w:ascii="宋体" w:hAnsi="宋体" w:eastAsia="宋体" w:cs="宋体"/>
          <w:color w:val="auto"/>
          <w:sz w:val="24"/>
          <w:szCs w:val="24"/>
          <w:lang w:val="en-US" w:eastAsia="zh-CN"/>
        </w:rPr>
        <w:tab/>
      </w:r>
    </w:p>
    <w:p w14:paraId="14D001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设计回复：</w:t>
      </w:r>
    </w:p>
    <w:p w14:paraId="385DFC21">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color w:val="auto"/>
        </w:rPr>
        <w:drawing>
          <wp:inline distT="0" distB="0" distL="114300" distR="114300">
            <wp:extent cx="1175385" cy="1549400"/>
            <wp:effectExtent l="0" t="0" r="13335" b="508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6"/>
                    <a:stretch>
                      <a:fillRect/>
                    </a:stretch>
                  </pic:blipFill>
                  <pic:spPr>
                    <a:xfrm>
                      <a:off x="0" y="0"/>
                      <a:ext cx="1175385" cy="1549400"/>
                    </a:xfrm>
                    <a:prstGeom prst="rect">
                      <a:avLst/>
                    </a:prstGeom>
                    <a:noFill/>
                    <a:ln>
                      <a:noFill/>
                    </a:ln>
                  </pic:spPr>
                </pic:pic>
              </a:graphicData>
            </a:graphic>
          </wp:inline>
        </w:drawing>
      </w:r>
    </w:p>
    <w:p w14:paraId="77CEE91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anchor distT="0" distB="0" distL="114300" distR="114300" simplePos="0" relativeHeight="251661312" behindDoc="0" locked="0" layoutInCell="1" allowOverlap="1">
            <wp:simplePos x="0" y="0"/>
            <wp:positionH relativeFrom="column">
              <wp:posOffset>34925</wp:posOffset>
            </wp:positionH>
            <wp:positionV relativeFrom="paragraph">
              <wp:posOffset>409575</wp:posOffset>
            </wp:positionV>
            <wp:extent cx="747395" cy="894080"/>
            <wp:effectExtent l="0" t="0" r="14605" b="5080"/>
            <wp:wrapTopAndBottom/>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7"/>
                    <a:stretch>
                      <a:fillRect/>
                    </a:stretch>
                  </pic:blipFill>
                  <pic:spPr>
                    <a:xfrm>
                      <a:off x="0" y="0"/>
                      <a:ext cx="747395" cy="89408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1#地下精装大堂原建筑门垛新建工程量未计算该部位新建墙体，请问是否在我方施工范围内？</w:t>
      </w:r>
    </w:p>
    <w:p w14:paraId="63799DF8">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成本结合工程回复：</w:t>
      </w:r>
      <w:r>
        <w:rPr>
          <w:rFonts w:hint="eastAsia" w:asciiTheme="minorEastAsia" w:hAnsiTheme="minorEastAsia" w:eastAsiaTheme="minorEastAsia" w:cstheme="minorEastAsia"/>
          <w:color w:val="auto"/>
          <w:sz w:val="24"/>
          <w:szCs w:val="24"/>
        </w:rPr>
        <w:t>在精装修单位施工范围（所有涉及验收后拆改的墙地面及顶棚，已施工墙体由精装单位拆除，装修施工时按验收后的墙、地面铺贴及顶棚施工，涉及验收后拆除墙体采用轻钢龙骨隔墙做临时处理）</w:t>
      </w:r>
    </w:p>
    <w:p w14:paraId="0535FBA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如下图，清单编制说明显示踏步计算规则按照水平投影面积计算，经我司测算，实际清单踏步工程量以展开面积计算，请贵司明确以哪个面积计算。</w:t>
      </w:r>
    </w:p>
    <w:p w14:paraId="0DEFE5B2">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成本回复：已复核，已水平投影面积计算</w:t>
      </w:r>
    </w:p>
    <w:p w14:paraId="11133D9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anchor distT="0" distB="0" distL="114300" distR="114300" simplePos="0" relativeHeight="251666432" behindDoc="0" locked="0" layoutInCell="1" allowOverlap="1">
            <wp:simplePos x="0" y="0"/>
            <wp:positionH relativeFrom="column">
              <wp:posOffset>-150495</wp:posOffset>
            </wp:positionH>
            <wp:positionV relativeFrom="paragraph">
              <wp:posOffset>98425</wp:posOffset>
            </wp:positionV>
            <wp:extent cx="5268595" cy="432435"/>
            <wp:effectExtent l="0" t="0" r="4445" b="9525"/>
            <wp:wrapTopAndBottom/>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8"/>
                    <a:stretch>
                      <a:fillRect/>
                    </a:stretch>
                  </pic:blipFill>
                  <pic:spPr>
                    <a:xfrm>
                      <a:off x="0" y="0"/>
                      <a:ext cx="5268595" cy="432435"/>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如下图，1#地下精装大堂瓷砖地面清单描述地砖规格700*1500mm，图纸规格为750*1500mm，请贵司明确以哪个规格报价（墙面同理）。</w:t>
      </w:r>
    </w:p>
    <w:p w14:paraId="014945F7">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设计回复：</w:t>
      </w:r>
      <w:r>
        <w:rPr>
          <w:rFonts w:hint="eastAsia" w:asciiTheme="minorEastAsia" w:hAnsiTheme="minorEastAsia" w:eastAsiaTheme="minorEastAsia" w:cstheme="minorEastAsia"/>
          <w:color w:val="auto"/>
          <w:sz w:val="24"/>
          <w:szCs w:val="24"/>
        </w:rPr>
        <w:t>设计回复：按750*1500mm</w:t>
      </w:r>
    </w:p>
    <w:p w14:paraId="57B8B48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宋体" w:hAnsi="宋体" w:eastAsia="宋体" w:cs="宋体"/>
          <w:color w:val="auto"/>
          <w:sz w:val="24"/>
          <w:szCs w:val="24"/>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64770</wp:posOffset>
            </wp:positionV>
            <wp:extent cx="1689100" cy="663575"/>
            <wp:effectExtent l="0" t="0" r="2540" b="6985"/>
            <wp:wrapTopAndBottom/>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9"/>
                    <a:stretch>
                      <a:fillRect/>
                    </a:stretch>
                  </pic:blipFill>
                  <pic:spPr>
                    <a:xfrm>
                      <a:off x="0" y="0"/>
                      <a:ext cx="1689100" cy="663575"/>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28.如下图，招标文件墙地砖限定品牌位诺贝尔，物料表墙地砖品牌为马可波罗和威尔斯陶瓷 请贵司明确以哪个品牌报价。</w:t>
      </w:r>
      <w:r>
        <w:rPr>
          <w:rFonts w:hint="eastAsia" w:asciiTheme="minorEastAsia" w:hAnsiTheme="minorEastAsia" w:eastAsiaTheme="minorEastAsia" w:cstheme="minorEastAsia"/>
          <w:b w:val="0"/>
          <w:bCs w:val="0"/>
          <w:color w:val="auto"/>
          <w:sz w:val="24"/>
          <w:szCs w:val="24"/>
          <w:lang w:val="en-US" w:eastAsia="zh-CN"/>
        </w:rPr>
        <w:drawing>
          <wp:inline distT="0" distB="0" distL="114300" distR="114300">
            <wp:extent cx="3214370" cy="682625"/>
            <wp:effectExtent l="0" t="0" r="1270" b="317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0"/>
                    <a:stretch>
                      <a:fillRect/>
                    </a:stretch>
                  </pic:blipFill>
                  <pic:spPr>
                    <a:xfrm>
                      <a:off x="0" y="0"/>
                      <a:ext cx="3214370" cy="682625"/>
                    </a:xfrm>
                    <a:prstGeom prst="rect">
                      <a:avLst/>
                    </a:prstGeom>
                    <a:noFill/>
                    <a:ln>
                      <a:noFill/>
                    </a:ln>
                  </pic:spPr>
                </pic:pic>
              </a:graphicData>
            </a:graphic>
          </wp:inline>
        </w:drawing>
      </w:r>
      <w:r>
        <w:rPr>
          <w:rFonts w:hint="eastAsia" w:asciiTheme="minorEastAsia" w:hAnsiTheme="minorEastAsia" w:eastAsiaTheme="minorEastAsia" w:cstheme="minorEastAsia"/>
          <w:b w:val="0"/>
          <w:bCs w:val="0"/>
          <w:color w:val="auto"/>
          <w:sz w:val="24"/>
          <w:szCs w:val="24"/>
          <w:lang w:val="en-US" w:eastAsia="zh-CN"/>
        </w:rPr>
        <w:drawing>
          <wp:inline distT="0" distB="0" distL="114300" distR="114300">
            <wp:extent cx="1315720" cy="666115"/>
            <wp:effectExtent l="0" t="0" r="10160" b="444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1"/>
                    <a:stretch>
                      <a:fillRect/>
                    </a:stretch>
                  </pic:blipFill>
                  <pic:spPr>
                    <a:xfrm>
                      <a:off x="0" y="0"/>
                      <a:ext cx="1315720" cy="666115"/>
                    </a:xfrm>
                    <a:prstGeom prst="rect">
                      <a:avLst/>
                    </a:prstGeom>
                    <a:noFill/>
                    <a:ln>
                      <a:noFill/>
                    </a:ln>
                  </pic:spPr>
                </pic:pic>
              </a:graphicData>
            </a:graphic>
          </wp:inline>
        </w:drawing>
      </w:r>
    </w:p>
    <w:p w14:paraId="5FFBB3E1">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设计回复：</w:t>
      </w:r>
      <w:r>
        <w:rPr>
          <w:rFonts w:hint="eastAsia" w:asciiTheme="minorEastAsia" w:hAnsiTheme="minorEastAsia" w:eastAsiaTheme="minorEastAsia" w:cstheme="minorEastAsia"/>
          <w:color w:val="auto"/>
          <w:sz w:val="24"/>
          <w:szCs w:val="24"/>
        </w:rPr>
        <w:t>以诺贝尔品牌报价</w:t>
      </w:r>
    </w:p>
    <w:p w14:paraId="0B36973A">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请贵司明确1#地下精装大堂墙面亚克力发光字厚度及尺寸。</w:t>
      </w:r>
    </w:p>
    <w:p w14:paraId="20A12866">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设计回复：</w:t>
      </w:r>
      <w:r>
        <w:rPr>
          <w:rFonts w:hint="eastAsia" w:asciiTheme="minorEastAsia" w:hAnsiTheme="minorEastAsia" w:cstheme="minorEastAsia"/>
          <w:b w:val="0"/>
          <w:bCs w:val="0"/>
          <w:color w:val="auto"/>
          <w:sz w:val="24"/>
          <w:szCs w:val="24"/>
          <w:lang w:val="en-US" w:eastAsia="zh-CN"/>
        </w:rPr>
        <w:t>如下图示意，亚克力15mm厚</w:t>
      </w:r>
    </w:p>
    <w:p w14:paraId="1FC75BAF">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color w:val="auto"/>
        </w:rPr>
        <w:drawing>
          <wp:inline distT="0" distB="0" distL="114300" distR="114300">
            <wp:extent cx="743585" cy="957580"/>
            <wp:effectExtent l="0" t="0" r="3175" b="254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32"/>
                    <a:stretch>
                      <a:fillRect/>
                    </a:stretch>
                  </pic:blipFill>
                  <pic:spPr>
                    <a:xfrm>
                      <a:off x="0" y="0"/>
                      <a:ext cx="743585" cy="957580"/>
                    </a:xfrm>
                    <a:prstGeom prst="rect">
                      <a:avLst/>
                    </a:prstGeom>
                    <a:noFill/>
                    <a:ln>
                      <a:noFill/>
                    </a:ln>
                  </pic:spPr>
                </pic:pic>
              </a:graphicData>
            </a:graphic>
          </wp:inline>
        </w:drawing>
      </w:r>
    </w:p>
    <w:p w14:paraId="266F65B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请贵司明确1#地下精装大堂墙面古铜色不锈钢字体厚度及尺寸</w:t>
      </w:r>
    </w:p>
    <w:p w14:paraId="367AE248">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设计回复：</w:t>
      </w:r>
      <w:r>
        <w:rPr>
          <w:rFonts w:hint="eastAsia" w:asciiTheme="minorEastAsia" w:hAnsiTheme="minorEastAsia" w:cstheme="minorEastAsia"/>
          <w:b w:val="0"/>
          <w:bCs w:val="0"/>
          <w:color w:val="auto"/>
          <w:sz w:val="24"/>
          <w:szCs w:val="24"/>
          <w:lang w:val="en-US" w:eastAsia="zh-CN"/>
        </w:rPr>
        <w:t>1.2mm厚不锈钢</w:t>
      </w:r>
    </w:p>
    <w:p w14:paraId="23B2CCA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如下图，请问1#地下精装大堂顶面节点T-03-02灯槽处不锈钢是否漏项？并复核其他楼栋。</w:t>
      </w:r>
      <w:r>
        <w:rPr>
          <w:rFonts w:hint="eastAsia" w:ascii="宋体" w:hAnsi="宋体" w:eastAsia="宋体" w:cs="宋体"/>
          <w:color w:val="auto"/>
          <w:sz w:val="24"/>
          <w:szCs w:val="24"/>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442595</wp:posOffset>
            </wp:positionV>
            <wp:extent cx="1095375" cy="927735"/>
            <wp:effectExtent l="0" t="0" r="1905" b="1905"/>
            <wp:wrapTopAndBottom/>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3"/>
                    <a:stretch>
                      <a:fillRect/>
                    </a:stretch>
                  </pic:blipFill>
                  <pic:spPr>
                    <a:xfrm>
                      <a:off x="0" y="0"/>
                      <a:ext cx="1095375" cy="927735"/>
                    </a:xfrm>
                    <a:prstGeom prst="rect">
                      <a:avLst/>
                    </a:prstGeom>
                    <a:noFill/>
                    <a:ln>
                      <a:noFill/>
                    </a:ln>
                  </pic:spPr>
                </pic:pic>
              </a:graphicData>
            </a:graphic>
          </wp:anchor>
        </w:drawing>
      </w:r>
    </w:p>
    <w:p w14:paraId="52AA464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lang w:eastAsia="zh-CN"/>
        </w:rPr>
        <w:t>成本回复：</w:t>
      </w:r>
      <w:r>
        <w:rPr>
          <w:rFonts w:hint="eastAsia" w:asciiTheme="minorEastAsia" w:hAnsiTheme="minorEastAsia" w:eastAsiaTheme="minorEastAsia" w:cstheme="minorEastAsia"/>
          <w:color w:val="auto"/>
          <w:sz w:val="24"/>
          <w:szCs w:val="24"/>
          <w:lang w:val="en-US" w:eastAsia="zh-CN"/>
        </w:rPr>
        <w:t>此部分工程量已在不锈钢吊顶包含</w:t>
      </w:r>
    </w:p>
    <w:p w14:paraId="6DC647A3">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请贵司明确1#地下精装大堂墙面电动玻璃门玻璃的厚度及材质。</w:t>
      </w:r>
    </w:p>
    <w:p w14:paraId="4B9B7393">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设计结合工程回复：</w:t>
      </w:r>
      <w:r>
        <w:rPr>
          <w:rFonts w:hint="eastAsia" w:asciiTheme="minorEastAsia" w:hAnsiTheme="minorEastAsia" w:cstheme="minorEastAsia"/>
          <w:b w:val="0"/>
          <w:bCs w:val="0"/>
          <w:color w:val="auto"/>
          <w:sz w:val="24"/>
          <w:szCs w:val="24"/>
          <w:lang w:val="en-US" w:eastAsia="zh-CN"/>
        </w:rPr>
        <w:t>超白玻12mm厚</w:t>
      </w:r>
    </w:p>
    <w:p w14:paraId="605B478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如下图，请贵司明确效果图2#地下精装大堂墙面不锈钢字体是否在我方报价范围？并复核其他楼栋。</w:t>
      </w:r>
    </w:p>
    <w:p w14:paraId="15088CB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lang w:eastAsia="zh-CN"/>
        </w:rPr>
        <w:t>成本结合工程回复：</w:t>
      </w:r>
      <w:r>
        <w:rPr>
          <w:rFonts w:hint="eastAsia" w:asciiTheme="minorEastAsia" w:hAnsiTheme="minorEastAsia" w:eastAsiaTheme="minorEastAsia" w:cstheme="minorEastAsia"/>
          <w:color w:val="auto"/>
          <w:sz w:val="24"/>
          <w:szCs w:val="24"/>
          <w:lang w:val="en-US" w:eastAsia="zh-CN"/>
        </w:rPr>
        <w:t>在报价范围内</w:t>
      </w:r>
    </w:p>
    <w:p w14:paraId="4E62382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anchor distT="0" distB="0" distL="114300" distR="114300" simplePos="0" relativeHeight="251663360" behindDoc="0" locked="0" layoutInCell="1" allowOverlap="1">
            <wp:simplePos x="0" y="0"/>
            <wp:positionH relativeFrom="column">
              <wp:posOffset>135255</wp:posOffset>
            </wp:positionH>
            <wp:positionV relativeFrom="paragraph">
              <wp:posOffset>122555</wp:posOffset>
            </wp:positionV>
            <wp:extent cx="1410335" cy="1220470"/>
            <wp:effectExtent l="0" t="0" r="6985" b="13970"/>
            <wp:wrapTopAndBottom/>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4"/>
                    <a:stretch>
                      <a:fillRect/>
                    </a:stretch>
                  </pic:blipFill>
                  <pic:spPr>
                    <a:xfrm>
                      <a:off x="0" y="0"/>
                      <a:ext cx="1410335" cy="122047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清单中仅2#、5#、6#、7#、8#、9#一层精装大堂有入户脚垫，其他楼栋一层精装大堂是否没有入户脚垫？</w:t>
      </w:r>
    </w:p>
    <w:p w14:paraId="496CDDC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lang w:eastAsia="zh-CN"/>
        </w:rPr>
        <w:t>成本回复：</w:t>
      </w:r>
      <w:r>
        <w:rPr>
          <w:rFonts w:hint="eastAsia" w:asciiTheme="minorEastAsia" w:hAnsiTheme="minorEastAsia" w:eastAsiaTheme="minorEastAsia" w:cstheme="minorEastAsia"/>
          <w:color w:val="auto"/>
          <w:sz w:val="24"/>
          <w:szCs w:val="24"/>
          <w:lang w:val="en-US" w:eastAsia="zh-CN"/>
        </w:rPr>
        <w:t>已复核，图纸中未明确有入户脚垫</w:t>
      </w:r>
    </w:p>
    <w:p w14:paraId="5295245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2#标准层精装大堂墙面木饰面清单工程量为11.1m2,我司核算工程量为40.12m2，请贵司复核。</w:t>
      </w:r>
    </w:p>
    <w:p w14:paraId="5AC716E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lang w:eastAsia="zh-CN"/>
        </w:rPr>
        <w:t>成本回复：</w:t>
      </w:r>
      <w:r>
        <w:rPr>
          <w:rFonts w:hint="eastAsia" w:asciiTheme="minorEastAsia" w:hAnsiTheme="minorEastAsia" w:eastAsiaTheme="minorEastAsia" w:cstheme="minorEastAsia"/>
          <w:color w:val="auto"/>
          <w:sz w:val="24"/>
          <w:szCs w:val="24"/>
          <w:lang w:val="en-US" w:eastAsia="zh-CN"/>
        </w:rPr>
        <w:t>11.1m2工程量是一层，一共七层，总工程量为77.7m2</w:t>
      </w:r>
    </w:p>
    <w:p w14:paraId="47734ED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1#、3#、13#标准层精装大堂墙面木饰面清单单层工程量为7.56m2,我司核算工程量为8.34m2，请贵司复核。</w:t>
      </w:r>
    </w:p>
    <w:p w14:paraId="0333E9A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lang w:eastAsia="zh-CN"/>
        </w:rPr>
        <w:t>成本回复：</w:t>
      </w:r>
      <w:r>
        <w:rPr>
          <w:rFonts w:hint="eastAsia" w:asciiTheme="minorEastAsia" w:hAnsiTheme="minorEastAsia" w:eastAsiaTheme="minorEastAsia" w:cstheme="minorEastAsia"/>
          <w:color w:val="auto"/>
          <w:sz w:val="24"/>
          <w:szCs w:val="24"/>
          <w:lang w:val="en-US" w:eastAsia="zh-CN"/>
        </w:rPr>
        <w:t>已复核，无误</w:t>
      </w:r>
    </w:p>
    <w:p w14:paraId="605C806D">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1#、3#、13#标准层精装大堂墙面电梯门套清单单层工程量为1樘,我司核算工程量为2樘，请贵司复核。</w:t>
      </w:r>
    </w:p>
    <w:p w14:paraId="13E025E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lang w:eastAsia="zh-CN"/>
        </w:rPr>
        <w:t>成本回复：</w:t>
      </w:r>
      <w:r>
        <w:rPr>
          <w:rFonts w:hint="eastAsia" w:asciiTheme="minorEastAsia" w:hAnsiTheme="minorEastAsia" w:eastAsiaTheme="minorEastAsia" w:cstheme="minorEastAsia"/>
          <w:color w:val="auto"/>
          <w:sz w:val="24"/>
          <w:szCs w:val="24"/>
          <w:lang w:val="en-US" w:eastAsia="zh-CN"/>
        </w:rPr>
        <w:t>已复核，工程量为2樘</w:t>
      </w:r>
    </w:p>
    <w:p w14:paraId="4B0EA5D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如下图，1#、3#、13#标准层精装大堂墙面立面图纸E-01-04墙面墙砖需要干挂，请贵司补充干挂墙砖清单。</w:t>
      </w:r>
      <w:r>
        <w:rPr>
          <w:rFonts w:hint="eastAsia" w:ascii="宋体" w:hAnsi="宋体" w:eastAsia="宋体" w:cs="宋体"/>
          <w:color w:val="auto"/>
          <w:sz w:val="24"/>
          <w:szCs w:val="24"/>
          <w:lang w:val="en-US" w:eastAsia="zh-CN"/>
        </w:rPr>
        <w:drawing>
          <wp:anchor distT="0" distB="0" distL="114300" distR="114300" simplePos="0" relativeHeight="251665408" behindDoc="0" locked="0" layoutInCell="1" allowOverlap="1">
            <wp:simplePos x="0" y="0"/>
            <wp:positionH relativeFrom="column">
              <wp:posOffset>26670</wp:posOffset>
            </wp:positionH>
            <wp:positionV relativeFrom="paragraph">
              <wp:posOffset>60325</wp:posOffset>
            </wp:positionV>
            <wp:extent cx="3340100" cy="989330"/>
            <wp:effectExtent l="0" t="0" r="12700" b="1270"/>
            <wp:wrapTopAndBottom/>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35"/>
                    <a:stretch>
                      <a:fillRect/>
                    </a:stretch>
                  </pic:blipFill>
                  <pic:spPr>
                    <a:xfrm>
                      <a:off x="0" y="0"/>
                      <a:ext cx="3340100" cy="989330"/>
                    </a:xfrm>
                    <a:prstGeom prst="rect">
                      <a:avLst/>
                    </a:prstGeom>
                    <a:noFill/>
                    <a:ln>
                      <a:noFill/>
                    </a:ln>
                  </pic:spPr>
                </pic:pic>
              </a:graphicData>
            </a:graphic>
          </wp:anchor>
        </w:drawing>
      </w:r>
    </w:p>
    <w:p w14:paraId="7C5CB93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drawing>
          <wp:anchor distT="0" distB="0" distL="114300" distR="114300" simplePos="0" relativeHeight="251664384" behindDoc="0" locked="0" layoutInCell="1" allowOverlap="1">
            <wp:simplePos x="0" y="0"/>
            <wp:positionH relativeFrom="column">
              <wp:posOffset>-30480</wp:posOffset>
            </wp:positionH>
            <wp:positionV relativeFrom="paragraph">
              <wp:posOffset>310515</wp:posOffset>
            </wp:positionV>
            <wp:extent cx="2240915" cy="688975"/>
            <wp:effectExtent l="0" t="0" r="14605" b="12065"/>
            <wp:wrapTopAndBottom/>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6"/>
                    <a:stretch>
                      <a:fillRect/>
                    </a:stretch>
                  </pic:blipFill>
                  <pic:spPr>
                    <a:xfrm>
                      <a:off x="0" y="0"/>
                      <a:ext cx="2240915" cy="688975"/>
                    </a:xfrm>
                    <a:prstGeom prst="rect">
                      <a:avLst/>
                    </a:prstGeom>
                    <a:noFill/>
                    <a:ln>
                      <a:noFill/>
                    </a:ln>
                  </pic:spPr>
                </pic:pic>
              </a:graphicData>
            </a:graphic>
          </wp:anchor>
        </w:drawing>
      </w:r>
      <w:r>
        <w:rPr>
          <w:rFonts w:hint="eastAsia" w:asciiTheme="minorEastAsia" w:hAnsiTheme="minorEastAsia" w:eastAsiaTheme="minorEastAsia" w:cstheme="minorEastAsia"/>
          <w:color w:val="auto"/>
          <w:sz w:val="24"/>
          <w:szCs w:val="24"/>
          <w:lang w:val="en-US" w:eastAsia="zh-CN"/>
        </w:rPr>
        <w:t>设计回复</w:t>
      </w:r>
      <w:r>
        <w:rPr>
          <w:rFonts w:hint="eastAsia" w:asciiTheme="minorEastAsia" w:hAnsi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CN"/>
        </w:rPr>
        <w:t>低于3.2mm墙面为</w:t>
      </w:r>
      <w:r>
        <w:rPr>
          <w:rFonts w:hint="eastAsia" w:asciiTheme="minorEastAsia" w:hAnsiTheme="minorEastAsia" w:eastAsiaTheme="minorEastAsia" w:cstheme="minorEastAsia"/>
          <w:color w:val="auto"/>
          <w:sz w:val="24"/>
          <w:szCs w:val="24"/>
        </w:rPr>
        <w:drawing>
          <wp:inline distT="0" distB="0" distL="114300" distR="114300">
            <wp:extent cx="3530600" cy="560070"/>
            <wp:effectExtent l="0" t="0" r="508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7"/>
                    <a:stretch>
                      <a:fillRect/>
                    </a:stretch>
                  </pic:blipFill>
                  <pic:spPr>
                    <a:xfrm>
                      <a:off x="0" y="0"/>
                      <a:ext cx="3530600" cy="560070"/>
                    </a:xfrm>
                    <a:prstGeom prst="rect">
                      <a:avLst/>
                    </a:prstGeom>
                    <a:noFill/>
                    <a:ln>
                      <a:noFill/>
                    </a:ln>
                  </pic:spPr>
                </pic:pic>
              </a:graphicData>
            </a:graphic>
          </wp:inline>
        </w:drawing>
      </w:r>
    </w:p>
    <w:p w14:paraId="46515C3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rPr>
        <w:drawing>
          <wp:anchor distT="0" distB="0" distL="114300" distR="114300" simplePos="0" relativeHeight="251668480" behindDoc="0" locked="0" layoutInCell="1" allowOverlap="1">
            <wp:simplePos x="0" y="0"/>
            <wp:positionH relativeFrom="column">
              <wp:posOffset>22860</wp:posOffset>
            </wp:positionH>
            <wp:positionV relativeFrom="paragraph">
              <wp:posOffset>506095</wp:posOffset>
            </wp:positionV>
            <wp:extent cx="3413125" cy="381000"/>
            <wp:effectExtent l="0" t="0" r="635" b="0"/>
            <wp:wrapTopAndBottom/>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8"/>
                    <a:stretch>
                      <a:fillRect/>
                    </a:stretch>
                  </pic:blipFill>
                  <pic:spPr>
                    <a:xfrm>
                      <a:off x="0" y="0"/>
                      <a:ext cx="3413125" cy="38100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如下图，6#、7#、8#、9#标准层精装大堂入户脚垫的工程描述有误，请贵司调清单。</w:t>
      </w:r>
    </w:p>
    <w:p w14:paraId="2469C5C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lang w:eastAsia="zh-CN"/>
        </w:rPr>
        <w:t>成本回复：</w:t>
      </w:r>
      <w:r>
        <w:rPr>
          <w:rFonts w:hint="eastAsia" w:asciiTheme="minorEastAsia" w:hAnsiTheme="minorEastAsia" w:eastAsiaTheme="minorEastAsia" w:cstheme="minorEastAsia"/>
          <w:color w:val="auto"/>
          <w:sz w:val="24"/>
          <w:szCs w:val="24"/>
          <w:lang w:val="en-US" w:eastAsia="zh-CN"/>
        </w:rPr>
        <w:t>已复核，描述已修改</w:t>
      </w:r>
    </w:p>
    <w:p w14:paraId="0B3E40E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28.10#、12#标准层精装大堂湿贴瓷砖墙面清单工程量为242.00m2，我司测算工程量为250.98，请贵司复核。</w:t>
      </w:r>
    </w:p>
    <w:p w14:paraId="0034F6A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lang w:eastAsia="zh-CN"/>
        </w:rPr>
        <w:t>成本回复：</w:t>
      </w:r>
      <w:r>
        <w:rPr>
          <w:rFonts w:hint="eastAsia" w:asciiTheme="minorEastAsia" w:hAnsiTheme="minorEastAsia" w:eastAsiaTheme="minorEastAsia" w:cstheme="minorEastAsia"/>
          <w:color w:val="auto"/>
          <w:sz w:val="24"/>
          <w:szCs w:val="24"/>
          <w:lang w:val="en-US" w:eastAsia="zh-CN"/>
        </w:rPr>
        <w:t>已复核无误</w:t>
      </w:r>
    </w:p>
    <w:p w14:paraId="749764E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请问11#标准层精装大堂入户脚垫是否漏项？</w:t>
      </w:r>
    </w:p>
    <w:p w14:paraId="776CE7E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lang w:eastAsia="zh-CN"/>
        </w:rPr>
        <w:t>成本回复：</w:t>
      </w:r>
      <w:r>
        <w:rPr>
          <w:rFonts w:hint="eastAsia" w:asciiTheme="minorEastAsia" w:hAnsiTheme="minorEastAsia" w:eastAsiaTheme="minorEastAsia" w:cstheme="minorEastAsia"/>
          <w:color w:val="auto"/>
          <w:sz w:val="24"/>
          <w:szCs w:val="24"/>
          <w:lang w:val="en-US" w:eastAsia="zh-CN"/>
        </w:rPr>
        <w:t>已复核，入户脚垫未漏项，图纸未明确</w:t>
      </w:r>
    </w:p>
    <w:p w14:paraId="60E3F8A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如下图，1#楼单元入口不锈钢饰面工程量有差异，请贵司复核，并复核其他楼栋。</w:t>
      </w:r>
    </w:p>
    <w:p w14:paraId="7473FB9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5273040" cy="754380"/>
            <wp:effectExtent l="0" t="0" r="0" b="762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9"/>
                    <a:stretch>
                      <a:fillRect/>
                    </a:stretch>
                  </pic:blipFill>
                  <pic:spPr>
                    <a:xfrm>
                      <a:off x="0" y="0"/>
                      <a:ext cx="5273040" cy="754380"/>
                    </a:xfrm>
                    <a:prstGeom prst="rect">
                      <a:avLst/>
                    </a:prstGeom>
                    <a:noFill/>
                    <a:ln>
                      <a:noFill/>
                    </a:ln>
                  </pic:spPr>
                </pic:pic>
              </a:graphicData>
            </a:graphic>
          </wp:inline>
        </w:drawing>
      </w:r>
    </w:p>
    <w:p w14:paraId="5BF59D9D">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成本回复：</w:t>
      </w:r>
      <w:r>
        <w:rPr>
          <w:rFonts w:hint="eastAsia" w:asciiTheme="minorEastAsia" w:hAnsiTheme="minorEastAsia" w:eastAsiaTheme="minorEastAsia" w:cstheme="minorEastAsia"/>
          <w:color w:val="auto"/>
          <w:sz w:val="24"/>
          <w:szCs w:val="24"/>
          <w:lang w:val="en-US" w:eastAsia="zh-CN"/>
        </w:rPr>
        <w:t>已复核，已修改</w:t>
      </w:r>
    </w:p>
    <w:p w14:paraId="796E35D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图纸1#楼地下室、首层及标准层步梯间到电梯间区域图纸显示防火门及电梯地面铺装图显示为地砖通铺，请问是否需要增加过门石铺贴？请明确。</w:t>
      </w:r>
    </w:p>
    <w:p w14:paraId="63CDA78F">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583690" cy="1374775"/>
            <wp:effectExtent l="0" t="0" r="1270" b="1206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0"/>
                    <a:stretch>
                      <a:fillRect/>
                    </a:stretch>
                  </pic:blipFill>
                  <pic:spPr>
                    <a:xfrm>
                      <a:off x="0" y="0"/>
                      <a:ext cx="1583690" cy="1374775"/>
                    </a:xfrm>
                    <a:prstGeom prst="rect">
                      <a:avLst/>
                    </a:prstGeom>
                    <a:noFill/>
                    <a:ln>
                      <a:noFill/>
                    </a:ln>
                  </pic:spPr>
                </pic:pic>
              </a:graphicData>
            </a:graphic>
          </wp:inline>
        </w:drawing>
      </w:r>
      <w:r>
        <w:rPr>
          <w:rFonts w:hint="eastAsia" w:asciiTheme="minorEastAsia" w:hAnsiTheme="minorEastAsia" w:eastAsiaTheme="minorEastAsia" w:cstheme="minorEastAsia"/>
          <w:color w:val="auto"/>
          <w:sz w:val="24"/>
          <w:szCs w:val="24"/>
        </w:rPr>
        <w:drawing>
          <wp:inline distT="0" distB="0" distL="114300" distR="114300">
            <wp:extent cx="1899920" cy="1363980"/>
            <wp:effectExtent l="0" t="0" r="5080"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1"/>
                    <a:stretch>
                      <a:fillRect/>
                    </a:stretch>
                  </pic:blipFill>
                  <pic:spPr>
                    <a:xfrm>
                      <a:off x="0" y="0"/>
                      <a:ext cx="1899920" cy="1363980"/>
                    </a:xfrm>
                    <a:prstGeom prst="rect">
                      <a:avLst/>
                    </a:prstGeom>
                    <a:noFill/>
                    <a:ln>
                      <a:noFill/>
                    </a:ln>
                  </pic:spPr>
                </pic:pic>
              </a:graphicData>
            </a:graphic>
          </wp:inline>
        </w:drawing>
      </w:r>
    </w:p>
    <w:p w14:paraId="080B471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工程结合设计回复：</w:t>
      </w:r>
      <w:r>
        <w:rPr>
          <w:rFonts w:hint="eastAsia" w:asciiTheme="minorEastAsia" w:hAnsiTheme="minorEastAsia" w:eastAsiaTheme="minorEastAsia" w:cstheme="minorEastAsia"/>
          <w:color w:val="auto"/>
          <w:sz w:val="24"/>
          <w:szCs w:val="24"/>
        </w:rPr>
        <w:t>后期由单位排版深化增加同地砖规格过门石，如增加费用综合考虑。</w:t>
      </w:r>
    </w:p>
    <w:p w14:paraId="1352700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图纸中6#7#8#9#10#12#楼中首层每个单元电动感应门均为2个，电动门机组安装也应为2个，招标清单中工程量为1个，是否遗漏工程量？电机品牌型号也请明确。</w:t>
      </w:r>
    </w:p>
    <w:p w14:paraId="6B4B999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673860" cy="788035"/>
            <wp:effectExtent l="0" t="0" r="2540" b="44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2"/>
                    <a:stretch>
                      <a:fillRect/>
                    </a:stretch>
                  </pic:blipFill>
                  <pic:spPr>
                    <a:xfrm>
                      <a:off x="0" y="0"/>
                      <a:ext cx="1673860" cy="788035"/>
                    </a:xfrm>
                    <a:prstGeom prst="rect">
                      <a:avLst/>
                    </a:prstGeom>
                    <a:noFill/>
                    <a:ln>
                      <a:noFill/>
                    </a:ln>
                  </pic:spPr>
                </pic:pic>
              </a:graphicData>
            </a:graphic>
          </wp:inline>
        </w:drawing>
      </w:r>
      <w:r>
        <w:rPr>
          <w:rFonts w:hint="eastAsia" w:asciiTheme="minorEastAsia" w:hAnsiTheme="minorEastAsia" w:eastAsiaTheme="minorEastAsia" w:cstheme="minorEastAsia"/>
          <w:color w:val="auto"/>
          <w:sz w:val="24"/>
          <w:szCs w:val="24"/>
        </w:rPr>
        <w:drawing>
          <wp:inline distT="0" distB="0" distL="114300" distR="114300">
            <wp:extent cx="2210435" cy="784860"/>
            <wp:effectExtent l="0" t="0" r="14605" b="762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43"/>
                    <a:stretch>
                      <a:fillRect/>
                    </a:stretch>
                  </pic:blipFill>
                  <pic:spPr>
                    <a:xfrm>
                      <a:off x="0" y="0"/>
                      <a:ext cx="2210435" cy="784860"/>
                    </a:xfrm>
                    <a:prstGeom prst="rect">
                      <a:avLst/>
                    </a:prstGeom>
                    <a:noFill/>
                    <a:ln>
                      <a:noFill/>
                    </a:ln>
                  </pic:spPr>
                </pic:pic>
              </a:graphicData>
            </a:graphic>
          </wp:inline>
        </w:drawing>
      </w:r>
    </w:p>
    <w:p w14:paraId="55D7472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成本结合设计回复：</w:t>
      </w:r>
      <w:r>
        <w:rPr>
          <w:rFonts w:hint="eastAsia" w:asciiTheme="minorEastAsia" w:hAnsiTheme="minorEastAsia" w:eastAsiaTheme="minorEastAsia" w:cstheme="minorEastAsia"/>
          <w:color w:val="auto"/>
          <w:sz w:val="24"/>
          <w:szCs w:val="24"/>
          <w:lang w:val="en-US" w:eastAsia="zh-CN"/>
        </w:rPr>
        <w:t>已复核，工程量为2个</w:t>
      </w:r>
    </w:p>
    <w:p w14:paraId="40793AC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所有图纸中灯具安装部分图纸中显示有微波雷达感应开关，清单中并没有此项，是否遗漏？请明确。</w:t>
      </w:r>
    </w:p>
    <w:p w14:paraId="60D78AC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771525" cy="629920"/>
            <wp:effectExtent l="0" t="0" r="5715" b="1016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4"/>
                    <a:stretch>
                      <a:fillRect/>
                    </a:stretch>
                  </pic:blipFill>
                  <pic:spPr>
                    <a:xfrm>
                      <a:off x="0" y="0"/>
                      <a:ext cx="771525" cy="629920"/>
                    </a:xfrm>
                    <a:prstGeom prst="rect">
                      <a:avLst/>
                    </a:prstGeom>
                    <a:noFill/>
                    <a:ln>
                      <a:noFill/>
                    </a:ln>
                  </pic:spPr>
                </pic:pic>
              </a:graphicData>
            </a:graphic>
          </wp:inline>
        </w:drawing>
      </w:r>
      <w:r>
        <w:rPr>
          <w:rFonts w:hint="eastAsia" w:asciiTheme="minorEastAsia" w:hAnsiTheme="minorEastAsia" w:eastAsiaTheme="minorEastAsia" w:cstheme="minorEastAsia"/>
          <w:color w:val="auto"/>
          <w:sz w:val="24"/>
          <w:szCs w:val="24"/>
        </w:rPr>
        <w:drawing>
          <wp:inline distT="0" distB="0" distL="114300" distR="114300">
            <wp:extent cx="3115310" cy="545465"/>
            <wp:effectExtent l="0" t="0" r="8890" b="317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5"/>
                    <a:stretch>
                      <a:fillRect/>
                    </a:stretch>
                  </pic:blipFill>
                  <pic:spPr>
                    <a:xfrm>
                      <a:off x="0" y="0"/>
                      <a:ext cx="3115310" cy="545465"/>
                    </a:xfrm>
                    <a:prstGeom prst="rect">
                      <a:avLst/>
                    </a:prstGeom>
                    <a:noFill/>
                    <a:ln>
                      <a:noFill/>
                    </a:ln>
                  </pic:spPr>
                </pic:pic>
              </a:graphicData>
            </a:graphic>
          </wp:inline>
        </w:drawing>
      </w:r>
    </w:p>
    <w:p w14:paraId="09BF71F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成本回复：</w:t>
      </w:r>
      <w:r>
        <w:rPr>
          <w:rFonts w:hint="eastAsia" w:asciiTheme="minorEastAsia" w:hAnsiTheme="minorEastAsia" w:eastAsiaTheme="minorEastAsia" w:cstheme="minorEastAsia"/>
          <w:color w:val="auto"/>
          <w:sz w:val="24"/>
          <w:szCs w:val="24"/>
          <w:lang w:val="en-US" w:eastAsia="zh-CN"/>
        </w:rPr>
        <w:t>增加雷达感应开关清单，已标注颜色，修改后清单随本次答疑一并发送</w:t>
      </w:r>
    </w:p>
    <w:p w14:paraId="1CC0547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安装部分线路连线图中电井配电箱至电感门电源管线及电井部分管线外引没有明确线路图，请补充。</w:t>
      </w:r>
    </w:p>
    <w:p w14:paraId="3314E94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2506980" cy="807085"/>
            <wp:effectExtent l="0" t="0" r="7620"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6"/>
                    <a:stretch>
                      <a:fillRect/>
                    </a:stretch>
                  </pic:blipFill>
                  <pic:spPr>
                    <a:xfrm>
                      <a:off x="0" y="0"/>
                      <a:ext cx="2506980" cy="807085"/>
                    </a:xfrm>
                    <a:prstGeom prst="rect">
                      <a:avLst/>
                    </a:prstGeom>
                    <a:noFill/>
                    <a:ln>
                      <a:noFill/>
                    </a:ln>
                  </pic:spPr>
                </pic:pic>
              </a:graphicData>
            </a:graphic>
          </wp:inline>
        </w:drawing>
      </w:r>
      <w:r>
        <w:rPr>
          <w:rFonts w:hint="eastAsia" w:asciiTheme="minorEastAsia" w:hAnsiTheme="minorEastAsia" w:eastAsiaTheme="minorEastAsia" w:cstheme="minorEastAsia"/>
          <w:color w:val="auto"/>
          <w:sz w:val="24"/>
          <w:szCs w:val="24"/>
        </w:rPr>
        <w:drawing>
          <wp:inline distT="0" distB="0" distL="114300" distR="114300">
            <wp:extent cx="1591310" cy="863600"/>
            <wp:effectExtent l="0" t="0" r="8890" b="508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7"/>
                    <a:stretch>
                      <a:fillRect/>
                    </a:stretch>
                  </pic:blipFill>
                  <pic:spPr>
                    <a:xfrm>
                      <a:off x="0" y="0"/>
                      <a:ext cx="1591310" cy="863600"/>
                    </a:xfrm>
                    <a:prstGeom prst="rect">
                      <a:avLst/>
                    </a:prstGeom>
                    <a:noFill/>
                    <a:ln>
                      <a:noFill/>
                    </a:ln>
                  </pic:spPr>
                </pic:pic>
              </a:graphicData>
            </a:graphic>
          </wp:inline>
        </w:drawing>
      </w:r>
    </w:p>
    <w:p w14:paraId="3BF05A6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设计回复：</w:t>
      </w:r>
      <w:r>
        <w:rPr>
          <w:rFonts w:hint="eastAsia" w:asciiTheme="minorEastAsia" w:hAnsiTheme="minorEastAsia" w:cstheme="minorEastAsia"/>
          <w:color w:val="auto"/>
          <w:sz w:val="24"/>
          <w:szCs w:val="24"/>
          <w:lang w:val="en-US" w:eastAsia="zh-CN"/>
        </w:rPr>
        <w:t>详见照面连线图，开关控制。开关接入电井电箱。</w:t>
      </w:r>
    </w:p>
    <w:p w14:paraId="00BF692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图纸中首层每个单元电动感应门需要预留网络电源线，图纸清单中并未提及，请明确。</w:t>
      </w:r>
    </w:p>
    <w:p w14:paraId="261861D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drawing>
          <wp:inline distT="0" distB="0" distL="114300" distR="114300">
            <wp:extent cx="2518410" cy="1185545"/>
            <wp:effectExtent l="0" t="0" r="11430" b="317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2"/>
                    <a:stretch>
                      <a:fillRect/>
                    </a:stretch>
                  </pic:blipFill>
                  <pic:spPr>
                    <a:xfrm>
                      <a:off x="0" y="0"/>
                      <a:ext cx="2518410" cy="1185545"/>
                    </a:xfrm>
                    <a:prstGeom prst="rect">
                      <a:avLst/>
                    </a:prstGeom>
                    <a:noFill/>
                    <a:ln>
                      <a:noFill/>
                    </a:ln>
                  </pic:spPr>
                </pic:pic>
              </a:graphicData>
            </a:graphic>
          </wp:inline>
        </w:drawing>
      </w:r>
    </w:p>
    <w:p w14:paraId="4B8B6D7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成本回复：清单中已包含，配电箱至电感门电源管线按设计回复PVC20，WDZ-BYJ-3*4计入</w:t>
      </w:r>
    </w:p>
    <w:p w14:paraId="1F808A6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根据招标文件及清单要求，本项目为固定总价模式，需要核算工程量清单，时间较紧张，能否延期开标？</w:t>
      </w:r>
    </w:p>
    <w:p w14:paraId="03C7401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回复：开标时间27日下午两点半</w:t>
      </w:r>
    </w:p>
    <w:p w14:paraId="700E7B0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请补充清单中单元入口处外装饰面图纸（平立剖面图）</w:t>
      </w:r>
    </w:p>
    <w:p w14:paraId="6A310EE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设计回复：</w:t>
      </w:r>
    </w:p>
    <w:p w14:paraId="1479A6C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12号楼无图纸，请补充图纸，或者是否和10号楼工程量一样？</w:t>
      </w:r>
    </w:p>
    <w:p w14:paraId="2E12DD6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成本回复：同10号楼工程量</w:t>
      </w:r>
    </w:p>
    <w:p w14:paraId="3917D00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材料表中已备注供货商联系方式的材料，我们是否必须在此家单位询价并采购？</w:t>
      </w:r>
    </w:p>
    <w:p w14:paraId="6F84353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设计回复：否，按招标文件及招标清单要求</w:t>
      </w:r>
    </w:p>
    <w:p w14:paraId="0CC7A3B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已经明确了品牌和型号的材料，我们是否还需要准备样品（如提供样品，是让以上供应商提供？还是我们自行推荐？）</w:t>
      </w:r>
    </w:p>
    <w:p w14:paraId="4B0EAE5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设计回复：按招标文件及招标清单要求，投标人自行提供报价对应样品，现场已施工有样板，需踏勘现场。</w:t>
      </w:r>
    </w:p>
    <w:p w14:paraId="6DA07EB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招标清单负一层大堂第206、273、337项合计关联有误，请核实；</w:t>
      </w:r>
    </w:p>
    <w:p w14:paraId="562EDFD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成本回复：已复核，已修改</w:t>
      </w:r>
    </w:p>
    <w:p w14:paraId="0E7ECA5D">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招标清单一层大堂 第274项合计关联有误，请核实；</w:t>
      </w:r>
    </w:p>
    <w:p w14:paraId="3FB9821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成本回复：已复核，已修改</w:t>
      </w:r>
    </w:p>
    <w:p w14:paraId="0ADDDB8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招标清单夹层公区 第27项合计关联有误，请核实；</w:t>
      </w:r>
    </w:p>
    <w:p w14:paraId="0360517A">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成本回复：已复核，已修改</w:t>
      </w:r>
    </w:p>
    <w:p w14:paraId="00018308">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招标清单软装部分挂画、矮榻、落地灯、入户脚垫请提供样式、材质及尺寸；</w:t>
      </w:r>
    </w:p>
    <w:p w14:paraId="46859129">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设计回复：</w:t>
      </w:r>
      <w:r>
        <w:rPr>
          <w:rFonts w:hint="eastAsia" w:asciiTheme="minorEastAsia" w:hAnsiTheme="minorEastAsia" w:cstheme="minorEastAsia"/>
          <w:color w:val="auto"/>
          <w:sz w:val="24"/>
          <w:szCs w:val="24"/>
          <w:lang w:val="en-US" w:eastAsia="zh-CN"/>
        </w:rPr>
        <w:t>不包含在本次招标范围，清单已调整</w:t>
      </w:r>
    </w:p>
    <w:p w14:paraId="7790815C">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不锈钢电梯门套0.4mm厚，厚度太薄，是否调整厚度？</w:t>
      </w:r>
    </w:p>
    <w:p w14:paraId="4780528A">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设计回复：</w:t>
      </w:r>
      <w:r>
        <w:rPr>
          <w:rFonts w:hint="eastAsia" w:asciiTheme="minorEastAsia" w:hAnsiTheme="minorEastAsia" w:eastAsiaTheme="minorEastAsia" w:cstheme="minorEastAsia"/>
          <w:color w:val="auto"/>
          <w:sz w:val="24"/>
          <w:szCs w:val="24"/>
          <w:lang w:val="en-US" w:eastAsia="zh-CN"/>
        </w:rPr>
        <w:t>不锈钢均为304，1.2mm厚，无0.4mm厚</w:t>
      </w:r>
    </w:p>
    <w:p w14:paraId="022FD5B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项目为整体交付还是分批次交付，请明确；</w:t>
      </w:r>
    </w:p>
    <w:p w14:paraId="41FD1D8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工程回复：</w:t>
      </w:r>
      <w:r>
        <w:rPr>
          <w:rFonts w:hint="eastAsia" w:asciiTheme="minorEastAsia" w:hAnsiTheme="minorEastAsia" w:cstheme="minorEastAsia"/>
          <w:color w:val="auto"/>
          <w:sz w:val="24"/>
          <w:szCs w:val="24"/>
          <w:lang w:val="en-US" w:eastAsia="zh-CN"/>
        </w:rPr>
        <w:t>整体交付</w:t>
      </w:r>
    </w:p>
    <w:p w14:paraId="6C4A2A6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水电如何计费？</w:t>
      </w:r>
    </w:p>
    <w:p w14:paraId="714FA6C2">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回复：乙方直接交给总包</w:t>
      </w:r>
    </w:p>
    <w:p w14:paraId="2AE7165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施工垃圾归置在场内指定位置还是由是施工方直接外运？如归置在指定位置是否收费费用？请明确。</w:t>
      </w:r>
    </w:p>
    <w:p w14:paraId="77A47B4C">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工程回复：</w:t>
      </w:r>
      <w:r>
        <w:rPr>
          <w:rFonts w:hint="eastAsia" w:asciiTheme="minorEastAsia" w:hAnsiTheme="minorEastAsia" w:cstheme="minorEastAsia"/>
          <w:color w:val="auto"/>
          <w:sz w:val="24"/>
          <w:szCs w:val="24"/>
          <w:lang w:val="en-US" w:eastAsia="zh-CN"/>
        </w:rPr>
        <w:t>垃圾由施工方自行处置。</w:t>
      </w:r>
    </w:p>
    <w:p w14:paraId="3A76DC0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水电接驳点是否在施工楼栋内？如不在，请简述接驳点到施工楼栋的距离。</w:t>
      </w:r>
    </w:p>
    <w:p w14:paraId="75D000B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工程回复：</w:t>
      </w:r>
      <w:r>
        <w:rPr>
          <w:rFonts w:hint="eastAsia" w:asciiTheme="minorEastAsia" w:hAnsiTheme="minorEastAsia" w:cstheme="minorEastAsia"/>
          <w:color w:val="auto"/>
          <w:sz w:val="24"/>
          <w:szCs w:val="24"/>
          <w:lang w:val="en-US" w:eastAsia="zh-CN"/>
        </w:rPr>
        <w:t>水电接驳点在楼栋内</w:t>
      </w:r>
    </w:p>
    <w:p w14:paraId="165C732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施工过程中的施工用电配电箱在楼栋中，每隔几层设置一个？</w:t>
      </w:r>
    </w:p>
    <w:p w14:paraId="25A9A12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工程结合设计回复：施工单位需至少3层配备一个电箱</w:t>
      </w:r>
    </w:p>
    <w:p w14:paraId="3915D83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施工过程中上料电梯能否正常使用，是否收费？</w:t>
      </w:r>
    </w:p>
    <w:p w14:paraId="1A2CC852">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工程回复：</w:t>
      </w:r>
      <w:r>
        <w:rPr>
          <w:rFonts w:hint="eastAsia" w:asciiTheme="minorEastAsia" w:hAnsiTheme="minorEastAsia" w:eastAsiaTheme="minorEastAsia" w:cstheme="minorEastAsia"/>
          <w:color w:val="auto"/>
          <w:sz w:val="24"/>
          <w:szCs w:val="24"/>
        </w:rPr>
        <w:t>甲方不提供垂直运输设备，精装单位垂直运输措施自行在报价中综合考虑。室内电梯安装验收后由精装管理，每栋楼配电梯司机，费用单列。</w:t>
      </w:r>
    </w:p>
    <w:p w14:paraId="3B021BC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现场是否可以协调空地或者总包临时房用于住宿？</w:t>
      </w:r>
    </w:p>
    <w:p w14:paraId="794D332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工程回复：目前现场不具备工人住宿条件</w:t>
      </w:r>
    </w:p>
    <w:p w14:paraId="0CEE61F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现场是否每栋楼都有材料堆放点且免费使用。</w:t>
      </w:r>
    </w:p>
    <w:p w14:paraId="502984C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工程回复：材料堆放按现场管理要求堆放，不收费。</w:t>
      </w:r>
    </w:p>
    <w:p w14:paraId="34D451D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如下图，夹层公区工程量表格部分已经乘了单元数，汇总表又乘了单元数，是否有误？</w:t>
      </w:r>
    </w:p>
    <w:p w14:paraId="74495AB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成本回复：已复核，以设计回复计入 </w:t>
      </w:r>
    </w:p>
    <w:p w14:paraId="75CFAD79">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8" w:lineRule="auto"/>
        <w:jc w:val="left"/>
        <w:textAlignment w:val="auto"/>
        <w:rPr>
          <w:rFonts w:hint="default" w:ascii="宋体" w:hAnsi="宋体" w:cs="宋体"/>
          <w:b w:val="0"/>
          <w:bCs w:val="0"/>
          <w:color w:val="auto"/>
          <w:sz w:val="28"/>
          <w:szCs w:val="28"/>
          <w:lang w:val="en-US" w:eastAsia="zh-CN"/>
        </w:rPr>
      </w:pPr>
      <w:r>
        <w:rPr>
          <w:color w:val="auto"/>
        </w:rPr>
        <w:drawing>
          <wp:inline distT="0" distB="0" distL="114300" distR="114300">
            <wp:extent cx="1419225" cy="582930"/>
            <wp:effectExtent l="0" t="0" r="13335" b="1143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48"/>
                    <a:stretch>
                      <a:fillRect/>
                    </a:stretch>
                  </pic:blipFill>
                  <pic:spPr>
                    <a:xfrm>
                      <a:off x="0" y="0"/>
                      <a:ext cx="1419225" cy="582930"/>
                    </a:xfrm>
                    <a:prstGeom prst="rect">
                      <a:avLst/>
                    </a:prstGeom>
                    <a:noFill/>
                    <a:ln>
                      <a:noFill/>
                    </a:ln>
                  </pic:spPr>
                </pic:pic>
              </a:graphicData>
            </a:graphic>
          </wp:inline>
        </w:drawing>
      </w:r>
    </w:p>
    <w:p w14:paraId="4029B15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如下图，清单描述标准层精装大堂瓷砖为700*1500mm，图纸规格为800*800mm，清单是描述错误？</w:t>
      </w:r>
    </w:p>
    <w:p w14:paraId="1AFF3C3E">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drawing>
          <wp:anchor distT="0" distB="0" distL="114300" distR="114300" simplePos="0" relativeHeight="251669504" behindDoc="0" locked="0" layoutInCell="1" allowOverlap="1">
            <wp:simplePos x="0" y="0"/>
            <wp:positionH relativeFrom="column">
              <wp:posOffset>-15875</wp:posOffset>
            </wp:positionH>
            <wp:positionV relativeFrom="paragraph">
              <wp:posOffset>409575</wp:posOffset>
            </wp:positionV>
            <wp:extent cx="1554480" cy="897255"/>
            <wp:effectExtent l="0" t="0" r="0" b="1905"/>
            <wp:wrapTopAndBottom/>
            <wp:docPr id="42" name="图片 6" descr="6a133bd3c7caca96daeb9df8cd9a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6a133bd3c7caca96daeb9df8cd9a04c"/>
                    <pic:cNvPicPr>
                      <a:picLocks noChangeAspect="1"/>
                    </pic:cNvPicPr>
                  </pic:nvPicPr>
                  <pic:blipFill>
                    <a:blip r:embed="rId49"/>
                    <a:stretch>
                      <a:fillRect/>
                    </a:stretch>
                  </pic:blipFill>
                  <pic:spPr>
                    <a:xfrm>
                      <a:off x="0" y="0"/>
                      <a:ext cx="1554480" cy="897255"/>
                    </a:xfrm>
                    <a:prstGeom prst="rect">
                      <a:avLst/>
                    </a:prstGeom>
                    <a:noFill/>
                    <a:ln>
                      <a:noFill/>
                    </a:ln>
                  </pic:spPr>
                </pic:pic>
              </a:graphicData>
            </a:graphic>
          </wp:anchor>
        </w:drawing>
      </w:r>
      <w:r>
        <w:rPr>
          <w:rFonts w:hint="eastAsia" w:asciiTheme="minorEastAsia" w:hAnsiTheme="minorEastAsia" w:eastAsiaTheme="minorEastAsia" w:cstheme="minorEastAsia"/>
          <w:color w:val="auto"/>
          <w:sz w:val="24"/>
          <w:szCs w:val="24"/>
        </w:rPr>
        <w:drawing>
          <wp:inline distT="0" distB="0" distL="114300" distR="114300">
            <wp:extent cx="1388110" cy="704215"/>
            <wp:effectExtent l="0" t="0" r="13970" b="1206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50"/>
                    <a:stretch>
                      <a:fillRect/>
                    </a:stretch>
                  </pic:blipFill>
                  <pic:spPr>
                    <a:xfrm>
                      <a:off x="0" y="0"/>
                      <a:ext cx="1388110" cy="704215"/>
                    </a:xfrm>
                    <a:prstGeom prst="rect">
                      <a:avLst/>
                    </a:prstGeom>
                    <a:noFill/>
                    <a:ln>
                      <a:noFill/>
                    </a:ln>
                  </pic:spPr>
                </pic:pic>
              </a:graphicData>
            </a:graphic>
          </wp:inline>
        </w:drawing>
      </w:r>
    </w:p>
    <w:p w14:paraId="67A0F81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成本回复：成本回复：已复核，清单描述已修改</w:t>
      </w:r>
    </w:p>
    <w:p w14:paraId="6D792CC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如下图，6.22答疑回复地下室铝板厚度为0.6mm,该厚度不满足穿孔施工要求，建议调整2.5mm。</w:t>
      </w:r>
    </w:p>
    <w:p w14:paraId="15DC9B4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3627120" cy="922655"/>
            <wp:effectExtent l="0" t="0" r="0" b="698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51"/>
                    <a:stretch>
                      <a:fillRect/>
                    </a:stretch>
                  </pic:blipFill>
                  <pic:spPr>
                    <a:xfrm>
                      <a:off x="0" y="0"/>
                      <a:ext cx="3627120" cy="922655"/>
                    </a:xfrm>
                    <a:prstGeom prst="rect">
                      <a:avLst/>
                    </a:prstGeom>
                    <a:noFill/>
                    <a:ln>
                      <a:noFill/>
                    </a:ln>
                  </pic:spPr>
                </pic:pic>
              </a:graphicData>
            </a:graphic>
          </wp:inline>
        </w:drawing>
      </w:r>
    </w:p>
    <w:p w14:paraId="2B983DC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设计回复：穿孔铝板，2.5mm厚</w:t>
      </w:r>
    </w:p>
    <w:p w14:paraId="6DBA707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如下图，1#地下精装大堂部分清单项目没有单位，请贵司补充。</w:t>
      </w:r>
    </w:p>
    <w:p w14:paraId="70F4AEC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成本回复：已复核，已修改</w:t>
      </w:r>
    </w:p>
    <w:p w14:paraId="2322BC4C">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图示为负一层大堂墙面，请贵司明确红色箭头部位是什么？清单内不包含该项，请贵司明确材质并补充清单</w:t>
      </w:r>
    </w:p>
    <w:p w14:paraId="7E30C100">
      <w:pPr>
        <w:numPr>
          <w:ilvl w:val="0"/>
          <w:numId w:val="0"/>
        </w:numPr>
        <w:jc w:val="left"/>
        <w:rPr>
          <w:color w:val="auto"/>
          <w:szCs w:val="24"/>
        </w:rPr>
      </w:pPr>
      <w:r>
        <w:rPr>
          <w:color w:val="auto"/>
          <w:szCs w:val="24"/>
        </w:rPr>
        <w:drawing>
          <wp:inline distT="0" distB="0" distL="114300" distR="114300">
            <wp:extent cx="1197610" cy="874395"/>
            <wp:effectExtent l="0" t="0" r="6350" b="952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52"/>
                    <a:stretch>
                      <a:fillRect/>
                    </a:stretch>
                  </pic:blipFill>
                  <pic:spPr>
                    <a:xfrm>
                      <a:off x="0" y="0"/>
                      <a:ext cx="1197610" cy="874395"/>
                    </a:xfrm>
                    <a:prstGeom prst="rect">
                      <a:avLst/>
                    </a:prstGeom>
                    <a:noFill/>
                    <a:ln>
                      <a:noFill/>
                    </a:ln>
                  </pic:spPr>
                </pic:pic>
              </a:graphicData>
            </a:graphic>
          </wp:inline>
        </w:drawing>
      </w:r>
    </w:p>
    <w:p w14:paraId="23ADDEAA">
      <w:pPr>
        <w:pStyle w:val="27"/>
        <w:ind w:left="0" w:leftChars="0" w:firstLine="0" w:firstLineChars="0"/>
        <w:rPr>
          <w:rFonts w:hint="eastAsia" w:eastAsiaTheme="minorEastAsia"/>
          <w:color w:val="auto"/>
          <w:sz w:val="24"/>
          <w:szCs w:val="24"/>
          <w:lang w:eastAsia="zh-CN"/>
        </w:rPr>
      </w:pPr>
      <w:r>
        <w:rPr>
          <w:rFonts w:hint="eastAsia"/>
          <w:color w:val="auto"/>
          <w:sz w:val="24"/>
          <w:szCs w:val="24"/>
          <w:lang w:eastAsia="zh-CN"/>
        </w:rPr>
        <w:t>成本回复：</w:t>
      </w:r>
      <w:r>
        <w:rPr>
          <w:rFonts w:hint="eastAsia"/>
          <w:color w:val="auto"/>
          <w:sz w:val="24"/>
          <w:szCs w:val="24"/>
          <w:lang w:val="en-US" w:eastAsia="zh-CN"/>
        </w:rPr>
        <w:t>此为LED墙面壁灯，软装施工范围，硬装做好预留点位，综合考虑。</w:t>
      </w:r>
    </w:p>
    <w:p w14:paraId="4918838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根据贵司答疑回复，①MT-03铝板厚度为0.6厚，地库铝板吊顶尺寸较大，长宽尺寸均超过一米，且为穿孔铝板，0.6mm厚铝板可能会出现下垂及穿孔卷边现象，请贵司明确是否调整材料规格？②同时MT-03铝板材质也用于墙面装饰及门套，请贵司明确墙面的铝板用多厚的？</w:t>
      </w:r>
    </w:p>
    <w:p w14:paraId="14D6310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color w:val="auto"/>
          <w:szCs w:val="24"/>
        </w:rPr>
      </w:pPr>
      <w:r>
        <w:rPr>
          <w:color w:val="auto"/>
          <w:szCs w:val="24"/>
        </w:rPr>
        <w:drawing>
          <wp:inline distT="0" distB="0" distL="114300" distR="114300">
            <wp:extent cx="572770" cy="539115"/>
            <wp:effectExtent l="0" t="0" r="6350" b="952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53"/>
                    <a:stretch>
                      <a:fillRect/>
                    </a:stretch>
                  </pic:blipFill>
                  <pic:spPr>
                    <a:xfrm>
                      <a:off x="0" y="0"/>
                      <a:ext cx="572770" cy="539115"/>
                    </a:xfrm>
                    <a:prstGeom prst="rect">
                      <a:avLst/>
                    </a:prstGeom>
                    <a:noFill/>
                    <a:ln>
                      <a:noFill/>
                    </a:ln>
                  </pic:spPr>
                </pic:pic>
              </a:graphicData>
            </a:graphic>
          </wp:inline>
        </w:drawing>
      </w:r>
      <w:r>
        <w:rPr>
          <w:color w:val="auto"/>
          <w:szCs w:val="24"/>
        </w:rPr>
        <w:drawing>
          <wp:inline distT="0" distB="0" distL="114300" distR="114300">
            <wp:extent cx="1704340" cy="419735"/>
            <wp:effectExtent l="0" t="0" r="2540" b="698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54"/>
                    <a:stretch>
                      <a:fillRect/>
                    </a:stretch>
                  </pic:blipFill>
                  <pic:spPr>
                    <a:xfrm>
                      <a:off x="0" y="0"/>
                      <a:ext cx="1704340" cy="419735"/>
                    </a:xfrm>
                    <a:prstGeom prst="rect">
                      <a:avLst/>
                    </a:prstGeom>
                    <a:noFill/>
                    <a:ln>
                      <a:noFill/>
                    </a:ln>
                  </pic:spPr>
                </pic:pic>
              </a:graphicData>
            </a:graphic>
          </wp:inline>
        </w:drawing>
      </w:r>
    </w:p>
    <w:p w14:paraId="729A14A4">
      <w:pPr>
        <w:pStyle w:val="27"/>
        <w:ind w:left="0" w:leftChars="0" w:firstLine="0" w:firstLineChars="0"/>
        <w:rPr>
          <w:color w:val="auto"/>
          <w:sz w:val="24"/>
          <w:szCs w:val="24"/>
        </w:rPr>
      </w:pPr>
      <w:r>
        <w:rPr>
          <w:rFonts w:hint="eastAsia"/>
          <w:color w:val="auto"/>
          <w:sz w:val="24"/>
          <w:szCs w:val="24"/>
          <w:lang w:eastAsia="zh-CN"/>
        </w:rPr>
        <w:t>设计回复：</w:t>
      </w:r>
      <w:r>
        <w:rPr>
          <w:rFonts w:hint="eastAsia"/>
          <w:color w:val="auto"/>
          <w:sz w:val="24"/>
          <w:szCs w:val="24"/>
          <w:lang w:val="en-US" w:eastAsia="zh-CN"/>
        </w:rPr>
        <w:t>2.5mm</w:t>
      </w:r>
    </w:p>
    <w:p w14:paraId="51B6B9B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灯具数量经过复核，存在偏差，因总价包干，请贵司复核清单量并调整清单，（例如：如下图所示，1#楼与3#楼楼上部分相同，但是灯具差了一倍）</w:t>
      </w:r>
    </w:p>
    <w:p w14:paraId="2B121BC5">
      <w:pPr>
        <w:numPr>
          <w:ilvl w:val="0"/>
          <w:numId w:val="0"/>
        </w:numPr>
        <w:ind w:leftChars="0"/>
        <w:jc w:val="left"/>
        <w:rPr>
          <w:rFonts w:hint="eastAsia"/>
          <w:color w:val="auto"/>
          <w:szCs w:val="24"/>
          <w:lang w:val="en-US" w:eastAsia="zh-CN"/>
        </w:rPr>
      </w:pPr>
      <w:r>
        <w:rPr>
          <w:rFonts w:hint="eastAsia"/>
          <w:color w:val="auto"/>
          <w:szCs w:val="24"/>
          <w:lang w:eastAsia="zh-CN"/>
        </w:rPr>
        <w:drawing>
          <wp:inline distT="0" distB="0" distL="114300" distR="114300">
            <wp:extent cx="1450975" cy="1143635"/>
            <wp:effectExtent l="0" t="0" r="12065" b="14605"/>
            <wp:docPr id="68" name="图片 68" descr="171938583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19385838754"/>
                    <pic:cNvPicPr>
                      <a:picLocks noChangeAspect="1"/>
                    </pic:cNvPicPr>
                  </pic:nvPicPr>
                  <pic:blipFill>
                    <a:blip r:embed="rId55"/>
                    <a:stretch>
                      <a:fillRect/>
                    </a:stretch>
                  </pic:blipFill>
                  <pic:spPr>
                    <a:xfrm>
                      <a:off x="0" y="0"/>
                      <a:ext cx="1450975" cy="1143635"/>
                    </a:xfrm>
                    <a:prstGeom prst="rect">
                      <a:avLst/>
                    </a:prstGeom>
                  </pic:spPr>
                </pic:pic>
              </a:graphicData>
            </a:graphic>
          </wp:inline>
        </w:drawing>
      </w:r>
    </w:p>
    <w:p w14:paraId="485F9B4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color w:val="auto"/>
          <w:szCs w:val="24"/>
          <w:lang w:eastAsia="zh-CN"/>
        </w:rPr>
        <w:t>成本回复：红色方框工程量无误，3#楼2单元地下室、首层、二层此部分已施工，不在本次范围内，所以3号楼工程量少；</w:t>
      </w:r>
      <w:r>
        <w:rPr>
          <w:rFonts w:hint="eastAsia"/>
          <w:color w:val="auto"/>
          <w:szCs w:val="24"/>
          <w:lang w:val="en-US" w:eastAsia="zh-CN"/>
        </w:rPr>
        <w:t>红色底色标注为本次自查有误的工程量，已按自查后正确工程量计入清单</w:t>
      </w:r>
    </w:p>
    <w:p w14:paraId="524B5BF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请贵司明确图纸上的微波雷达感应开关是否在本次招标范围内？如在范围内请贵司补充清单</w:t>
      </w:r>
    </w:p>
    <w:p w14:paraId="3B9BFC82">
      <w:pPr>
        <w:pStyle w:val="27"/>
        <w:numPr>
          <w:ilvl w:val="0"/>
          <w:numId w:val="0"/>
        </w:numPr>
        <w:ind w:leftChars="0"/>
        <w:rPr>
          <w:color w:val="auto"/>
          <w:sz w:val="24"/>
          <w:szCs w:val="24"/>
        </w:rPr>
      </w:pPr>
      <w:r>
        <w:rPr>
          <w:color w:val="auto"/>
          <w:sz w:val="24"/>
          <w:szCs w:val="24"/>
        </w:rPr>
        <w:drawing>
          <wp:inline distT="0" distB="0" distL="114300" distR="114300">
            <wp:extent cx="1928495" cy="673100"/>
            <wp:effectExtent l="0" t="0" r="6985" b="1270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6"/>
                    <a:stretch>
                      <a:fillRect/>
                    </a:stretch>
                  </pic:blipFill>
                  <pic:spPr>
                    <a:xfrm>
                      <a:off x="0" y="0"/>
                      <a:ext cx="1928495" cy="673100"/>
                    </a:xfrm>
                    <a:prstGeom prst="rect">
                      <a:avLst/>
                    </a:prstGeom>
                    <a:noFill/>
                    <a:ln>
                      <a:noFill/>
                    </a:ln>
                  </pic:spPr>
                </pic:pic>
              </a:graphicData>
            </a:graphic>
          </wp:inline>
        </w:drawing>
      </w:r>
    </w:p>
    <w:p w14:paraId="430E3197">
      <w:pPr>
        <w:pStyle w:val="27"/>
        <w:ind w:left="0" w:leftChars="0" w:firstLine="0" w:firstLineChars="0"/>
        <w:rPr>
          <w:rFonts w:hint="eastAsia" w:asciiTheme="minorHAnsi" w:hAnsiTheme="minorHAnsi" w:eastAsiaTheme="minorEastAsia" w:cstheme="minorBidi"/>
          <w:color w:val="auto"/>
          <w:kern w:val="2"/>
          <w:sz w:val="24"/>
          <w:szCs w:val="24"/>
          <w:lang w:val="en-US" w:eastAsia="zh-CN" w:bidi="ar-SA"/>
        </w:rPr>
      </w:pPr>
      <w:r>
        <w:rPr>
          <w:rFonts w:hint="eastAsia" w:asciiTheme="minorHAnsi" w:hAnsiTheme="minorHAnsi" w:eastAsiaTheme="minorEastAsia" w:cstheme="minorBidi"/>
          <w:color w:val="auto"/>
          <w:kern w:val="2"/>
          <w:sz w:val="24"/>
          <w:szCs w:val="24"/>
          <w:lang w:val="en-US" w:eastAsia="zh-CN" w:bidi="ar-SA"/>
        </w:rPr>
        <w:t>成本回复：见答疑二</w:t>
      </w:r>
    </w:p>
    <w:p w14:paraId="72337C0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图示为一号楼地下层东西单元图纸，请贵司明确箭头所示部位是否需要做吊顶？清单内吊顶未计入图示部分，如需吊顶请贵司补充清单量。</w:t>
      </w:r>
    </w:p>
    <w:p w14:paraId="09A85EE5">
      <w:pPr>
        <w:pStyle w:val="27"/>
        <w:numPr>
          <w:ilvl w:val="0"/>
          <w:numId w:val="0"/>
        </w:numPr>
        <w:ind w:leftChars="0"/>
        <w:rPr>
          <w:color w:val="auto"/>
          <w:sz w:val="24"/>
          <w:szCs w:val="24"/>
        </w:rPr>
      </w:pPr>
      <w:r>
        <w:rPr>
          <w:color w:val="auto"/>
          <w:sz w:val="24"/>
          <w:szCs w:val="24"/>
        </w:rPr>
        <w:drawing>
          <wp:inline distT="0" distB="0" distL="114300" distR="114300">
            <wp:extent cx="1024890" cy="741045"/>
            <wp:effectExtent l="0" t="0" r="11430" b="571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7"/>
                    <a:stretch>
                      <a:fillRect/>
                    </a:stretch>
                  </pic:blipFill>
                  <pic:spPr>
                    <a:xfrm>
                      <a:off x="0" y="0"/>
                      <a:ext cx="1024890" cy="741045"/>
                    </a:xfrm>
                    <a:prstGeom prst="rect">
                      <a:avLst/>
                    </a:prstGeom>
                    <a:noFill/>
                    <a:ln>
                      <a:noFill/>
                    </a:ln>
                  </pic:spPr>
                </pic:pic>
              </a:graphicData>
            </a:graphic>
          </wp:inline>
        </w:drawing>
      </w:r>
      <w:r>
        <w:rPr>
          <w:color w:val="auto"/>
          <w:sz w:val="24"/>
          <w:szCs w:val="24"/>
        </w:rPr>
        <w:drawing>
          <wp:inline distT="0" distB="0" distL="114300" distR="114300">
            <wp:extent cx="1802130" cy="743585"/>
            <wp:effectExtent l="0" t="0" r="11430" b="317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58"/>
                    <a:stretch>
                      <a:fillRect/>
                    </a:stretch>
                  </pic:blipFill>
                  <pic:spPr>
                    <a:xfrm>
                      <a:off x="0" y="0"/>
                      <a:ext cx="1802130" cy="743585"/>
                    </a:xfrm>
                    <a:prstGeom prst="rect">
                      <a:avLst/>
                    </a:prstGeom>
                    <a:noFill/>
                    <a:ln>
                      <a:noFill/>
                    </a:ln>
                  </pic:spPr>
                </pic:pic>
              </a:graphicData>
            </a:graphic>
          </wp:inline>
        </w:drawing>
      </w:r>
    </w:p>
    <w:p w14:paraId="0898E430">
      <w:pPr>
        <w:pStyle w:val="27"/>
        <w:ind w:left="0" w:leftChars="0" w:firstLine="0" w:firstLineChars="0"/>
        <w:jc w:val="left"/>
        <w:rPr>
          <w:rFonts w:hint="default"/>
          <w:color w:val="auto"/>
          <w:sz w:val="24"/>
          <w:szCs w:val="24"/>
          <w:lang w:val="en-US" w:eastAsia="zh-CN"/>
        </w:rPr>
      </w:pPr>
      <w:r>
        <w:rPr>
          <w:rFonts w:hint="eastAsia"/>
          <w:color w:val="auto"/>
          <w:sz w:val="24"/>
          <w:szCs w:val="24"/>
          <w:lang w:eastAsia="zh-CN"/>
        </w:rPr>
        <w:t>设计和成本回复：</w:t>
      </w:r>
      <w:r>
        <w:rPr>
          <w:rFonts w:hint="eastAsia"/>
          <w:color w:val="auto"/>
          <w:sz w:val="24"/>
          <w:szCs w:val="24"/>
          <w:lang w:val="en-US" w:eastAsia="zh-CN"/>
        </w:rPr>
        <w:t>箭头所示部分是楼梯位置，结合1#建筑图纸，工程量已计入楼梯</w:t>
      </w:r>
      <w:r>
        <w:rPr>
          <w:color w:val="auto"/>
          <w:sz w:val="24"/>
          <w:szCs w:val="24"/>
        </w:rPr>
        <w:drawing>
          <wp:inline distT="0" distB="0" distL="114300" distR="114300">
            <wp:extent cx="2269490" cy="560705"/>
            <wp:effectExtent l="0" t="0" r="1270"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59"/>
                    <a:stretch>
                      <a:fillRect/>
                    </a:stretch>
                  </pic:blipFill>
                  <pic:spPr>
                    <a:xfrm>
                      <a:off x="0" y="0"/>
                      <a:ext cx="2269490" cy="560705"/>
                    </a:xfrm>
                    <a:prstGeom prst="rect">
                      <a:avLst/>
                    </a:prstGeom>
                    <a:noFill/>
                    <a:ln>
                      <a:noFill/>
                    </a:ln>
                  </pic:spPr>
                </pic:pic>
              </a:graphicData>
            </a:graphic>
          </wp:inline>
        </w:drawing>
      </w:r>
    </w:p>
    <w:p w14:paraId="3BE0DF2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如下图所示，负一层及首层清单内有不锈钢墙面，请贵司明确是哪个部位？</w:t>
      </w:r>
    </w:p>
    <w:p w14:paraId="25315C4C">
      <w:pPr>
        <w:pStyle w:val="27"/>
        <w:numPr>
          <w:ilvl w:val="0"/>
          <w:numId w:val="0"/>
        </w:numPr>
        <w:ind w:leftChars="0"/>
        <w:rPr>
          <w:color w:val="auto"/>
          <w:sz w:val="24"/>
          <w:szCs w:val="24"/>
        </w:rPr>
      </w:pPr>
      <w:r>
        <w:rPr>
          <w:color w:val="auto"/>
          <w:sz w:val="24"/>
          <w:szCs w:val="24"/>
        </w:rPr>
        <w:drawing>
          <wp:inline distT="0" distB="0" distL="114300" distR="114300">
            <wp:extent cx="862330" cy="869950"/>
            <wp:effectExtent l="0" t="0" r="6350" b="1397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60"/>
                    <a:stretch>
                      <a:fillRect/>
                    </a:stretch>
                  </pic:blipFill>
                  <pic:spPr>
                    <a:xfrm>
                      <a:off x="0" y="0"/>
                      <a:ext cx="862330" cy="869950"/>
                    </a:xfrm>
                    <a:prstGeom prst="rect">
                      <a:avLst/>
                    </a:prstGeom>
                    <a:noFill/>
                    <a:ln>
                      <a:noFill/>
                    </a:ln>
                  </pic:spPr>
                </pic:pic>
              </a:graphicData>
            </a:graphic>
          </wp:inline>
        </w:drawing>
      </w:r>
    </w:p>
    <w:p w14:paraId="5C61F6FA">
      <w:pPr>
        <w:pStyle w:val="27"/>
        <w:ind w:left="0" w:leftChars="0" w:firstLine="0" w:firstLineChars="0"/>
        <w:jc w:val="left"/>
        <w:rPr>
          <w:rFonts w:hint="eastAsia"/>
          <w:color w:val="auto"/>
          <w:sz w:val="24"/>
          <w:szCs w:val="24"/>
          <w:lang w:val="en-US" w:eastAsia="zh-CN"/>
        </w:rPr>
      </w:pPr>
      <w:r>
        <w:rPr>
          <w:rFonts w:hint="eastAsia"/>
          <w:color w:val="auto"/>
          <w:sz w:val="24"/>
          <w:szCs w:val="24"/>
          <w:lang w:eastAsia="zh-CN"/>
        </w:rPr>
        <w:t>成本回复：</w:t>
      </w:r>
      <w:r>
        <w:rPr>
          <w:rFonts w:hint="eastAsia"/>
          <w:color w:val="auto"/>
          <w:sz w:val="24"/>
          <w:szCs w:val="24"/>
          <w:lang w:val="en-US" w:eastAsia="zh-CN"/>
        </w:rPr>
        <w:t>已复核，详见图纸</w:t>
      </w:r>
    </w:p>
    <w:p w14:paraId="6FA7DA9C">
      <w:pPr>
        <w:pStyle w:val="27"/>
        <w:ind w:left="0" w:leftChars="0" w:firstLine="0" w:firstLineChars="0"/>
        <w:jc w:val="left"/>
        <w:rPr>
          <w:rFonts w:hint="eastAsia"/>
          <w:color w:val="auto"/>
          <w:sz w:val="24"/>
          <w:szCs w:val="24"/>
          <w:lang w:eastAsia="zh-CN"/>
        </w:rPr>
      </w:pPr>
      <w:r>
        <w:rPr>
          <w:color w:val="auto"/>
          <w:sz w:val="24"/>
          <w:szCs w:val="24"/>
        </w:rPr>
        <w:drawing>
          <wp:inline distT="0" distB="0" distL="114300" distR="114300">
            <wp:extent cx="1369060" cy="722630"/>
            <wp:effectExtent l="0" t="0" r="2540" b="889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61"/>
                    <a:stretch>
                      <a:fillRect/>
                    </a:stretch>
                  </pic:blipFill>
                  <pic:spPr>
                    <a:xfrm>
                      <a:off x="0" y="0"/>
                      <a:ext cx="1369060" cy="722630"/>
                    </a:xfrm>
                    <a:prstGeom prst="rect">
                      <a:avLst/>
                    </a:prstGeom>
                    <a:noFill/>
                    <a:ln>
                      <a:noFill/>
                    </a:ln>
                  </pic:spPr>
                </pic:pic>
              </a:graphicData>
            </a:graphic>
          </wp:inline>
        </w:drawing>
      </w:r>
      <w:r>
        <w:rPr>
          <w:color w:val="auto"/>
          <w:sz w:val="24"/>
          <w:szCs w:val="24"/>
        </w:rPr>
        <w:drawing>
          <wp:inline distT="0" distB="0" distL="114300" distR="114300">
            <wp:extent cx="1429385" cy="720090"/>
            <wp:effectExtent l="0" t="0" r="3175" b="1143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62"/>
                    <a:stretch>
                      <a:fillRect/>
                    </a:stretch>
                  </pic:blipFill>
                  <pic:spPr>
                    <a:xfrm>
                      <a:off x="0" y="0"/>
                      <a:ext cx="1429385" cy="720090"/>
                    </a:xfrm>
                    <a:prstGeom prst="rect">
                      <a:avLst/>
                    </a:prstGeom>
                    <a:noFill/>
                    <a:ln>
                      <a:noFill/>
                    </a:ln>
                  </pic:spPr>
                </pic:pic>
              </a:graphicData>
            </a:graphic>
          </wp:inline>
        </w:drawing>
      </w:r>
      <w:r>
        <w:rPr>
          <w:color w:val="auto"/>
          <w:sz w:val="24"/>
          <w:szCs w:val="24"/>
        </w:rPr>
        <w:drawing>
          <wp:inline distT="0" distB="0" distL="114300" distR="114300">
            <wp:extent cx="1155065" cy="568960"/>
            <wp:effectExtent l="0" t="0" r="3175" b="1016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63"/>
                    <a:stretch>
                      <a:fillRect/>
                    </a:stretch>
                  </pic:blipFill>
                  <pic:spPr>
                    <a:xfrm>
                      <a:off x="0" y="0"/>
                      <a:ext cx="1155065" cy="568960"/>
                    </a:xfrm>
                    <a:prstGeom prst="rect">
                      <a:avLst/>
                    </a:prstGeom>
                    <a:noFill/>
                    <a:ln>
                      <a:noFill/>
                    </a:ln>
                  </pic:spPr>
                </pic:pic>
              </a:graphicData>
            </a:graphic>
          </wp:inline>
        </w:drawing>
      </w:r>
    </w:p>
    <w:p w14:paraId="532EF4C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2#楼单元入口，不锈钢面层，清单工程量为：0.9m2，我方测算量为：5.68m2</w:t>
      </w:r>
    </w:p>
    <w:p w14:paraId="194DA38C">
      <w:pPr>
        <w:pStyle w:val="27"/>
        <w:ind w:left="0" w:leftChars="0" w:firstLine="0" w:firstLineChars="0"/>
        <w:rPr>
          <w:color w:val="auto"/>
          <w:sz w:val="24"/>
          <w:szCs w:val="24"/>
        </w:rPr>
      </w:pPr>
      <w:r>
        <w:rPr>
          <w:color w:val="auto"/>
          <w:sz w:val="24"/>
          <w:szCs w:val="24"/>
        </w:rPr>
        <w:drawing>
          <wp:inline distT="0" distB="0" distL="114300" distR="114300">
            <wp:extent cx="1296670" cy="869950"/>
            <wp:effectExtent l="0" t="0" r="13970" b="139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4"/>
                    <a:stretch>
                      <a:fillRect/>
                    </a:stretch>
                  </pic:blipFill>
                  <pic:spPr>
                    <a:xfrm>
                      <a:off x="0" y="0"/>
                      <a:ext cx="1296670" cy="869950"/>
                    </a:xfrm>
                    <a:prstGeom prst="rect">
                      <a:avLst/>
                    </a:prstGeom>
                    <a:noFill/>
                    <a:ln>
                      <a:noFill/>
                    </a:ln>
                  </pic:spPr>
                </pic:pic>
              </a:graphicData>
            </a:graphic>
          </wp:inline>
        </w:drawing>
      </w:r>
    </w:p>
    <w:p w14:paraId="355AAF20">
      <w:pPr>
        <w:pStyle w:val="27"/>
        <w:ind w:left="0" w:leftChars="0" w:firstLine="0" w:firstLineChars="0"/>
        <w:rPr>
          <w:rFonts w:hint="eastAsia"/>
          <w:color w:val="auto"/>
          <w:sz w:val="24"/>
          <w:szCs w:val="24"/>
          <w:lang w:val="en-US" w:eastAsia="zh-CN"/>
        </w:rPr>
      </w:pPr>
      <w:r>
        <w:rPr>
          <w:rFonts w:hint="eastAsia"/>
          <w:color w:val="auto"/>
          <w:sz w:val="24"/>
          <w:szCs w:val="24"/>
          <w:lang w:eastAsia="zh-CN"/>
        </w:rPr>
        <w:t>成本回复：</w:t>
      </w:r>
      <w:r>
        <w:rPr>
          <w:rFonts w:hint="eastAsia"/>
          <w:color w:val="auto"/>
          <w:sz w:val="24"/>
          <w:szCs w:val="24"/>
          <w:lang w:val="en-US" w:eastAsia="zh-CN"/>
        </w:rPr>
        <w:t>已复核无误，详见图纸</w:t>
      </w:r>
    </w:p>
    <w:p w14:paraId="6D2439E1">
      <w:pPr>
        <w:pStyle w:val="27"/>
        <w:ind w:left="0" w:leftChars="0" w:firstLine="0" w:firstLineChars="0"/>
        <w:jc w:val="left"/>
        <w:rPr>
          <w:rFonts w:hint="eastAsia"/>
          <w:color w:val="auto"/>
          <w:sz w:val="24"/>
          <w:szCs w:val="24"/>
          <w:lang w:val="en-US" w:eastAsia="zh-CN"/>
        </w:rPr>
      </w:pPr>
      <w:r>
        <w:rPr>
          <w:color w:val="auto"/>
          <w:sz w:val="24"/>
          <w:szCs w:val="24"/>
        </w:rPr>
        <w:drawing>
          <wp:inline distT="0" distB="0" distL="114300" distR="114300">
            <wp:extent cx="1897380" cy="608330"/>
            <wp:effectExtent l="0" t="0" r="7620" b="127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65"/>
                    <a:stretch>
                      <a:fillRect/>
                    </a:stretch>
                  </pic:blipFill>
                  <pic:spPr>
                    <a:xfrm>
                      <a:off x="0" y="0"/>
                      <a:ext cx="1897380" cy="608330"/>
                    </a:xfrm>
                    <a:prstGeom prst="rect">
                      <a:avLst/>
                    </a:prstGeom>
                    <a:noFill/>
                    <a:ln>
                      <a:noFill/>
                    </a:ln>
                  </pic:spPr>
                </pic:pic>
              </a:graphicData>
            </a:graphic>
          </wp:inline>
        </w:drawing>
      </w:r>
    </w:p>
    <w:p w14:paraId="698DA3D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2#楼单元入口格栅没有详图，成品格栅材质？请贵司补充</w:t>
      </w:r>
    </w:p>
    <w:p w14:paraId="5DFE91B1">
      <w:pPr>
        <w:pStyle w:val="27"/>
        <w:ind w:left="0" w:leftChars="0" w:firstLine="0" w:firstLineChars="0"/>
        <w:rPr>
          <w:rFonts w:hint="eastAsia"/>
          <w:color w:val="auto"/>
          <w:sz w:val="24"/>
          <w:szCs w:val="24"/>
          <w:lang w:val="en-US" w:eastAsia="zh-CN"/>
        </w:rPr>
      </w:pPr>
      <w:r>
        <w:rPr>
          <w:rFonts w:hint="eastAsia"/>
          <w:color w:val="auto"/>
          <w:sz w:val="24"/>
          <w:szCs w:val="24"/>
          <w:lang w:eastAsia="zh-CN"/>
        </w:rPr>
        <w:t>设计回复：不锈钢方通整板，壁厚</w:t>
      </w:r>
      <w:r>
        <w:rPr>
          <w:rFonts w:hint="eastAsia"/>
          <w:color w:val="auto"/>
          <w:sz w:val="24"/>
          <w:szCs w:val="24"/>
          <w:lang w:val="en-US" w:eastAsia="zh-CN"/>
        </w:rPr>
        <w:t>2.0mm,综合考虑，自行深化</w:t>
      </w:r>
    </w:p>
    <w:p w14:paraId="1FA2FA0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一层大堂工程量中，1#楼和13#楼计算了雨蓬铝板吊顶，但是单元入口清单内也计算了雨蓬，请问是否重复计算，请贵单位复核。如果是，请删除一层大堂中的对应清单。</w:t>
      </w:r>
    </w:p>
    <w:p w14:paraId="5719D739">
      <w:pPr>
        <w:numPr>
          <w:ilvl w:val="0"/>
          <w:numId w:val="0"/>
        </w:numPr>
        <w:jc w:val="left"/>
        <w:rPr>
          <w:color w:val="auto"/>
          <w:szCs w:val="24"/>
        </w:rPr>
      </w:pPr>
      <w:r>
        <w:rPr>
          <w:rFonts w:hint="eastAsia" w:asciiTheme="minorEastAsia" w:hAnsiTheme="minorEastAsia" w:eastAsiaTheme="minorEastAsia" w:cstheme="minorEastAsia"/>
          <w:color w:val="auto"/>
          <w:sz w:val="24"/>
          <w:szCs w:val="24"/>
          <w:lang w:val="en-US" w:eastAsia="zh-CN"/>
        </w:rPr>
        <w:drawing>
          <wp:inline distT="0" distB="0" distL="114300" distR="114300">
            <wp:extent cx="1369695" cy="687070"/>
            <wp:effectExtent l="0" t="0" r="1905" b="1397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66"/>
                    <a:stretch>
                      <a:fillRect/>
                    </a:stretch>
                  </pic:blipFill>
                  <pic:spPr>
                    <a:xfrm>
                      <a:off x="0" y="0"/>
                      <a:ext cx="1369695" cy="687070"/>
                    </a:xfrm>
                    <a:prstGeom prst="rect">
                      <a:avLst/>
                    </a:prstGeom>
                    <a:noFill/>
                    <a:ln>
                      <a:noFill/>
                    </a:ln>
                  </pic:spPr>
                </pic:pic>
              </a:graphicData>
            </a:graphic>
          </wp:inline>
        </w:drawing>
      </w:r>
      <w:r>
        <w:rPr>
          <w:rFonts w:hint="eastAsia" w:asciiTheme="minorEastAsia" w:hAnsiTheme="minorEastAsia" w:eastAsiaTheme="minorEastAsia" w:cstheme="minorEastAsia"/>
          <w:color w:val="auto"/>
          <w:sz w:val="24"/>
          <w:szCs w:val="24"/>
          <w:lang w:val="en-US" w:eastAsia="zh-CN"/>
        </w:rPr>
        <w:drawing>
          <wp:inline distT="0" distB="0" distL="114300" distR="114300">
            <wp:extent cx="2226945" cy="702945"/>
            <wp:effectExtent l="0" t="0" r="13335" b="1333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67"/>
                    <a:stretch>
                      <a:fillRect/>
                    </a:stretch>
                  </pic:blipFill>
                  <pic:spPr>
                    <a:xfrm>
                      <a:off x="0" y="0"/>
                      <a:ext cx="2226945" cy="702945"/>
                    </a:xfrm>
                    <a:prstGeom prst="rect">
                      <a:avLst/>
                    </a:prstGeom>
                    <a:noFill/>
                    <a:ln>
                      <a:noFill/>
                    </a:ln>
                  </pic:spPr>
                </pic:pic>
              </a:graphicData>
            </a:graphic>
          </wp:inline>
        </w:drawing>
      </w:r>
      <w:r>
        <w:rPr>
          <w:color w:val="auto"/>
          <w:szCs w:val="24"/>
        </w:rPr>
        <w:drawing>
          <wp:inline distT="0" distB="0" distL="114300" distR="114300">
            <wp:extent cx="3181985" cy="697865"/>
            <wp:effectExtent l="0" t="0" r="3175" b="317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68"/>
                    <a:stretch>
                      <a:fillRect/>
                    </a:stretch>
                  </pic:blipFill>
                  <pic:spPr>
                    <a:xfrm>
                      <a:off x="0" y="0"/>
                      <a:ext cx="3181985" cy="697865"/>
                    </a:xfrm>
                    <a:prstGeom prst="rect">
                      <a:avLst/>
                    </a:prstGeom>
                    <a:noFill/>
                    <a:ln>
                      <a:noFill/>
                    </a:ln>
                  </pic:spPr>
                </pic:pic>
              </a:graphicData>
            </a:graphic>
          </wp:inline>
        </w:drawing>
      </w:r>
    </w:p>
    <w:p w14:paraId="4C25D6E5">
      <w:pPr>
        <w:pStyle w:val="27"/>
        <w:ind w:left="0" w:leftChars="0" w:firstLine="0" w:firstLineChars="0"/>
        <w:jc w:val="left"/>
        <w:rPr>
          <w:color w:val="auto"/>
          <w:sz w:val="24"/>
          <w:szCs w:val="24"/>
        </w:rPr>
      </w:pPr>
      <w:r>
        <w:rPr>
          <w:rFonts w:hint="eastAsia"/>
          <w:color w:val="auto"/>
          <w:sz w:val="24"/>
          <w:szCs w:val="24"/>
          <w:lang w:eastAsia="zh-CN"/>
        </w:rPr>
        <w:t>成本回复：</w:t>
      </w:r>
      <w:r>
        <w:rPr>
          <w:rFonts w:hint="eastAsia"/>
          <w:color w:val="auto"/>
          <w:sz w:val="24"/>
          <w:szCs w:val="24"/>
          <w:lang w:val="en-US" w:eastAsia="zh-CN"/>
        </w:rPr>
        <w:t>已复核无误，以图纸计入1#、13#楼雨棚底、雨篷龙骨、雨篷顶</w:t>
      </w:r>
      <w:r>
        <w:rPr>
          <w:color w:val="auto"/>
          <w:sz w:val="24"/>
          <w:szCs w:val="24"/>
        </w:rPr>
        <w:drawing>
          <wp:inline distT="0" distB="0" distL="114300" distR="114300">
            <wp:extent cx="2773680" cy="889000"/>
            <wp:effectExtent l="0" t="0" r="0" b="1016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69"/>
                    <a:stretch>
                      <a:fillRect/>
                    </a:stretch>
                  </pic:blipFill>
                  <pic:spPr>
                    <a:xfrm>
                      <a:off x="0" y="0"/>
                      <a:ext cx="2773680" cy="889000"/>
                    </a:xfrm>
                    <a:prstGeom prst="rect">
                      <a:avLst/>
                    </a:prstGeom>
                    <a:noFill/>
                    <a:ln>
                      <a:noFill/>
                    </a:ln>
                  </pic:spPr>
                </pic:pic>
              </a:graphicData>
            </a:graphic>
          </wp:inline>
        </w:drawing>
      </w:r>
    </w:p>
    <w:p w14:paraId="7DA9AF07">
      <w:pPr>
        <w:pStyle w:val="27"/>
        <w:ind w:left="0" w:leftChars="0" w:firstLine="0" w:firstLineChars="0"/>
        <w:jc w:val="left"/>
        <w:rPr>
          <w:rFonts w:hint="eastAsia"/>
          <w:color w:val="auto"/>
          <w:sz w:val="24"/>
          <w:szCs w:val="24"/>
          <w:lang w:val="en-US" w:eastAsia="zh-CN"/>
        </w:rPr>
      </w:pPr>
      <w:r>
        <w:rPr>
          <w:color w:val="auto"/>
          <w:sz w:val="24"/>
          <w:szCs w:val="24"/>
        </w:rPr>
        <w:drawing>
          <wp:inline distT="0" distB="0" distL="114300" distR="114300">
            <wp:extent cx="2610485" cy="854075"/>
            <wp:effectExtent l="0" t="0" r="10795" b="14605"/>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70"/>
                    <a:stretch>
                      <a:fillRect/>
                    </a:stretch>
                  </pic:blipFill>
                  <pic:spPr>
                    <a:xfrm>
                      <a:off x="0" y="0"/>
                      <a:ext cx="2610485" cy="854075"/>
                    </a:xfrm>
                    <a:prstGeom prst="rect">
                      <a:avLst/>
                    </a:prstGeom>
                    <a:noFill/>
                    <a:ln>
                      <a:noFill/>
                    </a:ln>
                  </pic:spPr>
                </pic:pic>
              </a:graphicData>
            </a:graphic>
          </wp:inline>
        </w:drawing>
      </w:r>
    </w:p>
    <w:p w14:paraId="1C596C5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施工图复用说明中，仅说明了3号楼的2单元首层及地下层已施工完成，但是清单中3号楼的1单元和2单元的首层及地下层都未计算，请问1单元的首层及地下层是否也已经施工完成？</w:t>
      </w:r>
    </w:p>
    <w:p w14:paraId="67812A2F">
      <w:pPr>
        <w:numPr>
          <w:ilvl w:val="0"/>
          <w:numId w:val="0"/>
        </w:numPr>
        <w:ind w:leftChars="0"/>
        <w:jc w:val="left"/>
        <w:rPr>
          <w:color w:val="auto"/>
          <w:szCs w:val="24"/>
        </w:rPr>
      </w:pPr>
      <w:r>
        <w:rPr>
          <w:color w:val="auto"/>
          <w:szCs w:val="24"/>
        </w:rPr>
        <w:drawing>
          <wp:inline distT="0" distB="0" distL="114300" distR="114300">
            <wp:extent cx="2821940" cy="415290"/>
            <wp:effectExtent l="0" t="0" r="12700"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1"/>
                    <a:stretch>
                      <a:fillRect/>
                    </a:stretch>
                  </pic:blipFill>
                  <pic:spPr>
                    <a:xfrm>
                      <a:off x="0" y="0"/>
                      <a:ext cx="2821940" cy="415290"/>
                    </a:xfrm>
                    <a:prstGeom prst="rect">
                      <a:avLst/>
                    </a:prstGeom>
                    <a:noFill/>
                    <a:ln>
                      <a:noFill/>
                    </a:ln>
                  </pic:spPr>
                </pic:pic>
              </a:graphicData>
            </a:graphic>
          </wp:inline>
        </w:drawing>
      </w:r>
    </w:p>
    <w:p w14:paraId="7A8C83EE">
      <w:pPr>
        <w:numPr>
          <w:ilvl w:val="0"/>
          <w:numId w:val="0"/>
        </w:numPr>
        <w:ind w:leftChars="0"/>
        <w:jc w:val="left"/>
        <w:rPr>
          <w:color w:val="auto"/>
          <w:szCs w:val="24"/>
        </w:rPr>
      </w:pPr>
      <w:r>
        <w:rPr>
          <w:color w:val="auto"/>
          <w:szCs w:val="24"/>
        </w:rPr>
        <w:drawing>
          <wp:inline distT="0" distB="0" distL="114300" distR="114300">
            <wp:extent cx="3056890" cy="880745"/>
            <wp:effectExtent l="0" t="0" r="6350" b="3175"/>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72"/>
                    <a:stretch>
                      <a:fillRect/>
                    </a:stretch>
                  </pic:blipFill>
                  <pic:spPr>
                    <a:xfrm>
                      <a:off x="0" y="0"/>
                      <a:ext cx="3056890" cy="880745"/>
                    </a:xfrm>
                    <a:prstGeom prst="rect">
                      <a:avLst/>
                    </a:prstGeom>
                    <a:noFill/>
                    <a:ln>
                      <a:noFill/>
                    </a:ln>
                  </pic:spPr>
                </pic:pic>
              </a:graphicData>
            </a:graphic>
          </wp:inline>
        </w:drawing>
      </w:r>
    </w:p>
    <w:p w14:paraId="3A50C10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color w:val="auto"/>
          <w:szCs w:val="24"/>
          <w:lang w:val="en-US" w:eastAsia="zh-CN"/>
        </w:rPr>
      </w:pPr>
      <w:r>
        <w:rPr>
          <w:rFonts w:hint="eastAsia"/>
          <w:color w:val="auto"/>
          <w:szCs w:val="24"/>
          <w:lang w:eastAsia="zh-CN"/>
        </w:rPr>
        <w:t>成本结合工程回复：</w:t>
      </w:r>
      <w:r>
        <w:rPr>
          <w:rFonts w:hint="eastAsia"/>
          <w:color w:val="auto"/>
          <w:szCs w:val="24"/>
          <w:lang w:val="en-US" w:eastAsia="zh-CN"/>
        </w:rPr>
        <w:t>3号楼1单元二层及以下公区墙地砖铺贴及吊顶、腻子涂料灯具安装已施工完成，成本清单相应调整</w:t>
      </w:r>
    </w:p>
    <w:p w14:paraId="78CC9B6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挂画、软塌、脚垫、标志标牌、指示牌、广告字等属于软装范畴，选样不同市场价格差异很大，清单上也写了由软装设计，请问这些是否可以不计入本次硬装招标范围？如果可以不计入本次招标范围，请贵单位核减相应清单。</w:t>
      </w:r>
    </w:p>
    <w:p w14:paraId="3E31420E">
      <w:pPr>
        <w:widowControl w:val="0"/>
        <w:numPr>
          <w:ilvl w:val="0"/>
          <w:numId w:val="0"/>
        </w:numPr>
        <w:jc w:val="left"/>
        <w:rPr>
          <w:color w:val="auto"/>
        </w:rPr>
      </w:pPr>
      <w:r>
        <w:rPr>
          <w:color w:val="auto"/>
        </w:rPr>
        <w:drawing>
          <wp:inline distT="0" distB="0" distL="114300" distR="114300">
            <wp:extent cx="1740535" cy="945515"/>
            <wp:effectExtent l="0" t="0" r="12065" b="146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3"/>
                    <a:stretch>
                      <a:fillRect/>
                    </a:stretch>
                  </pic:blipFill>
                  <pic:spPr>
                    <a:xfrm>
                      <a:off x="0" y="0"/>
                      <a:ext cx="1740535" cy="945515"/>
                    </a:xfrm>
                    <a:prstGeom prst="rect">
                      <a:avLst/>
                    </a:prstGeom>
                    <a:noFill/>
                    <a:ln>
                      <a:noFill/>
                    </a:ln>
                  </pic:spPr>
                </pic:pic>
              </a:graphicData>
            </a:graphic>
          </wp:inline>
        </w:drawing>
      </w:r>
    </w:p>
    <w:p w14:paraId="0667228E">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color w:val="auto"/>
          <w:lang w:val="en-US" w:eastAsia="zh-CN"/>
        </w:rPr>
      </w:pPr>
      <w:r>
        <w:rPr>
          <w:rFonts w:hint="eastAsia"/>
          <w:color w:val="auto"/>
          <w:lang w:eastAsia="zh-CN"/>
        </w:rPr>
        <w:t>工程成本结合回复：</w:t>
      </w:r>
      <w:r>
        <w:rPr>
          <w:rFonts w:hint="eastAsia"/>
          <w:color w:val="auto"/>
          <w:lang w:val="en-US" w:eastAsia="zh-CN"/>
        </w:rPr>
        <w:t>不在本次招标范围</w:t>
      </w:r>
    </w:p>
    <w:p w14:paraId="02511C69">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09C5E665">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7D20C0C7">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134E778A">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10C49013">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23A985CE">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22A87FD8">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20F36019">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54804507">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7FBADB47">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4B30B9C2">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425C837E">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2831BD12">
      <w:pPr>
        <w:pStyle w:val="4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Theme="minorEastAsia" w:hAnsiTheme="minorEastAsia" w:eastAsiaTheme="minorEastAsia" w:cstheme="minorEastAsia"/>
          <w:color w:val="auto"/>
          <w:sz w:val="24"/>
          <w:szCs w:val="24"/>
          <w:lang w:val="en-US" w:eastAsia="zh-CN"/>
        </w:rPr>
      </w:pPr>
    </w:p>
    <w:p w14:paraId="33B2EE90">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tbl>
      <w:tblPr>
        <w:tblStyle w:val="47"/>
        <w:tblW w:w="97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3"/>
        <w:gridCol w:w="9217"/>
      </w:tblGrid>
      <w:tr w14:paraId="14BBC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9740" w:type="dxa"/>
            <w:gridSpan w:val="2"/>
            <w:tcBorders>
              <w:top w:val="nil"/>
              <w:left w:val="nil"/>
              <w:bottom w:val="nil"/>
              <w:right w:val="nil"/>
            </w:tcBorders>
            <w:shd w:val="clear" w:color="auto" w:fill="auto"/>
            <w:noWrap/>
            <w:vAlign w:val="center"/>
          </w:tcPr>
          <w:p w14:paraId="49452113">
            <w:pPr>
              <w:keepNext w:val="0"/>
              <w:keepLines w:val="0"/>
              <w:widowControl/>
              <w:suppressLineNumbers w:val="0"/>
              <w:jc w:val="center"/>
              <w:textAlignment w:val="center"/>
              <w:rPr>
                <w:rFonts w:ascii="楷体_GB2312" w:hAnsi="宋体" w:eastAsia="楷体_GB2312" w:cs="楷体_GB2312"/>
                <w:b/>
                <w:bCs/>
                <w:i w:val="0"/>
                <w:iCs w:val="0"/>
                <w:color w:val="000000"/>
                <w:sz w:val="32"/>
                <w:szCs w:val="32"/>
                <w:u w:val="none"/>
              </w:rPr>
            </w:pPr>
            <w:r>
              <w:rPr>
                <w:rFonts w:hint="default" w:ascii="楷体_GB2312" w:hAnsi="宋体" w:eastAsia="楷体_GB2312" w:cs="楷体_GB2312"/>
                <w:b/>
                <w:bCs/>
                <w:i w:val="0"/>
                <w:iCs w:val="0"/>
                <w:color w:val="000000"/>
                <w:kern w:val="0"/>
                <w:sz w:val="32"/>
                <w:szCs w:val="32"/>
                <w:u w:val="none"/>
                <w:lang w:val="en-US" w:eastAsia="zh-CN" w:bidi="ar"/>
              </w:rPr>
              <w:t>工程量清单报价说明</w:t>
            </w:r>
          </w:p>
        </w:tc>
      </w:tr>
      <w:tr w14:paraId="71A56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719E">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一、工程概况:</w:t>
            </w:r>
          </w:p>
        </w:tc>
      </w:tr>
      <w:tr w14:paraId="208A8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05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EF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工程概况:洛阳悠然居项目公共区域装修工程</w:t>
            </w:r>
          </w:p>
        </w:tc>
      </w:tr>
      <w:tr w14:paraId="3E0E0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BD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1980">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其他事项：</w:t>
            </w:r>
          </w:p>
          <w:p w14:paraId="35A204A0">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（1）施工现场的实际情况：投标单位自行勘察。</w:t>
            </w:r>
          </w:p>
          <w:p w14:paraId="735B2AE9">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（2）交通运输情况：投标单位自行勘察。</w:t>
            </w:r>
          </w:p>
          <w:p w14:paraId="776A52B7">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（3）自然地理条件及环境保护要求：见招标文件中合同条款。</w:t>
            </w:r>
          </w:p>
          <w:p w14:paraId="24C32DF1">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（4）施工工期：见招标文件/合同文件。</w:t>
            </w:r>
          </w:p>
          <w:p w14:paraId="5C06EA1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（5）水电接口：甲方现场提供水电接驳点，自行接驳、水电费在综合单价内已包括。</w:t>
            </w:r>
          </w:p>
        </w:tc>
      </w:tr>
      <w:tr w14:paraId="4F695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ECDE">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二、投标报价说明:</w:t>
            </w:r>
          </w:p>
        </w:tc>
      </w:tr>
      <w:tr w14:paraId="57E42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2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D4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应对本工程招标范围、内容、技术说明、采用规范要求、合同条件、质量标准、工期进度要求、施工现场情况、工程所在地的周围环境、交通等与工程施工有关的所有情况进行详细了解和研究,自行组织现场踏勘了解施工现场实际情况并调查市场价格及工程所在地相关建筑市场管理政策、法律和规定，根据自行编制的施工组织设计或施工方案，结合本企业的自身技术资质情况、经济物质资源情况、经营能力、组织管理能力，或参考项目所在地有关计价规则、技术装备水平、管理水平，工程实际情况、风险程度等自主报价，投标报价被认为能够全面履行应尽的义务和应承担的责任。</w:t>
            </w:r>
          </w:p>
        </w:tc>
      </w:tr>
      <w:tr w14:paraId="6172A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F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44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地周围环境、交通道路、现场地质资料、周围地下管网、现场条件、招标文件、承包范围、施工组织设计、施工技术措施、施工场地硬化、安全维护、文明工地施工措施，或参考洛阳市有关地方性技术、安全、文明施工要求规定（如商品混凝土、预拌砂浆、扬尘治理、防霾治霾等），投标人作为一个有经验的承包商可以预见的与工程施工有关的一切因素，均应在投标报价中统一考虑，不再另外计取任何其他费用。</w:t>
            </w:r>
          </w:p>
        </w:tc>
      </w:tr>
      <w:tr w14:paraId="31DE6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A4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B7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的投标报价必须在合理范围内，不允许不平衡报价，不允许对相同的清单项报不同的价格。如投标人的某些综合单价与市场价格相差较大，招标人有权要求投标人对其作出澄清说明，并且招标人有权在中标后对其单价进行平衡调整；如出现相同清单项报不同单价，招标人有权按照最低价格执行。</w:t>
            </w:r>
          </w:p>
        </w:tc>
      </w:tr>
      <w:tr w14:paraId="53BF9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7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D2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清单投标报价表中列明的所有需要填报的单价和总价，投标人均应填报。投标报价清单上，无论工程量是否列明，有无填写单价或合价项目，没有列出的费用，固定总价包干部分视为已分配到有关项目的单价或合价中（不得以图纸设计深度不足、图纸设计与规范矛盾等理由在合同承包范围内提出因工程量的增减而调整合同总价），如工程中确实发生,招标人视为该项费用已全部包含在工程量清单的其它项目单价或总价中。综合单价包干部分工程量据实结算。投标人应仔细检查投标总报价各部分的金额合计应等于总金额。</w:t>
            </w:r>
          </w:p>
        </w:tc>
      </w:tr>
      <w:tr w14:paraId="373B9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A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90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单项目特征描述中对其基层、面层的做法及节点要求仅为概括描述，详细内容均以施工图纸、规范技术要求、现场技术、施工工艺为准，投标人作为一个有经验的承包商已充分考虑完成本工程所需的全部施工及措施费用，若清单特征中无列项的，视为已包含在其他费中。</w:t>
            </w:r>
          </w:p>
        </w:tc>
      </w:tr>
      <w:tr w14:paraId="5F88E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1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18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应认真阅读招标文件的全部内容，如有错误和疑义，请以书面形式提出，如没有提出，则表明对招标文件的全部内容已理解并且接受，对此产生的全部责任由投标人承担。投标人必须按招标文件要求进行报价，不得对招标文件内容进行实质性改变，如出现投标文件同招标文件不一致的地方以招标文件为准，表格中的数字均有公式链接关系，请投标人自行检查，保证其正确性，否则因数据链接导致的错误责任由投标人承担。</w:t>
            </w:r>
          </w:p>
        </w:tc>
      </w:tr>
      <w:tr w14:paraId="4F0E0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97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14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招标清单所列清单项各投标人不得调整，招标人提供参考清单工程量，投标人根据招标人提供的招标范围、承包内容、施工图纸等资料対参考工程量进行复核，投标人对投标工程量的准确性负责，投标工程量偏差的风险在包干总价范围内不予调整；招标人提供的表格格式、序号、清单项目等投标人如确认有明显错误或漏项时需在投标答疑时以书面形式提出，经招标人确认书面回复后统一调整。</w:t>
            </w:r>
          </w:p>
        </w:tc>
      </w:tr>
      <w:tr w14:paraId="09514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8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1D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填报的综合单价包含人工费、材料费、机械费、管理费、利润、规费、措施费、风险、增值税等一切费用，并考虑合同文件中明示或暗示的所有责任、义务因素涉及的费用，详见合同文件模板；若承包范围发生变化，合同内有相同或相似综合单价的项目仍需执行原合同约定的综合单价。</w:t>
            </w:r>
          </w:p>
        </w:tc>
      </w:tr>
      <w:tr w14:paraId="2FA2B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19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33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招标文件中的合同条款将作为中标后的施工合同，请仔细阅读并在报价中充分考虑，一切以合同条款为准。</w:t>
            </w:r>
          </w:p>
        </w:tc>
      </w:tr>
      <w:tr w14:paraId="60BFE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247A">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三、工程量清单编制依据及计算规则</w:t>
            </w:r>
          </w:p>
        </w:tc>
      </w:tr>
      <w:tr w14:paraId="509E0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A4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61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工程量计算依据本次提供招标图纸</w:t>
            </w:r>
          </w:p>
        </w:tc>
      </w:tr>
      <w:tr w14:paraId="7C533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23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81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公区装修中天棚计算规则按照垂直投影面积计算，踏步计算规则按照水平投影面积计算。</w:t>
            </w:r>
          </w:p>
        </w:tc>
      </w:tr>
      <w:tr w14:paraId="4C997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626B">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四、其他计价说明</w:t>
            </w:r>
          </w:p>
        </w:tc>
      </w:tr>
      <w:tr w14:paraId="41066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44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56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3#楼两个单元地下层、首层、二层已完成施工，本次招标单位不含该部分工程量。</w:t>
            </w:r>
          </w:p>
        </w:tc>
      </w:tr>
      <w:tr w14:paraId="46EB5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D5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F9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所有楼光厅地面做法（金刚砂地坪），总包已计入，本次招标单位不含该部分工程量。</w:t>
            </w:r>
          </w:p>
        </w:tc>
      </w:tr>
      <w:tr w14:paraId="51B77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66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F2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精装修安装施工范围为负一层、一层大堂、标准层、夹层从配电箱出线至灯具、开关、配管、配线均为精装单位。</w:t>
            </w:r>
          </w:p>
        </w:tc>
      </w:tr>
      <w:tr w14:paraId="3E3CD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C9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9F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应急照明电源配管总包已计入，配线由消防单位施工，本次招标单位不含该部分工程量。</w:t>
            </w:r>
          </w:p>
        </w:tc>
      </w:tr>
      <w:tr w14:paraId="0F8D1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0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1E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配电箱至电感门电源管线按设计回复PVC20,WDZ-BYJ-3*4计入。</w:t>
            </w:r>
          </w:p>
        </w:tc>
      </w:tr>
      <w:tr w14:paraId="772EF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F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72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配电箱至照明灯具、墙面灯带、墙面发光字管线按设计回复JDG20明敷,WDZ-BYJ-3*2.5计入。</w:t>
            </w:r>
          </w:p>
        </w:tc>
      </w:tr>
      <w:tr w14:paraId="7BCE6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E8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4E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楼梯间雷达感应吸顶灯及配管配线已计入总包，本次招标单位不含该部分工程量。</w:t>
            </w:r>
          </w:p>
        </w:tc>
      </w:tr>
    </w:tbl>
    <w:p w14:paraId="056BC7C8">
      <w:pPr>
        <w:pStyle w:val="32"/>
        <w:spacing w:line="300" w:lineRule="auto"/>
        <w:ind w:firstLine="1920" w:firstLineChars="800"/>
        <w:jc w:val="left"/>
        <w:rPr>
          <w:rFonts w:hint="eastAsia" w:asciiTheme="minorEastAsia" w:hAnsiTheme="minorEastAsia" w:eastAsiaTheme="minorEastAsia" w:cstheme="minorEastAsia"/>
          <w:b w:val="0"/>
          <w:color w:val="auto"/>
        </w:rPr>
      </w:pPr>
    </w:p>
    <w:tbl>
      <w:tblPr>
        <w:tblStyle w:val="47"/>
        <w:tblW w:w="83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8"/>
        <w:gridCol w:w="1194"/>
        <w:gridCol w:w="1179"/>
        <w:gridCol w:w="2846"/>
        <w:gridCol w:w="2333"/>
      </w:tblGrid>
      <w:tr w14:paraId="60910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3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57005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二标段汇总（5#、7#、8#、11#、12#、13#）</w:t>
            </w:r>
          </w:p>
        </w:tc>
      </w:tr>
      <w:tr w14:paraId="6472B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78E7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 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4608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E1E7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2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CC1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含税合计(元)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52A4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1C91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7F757D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5FAB06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二标段</w:t>
            </w: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0A51B961">
            <w:pPr>
              <w:jc w:val="center"/>
              <w:rPr>
                <w:rFonts w:hint="eastAsia" w:ascii="宋体" w:hAnsi="宋体" w:eastAsia="宋体" w:cs="宋体"/>
                <w:i w:val="0"/>
                <w:iCs w:val="0"/>
                <w:color w:val="000000"/>
                <w:sz w:val="24"/>
                <w:szCs w:val="24"/>
                <w:u w:val="none"/>
              </w:rPr>
            </w:pPr>
          </w:p>
        </w:tc>
        <w:tc>
          <w:tcPr>
            <w:tcW w:w="2813" w:type="dxa"/>
            <w:tcBorders>
              <w:top w:val="single" w:color="000000" w:sz="4" w:space="0"/>
              <w:left w:val="single" w:color="000000" w:sz="4" w:space="0"/>
              <w:bottom w:val="single" w:color="000000" w:sz="4" w:space="0"/>
              <w:right w:val="single" w:color="000000" w:sz="4" w:space="0"/>
            </w:tcBorders>
            <w:shd w:val="clear" w:color="auto" w:fill="5B9BD5"/>
            <w:vAlign w:val="center"/>
          </w:tcPr>
          <w:p w14:paraId="7D868E41">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64DCA36E">
            <w:pPr>
              <w:jc w:val="center"/>
              <w:rPr>
                <w:rFonts w:hint="eastAsia" w:ascii="宋体" w:hAnsi="宋体" w:eastAsia="宋体" w:cs="宋体"/>
                <w:i w:val="0"/>
                <w:iCs w:val="0"/>
                <w:color w:val="000000"/>
                <w:sz w:val="24"/>
                <w:szCs w:val="24"/>
                <w:u w:val="none"/>
              </w:rPr>
            </w:pPr>
          </w:p>
        </w:tc>
      </w:tr>
      <w:tr w14:paraId="2630B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A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C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E1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C0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1449434.25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6B7D1">
            <w:pPr>
              <w:jc w:val="center"/>
              <w:rPr>
                <w:rFonts w:hint="eastAsia" w:ascii="宋体" w:hAnsi="宋体" w:eastAsia="宋体" w:cs="宋体"/>
                <w:i w:val="0"/>
                <w:iCs w:val="0"/>
                <w:color w:val="000000"/>
                <w:sz w:val="24"/>
                <w:szCs w:val="24"/>
                <w:u w:val="none"/>
              </w:rPr>
            </w:pPr>
          </w:p>
        </w:tc>
      </w:tr>
      <w:tr w14:paraId="673F2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594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9B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D5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D2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523003.30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6C5DF">
            <w:pPr>
              <w:jc w:val="center"/>
              <w:rPr>
                <w:rFonts w:hint="eastAsia" w:ascii="宋体" w:hAnsi="宋体" w:eastAsia="宋体" w:cs="宋体"/>
                <w:i w:val="0"/>
                <w:iCs w:val="0"/>
                <w:color w:val="000000"/>
                <w:sz w:val="24"/>
                <w:szCs w:val="24"/>
                <w:u w:val="none"/>
              </w:rPr>
            </w:pPr>
          </w:p>
        </w:tc>
      </w:tr>
      <w:tr w14:paraId="13822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187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B37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F0D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57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1054645.35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10CF">
            <w:pPr>
              <w:jc w:val="center"/>
              <w:rPr>
                <w:rFonts w:hint="eastAsia" w:ascii="宋体" w:hAnsi="宋体" w:eastAsia="宋体" w:cs="宋体"/>
                <w:i w:val="0"/>
                <w:iCs w:val="0"/>
                <w:color w:val="000000"/>
                <w:sz w:val="24"/>
                <w:szCs w:val="24"/>
                <w:u w:val="none"/>
              </w:rPr>
            </w:pPr>
          </w:p>
        </w:tc>
      </w:tr>
      <w:tr w14:paraId="1FD64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CF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922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92E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C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878665.50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1200">
            <w:pPr>
              <w:jc w:val="center"/>
              <w:rPr>
                <w:rFonts w:hint="eastAsia" w:ascii="宋体" w:hAnsi="宋体" w:eastAsia="宋体" w:cs="宋体"/>
                <w:i w:val="0"/>
                <w:iCs w:val="0"/>
                <w:color w:val="000000"/>
                <w:sz w:val="24"/>
                <w:szCs w:val="24"/>
                <w:u w:val="none"/>
              </w:rPr>
            </w:pPr>
          </w:p>
        </w:tc>
      </w:tr>
      <w:tr w14:paraId="49D8E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F5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16D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61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E0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655520.13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DE471">
            <w:pPr>
              <w:jc w:val="center"/>
              <w:rPr>
                <w:rFonts w:hint="eastAsia" w:ascii="宋体" w:hAnsi="宋体" w:eastAsia="宋体" w:cs="宋体"/>
                <w:i w:val="0"/>
                <w:iCs w:val="0"/>
                <w:color w:val="000000"/>
                <w:sz w:val="24"/>
                <w:szCs w:val="24"/>
                <w:u w:val="none"/>
              </w:rPr>
            </w:pPr>
          </w:p>
        </w:tc>
      </w:tr>
      <w:tr w14:paraId="1ECF6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AE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A4F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468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E2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967536.05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9C171">
            <w:pPr>
              <w:jc w:val="center"/>
              <w:rPr>
                <w:rFonts w:hint="eastAsia" w:ascii="宋体" w:hAnsi="宋体" w:eastAsia="宋体" w:cs="宋体"/>
                <w:i w:val="0"/>
                <w:iCs w:val="0"/>
                <w:color w:val="000000"/>
                <w:sz w:val="24"/>
                <w:szCs w:val="24"/>
                <w:u w:val="none"/>
              </w:rPr>
            </w:pPr>
          </w:p>
        </w:tc>
      </w:tr>
      <w:tr w14:paraId="041C8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857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7F6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396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2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EB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279367.82 </w:t>
            </w:r>
          </w:p>
        </w:tc>
        <w:tc>
          <w:tcPr>
            <w:tcW w:w="2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6B58">
            <w:pPr>
              <w:jc w:val="center"/>
              <w:rPr>
                <w:rFonts w:hint="eastAsia" w:ascii="宋体" w:hAnsi="宋体" w:eastAsia="宋体" w:cs="宋体"/>
                <w:i w:val="0"/>
                <w:iCs w:val="0"/>
                <w:color w:val="000000"/>
                <w:sz w:val="24"/>
                <w:szCs w:val="24"/>
                <w:u w:val="none"/>
              </w:rPr>
            </w:pPr>
          </w:p>
        </w:tc>
      </w:tr>
      <w:tr w14:paraId="1D265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99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2EE78">
            <w:pPr>
              <w:jc w:val="center"/>
              <w:rPr>
                <w:rFonts w:hint="eastAsia" w:ascii="宋体" w:hAnsi="宋体" w:eastAsia="宋体" w:cs="宋体"/>
                <w:i w:val="0"/>
                <w:iCs w:val="0"/>
                <w:color w:val="000000"/>
                <w:sz w:val="24"/>
                <w:szCs w:val="24"/>
                <w:u w:val="none"/>
              </w:rPr>
            </w:pPr>
          </w:p>
        </w:tc>
        <w:tc>
          <w:tcPr>
            <w:tcW w:w="2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A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5808172.39 </w:t>
            </w:r>
          </w:p>
        </w:tc>
        <w:tc>
          <w:tcPr>
            <w:tcW w:w="2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5587">
            <w:pPr>
              <w:jc w:val="center"/>
              <w:rPr>
                <w:rFonts w:hint="eastAsia" w:ascii="宋体" w:hAnsi="宋体" w:eastAsia="宋体" w:cs="宋体"/>
                <w:i w:val="0"/>
                <w:iCs w:val="0"/>
                <w:color w:val="000000"/>
                <w:sz w:val="24"/>
                <w:szCs w:val="24"/>
                <w:u w:val="none"/>
              </w:rPr>
            </w:pPr>
          </w:p>
        </w:tc>
      </w:tr>
      <w:tr w14:paraId="784D0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4226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优惠后取整</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CB42">
            <w:pPr>
              <w:jc w:val="center"/>
              <w:rPr>
                <w:rFonts w:hint="eastAsia" w:ascii="宋体" w:hAnsi="宋体" w:eastAsia="宋体" w:cs="宋体"/>
                <w:i w:val="0"/>
                <w:iCs w:val="0"/>
                <w:color w:val="000000"/>
                <w:sz w:val="24"/>
                <w:szCs w:val="24"/>
                <w:u w:val="none"/>
              </w:rPr>
            </w:pPr>
          </w:p>
        </w:tc>
        <w:tc>
          <w:tcPr>
            <w:tcW w:w="2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62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5800000.00 </w:t>
            </w:r>
          </w:p>
        </w:tc>
        <w:tc>
          <w:tcPr>
            <w:tcW w:w="2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CE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优惠后取整</w:t>
            </w:r>
          </w:p>
        </w:tc>
      </w:tr>
    </w:tbl>
    <w:p w14:paraId="2BF17857">
      <w:pPr>
        <w:rPr>
          <w:color w:val="auto"/>
        </w:rPr>
      </w:pPr>
    </w:p>
    <w:sectPr>
      <w:headerReference r:id="rId3" w:type="default"/>
      <w:footerReference r:id="rId4" w:type="default"/>
      <w:pgSz w:w="11906" w:h="16838"/>
      <w:pgMar w:top="1304" w:right="1304" w:bottom="1304" w:left="1064"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24F91">
    <w:pPr>
      <w:pStyle w:val="30"/>
      <w:ind w:left="9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108F2">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01108F2">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14:paraId="778DAA17">
    <w:pPr>
      <w:pStyle w:val="30"/>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D7E0B">
    <w:pPr>
      <w:pStyle w:val="31"/>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A9F0A"/>
    <w:multiLevelType w:val="singleLevel"/>
    <w:tmpl w:val="897A9F0A"/>
    <w:lvl w:ilvl="0" w:tentative="0">
      <w:start w:val="1"/>
      <w:numFmt w:val="decimal"/>
      <w:lvlText w:val="%1."/>
      <w:lvlJc w:val="left"/>
      <w:pPr>
        <w:tabs>
          <w:tab w:val="left" w:pos="312"/>
        </w:tabs>
      </w:pPr>
    </w:lvl>
  </w:abstractNum>
  <w:abstractNum w:abstractNumId="1">
    <w:nsid w:val="95036D51"/>
    <w:multiLevelType w:val="multilevel"/>
    <w:tmpl w:val="95036D51"/>
    <w:lvl w:ilvl="0" w:tentative="0">
      <w:start w:val="1"/>
      <w:numFmt w:val="chineseCountingThousand"/>
      <w:pStyle w:val="7"/>
      <w:lvlText w:val="%1."/>
      <w:lvlJc w:val="left"/>
      <w:pPr>
        <w:tabs>
          <w:tab w:val="left" w:pos="0"/>
        </w:tabs>
        <w:ind w:left="425" w:hanging="425"/>
      </w:pPr>
      <w:rPr>
        <w:rFonts w:cs="Times New Roman"/>
      </w:rPr>
    </w:lvl>
    <w:lvl w:ilvl="1" w:tentative="0">
      <w:start w:val="1"/>
      <w:numFmt w:val="decimal"/>
      <w:pStyle w:val="9"/>
      <w:lvlText w:val="%2."/>
      <w:legacy w:legacy="1" w:legacySpace="0" w:legacyIndent="425"/>
      <w:lvlJc w:val="left"/>
      <w:pPr>
        <w:ind w:left="992" w:hanging="425"/>
      </w:pPr>
      <w:rPr>
        <w:rFonts w:cs="Times New Roman"/>
      </w:rPr>
    </w:lvl>
    <w:lvl w:ilvl="2" w:tentative="0">
      <w:start w:val="1"/>
      <w:numFmt w:val="none"/>
      <w:pStyle w:val="10"/>
      <w:suff w:val="nothing"/>
      <w:lvlText w:val=""/>
      <w:lvlJc w:val="left"/>
      <w:pPr>
        <w:tabs>
          <w:tab w:val="left" w:pos="0"/>
        </w:tabs>
        <w:ind w:left="851" w:hanging="425"/>
      </w:pPr>
      <w:rPr>
        <w:rFonts w:cs="Times New Roman"/>
      </w:rPr>
    </w:lvl>
    <w:lvl w:ilvl="3" w:tentative="0">
      <w:start w:val="1"/>
      <w:numFmt w:val="lowerLetter"/>
      <w:pStyle w:val="11"/>
      <w:lvlText w:val="%4)"/>
      <w:legacy w:legacy="1" w:legacySpace="0" w:legacyIndent="425"/>
      <w:lvlJc w:val="left"/>
      <w:pPr>
        <w:ind w:left="1700" w:hanging="425"/>
      </w:pPr>
      <w:rPr>
        <w:rFonts w:cs="Times New Roman"/>
      </w:rPr>
    </w:lvl>
    <w:lvl w:ilvl="4" w:tentative="0">
      <w:start w:val="1"/>
      <w:numFmt w:val="decimal"/>
      <w:pStyle w:val="12"/>
      <w:lvlText w:val="(%5)"/>
      <w:legacy w:legacy="1" w:legacySpace="0" w:legacyIndent="425"/>
      <w:lvlJc w:val="left"/>
      <w:pPr>
        <w:ind w:left="2125" w:hanging="425"/>
      </w:pPr>
      <w:rPr>
        <w:rFonts w:cs="Times New Roman"/>
      </w:rPr>
    </w:lvl>
    <w:lvl w:ilvl="5" w:tentative="0">
      <w:start w:val="1"/>
      <w:numFmt w:val="lowerLetter"/>
      <w:pStyle w:val="13"/>
      <w:lvlText w:val="(%6)"/>
      <w:legacy w:legacy="1" w:legacySpace="0" w:legacyIndent="425"/>
      <w:lvlJc w:val="left"/>
      <w:pPr>
        <w:ind w:left="2550" w:hanging="425"/>
      </w:pPr>
      <w:rPr>
        <w:rFonts w:cs="Times New Roman"/>
      </w:rPr>
    </w:lvl>
    <w:lvl w:ilvl="6" w:tentative="0">
      <w:start w:val="1"/>
      <w:numFmt w:val="lowerRoman"/>
      <w:pStyle w:val="14"/>
      <w:lvlText w:val="(%7)"/>
      <w:legacy w:legacy="1" w:legacySpace="0" w:legacyIndent="425"/>
      <w:lvlJc w:val="left"/>
      <w:pPr>
        <w:ind w:left="2975" w:hanging="425"/>
      </w:pPr>
      <w:rPr>
        <w:rFonts w:cs="Times New Roman"/>
      </w:rPr>
    </w:lvl>
    <w:lvl w:ilvl="7" w:tentative="0">
      <w:start w:val="1"/>
      <w:numFmt w:val="lowerLetter"/>
      <w:pStyle w:val="15"/>
      <w:lvlText w:val="(%8)"/>
      <w:legacy w:legacy="1" w:legacySpace="0" w:legacyIndent="425"/>
      <w:lvlJc w:val="left"/>
      <w:pPr>
        <w:ind w:left="3400" w:hanging="425"/>
      </w:pPr>
      <w:rPr>
        <w:rFonts w:cs="Times New Roman"/>
      </w:rPr>
    </w:lvl>
    <w:lvl w:ilvl="8" w:tentative="0">
      <w:start w:val="1"/>
      <w:numFmt w:val="lowerRoman"/>
      <w:pStyle w:val="16"/>
      <w:lvlText w:val="(%9)"/>
      <w:legacy w:legacy="1" w:legacySpace="0" w:legacyIndent="425"/>
      <w:lvlJc w:val="left"/>
      <w:pPr>
        <w:ind w:left="3825" w:hanging="425"/>
      </w:pPr>
      <w:rPr>
        <w:rFonts w:cs="Times New Roman"/>
      </w:rPr>
    </w:lvl>
  </w:abstractNum>
  <w:abstractNum w:abstractNumId="2">
    <w:nsid w:val="3E6C9CA1"/>
    <w:multiLevelType w:val="singleLevel"/>
    <w:tmpl w:val="3E6C9CA1"/>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FlODRhNTY2YTliZmVkOWRlODI2MWVjNWFiZjEwN2I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2FAE"/>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25C"/>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52E"/>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4A28"/>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5123B9"/>
    <w:rsid w:val="016B0214"/>
    <w:rsid w:val="01917894"/>
    <w:rsid w:val="01A00C4B"/>
    <w:rsid w:val="01B97525"/>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34238"/>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7277E4A"/>
    <w:rsid w:val="07285B9A"/>
    <w:rsid w:val="07312958"/>
    <w:rsid w:val="074A3B33"/>
    <w:rsid w:val="074E4D11"/>
    <w:rsid w:val="07583439"/>
    <w:rsid w:val="0774473E"/>
    <w:rsid w:val="07761957"/>
    <w:rsid w:val="078D7EC3"/>
    <w:rsid w:val="078E5986"/>
    <w:rsid w:val="07B0770E"/>
    <w:rsid w:val="07BF4B46"/>
    <w:rsid w:val="07CF67A4"/>
    <w:rsid w:val="07D33E57"/>
    <w:rsid w:val="07E07279"/>
    <w:rsid w:val="07E66441"/>
    <w:rsid w:val="07F7358F"/>
    <w:rsid w:val="08061610"/>
    <w:rsid w:val="0807018B"/>
    <w:rsid w:val="080F0AF7"/>
    <w:rsid w:val="0822060B"/>
    <w:rsid w:val="08234384"/>
    <w:rsid w:val="085A5FF7"/>
    <w:rsid w:val="085E77F2"/>
    <w:rsid w:val="08601CA5"/>
    <w:rsid w:val="08607386"/>
    <w:rsid w:val="086A214F"/>
    <w:rsid w:val="087F48B1"/>
    <w:rsid w:val="088E7D78"/>
    <w:rsid w:val="0893616A"/>
    <w:rsid w:val="08A301E0"/>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590531"/>
    <w:rsid w:val="0A7E7828"/>
    <w:rsid w:val="0A960A6B"/>
    <w:rsid w:val="0A98010A"/>
    <w:rsid w:val="0AA07F0D"/>
    <w:rsid w:val="0AAC0660"/>
    <w:rsid w:val="0AB72DDD"/>
    <w:rsid w:val="0AB80DB3"/>
    <w:rsid w:val="0AC0410C"/>
    <w:rsid w:val="0AC73DC4"/>
    <w:rsid w:val="0AD80F34"/>
    <w:rsid w:val="0AF34386"/>
    <w:rsid w:val="0AF662AE"/>
    <w:rsid w:val="0B0E26C8"/>
    <w:rsid w:val="0B1541E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F0057"/>
    <w:rsid w:val="0D102BB5"/>
    <w:rsid w:val="0D136775"/>
    <w:rsid w:val="0D177805"/>
    <w:rsid w:val="0D307FED"/>
    <w:rsid w:val="0D462F5B"/>
    <w:rsid w:val="0D527E74"/>
    <w:rsid w:val="0D533015"/>
    <w:rsid w:val="0D70006B"/>
    <w:rsid w:val="0D780753"/>
    <w:rsid w:val="0D7C7B7B"/>
    <w:rsid w:val="0D7D4536"/>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A15B62"/>
    <w:rsid w:val="0EC37DFB"/>
    <w:rsid w:val="0ECD1762"/>
    <w:rsid w:val="0EE5178E"/>
    <w:rsid w:val="0EFE3455"/>
    <w:rsid w:val="0F346E76"/>
    <w:rsid w:val="0F457322"/>
    <w:rsid w:val="0F4C71A5"/>
    <w:rsid w:val="0F4E10C9"/>
    <w:rsid w:val="0F587009"/>
    <w:rsid w:val="0F5C6E37"/>
    <w:rsid w:val="0F655A1E"/>
    <w:rsid w:val="0F97145F"/>
    <w:rsid w:val="0FA04519"/>
    <w:rsid w:val="0FC5251E"/>
    <w:rsid w:val="0FC621C4"/>
    <w:rsid w:val="0FD1429A"/>
    <w:rsid w:val="0FDA17CC"/>
    <w:rsid w:val="0FE55601"/>
    <w:rsid w:val="0FFA018F"/>
    <w:rsid w:val="100121CB"/>
    <w:rsid w:val="100A5E45"/>
    <w:rsid w:val="1051674C"/>
    <w:rsid w:val="106D5EC4"/>
    <w:rsid w:val="1076213B"/>
    <w:rsid w:val="107A3E35"/>
    <w:rsid w:val="109E016A"/>
    <w:rsid w:val="10A21880"/>
    <w:rsid w:val="10B309F0"/>
    <w:rsid w:val="10B6400D"/>
    <w:rsid w:val="10B93EAC"/>
    <w:rsid w:val="10C05D7B"/>
    <w:rsid w:val="10CA1347"/>
    <w:rsid w:val="10DA72A9"/>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D3C7D"/>
    <w:rsid w:val="12160F3D"/>
    <w:rsid w:val="12323B41"/>
    <w:rsid w:val="124949E7"/>
    <w:rsid w:val="124B4801"/>
    <w:rsid w:val="124D2729"/>
    <w:rsid w:val="126F278D"/>
    <w:rsid w:val="127663F0"/>
    <w:rsid w:val="12866A7B"/>
    <w:rsid w:val="128B4FFF"/>
    <w:rsid w:val="12955E7E"/>
    <w:rsid w:val="12AB3870"/>
    <w:rsid w:val="12BB31E6"/>
    <w:rsid w:val="12D15D0D"/>
    <w:rsid w:val="12DF1144"/>
    <w:rsid w:val="12E24E19"/>
    <w:rsid w:val="12EA61CA"/>
    <w:rsid w:val="12F34C62"/>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76C54"/>
    <w:rsid w:val="14C52A4A"/>
    <w:rsid w:val="14C84A35"/>
    <w:rsid w:val="14CA0061"/>
    <w:rsid w:val="14D80E5F"/>
    <w:rsid w:val="14EC3E47"/>
    <w:rsid w:val="15240574"/>
    <w:rsid w:val="152500E3"/>
    <w:rsid w:val="152F25BA"/>
    <w:rsid w:val="154C514C"/>
    <w:rsid w:val="154F6C3C"/>
    <w:rsid w:val="15623122"/>
    <w:rsid w:val="1574656B"/>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185E"/>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212AC"/>
    <w:rsid w:val="187C02E7"/>
    <w:rsid w:val="18896F0C"/>
    <w:rsid w:val="18B011F1"/>
    <w:rsid w:val="18B36492"/>
    <w:rsid w:val="18CD6371"/>
    <w:rsid w:val="18DC65B5"/>
    <w:rsid w:val="18F2497C"/>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E4CC6"/>
    <w:rsid w:val="1B1F09DB"/>
    <w:rsid w:val="1B211756"/>
    <w:rsid w:val="1B291859"/>
    <w:rsid w:val="1B2A271F"/>
    <w:rsid w:val="1B5C1491"/>
    <w:rsid w:val="1B5D25D3"/>
    <w:rsid w:val="1B6F4B4B"/>
    <w:rsid w:val="1B7452CD"/>
    <w:rsid w:val="1B7937A7"/>
    <w:rsid w:val="1B895EE0"/>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A3228"/>
    <w:rsid w:val="1F0B0D8A"/>
    <w:rsid w:val="1F100258"/>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186082"/>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B4682"/>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684505"/>
    <w:rsid w:val="237F77E2"/>
    <w:rsid w:val="23804D49"/>
    <w:rsid w:val="23965116"/>
    <w:rsid w:val="23BD3F0B"/>
    <w:rsid w:val="23BE2665"/>
    <w:rsid w:val="23D031BA"/>
    <w:rsid w:val="23DE7685"/>
    <w:rsid w:val="23F055C6"/>
    <w:rsid w:val="23FC7B97"/>
    <w:rsid w:val="24072635"/>
    <w:rsid w:val="24286B52"/>
    <w:rsid w:val="243D7784"/>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B215E3"/>
    <w:rsid w:val="25CE3729"/>
    <w:rsid w:val="25DC5E46"/>
    <w:rsid w:val="25F21770"/>
    <w:rsid w:val="25FF6DE8"/>
    <w:rsid w:val="260E1545"/>
    <w:rsid w:val="263B5473"/>
    <w:rsid w:val="263F63D5"/>
    <w:rsid w:val="2640132A"/>
    <w:rsid w:val="264310FE"/>
    <w:rsid w:val="264A66CE"/>
    <w:rsid w:val="265260FC"/>
    <w:rsid w:val="265C3412"/>
    <w:rsid w:val="266B082C"/>
    <w:rsid w:val="266E404E"/>
    <w:rsid w:val="267077C7"/>
    <w:rsid w:val="26874BF2"/>
    <w:rsid w:val="268B2965"/>
    <w:rsid w:val="268E1A5C"/>
    <w:rsid w:val="26B90B00"/>
    <w:rsid w:val="26CB7B6F"/>
    <w:rsid w:val="27075101"/>
    <w:rsid w:val="271138CD"/>
    <w:rsid w:val="271625A8"/>
    <w:rsid w:val="27264473"/>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453F13"/>
    <w:rsid w:val="29506674"/>
    <w:rsid w:val="29524882"/>
    <w:rsid w:val="29542197"/>
    <w:rsid w:val="29581C87"/>
    <w:rsid w:val="296E3259"/>
    <w:rsid w:val="29724C94"/>
    <w:rsid w:val="29797D36"/>
    <w:rsid w:val="29A0362E"/>
    <w:rsid w:val="29BE6110"/>
    <w:rsid w:val="29C16D79"/>
    <w:rsid w:val="29FB0865"/>
    <w:rsid w:val="2A173A40"/>
    <w:rsid w:val="2A1F1A78"/>
    <w:rsid w:val="2A465F84"/>
    <w:rsid w:val="2A5A3AF4"/>
    <w:rsid w:val="2A5B004D"/>
    <w:rsid w:val="2A620326"/>
    <w:rsid w:val="2A7D7E1C"/>
    <w:rsid w:val="2A893327"/>
    <w:rsid w:val="2A8D6CCA"/>
    <w:rsid w:val="2A9924AA"/>
    <w:rsid w:val="2A9A19B5"/>
    <w:rsid w:val="2A9E58A2"/>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CE2260"/>
    <w:rsid w:val="2CCE400E"/>
    <w:rsid w:val="2CD535EF"/>
    <w:rsid w:val="2CDD532D"/>
    <w:rsid w:val="2CF41CC7"/>
    <w:rsid w:val="2D200D0E"/>
    <w:rsid w:val="2D472E00"/>
    <w:rsid w:val="2D4F1427"/>
    <w:rsid w:val="2D532087"/>
    <w:rsid w:val="2D60272E"/>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F042A34"/>
    <w:rsid w:val="2F0957D2"/>
    <w:rsid w:val="2F154177"/>
    <w:rsid w:val="2F1871E9"/>
    <w:rsid w:val="2F1920D6"/>
    <w:rsid w:val="2F1D2BF9"/>
    <w:rsid w:val="2F30739F"/>
    <w:rsid w:val="2F482013"/>
    <w:rsid w:val="2F655F55"/>
    <w:rsid w:val="2F6D41A5"/>
    <w:rsid w:val="2F70458C"/>
    <w:rsid w:val="2F9C6646"/>
    <w:rsid w:val="2FBF5CA8"/>
    <w:rsid w:val="2FE24FA7"/>
    <w:rsid w:val="2FF84086"/>
    <w:rsid w:val="30043826"/>
    <w:rsid w:val="300B5720"/>
    <w:rsid w:val="301B0190"/>
    <w:rsid w:val="301F550A"/>
    <w:rsid w:val="304765B2"/>
    <w:rsid w:val="304F5466"/>
    <w:rsid w:val="30543E98"/>
    <w:rsid w:val="30550CCF"/>
    <w:rsid w:val="305F5242"/>
    <w:rsid w:val="30633E8D"/>
    <w:rsid w:val="30717AD3"/>
    <w:rsid w:val="309108BC"/>
    <w:rsid w:val="30972709"/>
    <w:rsid w:val="30A94822"/>
    <w:rsid w:val="30AD1EB0"/>
    <w:rsid w:val="30B71989"/>
    <w:rsid w:val="30C2496D"/>
    <w:rsid w:val="30C52242"/>
    <w:rsid w:val="30CC1770"/>
    <w:rsid w:val="30D37E45"/>
    <w:rsid w:val="30D431A5"/>
    <w:rsid w:val="30D435EB"/>
    <w:rsid w:val="30E7007E"/>
    <w:rsid w:val="3114343F"/>
    <w:rsid w:val="31195490"/>
    <w:rsid w:val="31226EF7"/>
    <w:rsid w:val="31321010"/>
    <w:rsid w:val="31350C4C"/>
    <w:rsid w:val="31553DF5"/>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376012"/>
    <w:rsid w:val="33677CCD"/>
    <w:rsid w:val="337A3C46"/>
    <w:rsid w:val="337C47C4"/>
    <w:rsid w:val="33800718"/>
    <w:rsid w:val="33E33872"/>
    <w:rsid w:val="33F04F1F"/>
    <w:rsid w:val="33F109FA"/>
    <w:rsid w:val="340300E9"/>
    <w:rsid w:val="341F6763"/>
    <w:rsid w:val="34291BF8"/>
    <w:rsid w:val="343B642D"/>
    <w:rsid w:val="344277BC"/>
    <w:rsid w:val="346F3BA7"/>
    <w:rsid w:val="347037BD"/>
    <w:rsid w:val="34711F8B"/>
    <w:rsid w:val="34740116"/>
    <w:rsid w:val="34781430"/>
    <w:rsid w:val="347831DE"/>
    <w:rsid w:val="34812E8F"/>
    <w:rsid w:val="34880F47"/>
    <w:rsid w:val="349A34DB"/>
    <w:rsid w:val="34B55708"/>
    <w:rsid w:val="34B8755D"/>
    <w:rsid w:val="34C54AD8"/>
    <w:rsid w:val="34CC4B3B"/>
    <w:rsid w:val="34D874BA"/>
    <w:rsid w:val="34E46AC5"/>
    <w:rsid w:val="34E70AD6"/>
    <w:rsid w:val="34EA04D4"/>
    <w:rsid w:val="34FA1E45"/>
    <w:rsid w:val="35301450"/>
    <w:rsid w:val="35367747"/>
    <w:rsid w:val="355B3707"/>
    <w:rsid w:val="355D1FC2"/>
    <w:rsid w:val="356F260C"/>
    <w:rsid w:val="3571598B"/>
    <w:rsid w:val="358A3883"/>
    <w:rsid w:val="35A324DC"/>
    <w:rsid w:val="35CB37E1"/>
    <w:rsid w:val="35DF2B69"/>
    <w:rsid w:val="35E8498A"/>
    <w:rsid w:val="35EC0271"/>
    <w:rsid w:val="3604351D"/>
    <w:rsid w:val="360665DE"/>
    <w:rsid w:val="360D61CC"/>
    <w:rsid w:val="36201B3B"/>
    <w:rsid w:val="36261B42"/>
    <w:rsid w:val="362D444E"/>
    <w:rsid w:val="362E3E38"/>
    <w:rsid w:val="364041CF"/>
    <w:rsid w:val="364D63A5"/>
    <w:rsid w:val="364E6B57"/>
    <w:rsid w:val="36613E2D"/>
    <w:rsid w:val="36761704"/>
    <w:rsid w:val="36791FB9"/>
    <w:rsid w:val="368C2F70"/>
    <w:rsid w:val="36960A1A"/>
    <w:rsid w:val="369B046E"/>
    <w:rsid w:val="369D517D"/>
    <w:rsid w:val="36A4650C"/>
    <w:rsid w:val="36A77DAA"/>
    <w:rsid w:val="36B30CB6"/>
    <w:rsid w:val="36BA0E3D"/>
    <w:rsid w:val="36BA5D2F"/>
    <w:rsid w:val="36BF2124"/>
    <w:rsid w:val="36C42854"/>
    <w:rsid w:val="36DA1F2E"/>
    <w:rsid w:val="36DC7704"/>
    <w:rsid w:val="36FF67FF"/>
    <w:rsid w:val="37015A93"/>
    <w:rsid w:val="371552FC"/>
    <w:rsid w:val="37254F27"/>
    <w:rsid w:val="37396A83"/>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C6D85"/>
    <w:rsid w:val="3A1F0DF9"/>
    <w:rsid w:val="3A2E021B"/>
    <w:rsid w:val="3A3448AB"/>
    <w:rsid w:val="3A4F678F"/>
    <w:rsid w:val="3A6F4BA3"/>
    <w:rsid w:val="3A6F5083"/>
    <w:rsid w:val="3A933220"/>
    <w:rsid w:val="3A9B0410"/>
    <w:rsid w:val="3AAA60BB"/>
    <w:rsid w:val="3ACB7183"/>
    <w:rsid w:val="3AE841F3"/>
    <w:rsid w:val="3B1A02DA"/>
    <w:rsid w:val="3B2459B4"/>
    <w:rsid w:val="3B2A0FAA"/>
    <w:rsid w:val="3B3B4F65"/>
    <w:rsid w:val="3B4626B8"/>
    <w:rsid w:val="3B5B0FEB"/>
    <w:rsid w:val="3B7D236D"/>
    <w:rsid w:val="3BB92E6A"/>
    <w:rsid w:val="3BC767F9"/>
    <w:rsid w:val="3BCE5DD9"/>
    <w:rsid w:val="3BD0212B"/>
    <w:rsid w:val="3BD258C9"/>
    <w:rsid w:val="3BDA7340"/>
    <w:rsid w:val="3BE75B33"/>
    <w:rsid w:val="3BE965F9"/>
    <w:rsid w:val="3C107412"/>
    <w:rsid w:val="3C243C4B"/>
    <w:rsid w:val="3C2459F9"/>
    <w:rsid w:val="3C4168C9"/>
    <w:rsid w:val="3C5B4A7D"/>
    <w:rsid w:val="3C5E46B7"/>
    <w:rsid w:val="3C6A38E9"/>
    <w:rsid w:val="3C7250F5"/>
    <w:rsid w:val="3C800A4A"/>
    <w:rsid w:val="3C880AB0"/>
    <w:rsid w:val="3CA57752"/>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A2799A"/>
    <w:rsid w:val="3FAF5BB6"/>
    <w:rsid w:val="3FC020EA"/>
    <w:rsid w:val="3FC13570"/>
    <w:rsid w:val="3FEB04B3"/>
    <w:rsid w:val="4010684E"/>
    <w:rsid w:val="403E177F"/>
    <w:rsid w:val="4042792B"/>
    <w:rsid w:val="404448BC"/>
    <w:rsid w:val="404A640F"/>
    <w:rsid w:val="405E1406"/>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A45AA"/>
    <w:rsid w:val="428117D6"/>
    <w:rsid w:val="42831B60"/>
    <w:rsid w:val="428D00BE"/>
    <w:rsid w:val="42AC04F6"/>
    <w:rsid w:val="42C07EB5"/>
    <w:rsid w:val="42CB7533"/>
    <w:rsid w:val="42CC5625"/>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801E15"/>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5D29BF"/>
    <w:rsid w:val="487F395F"/>
    <w:rsid w:val="489D100D"/>
    <w:rsid w:val="48C52312"/>
    <w:rsid w:val="48D013E2"/>
    <w:rsid w:val="49093633"/>
    <w:rsid w:val="49296D45"/>
    <w:rsid w:val="493059DD"/>
    <w:rsid w:val="49322248"/>
    <w:rsid w:val="4933371F"/>
    <w:rsid w:val="493545AB"/>
    <w:rsid w:val="494E2313"/>
    <w:rsid w:val="49522C7F"/>
    <w:rsid w:val="49621A56"/>
    <w:rsid w:val="49660998"/>
    <w:rsid w:val="49715A2D"/>
    <w:rsid w:val="499D0B37"/>
    <w:rsid w:val="49AD606D"/>
    <w:rsid w:val="49BB167F"/>
    <w:rsid w:val="49C35B92"/>
    <w:rsid w:val="49C90446"/>
    <w:rsid w:val="49CC7DFC"/>
    <w:rsid w:val="49D51AEB"/>
    <w:rsid w:val="49E11675"/>
    <w:rsid w:val="49ED62A0"/>
    <w:rsid w:val="49F57B95"/>
    <w:rsid w:val="49F66C27"/>
    <w:rsid w:val="49FB07B0"/>
    <w:rsid w:val="49FE565F"/>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EE3FFB"/>
    <w:rsid w:val="4AF1706D"/>
    <w:rsid w:val="4B10712C"/>
    <w:rsid w:val="4B146BA5"/>
    <w:rsid w:val="4B262FD0"/>
    <w:rsid w:val="4B281166"/>
    <w:rsid w:val="4B4D0F13"/>
    <w:rsid w:val="4B565F6E"/>
    <w:rsid w:val="4B703D18"/>
    <w:rsid w:val="4B751DCD"/>
    <w:rsid w:val="4B8F0CB2"/>
    <w:rsid w:val="4B8F3F68"/>
    <w:rsid w:val="4BA56C4D"/>
    <w:rsid w:val="4BAF73C3"/>
    <w:rsid w:val="4BB212CB"/>
    <w:rsid w:val="4BBF129A"/>
    <w:rsid w:val="4BDD4E1E"/>
    <w:rsid w:val="4C2550C9"/>
    <w:rsid w:val="4C2D26A8"/>
    <w:rsid w:val="4C312059"/>
    <w:rsid w:val="4C382624"/>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EB5D35"/>
    <w:rsid w:val="4DFC0584"/>
    <w:rsid w:val="4E054FA6"/>
    <w:rsid w:val="4E28352F"/>
    <w:rsid w:val="4E2C224E"/>
    <w:rsid w:val="4E3713AB"/>
    <w:rsid w:val="4E4F2DA9"/>
    <w:rsid w:val="4E5873A6"/>
    <w:rsid w:val="4E62626F"/>
    <w:rsid w:val="4E7A1B98"/>
    <w:rsid w:val="4E7B61FE"/>
    <w:rsid w:val="4E95627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F43C08"/>
    <w:rsid w:val="4FFA44AF"/>
    <w:rsid w:val="500656EA"/>
    <w:rsid w:val="50095513"/>
    <w:rsid w:val="5015592D"/>
    <w:rsid w:val="501A5098"/>
    <w:rsid w:val="501C4F0D"/>
    <w:rsid w:val="5025337C"/>
    <w:rsid w:val="50281B04"/>
    <w:rsid w:val="50554DF4"/>
    <w:rsid w:val="505E3468"/>
    <w:rsid w:val="50966F9E"/>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014C"/>
    <w:rsid w:val="529766F8"/>
    <w:rsid w:val="529C78D8"/>
    <w:rsid w:val="529D307A"/>
    <w:rsid w:val="529F47E0"/>
    <w:rsid w:val="52AE7979"/>
    <w:rsid w:val="52CA163E"/>
    <w:rsid w:val="52E635B0"/>
    <w:rsid w:val="52FB6732"/>
    <w:rsid w:val="52FC4A0B"/>
    <w:rsid w:val="53005373"/>
    <w:rsid w:val="53010E8A"/>
    <w:rsid w:val="53034162"/>
    <w:rsid w:val="5314461F"/>
    <w:rsid w:val="531A53CB"/>
    <w:rsid w:val="535574D8"/>
    <w:rsid w:val="53582C67"/>
    <w:rsid w:val="535F50D0"/>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A85071"/>
    <w:rsid w:val="54B7270E"/>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6737A0"/>
    <w:rsid w:val="576B5785"/>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985AD8"/>
    <w:rsid w:val="5AA93841"/>
    <w:rsid w:val="5AAD49D1"/>
    <w:rsid w:val="5AB865E5"/>
    <w:rsid w:val="5ABF3065"/>
    <w:rsid w:val="5AC445F6"/>
    <w:rsid w:val="5AD122E5"/>
    <w:rsid w:val="5AD703AE"/>
    <w:rsid w:val="5AE453BD"/>
    <w:rsid w:val="5AF42EC6"/>
    <w:rsid w:val="5AFA040B"/>
    <w:rsid w:val="5B1B5005"/>
    <w:rsid w:val="5B1C0F1F"/>
    <w:rsid w:val="5B224E09"/>
    <w:rsid w:val="5B3927B9"/>
    <w:rsid w:val="5B4535FC"/>
    <w:rsid w:val="5B4F5409"/>
    <w:rsid w:val="5B6A1223"/>
    <w:rsid w:val="5B6C7E29"/>
    <w:rsid w:val="5B7E082A"/>
    <w:rsid w:val="5BAD170D"/>
    <w:rsid w:val="5BF50512"/>
    <w:rsid w:val="5BFF6ACC"/>
    <w:rsid w:val="5C0A6562"/>
    <w:rsid w:val="5C0A6E8C"/>
    <w:rsid w:val="5C180DA3"/>
    <w:rsid w:val="5C2A6C04"/>
    <w:rsid w:val="5C2B1EBA"/>
    <w:rsid w:val="5C2C297C"/>
    <w:rsid w:val="5C337866"/>
    <w:rsid w:val="5C367357"/>
    <w:rsid w:val="5C495E44"/>
    <w:rsid w:val="5C551969"/>
    <w:rsid w:val="5C7D4F86"/>
    <w:rsid w:val="5C896D10"/>
    <w:rsid w:val="5C8E760E"/>
    <w:rsid w:val="5C91292C"/>
    <w:rsid w:val="5CA96CF6"/>
    <w:rsid w:val="5CB32A73"/>
    <w:rsid w:val="5CCC56F5"/>
    <w:rsid w:val="5CD050B5"/>
    <w:rsid w:val="5CFD7060"/>
    <w:rsid w:val="5D0123F2"/>
    <w:rsid w:val="5D072428"/>
    <w:rsid w:val="5D187049"/>
    <w:rsid w:val="5D23147E"/>
    <w:rsid w:val="5D235F07"/>
    <w:rsid w:val="5D2E6FEF"/>
    <w:rsid w:val="5D3B6409"/>
    <w:rsid w:val="5D444EF8"/>
    <w:rsid w:val="5D454A73"/>
    <w:rsid w:val="5D747B5B"/>
    <w:rsid w:val="5D752101"/>
    <w:rsid w:val="5D8B5480"/>
    <w:rsid w:val="5DD14A36"/>
    <w:rsid w:val="5DD92690"/>
    <w:rsid w:val="5DDE6969"/>
    <w:rsid w:val="5DFC702A"/>
    <w:rsid w:val="5E005E6E"/>
    <w:rsid w:val="5E055233"/>
    <w:rsid w:val="5E224037"/>
    <w:rsid w:val="5E401FE2"/>
    <w:rsid w:val="5E4931BC"/>
    <w:rsid w:val="5E4A70E9"/>
    <w:rsid w:val="5E581E70"/>
    <w:rsid w:val="5E677C9B"/>
    <w:rsid w:val="5E784311"/>
    <w:rsid w:val="5E7D5649"/>
    <w:rsid w:val="5E803DEA"/>
    <w:rsid w:val="5E8F1627"/>
    <w:rsid w:val="5E916DC8"/>
    <w:rsid w:val="5E96467B"/>
    <w:rsid w:val="5E9B09F9"/>
    <w:rsid w:val="5EA20CD3"/>
    <w:rsid w:val="5EB12E81"/>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80723"/>
    <w:rsid w:val="5FB9411A"/>
    <w:rsid w:val="5FC30301"/>
    <w:rsid w:val="5FD21144"/>
    <w:rsid w:val="5FD71A66"/>
    <w:rsid w:val="5FEA7730"/>
    <w:rsid w:val="5FF540B9"/>
    <w:rsid w:val="5FFA069B"/>
    <w:rsid w:val="5FFE63DD"/>
    <w:rsid w:val="600D3631"/>
    <w:rsid w:val="601E25DC"/>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9C3F0D"/>
    <w:rsid w:val="61A730E0"/>
    <w:rsid w:val="61B424C8"/>
    <w:rsid w:val="61B825BC"/>
    <w:rsid w:val="61C15914"/>
    <w:rsid w:val="61D21690"/>
    <w:rsid w:val="61DA0020"/>
    <w:rsid w:val="61DC05B2"/>
    <w:rsid w:val="62031A89"/>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DD4E4E"/>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3A71E5"/>
    <w:rsid w:val="663E1E4C"/>
    <w:rsid w:val="663F7D97"/>
    <w:rsid w:val="66563E7C"/>
    <w:rsid w:val="66571DE3"/>
    <w:rsid w:val="6689537B"/>
    <w:rsid w:val="668A47AC"/>
    <w:rsid w:val="668A6C93"/>
    <w:rsid w:val="668C6B3F"/>
    <w:rsid w:val="66953589"/>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B30FB3"/>
    <w:rsid w:val="69CF65B0"/>
    <w:rsid w:val="69D01719"/>
    <w:rsid w:val="69E15273"/>
    <w:rsid w:val="69EF29CD"/>
    <w:rsid w:val="69FC1BE0"/>
    <w:rsid w:val="6A040161"/>
    <w:rsid w:val="6A1339DD"/>
    <w:rsid w:val="6A26203C"/>
    <w:rsid w:val="6A3273AF"/>
    <w:rsid w:val="6A3C4858"/>
    <w:rsid w:val="6A5E1EE4"/>
    <w:rsid w:val="6A69230B"/>
    <w:rsid w:val="6A7241DA"/>
    <w:rsid w:val="6A937403"/>
    <w:rsid w:val="6AAD6A36"/>
    <w:rsid w:val="6AB06526"/>
    <w:rsid w:val="6ABD7DF6"/>
    <w:rsid w:val="6ACB5C2B"/>
    <w:rsid w:val="6AD9366F"/>
    <w:rsid w:val="6ADA2A71"/>
    <w:rsid w:val="6AF8486A"/>
    <w:rsid w:val="6B071B4A"/>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74E3A"/>
    <w:rsid w:val="70092FF8"/>
    <w:rsid w:val="701F6D13"/>
    <w:rsid w:val="702279FC"/>
    <w:rsid w:val="702F4391"/>
    <w:rsid w:val="703F77CC"/>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A61FF"/>
    <w:rsid w:val="76EF1C48"/>
    <w:rsid w:val="770372E4"/>
    <w:rsid w:val="770A68B1"/>
    <w:rsid w:val="772207AC"/>
    <w:rsid w:val="773F2A17"/>
    <w:rsid w:val="775237CF"/>
    <w:rsid w:val="77561351"/>
    <w:rsid w:val="775E513F"/>
    <w:rsid w:val="77866F8C"/>
    <w:rsid w:val="778B45B5"/>
    <w:rsid w:val="77A9308F"/>
    <w:rsid w:val="77AA492E"/>
    <w:rsid w:val="77B33969"/>
    <w:rsid w:val="77B3540E"/>
    <w:rsid w:val="77BB4043"/>
    <w:rsid w:val="77D00809"/>
    <w:rsid w:val="77FF6F6D"/>
    <w:rsid w:val="780B2656"/>
    <w:rsid w:val="78415524"/>
    <w:rsid w:val="78482494"/>
    <w:rsid w:val="784A3E33"/>
    <w:rsid w:val="786C5C11"/>
    <w:rsid w:val="786D7532"/>
    <w:rsid w:val="787E3A98"/>
    <w:rsid w:val="788259A6"/>
    <w:rsid w:val="78911745"/>
    <w:rsid w:val="78BD7DA6"/>
    <w:rsid w:val="78D6184E"/>
    <w:rsid w:val="78F22CE7"/>
    <w:rsid w:val="79256331"/>
    <w:rsid w:val="79265D8B"/>
    <w:rsid w:val="793D1463"/>
    <w:rsid w:val="794371E8"/>
    <w:rsid w:val="79444A09"/>
    <w:rsid w:val="796675DC"/>
    <w:rsid w:val="79876F3B"/>
    <w:rsid w:val="798835C0"/>
    <w:rsid w:val="79914562"/>
    <w:rsid w:val="79935991"/>
    <w:rsid w:val="79986827"/>
    <w:rsid w:val="799C2A97"/>
    <w:rsid w:val="799C4845"/>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41A35"/>
    <w:rsid w:val="7BA060D4"/>
    <w:rsid w:val="7BB01186"/>
    <w:rsid w:val="7BB92FD8"/>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7E6484"/>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D63C0"/>
    <w:rsid w:val="7EBF1CF5"/>
    <w:rsid w:val="7ED82D3A"/>
    <w:rsid w:val="7EE24D87"/>
    <w:rsid w:val="7EEA095D"/>
    <w:rsid w:val="7EEC1626"/>
    <w:rsid w:val="7F0B7248"/>
    <w:rsid w:val="7F140DB1"/>
    <w:rsid w:val="7F2A57B6"/>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2"/>
      <w:lang w:val="en-US" w:eastAsia="zh-CN" w:bidi="ar-SA"/>
    </w:rPr>
  </w:style>
  <w:style w:type="paragraph" w:styleId="7">
    <w:name w:val="heading 1"/>
    <w:basedOn w:val="1"/>
    <w:next w:val="8"/>
    <w:link w:val="56"/>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9">
    <w:name w:val="heading 2"/>
    <w:basedOn w:val="1"/>
    <w:next w:val="8"/>
    <w:link w:val="57"/>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10">
    <w:name w:val="heading 3"/>
    <w:basedOn w:val="1"/>
    <w:next w:val="8"/>
    <w:link w:val="58"/>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11">
    <w:name w:val="heading 4"/>
    <w:basedOn w:val="1"/>
    <w:next w:val="1"/>
    <w:link w:val="59"/>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12">
    <w:name w:val="heading 5"/>
    <w:basedOn w:val="1"/>
    <w:next w:val="1"/>
    <w:link w:val="60"/>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13">
    <w:name w:val="heading 6"/>
    <w:basedOn w:val="1"/>
    <w:next w:val="1"/>
    <w:link w:val="61"/>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14">
    <w:name w:val="heading 7"/>
    <w:basedOn w:val="1"/>
    <w:next w:val="1"/>
    <w:link w:val="62"/>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5">
    <w:name w:val="heading 8"/>
    <w:basedOn w:val="1"/>
    <w:next w:val="1"/>
    <w:link w:val="63"/>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6">
    <w:name w:val="heading 9"/>
    <w:basedOn w:val="1"/>
    <w:next w:val="1"/>
    <w:link w:val="64"/>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68"/>
    <w:qFormat/>
    <w:uiPriority w:val="0"/>
    <w:pPr>
      <w:spacing w:line="360" w:lineRule="auto"/>
    </w:pPr>
    <w:rPr>
      <w:rFonts w:ascii="Times New Roman" w:hAnsi="Times New Roman"/>
      <w:szCs w:val="20"/>
    </w:rPr>
  </w:style>
  <w:style w:type="paragraph" w:customStyle="1" w:styleId="3">
    <w:name w:val="Default"/>
    <w:next w:val="4"/>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
    <w:name w:val="大标题"/>
    <w:basedOn w:val="1"/>
    <w:next w:val="5"/>
    <w:qFormat/>
    <w:uiPriority w:val="0"/>
    <w:pPr>
      <w:jc w:val="center"/>
    </w:pPr>
    <w:rPr>
      <w:rFonts w:ascii="Arial" w:hAnsi="Arial"/>
      <w:b/>
      <w:sz w:val="28"/>
      <w:szCs w:val="24"/>
    </w:rPr>
  </w:style>
  <w:style w:type="paragraph" w:styleId="5">
    <w:name w:val="Body Text First Indent 2"/>
    <w:basedOn w:val="6"/>
    <w:next w:val="2"/>
    <w:link w:val="99"/>
    <w:semiHidden/>
    <w:unhideWhenUsed/>
    <w:qFormat/>
    <w:locked/>
    <w:uiPriority w:val="99"/>
    <w:pPr>
      <w:spacing w:after="120"/>
      <w:ind w:left="420" w:leftChars="200" w:firstLine="420" w:firstLineChars="200"/>
    </w:pPr>
    <w:rPr>
      <w:rFonts w:ascii="Calibri"/>
      <w:sz w:val="24"/>
      <w:szCs w:val="22"/>
    </w:rPr>
  </w:style>
  <w:style w:type="paragraph" w:styleId="6">
    <w:name w:val="Body Text Indent"/>
    <w:basedOn w:val="1"/>
    <w:next w:val="2"/>
    <w:link w:val="69"/>
    <w:qFormat/>
    <w:uiPriority w:val="99"/>
    <w:pPr>
      <w:ind w:firstLine="645"/>
    </w:pPr>
    <w:rPr>
      <w:rFonts w:ascii="宋体"/>
      <w:sz w:val="32"/>
      <w:szCs w:val="20"/>
    </w:rPr>
  </w:style>
  <w:style w:type="paragraph" w:customStyle="1" w:styleId="8">
    <w:name w:val="文档正文"/>
    <w:basedOn w:val="1"/>
    <w:qFormat/>
    <w:uiPriority w:val="99"/>
    <w:pPr>
      <w:adjustRightInd w:val="0"/>
      <w:spacing w:line="480" w:lineRule="atLeast"/>
      <w:ind w:firstLine="567"/>
      <w:textAlignment w:val="baseline"/>
    </w:pPr>
    <w:rPr>
      <w:rFonts w:ascii="仿宋_GB2312" w:eastAsia="仿宋_GB2312"/>
      <w:kern w:val="0"/>
      <w:sz w:val="28"/>
      <w:szCs w:val="20"/>
    </w:rPr>
  </w:style>
  <w:style w:type="paragraph" w:styleId="17">
    <w:name w:val="List 3"/>
    <w:basedOn w:val="1"/>
    <w:qFormat/>
    <w:uiPriority w:val="99"/>
    <w:pPr>
      <w:ind w:left="600" w:leftChars="400" w:hanging="200" w:hangingChars="200"/>
    </w:pPr>
    <w:rPr>
      <w:rFonts w:ascii="Times New Roman" w:hAnsi="Times New Roman"/>
      <w:szCs w:val="20"/>
    </w:rPr>
  </w:style>
  <w:style w:type="paragraph" w:styleId="18">
    <w:name w:val="Normal Indent"/>
    <w:basedOn w:val="1"/>
    <w:qFormat/>
    <w:uiPriority w:val="0"/>
    <w:pPr>
      <w:ind w:firstLine="420"/>
    </w:pPr>
    <w:rPr>
      <w:rFonts w:ascii="Times New Roman" w:hAnsi="Times New Roman"/>
      <w:sz w:val="28"/>
      <w:szCs w:val="20"/>
    </w:rPr>
  </w:style>
  <w:style w:type="paragraph" w:styleId="19">
    <w:name w:val="caption"/>
    <w:basedOn w:val="1"/>
    <w:next w:val="1"/>
    <w:qFormat/>
    <w:uiPriority w:val="99"/>
    <w:pPr>
      <w:spacing w:before="152" w:after="160"/>
    </w:pPr>
    <w:rPr>
      <w:rFonts w:ascii="Arial" w:hAnsi="Arial" w:eastAsia="黑体" w:cs="Arial"/>
      <w:sz w:val="20"/>
      <w:szCs w:val="20"/>
    </w:rPr>
  </w:style>
  <w:style w:type="paragraph" w:styleId="20">
    <w:name w:val="annotation text"/>
    <w:basedOn w:val="1"/>
    <w:next w:val="18"/>
    <w:link w:val="65"/>
    <w:qFormat/>
    <w:uiPriority w:val="99"/>
    <w:pPr>
      <w:jc w:val="left"/>
    </w:pPr>
  </w:style>
  <w:style w:type="paragraph" w:styleId="21">
    <w:name w:val="Body Text 3"/>
    <w:basedOn w:val="1"/>
    <w:link w:val="67"/>
    <w:qFormat/>
    <w:uiPriority w:val="99"/>
    <w:pPr>
      <w:spacing w:after="120"/>
    </w:pPr>
    <w:rPr>
      <w:rFonts w:ascii="Times New Roman" w:hAnsi="Times New Roman"/>
      <w:sz w:val="16"/>
      <w:szCs w:val="16"/>
    </w:rPr>
  </w:style>
  <w:style w:type="paragraph" w:styleId="22">
    <w:name w:val="List 2"/>
    <w:basedOn w:val="1"/>
    <w:qFormat/>
    <w:uiPriority w:val="99"/>
    <w:pPr>
      <w:ind w:left="400" w:leftChars="200" w:hanging="200" w:hangingChars="200"/>
    </w:pPr>
    <w:rPr>
      <w:rFonts w:ascii="Times New Roman" w:hAnsi="Times New Roman"/>
      <w:szCs w:val="20"/>
    </w:rPr>
  </w:style>
  <w:style w:type="paragraph" w:styleId="23">
    <w:name w:val="Block Text"/>
    <w:basedOn w:val="1"/>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4">
    <w:name w:val="toc 3"/>
    <w:basedOn w:val="1"/>
    <w:next w:val="1"/>
    <w:qFormat/>
    <w:uiPriority w:val="99"/>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link w:val="70"/>
    <w:qFormat/>
    <w:uiPriority w:val="0"/>
    <w:pPr>
      <w:spacing w:line="360" w:lineRule="auto"/>
      <w:ind w:firstLine="200" w:firstLineChars="200"/>
    </w:pPr>
    <w:rPr>
      <w:rFonts w:ascii="宋体" w:hAnsi="宋体" w:eastAsia="仿宋_GB2312" w:cs="Courier New"/>
      <w:szCs w:val="21"/>
    </w:rPr>
  </w:style>
  <w:style w:type="paragraph" w:styleId="26">
    <w:name w:val="Date"/>
    <w:basedOn w:val="1"/>
    <w:next w:val="1"/>
    <w:link w:val="71"/>
    <w:qFormat/>
    <w:uiPriority w:val="99"/>
    <w:pPr>
      <w:ind w:left="2500" w:leftChars="2500"/>
    </w:pPr>
  </w:style>
  <w:style w:type="paragraph" w:styleId="27">
    <w:name w:val="Body Text Indent 2"/>
    <w:basedOn w:val="1"/>
    <w:link w:val="72"/>
    <w:qFormat/>
    <w:uiPriority w:val="99"/>
    <w:pPr>
      <w:ind w:firstLine="630"/>
    </w:pPr>
    <w:rPr>
      <w:rFonts w:ascii="宋体"/>
      <w:sz w:val="32"/>
      <w:szCs w:val="20"/>
    </w:rPr>
  </w:style>
  <w:style w:type="paragraph" w:styleId="28">
    <w:name w:val="List Continue 5"/>
    <w:basedOn w:val="1"/>
    <w:qFormat/>
    <w:uiPriority w:val="99"/>
    <w:pPr>
      <w:spacing w:after="120"/>
      <w:ind w:left="1000" w:leftChars="1000"/>
    </w:pPr>
    <w:rPr>
      <w:rFonts w:ascii="Times New Roman" w:hAnsi="Times New Roman"/>
      <w:szCs w:val="20"/>
    </w:rPr>
  </w:style>
  <w:style w:type="paragraph" w:styleId="29">
    <w:name w:val="Balloon Text"/>
    <w:basedOn w:val="1"/>
    <w:link w:val="73"/>
    <w:qFormat/>
    <w:uiPriority w:val="99"/>
    <w:rPr>
      <w:sz w:val="18"/>
      <w:szCs w:val="18"/>
    </w:rPr>
  </w:style>
  <w:style w:type="paragraph" w:styleId="30">
    <w:name w:val="footer"/>
    <w:basedOn w:val="1"/>
    <w:link w:val="74"/>
    <w:qFormat/>
    <w:uiPriority w:val="99"/>
    <w:pPr>
      <w:tabs>
        <w:tab w:val="center" w:pos="4153"/>
        <w:tab w:val="right" w:pos="8306"/>
      </w:tabs>
      <w:snapToGrid w:val="0"/>
      <w:jc w:val="left"/>
    </w:pPr>
    <w:rPr>
      <w:kern w:val="0"/>
      <w:sz w:val="18"/>
      <w:szCs w:val="18"/>
    </w:rPr>
  </w:style>
  <w:style w:type="paragraph" w:styleId="31">
    <w:name w:val="header"/>
    <w:basedOn w:val="1"/>
    <w:link w:val="75"/>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39"/>
    <w:pPr>
      <w:tabs>
        <w:tab w:val="right" w:leader="dot" w:pos="8776"/>
      </w:tabs>
      <w:spacing w:line="360" w:lineRule="exact"/>
      <w:ind w:firstLine="200" w:firstLineChars="200"/>
    </w:pPr>
    <w:rPr>
      <w:rFonts w:ascii="华文中宋" w:eastAsia="华文中宋"/>
      <w:b/>
      <w:szCs w:val="24"/>
    </w:rPr>
  </w:style>
  <w:style w:type="paragraph" w:styleId="33">
    <w:name w:val="List Continue 4"/>
    <w:basedOn w:val="1"/>
    <w:qFormat/>
    <w:uiPriority w:val="99"/>
    <w:pPr>
      <w:spacing w:after="120"/>
      <w:ind w:left="800" w:leftChars="800"/>
    </w:pPr>
    <w:rPr>
      <w:rFonts w:ascii="Times New Roman" w:hAnsi="Times New Roman"/>
      <w:szCs w:val="20"/>
    </w:rPr>
  </w:style>
  <w:style w:type="paragraph" w:styleId="34">
    <w:name w:val="Subtitle"/>
    <w:basedOn w:val="1"/>
    <w:next w:val="1"/>
    <w:qFormat/>
    <w:locked/>
    <w:uiPriority w:val="11"/>
    <w:pPr>
      <w:spacing w:before="60" w:after="60" w:line="360" w:lineRule="auto"/>
      <w:jc w:val="left"/>
      <w:outlineLvl w:val="1"/>
    </w:pPr>
    <w:rPr>
      <w:rFonts w:ascii="Calibri Light" w:hAnsi="Calibri Light"/>
      <w:b/>
      <w:bCs/>
      <w:kern w:val="28"/>
      <w:sz w:val="28"/>
      <w:szCs w:val="32"/>
    </w:rPr>
  </w:style>
  <w:style w:type="paragraph" w:styleId="35">
    <w:name w:val="List"/>
    <w:basedOn w:val="1"/>
    <w:qFormat/>
    <w:uiPriority w:val="99"/>
    <w:pPr>
      <w:ind w:left="200" w:hanging="200" w:hangingChars="200"/>
    </w:pPr>
    <w:rPr>
      <w:rFonts w:ascii="Times New Roman" w:hAnsi="Times New Roman"/>
      <w:szCs w:val="20"/>
    </w:rPr>
  </w:style>
  <w:style w:type="paragraph" w:styleId="36">
    <w:name w:val="footnote text"/>
    <w:basedOn w:val="1"/>
    <w:link w:val="76"/>
    <w:qFormat/>
    <w:uiPriority w:val="99"/>
    <w:pPr>
      <w:adjustRightInd w:val="0"/>
      <w:spacing w:line="312" w:lineRule="atLeast"/>
      <w:jc w:val="left"/>
    </w:pPr>
    <w:rPr>
      <w:rFonts w:ascii="Times New Roman" w:hAnsi="Times New Roman"/>
      <w:kern w:val="0"/>
      <w:sz w:val="18"/>
      <w:szCs w:val="20"/>
    </w:rPr>
  </w:style>
  <w:style w:type="paragraph" w:styleId="37">
    <w:name w:val="List 5"/>
    <w:basedOn w:val="1"/>
    <w:qFormat/>
    <w:uiPriority w:val="99"/>
    <w:pPr>
      <w:ind w:left="1000" w:leftChars="800" w:hanging="200" w:hangingChars="200"/>
    </w:pPr>
    <w:rPr>
      <w:rFonts w:ascii="Times New Roman" w:hAnsi="Times New Roman"/>
      <w:szCs w:val="20"/>
    </w:rPr>
  </w:style>
  <w:style w:type="paragraph" w:styleId="38">
    <w:name w:val="Body Text Indent 3"/>
    <w:basedOn w:val="1"/>
    <w:link w:val="77"/>
    <w:qFormat/>
    <w:uiPriority w:val="99"/>
    <w:pPr>
      <w:spacing w:line="360" w:lineRule="auto"/>
      <w:ind w:firstLine="468"/>
    </w:pPr>
    <w:rPr>
      <w:rFonts w:ascii="Times New Roman" w:hAnsi="Times New Roman"/>
      <w:szCs w:val="20"/>
    </w:rPr>
  </w:style>
  <w:style w:type="paragraph" w:styleId="39">
    <w:name w:val="toc 2"/>
    <w:basedOn w:val="1"/>
    <w:next w:val="1"/>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0">
    <w:name w:val="Body Text 2"/>
    <w:basedOn w:val="1"/>
    <w:link w:val="78"/>
    <w:qFormat/>
    <w:uiPriority w:val="99"/>
    <w:pPr>
      <w:spacing w:after="120" w:line="480" w:lineRule="auto"/>
    </w:pPr>
    <w:rPr>
      <w:rFonts w:ascii="Times New Roman" w:hAnsi="Times New Roman"/>
      <w:szCs w:val="20"/>
    </w:rPr>
  </w:style>
  <w:style w:type="paragraph" w:styleId="41">
    <w:name w:val="List 4"/>
    <w:basedOn w:val="1"/>
    <w:qFormat/>
    <w:uiPriority w:val="99"/>
    <w:pPr>
      <w:ind w:left="800" w:leftChars="600" w:hanging="200" w:hangingChars="200"/>
    </w:pPr>
    <w:rPr>
      <w:rFonts w:ascii="Times New Roman" w:hAnsi="Times New Roman"/>
      <w:szCs w:val="20"/>
    </w:rPr>
  </w:style>
  <w:style w:type="paragraph" w:styleId="42">
    <w:name w:val="List Continue 2"/>
    <w:basedOn w:val="1"/>
    <w:qFormat/>
    <w:uiPriority w:val="99"/>
    <w:pPr>
      <w:spacing w:after="120"/>
      <w:ind w:left="400" w:leftChars="400"/>
    </w:pPr>
    <w:rPr>
      <w:rFonts w:ascii="Times New Roman" w:hAnsi="Times New Roman"/>
      <w:szCs w:val="20"/>
    </w:rPr>
  </w:style>
  <w:style w:type="paragraph" w:styleId="43">
    <w:name w:val="Normal (Web)"/>
    <w:basedOn w:val="1"/>
    <w:qFormat/>
    <w:uiPriority w:val="99"/>
    <w:pPr>
      <w:widowControl/>
      <w:spacing w:before="100" w:beforeAutospacing="1" w:after="100" w:afterAutospacing="1"/>
      <w:jc w:val="left"/>
    </w:pPr>
    <w:rPr>
      <w:rFonts w:ascii="宋体"/>
      <w:kern w:val="0"/>
      <w:szCs w:val="24"/>
    </w:rPr>
  </w:style>
  <w:style w:type="paragraph" w:styleId="44">
    <w:name w:val="List Continue 3"/>
    <w:basedOn w:val="1"/>
    <w:qFormat/>
    <w:uiPriority w:val="99"/>
    <w:pPr>
      <w:spacing w:after="120"/>
      <w:ind w:left="600" w:leftChars="600"/>
    </w:pPr>
    <w:rPr>
      <w:rFonts w:ascii="Times New Roman" w:hAnsi="Times New Roman"/>
      <w:szCs w:val="20"/>
    </w:rPr>
  </w:style>
  <w:style w:type="paragraph" w:styleId="45">
    <w:name w:val="annotation subject"/>
    <w:basedOn w:val="20"/>
    <w:next w:val="20"/>
    <w:link w:val="66"/>
    <w:qFormat/>
    <w:uiPriority w:val="99"/>
    <w:rPr>
      <w:b/>
      <w:bCs/>
    </w:rPr>
  </w:style>
  <w:style w:type="paragraph" w:styleId="46">
    <w:name w:val="Body Text First Indent"/>
    <w:basedOn w:val="2"/>
    <w:qFormat/>
    <w:locked/>
    <w:uiPriority w:val="0"/>
    <w:pPr>
      <w:ind w:firstLine="420" w:firstLineChars="100"/>
    </w:pPr>
  </w:style>
  <w:style w:type="table" w:styleId="48">
    <w:name w:val="Table Grid"/>
    <w:basedOn w:val="47"/>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page number"/>
    <w:qFormat/>
    <w:uiPriority w:val="0"/>
    <w:rPr>
      <w:rFonts w:cs="Times New Roman"/>
    </w:rPr>
  </w:style>
  <w:style w:type="character" w:styleId="51">
    <w:name w:val="FollowedHyperlink"/>
    <w:qFormat/>
    <w:uiPriority w:val="99"/>
    <w:rPr>
      <w:rFonts w:cs="Times New Roman"/>
      <w:color w:val="800080"/>
      <w:u w:val="single"/>
    </w:rPr>
  </w:style>
  <w:style w:type="character" w:styleId="52">
    <w:name w:val="Hyperlink"/>
    <w:qFormat/>
    <w:uiPriority w:val="99"/>
    <w:rPr>
      <w:rFonts w:cs="Times New Roman"/>
      <w:color w:val="0000FF"/>
      <w:u w:val="single"/>
    </w:rPr>
  </w:style>
  <w:style w:type="character" w:styleId="53">
    <w:name w:val="annotation reference"/>
    <w:qFormat/>
    <w:uiPriority w:val="99"/>
    <w:rPr>
      <w:rFonts w:cs="Times New Roman"/>
      <w:sz w:val="21"/>
      <w:szCs w:val="21"/>
    </w:rPr>
  </w:style>
  <w:style w:type="paragraph" w:customStyle="1" w:styleId="54">
    <w:name w:val="正文1"/>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55">
    <w:name w:val="无间隔1"/>
    <w:basedOn w:val="1"/>
    <w:qFormat/>
    <w:uiPriority w:val="1"/>
    <w:pPr>
      <w:spacing w:line="400" w:lineRule="exact"/>
    </w:pPr>
  </w:style>
  <w:style w:type="character" w:customStyle="1" w:styleId="56">
    <w:name w:val="标题 1 字符"/>
    <w:link w:val="7"/>
    <w:qFormat/>
    <w:uiPriority w:val="9"/>
    <w:rPr>
      <w:rFonts w:ascii="Calibri" w:hAnsi="Calibri"/>
      <w:b/>
      <w:bCs/>
      <w:kern w:val="44"/>
      <w:sz w:val="44"/>
      <w:szCs w:val="44"/>
    </w:rPr>
  </w:style>
  <w:style w:type="character" w:customStyle="1" w:styleId="57">
    <w:name w:val="标题 2 字符"/>
    <w:link w:val="9"/>
    <w:qFormat/>
    <w:uiPriority w:val="0"/>
    <w:rPr>
      <w:rFonts w:ascii="黑体" w:hAnsi="Calibri" w:eastAsia="黑体"/>
      <w:sz w:val="28"/>
    </w:rPr>
  </w:style>
  <w:style w:type="character" w:customStyle="1" w:styleId="58">
    <w:name w:val="标题 3 字符"/>
    <w:link w:val="10"/>
    <w:semiHidden/>
    <w:qFormat/>
    <w:uiPriority w:val="9"/>
    <w:rPr>
      <w:rFonts w:ascii="Calibri" w:hAnsi="Calibri"/>
      <w:b/>
      <w:bCs/>
      <w:sz w:val="32"/>
      <w:szCs w:val="32"/>
    </w:rPr>
  </w:style>
  <w:style w:type="character" w:customStyle="1" w:styleId="59">
    <w:name w:val="标题 4 字符"/>
    <w:link w:val="11"/>
    <w:semiHidden/>
    <w:qFormat/>
    <w:uiPriority w:val="9"/>
    <w:rPr>
      <w:rFonts w:ascii="Cambria" w:hAnsi="Cambria" w:eastAsia="宋体" w:cs="Times New Roman"/>
      <w:b/>
      <w:bCs/>
      <w:sz w:val="28"/>
      <w:szCs w:val="28"/>
    </w:rPr>
  </w:style>
  <w:style w:type="character" w:customStyle="1" w:styleId="60">
    <w:name w:val="标题 5 字符"/>
    <w:link w:val="12"/>
    <w:semiHidden/>
    <w:qFormat/>
    <w:uiPriority w:val="9"/>
    <w:rPr>
      <w:rFonts w:ascii="Calibri" w:hAnsi="Calibri"/>
      <w:b/>
      <w:bCs/>
      <w:sz w:val="28"/>
      <w:szCs w:val="28"/>
    </w:rPr>
  </w:style>
  <w:style w:type="character" w:customStyle="1" w:styleId="61">
    <w:name w:val="标题 6 字符"/>
    <w:link w:val="13"/>
    <w:semiHidden/>
    <w:qFormat/>
    <w:uiPriority w:val="9"/>
    <w:rPr>
      <w:rFonts w:ascii="Cambria" w:hAnsi="Cambria" w:eastAsia="宋体" w:cs="Times New Roman"/>
      <w:b/>
      <w:bCs/>
      <w:sz w:val="24"/>
      <w:szCs w:val="24"/>
    </w:rPr>
  </w:style>
  <w:style w:type="character" w:customStyle="1" w:styleId="62">
    <w:name w:val="标题 7 字符"/>
    <w:link w:val="14"/>
    <w:semiHidden/>
    <w:qFormat/>
    <w:uiPriority w:val="9"/>
    <w:rPr>
      <w:rFonts w:ascii="Calibri" w:hAnsi="Calibri"/>
      <w:b/>
      <w:bCs/>
      <w:sz w:val="24"/>
      <w:szCs w:val="24"/>
    </w:rPr>
  </w:style>
  <w:style w:type="character" w:customStyle="1" w:styleId="63">
    <w:name w:val="标题 8 字符"/>
    <w:link w:val="15"/>
    <w:semiHidden/>
    <w:qFormat/>
    <w:uiPriority w:val="9"/>
    <w:rPr>
      <w:rFonts w:ascii="Cambria" w:hAnsi="Cambria" w:eastAsia="宋体" w:cs="Times New Roman"/>
      <w:sz w:val="24"/>
      <w:szCs w:val="24"/>
    </w:rPr>
  </w:style>
  <w:style w:type="character" w:customStyle="1" w:styleId="64">
    <w:name w:val="标题 9 字符"/>
    <w:link w:val="16"/>
    <w:semiHidden/>
    <w:qFormat/>
    <w:uiPriority w:val="9"/>
    <w:rPr>
      <w:rFonts w:ascii="Cambria" w:hAnsi="Cambria" w:eastAsia="宋体" w:cs="Times New Roman"/>
      <w:szCs w:val="21"/>
    </w:rPr>
  </w:style>
  <w:style w:type="character" w:customStyle="1" w:styleId="65">
    <w:name w:val="批注文字 字符"/>
    <w:link w:val="20"/>
    <w:qFormat/>
    <w:uiPriority w:val="99"/>
    <w:rPr>
      <w:rFonts w:ascii="Calibri" w:hAnsi="Calibri"/>
    </w:rPr>
  </w:style>
  <w:style w:type="character" w:customStyle="1" w:styleId="66">
    <w:name w:val="批注主题 字符"/>
    <w:link w:val="45"/>
    <w:semiHidden/>
    <w:qFormat/>
    <w:uiPriority w:val="99"/>
    <w:rPr>
      <w:rFonts w:ascii="Calibri" w:hAnsi="Calibri"/>
      <w:b/>
      <w:bCs/>
    </w:rPr>
  </w:style>
  <w:style w:type="character" w:customStyle="1" w:styleId="67">
    <w:name w:val="正文文本 3 字符"/>
    <w:link w:val="21"/>
    <w:semiHidden/>
    <w:qFormat/>
    <w:uiPriority w:val="99"/>
    <w:rPr>
      <w:rFonts w:ascii="Calibri" w:hAnsi="Calibri"/>
      <w:sz w:val="16"/>
      <w:szCs w:val="16"/>
    </w:rPr>
  </w:style>
  <w:style w:type="character" w:customStyle="1" w:styleId="68">
    <w:name w:val="正文文本 字符"/>
    <w:link w:val="2"/>
    <w:semiHidden/>
    <w:qFormat/>
    <w:uiPriority w:val="99"/>
    <w:rPr>
      <w:rFonts w:ascii="Calibri" w:hAnsi="Calibri"/>
    </w:rPr>
  </w:style>
  <w:style w:type="character" w:customStyle="1" w:styleId="69">
    <w:name w:val="正文文本缩进 字符"/>
    <w:link w:val="6"/>
    <w:semiHidden/>
    <w:qFormat/>
    <w:uiPriority w:val="99"/>
    <w:rPr>
      <w:rFonts w:ascii="Calibri" w:hAnsi="Calibri"/>
    </w:rPr>
  </w:style>
  <w:style w:type="character" w:customStyle="1" w:styleId="70">
    <w:name w:val="纯文本 字符"/>
    <w:link w:val="25"/>
    <w:semiHidden/>
    <w:qFormat/>
    <w:uiPriority w:val="99"/>
    <w:rPr>
      <w:rFonts w:ascii="宋体" w:hAnsi="Courier New" w:cs="Courier New"/>
      <w:szCs w:val="21"/>
    </w:rPr>
  </w:style>
  <w:style w:type="character" w:customStyle="1" w:styleId="71">
    <w:name w:val="日期 字符"/>
    <w:link w:val="26"/>
    <w:semiHidden/>
    <w:qFormat/>
    <w:uiPriority w:val="99"/>
    <w:rPr>
      <w:rFonts w:ascii="Calibri" w:hAnsi="Calibri"/>
    </w:rPr>
  </w:style>
  <w:style w:type="character" w:customStyle="1" w:styleId="72">
    <w:name w:val="正文文本缩进 2 字符"/>
    <w:link w:val="27"/>
    <w:semiHidden/>
    <w:qFormat/>
    <w:uiPriority w:val="99"/>
    <w:rPr>
      <w:rFonts w:ascii="Calibri" w:hAnsi="Calibri"/>
    </w:rPr>
  </w:style>
  <w:style w:type="character" w:customStyle="1" w:styleId="73">
    <w:name w:val="批注框文本 字符"/>
    <w:link w:val="29"/>
    <w:semiHidden/>
    <w:qFormat/>
    <w:uiPriority w:val="99"/>
    <w:rPr>
      <w:rFonts w:ascii="Calibri" w:hAnsi="Calibri"/>
      <w:sz w:val="0"/>
      <w:szCs w:val="0"/>
    </w:rPr>
  </w:style>
  <w:style w:type="character" w:customStyle="1" w:styleId="74">
    <w:name w:val="页脚 字符"/>
    <w:link w:val="30"/>
    <w:qFormat/>
    <w:uiPriority w:val="99"/>
    <w:rPr>
      <w:rFonts w:ascii="Calibri" w:hAnsi="Calibri"/>
      <w:sz w:val="18"/>
      <w:szCs w:val="18"/>
    </w:rPr>
  </w:style>
  <w:style w:type="character" w:customStyle="1" w:styleId="75">
    <w:name w:val="页眉 字符"/>
    <w:link w:val="31"/>
    <w:semiHidden/>
    <w:qFormat/>
    <w:uiPriority w:val="99"/>
    <w:rPr>
      <w:rFonts w:ascii="Calibri" w:hAnsi="Calibri"/>
      <w:sz w:val="18"/>
      <w:szCs w:val="18"/>
    </w:rPr>
  </w:style>
  <w:style w:type="character" w:customStyle="1" w:styleId="76">
    <w:name w:val="脚注文本 字符"/>
    <w:link w:val="36"/>
    <w:semiHidden/>
    <w:qFormat/>
    <w:uiPriority w:val="99"/>
    <w:rPr>
      <w:rFonts w:ascii="Calibri" w:hAnsi="Calibri"/>
      <w:sz w:val="18"/>
      <w:szCs w:val="18"/>
    </w:rPr>
  </w:style>
  <w:style w:type="character" w:customStyle="1" w:styleId="77">
    <w:name w:val="正文文本缩进 3 字符"/>
    <w:link w:val="38"/>
    <w:semiHidden/>
    <w:qFormat/>
    <w:uiPriority w:val="99"/>
    <w:rPr>
      <w:rFonts w:ascii="Calibri" w:hAnsi="Calibri"/>
      <w:sz w:val="16"/>
      <w:szCs w:val="16"/>
    </w:rPr>
  </w:style>
  <w:style w:type="character" w:customStyle="1" w:styleId="78">
    <w:name w:val="正文文本 2 字符"/>
    <w:link w:val="40"/>
    <w:semiHidden/>
    <w:qFormat/>
    <w:uiPriority w:val="99"/>
    <w:rPr>
      <w:rFonts w:ascii="Calibri" w:hAnsi="Calibri"/>
    </w:rPr>
  </w:style>
  <w:style w:type="paragraph" w:customStyle="1" w:styleId="79">
    <w:name w:val="表格"/>
    <w:basedOn w:val="1"/>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qFormat/>
    <w:uiPriority w:val="99"/>
    <w:rPr>
      <w:rFonts w:ascii="Times New Roman" w:hAnsi="Times New Roman"/>
      <w:szCs w:val="20"/>
    </w:rPr>
  </w:style>
  <w:style w:type="paragraph" w:customStyle="1" w:styleId="81">
    <w:name w:val="Blockquote"/>
    <w:basedOn w:val="1"/>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qFormat/>
    <w:uiPriority w:val="99"/>
    <w:pPr>
      <w:widowControl/>
      <w:jc w:val="left"/>
    </w:pPr>
    <w:rPr>
      <w:rFonts w:ascii="宋体" w:cs="宋体"/>
      <w:kern w:val="0"/>
      <w:sz w:val="28"/>
      <w:szCs w:val="24"/>
    </w:rPr>
  </w:style>
  <w:style w:type="paragraph" w:customStyle="1" w:styleId="89">
    <w:name w:val="Default Text"/>
    <w:basedOn w:val="1"/>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qFormat/>
    <w:uiPriority w:val="99"/>
    <w:pPr>
      <w:adjustRightInd w:val="0"/>
      <w:spacing w:line="360" w:lineRule="atLeast"/>
    </w:pPr>
    <w:rPr>
      <w:rFonts w:ascii="Times New Roman" w:hAnsi="Times New Roman"/>
      <w:szCs w:val="24"/>
    </w:rPr>
  </w:style>
  <w:style w:type="paragraph" w:customStyle="1" w:styleId="91">
    <w:name w:val="p0"/>
    <w:basedOn w:val="1"/>
    <w:qFormat/>
    <w:uiPriority w:val="99"/>
    <w:pPr>
      <w:widowControl/>
    </w:pPr>
    <w:rPr>
      <w:rFonts w:ascii="Times New Roman" w:hAnsi="Times New Roman"/>
      <w:kern w:val="0"/>
      <w:szCs w:val="21"/>
    </w:rPr>
  </w:style>
  <w:style w:type="character" w:customStyle="1" w:styleId="92">
    <w:name w:val="1051"/>
    <w:qFormat/>
    <w:uiPriority w:val="99"/>
    <w:rPr>
      <w:rFonts w:cs="Times New Roman"/>
      <w:sz w:val="21"/>
      <w:szCs w:val="21"/>
    </w:rPr>
  </w:style>
  <w:style w:type="character" w:customStyle="1" w:styleId="93">
    <w:name w:val="ca-10"/>
    <w:basedOn w:val="49"/>
    <w:qFormat/>
    <w:uiPriority w:val="0"/>
  </w:style>
  <w:style w:type="character" w:customStyle="1" w:styleId="94">
    <w:name w:val="ca-12"/>
    <w:basedOn w:val="49"/>
    <w:qFormat/>
    <w:uiPriority w:val="0"/>
  </w:style>
  <w:style w:type="character" w:customStyle="1" w:styleId="95">
    <w:name w:val="页眉 Char"/>
    <w:qFormat/>
    <w:uiPriority w:val="0"/>
    <w:rPr>
      <w:sz w:val="18"/>
      <w:szCs w:val="18"/>
    </w:rPr>
  </w:style>
  <w:style w:type="character" w:customStyle="1" w:styleId="96">
    <w:name w:val="页脚 Char"/>
    <w:qFormat/>
    <w:uiPriority w:val="0"/>
    <w:rPr>
      <w:sz w:val="18"/>
      <w:szCs w:val="18"/>
    </w:rPr>
  </w:style>
  <w:style w:type="paragraph" w:customStyle="1" w:styleId="9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qFormat/>
    <w:uiPriority w:val="99"/>
    <w:pPr>
      <w:ind w:firstLine="420" w:firstLineChars="200"/>
    </w:pPr>
  </w:style>
  <w:style w:type="character" w:customStyle="1" w:styleId="99">
    <w:name w:val="正文文本首行缩进 2 字符"/>
    <w:basedOn w:val="69"/>
    <w:link w:val="5"/>
    <w:semiHidden/>
    <w:qFormat/>
    <w:uiPriority w:val="99"/>
    <w:rPr>
      <w:rFonts w:ascii="Calibri" w:hAnsi="Calibri"/>
      <w:kern w:val="2"/>
      <w:sz w:val="24"/>
      <w:szCs w:val="22"/>
    </w:rPr>
  </w:style>
  <w:style w:type="paragraph" w:customStyle="1" w:styleId="100">
    <w:name w:val="样式3"/>
    <w:basedOn w:val="25"/>
    <w:qFormat/>
    <w:uiPriority w:val="0"/>
    <w:pPr>
      <w:spacing w:line="0" w:lineRule="atLeast"/>
      <w:outlineLvl w:val="0"/>
    </w:pPr>
    <w:rPr>
      <w:sz w:val="28"/>
    </w:rPr>
  </w:style>
  <w:style w:type="paragraph" w:customStyle="1" w:styleId="101">
    <w:name w:val="Table Paragraph"/>
    <w:basedOn w:val="1"/>
    <w:qFormat/>
    <w:uiPriority w:val="1"/>
    <w:rPr>
      <w:rFonts w:ascii="宋体" w:hAnsi="宋体" w:cs="宋体"/>
      <w:lang w:val="zh-CN" w:bidi="zh-CN"/>
    </w:rPr>
  </w:style>
  <w:style w:type="paragraph" w:customStyle="1" w:styleId="102">
    <w:name w:val="Revision"/>
    <w:hidden/>
    <w:unhideWhenUsed/>
    <w:qFormat/>
    <w:uiPriority w:val="99"/>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27243</Words>
  <Characters>28524</Characters>
  <Lines>153</Lines>
  <Paragraphs>43</Paragraphs>
  <TotalTime>58</TotalTime>
  <ScaleCrop>false</ScaleCrop>
  <LinksUpToDate>false</LinksUpToDate>
  <CharactersWithSpaces>28884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2024-07-15T04:44:00Z</dcterms:created>
  <dc:creator>张鹏飞</dc:creator>
  <cp:lastModifiedBy>ff</cp:lastModifiedBy>
  <cp:lastPrinted>2021-08-30T04:11:00Z</cp:lastPrinted>
  <dcterms:modified xsi:type="dcterms:W3CDTF">2024-08-03T02:54:43Z</dcterms:modified>
  <dc:title>洛</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F86DB87D372B4C0B9ABB8EBB8216D22A_13</vt:lpwstr>
  </property>
  <property fmtid="{D5CDD505-2E9C-101B-9397-08002B2CF9AE}" pid="4" name="commondata">
    <vt:lpwstr>eyJoZGlkIjoiZDU5ODE0N2QzZTY2Y2Y3NjY0ZjQ3OTEzYmE5Njk3ZWUifQ==</vt:lpwstr>
  </property>
</Properties>
</file>