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15DBDA">
      <w:pPr>
        <w:pStyle w:val="7"/>
        <w:numPr>
          <w:ilvl w:val="-1"/>
          <w:numId w:val="0"/>
        </w:numPr>
        <w:overflowPunct/>
        <w:spacing w:line="360" w:lineRule="auto"/>
        <w:ind w:left="0" w:firstLine="0"/>
        <w:jc w:val="both"/>
        <w:rPr>
          <w:rFonts w:hint="eastAsia"/>
        </w:rPr>
      </w:pPr>
    </w:p>
    <w:p w14:paraId="0428AB11">
      <w:pPr>
        <w:pStyle w:val="54"/>
        <w:overflowPunct/>
        <w:ind w:firstLine="1044" w:firstLineChars="200"/>
        <w:jc w:val="center"/>
        <w:rPr>
          <w:rFonts w:hint="eastAsia" w:ascii="宋体" w:hAnsi="宋体" w:eastAsia="宋体" w:cs="宋体"/>
          <w:b/>
          <w:bCs/>
          <w:color w:val="auto"/>
          <w:sz w:val="52"/>
          <w:szCs w:val="52"/>
          <w:highlight w:val="none"/>
          <w:u w:val="none"/>
          <w:lang w:eastAsia="zh-CN"/>
        </w:rPr>
      </w:pPr>
    </w:p>
    <w:p w14:paraId="053D103C">
      <w:pPr>
        <w:pStyle w:val="91"/>
        <w:widowControl w:val="0"/>
        <w:autoSpaceDN w:val="0"/>
        <w:spacing w:line="360" w:lineRule="auto"/>
        <w:jc w:val="both"/>
        <w:rPr>
          <w:rFonts w:hint="eastAsia" w:asciiTheme="minorEastAsia" w:hAnsiTheme="minorEastAsia" w:eastAsiaTheme="minorEastAsia" w:cstheme="minorEastAsia"/>
          <w:bCs/>
          <w:color w:val="auto"/>
          <w:sz w:val="48"/>
          <w:szCs w:val="48"/>
          <w:highlight w:val="none"/>
        </w:rPr>
      </w:pPr>
    </w:p>
    <w:p w14:paraId="5404A603">
      <w:pPr>
        <w:pStyle w:val="91"/>
        <w:widowControl w:val="0"/>
        <w:autoSpaceDN w:val="0"/>
        <w:spacing w:line="360" w:lineRule="auto"/>
        <w:jc w:val="center"/>
        <w:rPr>
          <w:rFonts w:hint="eastAsia" w:asciiTheme="minorEastAsia" w:hAnsiTheme="minorEastAsia" w:eastAsiaTheme="minorEastAsia" w:cstheme="minorEastAsia"/>
          <w:bCs/>
          <w:color w:val="auto"/>
          <w:sz w:val="48"/>
          <w:szCs w:val="48"/>
          <w:highlight w:val="none"/>
        </w:rPr>
      </w:pPr>
    </w:p>
    <w:p w14:paraId="45193DE2">
      <w:pPr>
        <w:spacing w:before="156" w:beforeLines="50" w:after="156" w:afterLines="50" w:line="360" w:lineRule="auto"/>
        <w:ind w:right="120" w:rightChars="50"/>
        <w:jc w:val="center"/>
        <w:rPr>
          <w:rFonts w:hint="eastAsia" w:asciiTheme="minorEastAsia" w:hAnsiTheme="minorEastAsia" w:eastAsiaTheme="minorEastAsia" w:cstheme="minorEastAsia"/>
          <w:b/>
          <w:bCs w:val="0"/>
          <w:color w:val="auto"/>
          <w:sz w:val="36"/>
          <w:szCs w:val="36"/>
          <w:highlight w:val="none"/>
          <w:lang w:eastAsia="zh-CN"/>
        </w:rPr>
      </w:pPr>
      <w:r>
        <w:rPr>
          <w:rFonts w:hint="eastAsia" w:asciiTheme="minorEastAsia" w:hAnsiTheme="minorEastAsia" w:eastAsiaTheme="minorEastAsia" w:cstheme="minorEastAsia"/>
          <w:b/>
          <w:bCs w:val="0"/>
          <w:color w:val="auto"/>
          <w:sz w:val="36"/>
          <w:szCs w:val="36"/>
          <w:highlight w:val="none"/>
          <w:shd w:val="clear" w:color="auto" w:fill="FFFFFF"/>
          <w:lang w:eastAsia="zh-CN"/>
        </w:rPr>
        <w:t>悠然居项目一标段公区、大堂及门头精装修工程合同</w:t>
      </w:r>
    </w:p>
    <w:p w14:paraId="54C06F33">
      <w:pPr>
        <w:autoSpaceDN w:val="0"/>
        <w:spacing w:line="360" w:lineRule="auto"/>
        <w:ind w:firstLine="2520" w:firstLineChars="105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     </w:t>
      </w:r>
    </w:p>
    <w:p w14:paraId="60A8F54C">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14:paraId="6BF88607">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14:paraId="129FC586">
      <w:pPr>
        <w:pStyle w:val="2"/>
        <w:rPr>
          <w:rFonts w:hint="eastAsia" w:asciiTheme="minorEastAsia" w:hAnsiTheme="minorEastAsia" w:eastAsiaTheme="minorEastAsia" w:cstheme="minorEastAsia"/>
          <w:color w:val="auto"/>
          <w:highlight w:val="none"/>
        </w:rPr>
      </w:pPr>
    </w:p>
    <w:p w14:paraId="2DF7037F">
      <w:pPr>
        <w:pStyle w:val="54"/>
        <w:autoSpaceDN w:val="0"/>
        <w:spacing w:line="360" w:lineRule="auto"/>
        <w:ind w:firstLine="723" w:firstLineChars="300"/>
        <w:rPr>
          <w:rFonts w:hint="eastAsia" w:asciiTheme="minorEastAsia" w:hAnsiTheme="minorEastAsia" w:eastAsiaTheme="minorEastAsia" w:cstheme="minorEastAsia"/>
          <w:color w:val="auto"/>
          <w:szCs w:val="24"/>
          <w:highlight w:val="none"/>
        </w:rPr>
      </w:pPr>
    </w:p>
    <w:p w14:paraId="0C741B70">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14:paraId="5B2046C0">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14:paraId="7E28F74C">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14:paraId="243387AF">
      <w:pPr>
        <w:autoSpaceDN w:val="0"/>
        <w:spacing w:line="360" w:lineRule="auto"/>
        <w:rPr>
          <w:rFonts w:hint="eastAsia" w:asciiTheme="minorEastAsia" w:hAnsiTheme="minorEastAsia" w:eastAsiaTheme="minorEastAsia" w:cstheme="minorEastAsia"/>
          <w:b/>
          <w:bCs/>
          <w:color w:val="auto"/>
          <w:szCs w:val="24"/>
          <w:highlight w:val="none"/>
        </w:rPr>
      </w:pPr>
    </w:p>
    <w:p w14:paraId="1BA3D9C9">
      <w:pPr>
        <w:autoSpaceDN w:val="0"/>
        <w:spacing w:line="360" w:lineRule="auto"/>
        <w:ind w:firstLine="840" w:firstLineChars="280"/>
        <w:rPr>
          <w:rFonts w:hint="eastAsia" w:asciiTheme="minorEastAsia" w:hAnsiTheme="minorEastAsia" w:eastAsiaTheme="minorEastAsia" w:cstheme="minorEastAsia"/>
          <w:color w:val="auto"/>
          <w:sz w:val="30"/>
          <w:szCs w:val="30"/>
          <w:highlight w:val="none"/>
          <w:u w:val="single"/>
        </w:rPr>
      </w:pPr>
      <w:r>
        <w:rPr>
          <w:rFonts w:hint="eastAsia" w:asciiTheme="minorEastAsia" w:hAnsiTheme="minorEastAsia" w:eastAsiaTheme="minorEastAsia" w:cstheme="minorEastAsia"/>
          <w:color w:val="auto"/>
          <w:sz w:val="30"/>
          <w:szCs w:val="30"/>
          <w:highlight w:val="none"/>
        </w:rPr>
        <w:t xml:space="preserve">           成本代码：</w:t>
      </w:r>
      <w:r>
        <w:rPr>
          <w:rFonts w:hint="eastAsia" w:asciiTheme="minorEastAsia" w:hAnsiTheme="minorEastAsia" w:eastAsiaTheme="minorEastAsia" w:cstheme="minorEastAsia"/>
          <w:color w:val="auto"/>
          <w:sz w:val="30"/>
          <w:szCs w:val="30"/>
          <w:highlight w:val="none"/>
          <w:u w:val="single"/>
        </w:rPr>
        <w:t xml:space="preserve"> 3.2.13 </w:t>
      </w:r>
    </w:p>
    <w:p w14:paraId="321F1CA5">
      <w:pPr>
        <w:autoSpaceDN w:val="0"/>
        <w:spacing w:line="360" w:lineRule="auto"/>
        <w:ind w:firstLine="840" w:firstLineChars="280"/>
        <w:rPr>
          <w:rFonts w:hint="default" w:asciiTheme="minorEastAsia" w:hAnsiTheme="minorEastAsia" w:eastAsiaTheme="minorEastAsia" w:cstheme="minorEastAsia"/>
          <w:color w:val="auto"/>
          <w:sz w:val="30"/>
          <w:szCs w:val="30"/>
          <w:highlight w:val="none"/>
          <w:lang w:val="en-US" w:eastAsia="zh-CN"/>
        </w:rPr>
      </w:pPr>
      <w:r>
        <w:rPr>
          <w:rFonts w:hint="eastAsia" w:asciiTheme="minorEastAsia" w:hAnsiTheme="minorEastAsia" w:eastAsiaTheme="minorEastAsia" w:cstheme="minorEastAsia"/>
          <w:color w:val="auto"/>
          <w:sz w:val="30"/>
          <w:szCs w:val="30"/>
          <w:highlight w:val="none"/>
        </w:rPr>
        <w:t xml:space="preserve">           合同编号：</w:t>
      </w:r>
      <w:r>
        <w:rPr>
          <w:rFonts w:hint="eastAsia" w:asciiTheme="minorEastAsia" w:hAnsiTheme="minorEastAsia" w:eastAsiaTheme="minorEastAsia" w:cstheme="minorEastAsia"/>
          <w:color w:val="auto"/>
          <w:sz w:val="30"/>
          <w:szCs w:val="30"/>
          <w:highlight w:val="none"/>
          <w:u w:val="single"/>
        </w:rPr>
        <w:t>BLT.JA.0</w:t>
      </w:r>
      <w:r>
        <w:rPr>
          <w:rFonts w:hint="eastAsia" w:asciiTheme="minorEastAsia" w:hAnsiTheme="minorEastAsia" w:eastAsiaTheme="minorEastAsia" w:cstheme="minorEastAsia"/>
          <w:color w:val="auto"/>
          <w:sz w:val="30"/>
          <w:szCs w:val="30"/>
          <w:highlight w:val="none"/>
          <w:u w:val="single"/>
          <w:lang w:val="en-US" w:eastAsia="zh-CN"/>
        </w:rPr>
        <w:t>72</w:t>
      </w:r>
    </w:p>
    <w:p w14:paraId="45698AE8">
      <w:pPr>
        <w:pStyle w:val="54"/>
        <w:autoSpaceDN w:val="0"/>
        <w:spacing w:line="360" w:lineRule="auto"/>
        <w:ind w:firstLine="843" w:firstLineChars="280"/>
        <w:rPr>
          <w:rFonts w:hint="eastAsia" w:asciiTheme="minorEastAsia" w:hAnsiTheme="minorEastAsia" w:eastAsiaTheme="minorEastAsia" w:cstheme="minorEastAsia"/>
          <w:color w:val="auto"/>
          <w:sz w:val="30"/>
          <w:szCs w:val="30"/>
          <w:highlight w:val="none"/>
        </w:rPr>
      </w:pPr>
    </w:p>
    <w:p w14:paraId="5685B87A">
      <w:pPr>
        <w:pStyle w:val="54"/>
        <w:autoSpaceDN w:val="0"/>
        <w:spacing w:line="360" w:lineRule="auto"/>
        <w:ind w:firstLine="843" w:firstLineChars="280"/>
        <w:rPr>
          <w:rFonts w:hint="eastAsia" w:asciiTheme="minorEastAsia" w:hAnsiTheme="minorEastAsia" w:eastAsiaTheme="minorEastAsia" w:cstheme="minorEastAsia"/>
          <w:color w:val="auto"/>
          <w:sz w:val="30"/>
          <w:szCs w:val="30"/>
          <w:highlight w:val="none"/>
        </w:rPr>
      </w:pPr>
    </w:p>
    <w:p w14:paraId="1175E6C8">
      <w:pPr>
        <w:pStyle w:val="3"/>
        <w:spacing w:line="360" w:lineRule="auto"/>
        <w:rPr>
          <w:rFonts w:hint="eastAsia" w:asciiTheme="minorEastAsia" w:hAnsiTheme="minorEastAsia" w:eastAsiaTheme="minorEastAsia" w:cstheme="minorEastAsia"/>
          <w:color w:val="auto"/>
          <w:highlight w:val="none"/>
        </w:rPr>
      </w:pPr>
    </w:p>
    <w:p w14:paraId="22B99CF3">
      <w:pPr>
        <w:pStyle w:val="4"/>
        <w:rPr>
          <w:rFonts w:hint="eastAsia" w:asciiTheme="minorEastAsia" w:hAnsiTheme="minorEastAsia" w:eastAsiaTheme="minorEastAsia" w:cstheme="minorEastAsia"/>
          <w:color w:val="auto"/>
          <w:highlight w:val="none"/>
        </w:rPr>
      </w:pPr>
    </w:p>
    <w:p w14:paraId="674E941F">
      <w:pPr>
        <w:ind w:firstLine="1506" w:firstLineChars="500"/>
        <w:jc w:val="left"/>
        <w:rPr>
          <w:rFonts w:hint="eastAsia" w:asciiTheme="minorEastAsia" w:hAnsiTheme="minorEastAsia" w:eastAsiaTheme="minorEastAsia" w:cstheme="minorEastAsia"/>
          <w:color w:val="auto"/>
          <w:kern w:val="0"/>
          <w:sz w:val="30"/>
          <w:szCs w:val="30"/>
          <w:highlight w:val="none"/>
          <w:lang w:eastAsia="zh-CN"/>
        </w:rPr>
      </w:pPr>
      <w:r>
        <w:rPr>
          <w:rFonts w:hint="eastAsia" w:asciiTheme="minorEastAsia" w:hAnsiTheme="minorEastAsia" w:eastAsiaTheme="minorEastAsia" w:cstheme="minorEastAsia"/>
          <w:b/>
          <w:color w:val="auto"/>
          <w:kern w:val="0"/>
          <w:sz w:val="30"/>
          <w:szCs w:val="30"/>
          <w:highlight w:val="none"/>
        </w:rPr>
        <w:t>发 包 人：</w:t>
      </w:r>
      <w:r>
        <w:rPr>
          <w:rFonts w:hint="eastAsia" w:asciiTheme="minorEastAsia" w:hAnsiTheme="minorEastAsia" w:eastAsiaTheme="minorEastAsia" w:cstheme="minorEastAsia"/>
          <w:b/>
          <w:color w:val="auto"/>
          <w:kern w:val="0"/>
          <w:sz w:val="30"/>
          <w:szCs w:val="30"/>
          <w:highlight w:val="none"/>
          <w:u w:val="single"/>
          <w:lang w:eastAsia="zh-CN"/>
        </w:rPr>
        <w:t>河南浩德龙瑞置业有限公司</w:t>
      </w:r>
    </w:p>
    <w:p w14:paraId="492FA2C5">
      <w:pPr>
        <w:ind w:firstLine="1506" w:firstLineChars="500"/>
        <w:jc w:val="left"/>
        <w:rPr>
          <w:rFonts w:hint="eastAsia" w:asciiTheme="minorEastAsia" w:hAnsiTheme="minorEastAsia" w:eastAsiaTheme="minorEastAsia" w:cstheme="minorEastAsia"/>
          <w:b/>
          <w:color w:val="auto"/>
          <w:kern w:val="0"/>
          <w:sz w:val="30"/>
          <w:szCs w:val="30"/>
          <w:highlight w:val="none"/>
          <w:u w:val="single"/>
          <w:lang w:eastAsia="zh-CN"/>
        </w:rPr>
      </w:pPr>
      <w:r>
        <w:rPr>
          <w:rFonts w:hint="eastAsia" w:asciiTheme="minorEastAsia" w:hAnsiTheme="minorEastAsia" w:eastAsiaTheme="minorEastAsia" w:cstheme="minorEastAsia"/>
          <w:b/>
          <w:color w:val="auto"/>
          <w:kern w:val="0"/>
          <w:sz w:val="30"/>
          <w:szCs w:val="30"/>
          <w:highlight w:val="none"/>
        </w:rPr>
        <w:t>承 包 人：</w:t>
      </w:r>
      <w:r>
        <w:rPr>
          <w:rFonts w:hint="eastAsia" w:asciiTheme="minorEastAsia" w:hAnsiTheme="minorEastAsia" w:eastAsiaTheme="minorEastAsia" w:cstheme="minorEastAsia"/>
          <w:b/>
          <w:bCs w:val="0"/>
          <w:color w:val="auto"/>
          <w:kern w:val="0"/>
          <w:sz w:val="30"/>
          <w:szCs w:val="30"/>
          <w:highlight w:val="none"/>
          <w:u w:val="single"/>
          <w:lang w:val="en-US" w:eastAsia="zh-CN"/>
        </w:rPr>
        <w:t>腾升建筑装饰股份有限</w:t>
      </w:r>
      <w:r>
        <w:rPr>
          <w:rFonts w:hint="eastAsia" w:asciiTheme="minorEastAsia" w:hAnsiTheme="minorEastAsia" w:eastAsiaTheme="minorEastAsia" w:cstheme="minorEastAsia"/>
          <w:b/>
          <w:bCs w:val="0"/>
          <w:color w:val="auto"/>
          <w:kern w:val="0"/>
          <w:sz w:val="30"/>
          <w:szCs w:val="30"/>
          <w:highlight w:val="none"/>
          <w:u w:val="single"/>
          <w:lang w:eastAsia="zh-CN"/>
        </w:rPr>
        <w:t>公司</w:t>
      </w:r>
    </w:p>
    <w:p w14:paraId="69938DEB">
      <w:pPr>
        <w:autoSpaceDN/>
        <w:spacing w:line="240" w:lineRule="auto"/>
        <w:ind w:firstLine="1506" w:firstLineChars="50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color w:val="auto"/>
          <w:kern w:val="0"/>
          <w:sz w:val="30"/>
          <w:szCs w:val="30"/>
          <w:highlight w:val="none"/>
        </w:rPr>
        <w:t>签订时间：</w:t>
      </w:r>
      <w:r>
        <w:rPr>
          <w:rFonts w:hint="eastAsia" w:asciiTheme="minorEastAsia" w:hAnsiTheme="minorEastAsia" w:eastAsiaTheme="minorEastAsia" w:cstheme="minorEastAsia"/>
          <w:b/>
          <w:color w:val="auto"/>
          <w:kern w:val="0"/>
          <w:sz w:val="30"/>
          <w:szCs w:val="30"/>
          <w:highlight w:val="none"/>
          <w:u w:val="single"/>
        </w:rPr>
        <w:t>202</w:t>
      </w:r>
      <w:r>
        <w:rPr>
          <w:rFonts w:hint="eastAsia" w:asciiTheme="minorEastAsia" w:hAnsiTheme="minorEastAsia" w:eastAsiaTheme="minorEastAsia" w:cstheme="minorEastAsia"/>
          <w:b/>
          <w:color w:val="auto"/>
          <w:kern w:val="0"/>
          <w:sz w:val="30"/>
          <w:szCs w:val="30"/>
          <w:highlight w:val="none"/>
          <w:u w:val="single"/>
          <w:lang w:val="en-US" w:eastAsia="zh-CN"/>
        </w:rPr>
        <w:t>4</w:t>
      </w:r>
      <w:r>
        <w:rPr>
          <w:rFonts w:hint="eastAsia" w:asciiTheme="minorEastAsia" w:hAnsiTheme="minorEastAsia" w:eastAsiaTheme="minorEastAsia" w:cstheme="minorEastAsia"/>
          <w:b/>
          <w:color w:val="auto"/>
          <w:kern w:val="0"/>
          <w:sz w:val="30"/>
          <w:szCs w:val="30"/>
          <w:highlight w:val="none"/>
        </w:rPr>
        <w:t>年</w:t>
      </w:r>
      <w:r>
        <w:rPr>
          <w:rFonts w:hint="eastAsia" w:asciiTheme="minorEastAsia" w:hAnsiTheme="minorEastAsia" w:eastAsiaTheme="minorEastAsia" w:cstheme="minorEastAsia"/>
          <w:b/>
          <w:color w:val="auto"/>
          <w:kern w:val="0"/>
          <w:sz w:val="30"/>
          <w:szCs w:val="30"/>
          <w:highlight w:val="none"/>
          <w:u w:val="single"/>
          <w:lang w:val="en-US" w:eastAsia="zh-CN"/>
        </w:rPr>
        <w:t>7</w:t>
      </w:r>
      <w:r>
        <w:rPr>
          <w:rFonts w:hint="eastAsia" w:asciiTheme="minorEastAsia" w:hAnsiTheme="minorEastAsia" w:eastAsiaTheme="minorEastAsia" w:cstheme="minorEastAsia"/>
          <w:b/>
          <w:color w:val="auto"/>
          <w:kern w:val="0"/>
          <w:sz w:val="30"/>
          <w:szCs w:val="30"/>
          <w:highlight w:val="none"/>
        </w:rPr>
        <w:t>月</w:t>
      </w:r>
      <w:r>
        <w:rPr>
          <w:rFonts w:hint="eastAsia" w:asciiTheme="minorEastAsia" w:hAnsiTheme="minorEastAsia" w:eastAsiaTheme="minorEastAsia" w:cstheme="minorEastAsia"/>
          <w:b/>
          <w:color w:val="auto"/>
          <w:kern w:val="0"/>
          <w:sz w:val="30"/>
          <w:szCs w:val="30"/>
          <w:highlight w:val="none"/>
          <w:u w:val="single"/>
        </w:rPr>
        <w:t xml:space="preserve"> </w:t>
      </w:r>
      <w:r>
        <w:rPr>
          <w:rFonts w:hint="eastAsia" w:asciiTheme="minorEastAsia" w:hAnsiTheme="minorEastAsia" w:eastAsiaTheme="minorEastAsia" w:cstheme="minorEastAsia"/>
          <w:b/>
          <w:color w:val="auto"/>
          <w:kern w:val="0"/>
          <w:sz w:val="30"/>
          <w:szCs w:val="30"/>
          <w:highlight w:val="none"/>
          <w:u w:val="single"/>
          <w:lang w:val="en-US" w:eastAsia="zh-CN"/>
        </w:rPr>
        <w:t>18</w:t>
      </w:r>
      <w:r>
        <w:rPr>
          <w:rFonts w:hint="eastAsia" w:asciiTheme="minorEastAsia" w:hAnsiTheme="minorEastAsia" w:eastAsiaTheme="minorEastAsia" w:cstheme="minorEastAsia"/>
          <w:b/>
          <w:color w:val="auto"/>
          <w:kern w:val="0"/>
          <w:sz w:val="30"/>
          <w:szCs w:val="30"/>
          <w:highlight w:val="none"/>
        </w:rPr>
        <w:t>日</w:t>
      </w:r>
    </w:p>
    <w:p w14:paraId="1419175F">
      <w:pPr>
        <w:spacing w:before="156" w:beforeLines="50" w:after="156" w:afterLines="50" w:line="360" w:lineRule="auto"/>
        <w:ind w:right="120" w:rightChars="50"/>
        <w:jc w:val="center"/>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bCs w:val="0"/>
          <w:color w:val="auto"/>
          <w:sz w:val="32"/>
          <w:szCs w:val="32"/>
          <w:highlight w:val="none"/>
          <w:shd w:val="clear" w:color="auto" w:fill="FFFFFF"/>
          <w:lang w:eastAsia="zh-CN"/>
        </w:rPr>
        <w:t>悠然居项目一标段公区、大堂及门头精装修工程合同</w:t>
      </w:r>
    </w:p>
    <w:p w14:paraId="0C70E446">
      <w:pPr>
        <w:jc w:val="left"/>
        <w:rPr>
          <w:rFonts w:hint="eastAsia" w:asciiTheme="minorEastAsia" w:hAnsiTheme="minorEastAsia" w:eastAsiaTheme="minorEastAsia" w:cstheme="minorEastAsia"/>
          <w:color w:val="auto"/>
          <w:szCs w:val="24"/>
          <w:highlight w:val="none"/>
          <w:u w:val="single"/>
          <w:lang w:eastAsia="zh-CN"/>
        </w:rPr>
      </w:pPr>
      <w:r>
        <w:rPr>
          <w:rFonts w:hint="eastAsia" w:asciiTheme="minorEastAsia" w:hAnsiTheme="minorEastAsia" w:eastAsiaTheme="minorEastAsia" w:cstheme="minorEastAsia"/>
          <w:b/>
          <w:bCs/>
          <w:color w:val="auto"/>
          <w:kern w:val="0"/>
          <w:position w:val="-10"/>
          <w:szCs w:val="24"/>
          <w:highlight w:val="none"/>
        </w:rPr>
        <w:t>发包人（以下简称甲方）</w:t>
      </w:r>
      <w:r>
        <w:rPr>
          <w:rFonts w:hint="eastAsia" w:asciiTheme="minorEastAsia" w:hAnsiTheme="minorEastAsia" w:eastAsiaTheme="minorEastAsia" w:cstheme="minorEastAsia"/>
          <w:b/>
          <w:color w:val="auto"/>
          <w:kern w:val="0"/>
          <w:position w:val="-10"/>
          <w:szCs w:val="24"/>
          <w:highlight w:val="none"/>
        </w:rPr>
        <w:t>：</w:t>
      </w:r>
      <w:r>
        <w:rPr>
          <w:rFonts w:hint="eastAsia" w:asciiTheme="minorEastAsia" w:hAnsiTheme="minorEastAsia" w:eastAsiaTheme="minorEastAsia" w:cstheme="minorEastAsia"/>
          <w:bCs/>
          <w:color w:val="auto"/>
          <w:kern w:val="0"/>
          <w:position w:val="-10"/>
          <w:highlight w:val="none"/>
          <w:u w:val="single"/>
          <w:lang w:eastAsia="zh-CN"/>
        </w:rPr>
        <w:t>河南浩德龙瑞置业有限公司</w:t>
      </w:r>
    </w:p>
    <w:p w14:paraId="21BD1EB9">
      <w:pPr>
        <w:pStyle w:val="54"/>
        <w:spacing w:line="360" w:lineRule="auto"/>
        <w:rPr>
          <w:rFonts w:hint="eastAsia" w:asciiTheme="minorEastAsia" w:hAnsiTheme="minorEastAsia" w:eastAsiaTheme="minorEastAsia" w:cstheme="minorEastAsia"/>
          <w:b w:val="0"/>
          <w:bCs/>
          <w:color w:val="auto"/>
          <w:szCs w:val="22"/>
          <w:highlight w:val="none"/>
          <w:u w:val="single"/>
        </w:rPr>
      </w:pPr>
      <w:r>
        <w:rPr>
          <w:rFonts w:hint="eastAsia" w:asciiTheme="minorEastAsia" w:hAnsiTheme="minorEastAsia" w:eastAsiaTheme="minorEastAsia" w:cstheme="minorEastAsia"/>
          <w:color w:val="auto"/>
          <w:highlight w:val="none"/>
        </w:rPr>
        <w:t>统一社会信用代码：</w:t>
      </w:r>
      <w:r>
        <w:rPr>
          <w:rFonts w:hint="eastAsia" w:asciiTheme="minorEastAsia" w:hAnsiTheme="minorEastAsia" w:eastAsiaTheme="minorEastAsia" w:cstheme="minorEastAsia"/>
          <w:b w:val="0"/>
          <w:bCs/>
          <w:color w:val="auto"/>
          <w:spacing w:val="0"/>
          <w:szCs w:val="22"/>
          <w:highlight w:val="none"/>
          <w:u w:val="single"/>
          <w:lang w:eastAsia="zh-CN"/>
        </w:rPr>
        <w:t>91410300MA9MYURF5B</w:t>
      </w:r>
    </w:p>
    <w:p w14:paraId="42A9C1F8">
      <w:pPr>
        <w:pStyle w:val="54"/>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Cs/>
          <w:color w:val="auto"/>
          <w:szCs w:val="24"/>
          <w:highlight w:val="none"/>
        </w:rPr>
        <w:t>承包人</w:t>
      </w:r>
      <w:r>
        <w:rPr>
          <w:rFonts w:hint="eastAsia" w:asciiTheme="minorEastAsia" w:hAnsiTheme="minorEastAsia" w:eastAsiaTheme="minorEastAsia" w:cstheme="minorEastAsia"/>
          <w:color w:val="auto"/>
          <w:szCs w:val="24"/>
          <w:highlight w:val="none"/>
        </w:rPr>
        <w:t>（以下简称乙方）：</w:t>
      </w:r>
      <w:r>
        <w:rPr>
          <w:rFonts w:hint="eastAsia" w:asciiTheme="minorEastAsia" w:hAnsiTheme="minorEastAsia" w:eastAsiaTheme="minorEastAsia" w:cstheme="minorEastAsia"/>
          <w:b w:val="0"/>
          <w:bCs/>
          <w:color w:val="auto"/>
          <w:sz w:val="24"/>
          <w:szCs w:val="24"/>
          <w:highlight w:val="none"/>
          <w:u w:val="single"/>
          <w:lang w:val="en-US" w:eastAsia="zh-CN"/>
        </w:rPr>
        <w:t>腾升建筑装饰股份有限</w:t>
      </w:r>
      <w:r>
        <w:rPr>
          <w:rFonts w:hint="eastAsia" w:asciiTheme="minorEastAsia" w:hAnsiTheme="minorEastAsia" w:eastAsiaTheme="minorEastAsia" w:cstheme="minorEastAsia"/>
          <w:b w:val="0"/>
          <w:bCs/>
          <w:color w:val="auto"/>
          <w:sz w:val="24"/>
          <w:szCs w:val="24"/>
          <w:highlight w:val="none"/>
          <w:u w:val="single"/>
          <w:lang w:eastAsia="zh-CN"/>
        </w:rPr>
        <w:t>公司</w:t>
      </w:r>
    </w:p>
    <w:p w14:paraId="46DE1C62">
      <w:pPr>
        <w:pStyle w:val="54"/>
        <w:spacing w:line="360" w:lineRule="auto"/>
        <w:rPr>
          <w:rFonts w:hint="eastAsia" w:asciiTheme="minorEastAsia" w:hAnsiTheme="minorEastAsia" w:eastAsiaTheme="minorEastAsia" w:cstheme="minorEastAsia"/>
          <w:b w:val="0"/>
          <w:bCs/>
          <w:color w:val="auto"/>
          <w:szCs w:val="24"/>
          <w:highlight w:val="none"/>
          <w:u w:val="single"/>
          <w:lang w:eastAsia="zh-CN"/>
        </w:rPr>
      </w:pPr>
      <w:r>
        <w:rPr>
          <w:rFonts w:hint="eastAsia" w:asciiTheme="minorEastAsia" w:hAnsiTheme="minorEastAsia" w:eastAsiaTheme="minorEastAsia" w:cstheme="minorEastAsia"/>
          <w:color w:val="auto"/>
          <w:highlight w:val="none"/>
        </w:rPr>
        <w:t>统一社会信用代码：</w:t>
      </w:r>
      <w:r>
        <w:rPr>
          <w:rFonts w:hint="eastAsia" w:asciiTheme="minorEastAsia" w:hAnsiTheme="minorEastAsia" w:eastAsiaTheme="minorEastAsia" w:cstheme="minorEastAsia"/>
          <w:b w:val="0"/>
          <w:bCs/>
          <w:color w:val="auto"/>
          <w:szCs w:val="24"/>
          <w:highlight w:val="none"/>
          <w:u w:val="single"/>
          <w:lang w:val="en-US" w:eastAsia="zh-CN"/>
        </w:rPr>
        <w:t>91410100706511590X</w:t>
      </w:r>
      <w:r>
        <w:rPr>
          <w:rFonts w:hint="eastAsia" w:asciiTheme="minorEastAsia" w:hAnsiTheme="minorEastAsia" w:eastAsiaTheme="minorEastAsia" w:cstheme="minorEastAsia"/>
          <w:b w:val="0"/>
          <w:bCs/>
          <w:color w:val="auto"/>
          <w:spacing w:val="0"/>
          <w:szCs w:val="24"/>
          <w:highlight w:val="none"/>
          <w:u w:val="single"/>
          <w:lang w:val="en-US" w:eastAsia="zh-CN"/>
        </w:rPr>
        <w:t xml:space="preserve"> </w:t>
      </w:r>
    </w:p>
    <w:p w14:paraId="0AB0CABD">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依照《中华人民共和国民法典》、《中华人民共和国建筑法》及其他有关法律、行政法规，遵循平等、自愿、公平和诚实信用的原则，双方就</w:t>
      </w:r>
      <w:r>
        <w:rPr>
          <w:rFonts w:hint="eastAsia"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u w:val="single"/>
          <w:lang w:eastAsia="zh-CN"/>
        </w:rPr>
        <w:t>悠然居项目一标段公区、大堂及门头精装修工程</w:t>
      </w:r>
      <w:r>
        <w:rPr>
          <w:rFonts w:hint="eastAsia"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rPr>
        <w:t>事项协商一致，订立本合同。</w:t>
      </w:r>
    </w:p>
    <w:p w14:paraId="511C5230">
      <w:pPr>
        <w:tabs>
          <w:tab w:val="left" w:pos="0"/>
        </w:tabs>
        <w:kinsoku/>
        <w:wordWrap w:val="0"/>
        <w:topLinePunct/>
        <w:autoSpaceDE w:val="0"/>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bCs/>
          <w:color w:val="auto"/>
          <w:szCs w:val="24"/>
          <w:highlight w:val="none"/>
        </w:rPr>
        <w:t>一、工程概况</w:t>
      </w:r>
    </w:p>
    <w:p w14:paraId="72ADB799">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1、工程名称：</w:t>
      </w:r>
      <w:r>
        <w:rPr>
          <w:rFonts w:hint="eastAsia" w:asciiTheme="minorEastAsia" w:hAnsiTheme="minorEastAsia" w:eastAsiaTheme="minorEastAsia" w:cstheme="minorEastAsia"/>
          <w:color w:val="auto"/>
          <w:szCs w:val="24"/>
          <w:highlight w:val="none"/>
          <w:u w:val="single"/>
          <w:lang w:eastAsia="zh-CN"/>
        </w:rPr>
        <w:t>悠然居项目一标段公区、大堂及门头精装修工程</w:t>
      </w:r>
      <w:r>
        <w:rPr>
          <w:rFonts w:hint="eastAsia" w:asciiTheme="minorEastAsia" w:hAnsiTheme="minorEastAsia" w:eastAsiaTheme="minorEastAsia" w:cstheme="minorEastAsia"/>
          <w:color w:val="auto"/>
          <w:szCs w:val="24"/>
          <w:highlight w:val="none"/>
        </w:rPr>
        <w:t>。</w:t>
      </w:r>
    </w:p>
    <w:p w14:paraId="54C6F9CD">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2、工程地点：</w:t>
      </w:r>
      <w:r>
        <w:rPr>
          <w:rFonts w:hint="eastAsia" w:asciiTheme="minorEastAsia" w:hAnsiTheme="minorEastAsia" w:eastAsiaTheme="minorEastAsia" w:cstheme="minorEastAsia"/>
          <w:color w:val="auto"/>
          <w:szCs w:val="24"/>
          <w:highlight w:val="none"/>
          <w:u w:val="single"/>
          <w:lang w:val="en-US" w:eastAsia="zh-CN"/>
        </w:rPr>
        <w:t xml:space="preserve">洛阳市洛龙区渠东路与文景路交叉口东南角 </w:t>
      </w:r>
      <w:r>
        <w:rPr>
          <w:rFonts w:hint="eastAsia" w:asciiTheme="minorEastAsia" w:hAnsiTheme="minorEastAsia" w:eastAsiaTheme="minorEastAsia" w:cstheme="minorEastAsia"/>
          <w:color w:val="auto"/>
          <w:szCs w:val="24"/>
          <w:highlight w:val="none"/>
        </w:rPr>
        <w:t>。</w:t>
      </w:r>
    </w:p>
    <w:p w14:paraId="22AFB8DF">
      <w:pPr>
        <w:tabs>
          <w:tab w:val="left" w:pos="0"/>
        </w:tabs>
        <w:kinsoku/>
        <w:wordWrap w:val="0"/>
        <w:topLinePunct/>
        <w:autoSpaceDE w:val="0"/>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bCs/>
          <w:color w:val="auto"/>
          <w:szCs w:val="24"/>
          <w:highlight w:val="none"/>
        </w:rPr>
        <w:t>二、工程承包范围</w:t>
      </w:r>
    </w:p>
    <w:p w14:paraId="0CAD467B">
      <w:pPr>
        <w:pStyle w:val="54"/>
        <w:kinsoku/>
        <w:wordWrap w:val="0"/>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rPr>
        <w:t>1、承包范围：</w:t>
      </w:r>
      <w:r>
        <w:rPr>
          <w:rFonts w:hint="eastAsia" w:asciiTheme="minorEastAsia" w:hAnsiTheme="minorEastAsia" w:eastAsiaTheme="minorEastAsia" w:cstheme="minorEastAsia"/>
          <w:b w:val="0"/>
          <w:color w:val="auto"/>
          <w:kern w:val="2"/>
          <w:position w:val="0"/>
          <w:szCs w:val="24"/>
          <w:highlight w:val="none"/>
          <w:u w:val="single"/>
          <w:lang w:eastAsia="zh-CN"/>
        </w:rPr>
        <w:t>悠然居项目一标段</w:t>
      </w:r>
      <w:r>
        <w:rPr>
          <w:rFonts w:hint="eastAsia" w:asciiTheme="minorEastAsia" w:hAnsiTheme="minorEastAsia" w:eastAsiaTheme="minorEastAsia" w:cstheme="minorEastAsia"/>
          <w:b w:val="0"/>
          <w:color w:val="auto"/>
          <w:kern w:val="2"/>
          <w:position w:val="0"/>
          <w:szCs w:val="24"/>
          <w:highlight w:val="none"/>
          <w:u w:val="single"/>
          <w:lang w:val="en-US" w:eastAsia="zh-CN"/>
        </w:rPr>
        <w:t>公区、大堂及门头图纸及清单范围内的所有内容，包括但不限于</w:t>
      </w:r>
      <w:r>
        <w:rPr>
          <w:rFonts w:hint="eastAsia" w:asciiTheme="minorEastAsia" w:hAnsiTheme="minorEastAsia" w:eastAsiaTheme="minorEastAsia" w:cstheme="minorEastAsia"/>
          <w:b w:val="0"/>
          <w:color w:val="auto"/>
          <w:kern w:val="2"/>
          <w:position w:val="0"/>
          <w:szCs w:val="24"/>
          <w:highlight w:val="none"/>
          <w:u w:val="single"/>
          <w:lang w:eastAsia="zh-CN"/>
        </w:rPr>
        <w:t>首层大堂</w:t>
      </w:r>
      <w:r>
        <w:rPr>
          <w:rFonts w:hint="eastAsia" w:asciiTheme="minorEastAsia" w:hAnsiTheme="minorEastAsia" w:eastAsiaTheme="minorEastAsia" w:cstheme="minorEastAsia"/>
          <w:b w:val="0"/>
          <w:color w:val="auto"/>
          <w:kern w:val="2"/>
          <w:position w:val="0"/>
          <w:szCs w:val="24"/>
          <w:highlight w:val="none"/>
          <w:u w:val="single"/>
          <w:lang w:val="en-US" w:eastAsia="zh-CN"/>
        </w:rPr>
        <w:t>内外装</w:t>
      </w:r>
      <w:r>
        <w:rPr>
          <w:rFonts w:hint="eastAsia" w:asciiTheme="minorEastAsia" w:hAnsiTheme="minorEastAsia" w:eastAsiaTheme="minorEastAsia" w:cstheme="minorEastAsia"/>
          <w:b w:val="0"/>
          <w:color w:val="auto"/>
          <w:kern w:val="2"/>
          <w:position w:val="0"/>
          <w:szCs w:val="24"/>
          <w:highlight w:val="none"/>
          <w:u w:val="single"/>
          <w:lang w:eastAsia="zh-CN"/>
        </w:rPr>
        <w:t>、</w:t>
      </w:r>
      <w:r>
        <w:rPr>
          <w:rFonts w:hint="eastAsia" w:asciiTheme="minorEastAsia" w:hAnsiTheme="minorEastAsia" w:eastAsiaTheme="minorEastAsia" w:cstheme="minorEastAsia"/>
          <w:b w:val="0"/>
          <w:color w:val="auto"/>
          <w:kern w:val="2"/>
          <w:position w:val="0"/>
          <w:szCs w:val="24"/>
          <w:highlight w:val="none"/>
          <w:u w:val="single"/>
          <w:lang w:val="en-US" w:eastAsia="zh-CN"/>
        </w:rPr>
        <w:t>标准层公区、地下一层公区、地下入户大堂、地下光厅、楼梯间等装饰</w:t>
      </w:r>
      <w:r>
        <w:rPr>
          <w:rFonts w:hint="eastAsia" w:asciiTheme="minorEastAsia" w:hAnsiTheme="minorEastAsia" w:eastAsiaTheme="minorEastAsia" w:cstheme="minorEastAsia"/>
          <w:b w:val="0"/>
          <w:color w:val="auto"/>
          <w:kern w:val="2"/>
          <w:position w:val="0"/>
          <w:szCs w:val="24"/>
          <w:highlight w:val="none"/>
          <w:u w:val="single"/>
          <w:lang w:eastAsia="zh-CN"/>
        </w:rPr>
        <w:t>装修、</w:t>
      </w:r>
      <w:r>
        <w:rPr>
          <w:rFonts w:hint="eastAsia" w:asciiTheme="minorEastAsia" w:hAnsiTheme="minorEastAsia" w:eastAsiaTheme="minorEastAsia" w:cstheme="minorEastAsia"/>
          <w:b w:val="0"/>
          <w:color w:val="auto"/>
          <w:kern w:val="2"/>
          <w:position w:val="0"/>
          <w:szCs w:val="24"/>
          <w:highlight w:val="none"/>
          <w:u w:val="single"/>
          <w:lang w:val="en-US" w:eastAsia="zh-CN"/>
        </w:rPr>
        <w:t>大堂门等</w:t>
      </w:r>
      <w:r>
        <w:rPr>
          <w:rFonts w:hint="eastAsia" w:asciiTheme="minorEastAsia" w:hAnsiTheme="minorEastAsia" w:eastAsiaTheme="minorEastAsia" w:cstheme="minorEastAsia"/>
          <w:b w:val="0"/>
          <w:color w:val="auto"/>
          <w:kern w:val="2"/>
          <w:position w:val="0"/>
          <w:szCs w:val="24"/>
          <w:highlight w:val="none"/>
          <w:u w:val="single"/>
          <w:lang w:eastAsia="zh-CN"/>
        </w:rPr>
        <w:t>工程</w:t>
      </w:r>
      <w:r>
        <w:rPr>
          <w:rFonts w:hint="eastAsia" w:asciiTheme="minorEastAsia" w:hAnsiTheme="minorEastAsia" w:eastAsiaTheme="minorEastAsia" w:cstheme="minorEastAsia"/>
          <w:b w:val="0"/>
          <w:color w:val="auto"/>
          <w:kern w:val="2"/>
          <w:position w:val="0"/>
          <w:szCs w:val="24"/>
          <w:highlight w:val="none"/>
          <w:u w:val="single"/>
        </w:rPr>
        <w:t>。</w:t>
      </w:r>
      <w:r>
        <w:rPr>
          <w:rFonts w:hint="eastAsia" w:asciiTheme="minorEastAsia" w:hAnsiTheme="minorEastAsia" w:eastAsiaTheme="minorEastAsia" w:cstheme="minorEastAsia"/>
          <w:b w:val="0"/>
          <w:color w:val="auto"/>
          <w:kern w:val="2"/>
          <w:position w:val="0"/>
          <w:szCs w:val="24"/>
          <w:highlight w:val="none"/>
          <w:u w:val="single"/>
          <w:lang w:val="en-US" w:eastAsia="zh-CN"/>
        </w:rPr>
        <w:t>暂定面积5400㎡。</w:t>
      </w:r>
    </w:p>
    <w:p w14:paraId="40CCD13B">
      <w:pPr>
        <w:pStyle w:val="54"/>
        <w:tabs>
          <w:tab w:val="left" w:pos="5829"/>
        </w:tabs>
        <w:kinsoku/>
        <w:wordWrap w:val="0"/>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2、具体详见《图纸》及附件《价格清单》。</w:t>
      </w:r>
    </w:p>
    <w:p w14:paraId="5541F01D">
      <w:pPr>
        <w:pStyle w:val="54"/>
        <w:tabs>
          <w:tab w:val="left" w:pos="5829"/>
        </w:tabs>
        <w:kinsoku/>
        <w:wordWrap w:val="0"/>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lang w:val="en-US" w:eastAsia="zh-CN"/>
        </w:rPr>
        <w:t>3、甲方要求其它内容（包括且不限于承包范围内通电接线、配合消防及给水等其它后续永久工程提前施工）。</w:t>
      </w:r>
    </w:p>
    <w:p w14:paraId="44C68299">
      <w:pPr>
        <w:numPr>
          <w:ilvl w:val="-1"/>
          <w:numId w:val="0"/>
        </w:numPr>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lang w:val="en-US" w:eastAsia="zh-CN"/>
        </w:rPr>
        <w:t>4、界线划分：</w:t>
      </w:r>
    </w:p>
    <w:p w14:paraId="03465E3E">
      <w:pPr>
        <w:numPr>
          <w:ilvl w:val="255"/>
          <w:numId w:val="0"/>
        </w:numPr>
        <w:spacing w:line="360" w:lineRule="auto"/>
        <w:ind w:firstLine="480" w:firstLineChars="200"/>
        <w:rPr>
          <w:rFonts w:hint="default" w:asciiTheme="minorEastAsia" w:hAnsiTheme="minorEastAsia" w:eastAsiaTheme="minorEastAsia" w:cstheme="minorEastAsia"/>
          <w:b w:val="0"/>
          <w:color w:val="auto"/>
          <w:kern w:val="2"/>
          <w:position w:val="0"/>
          <w:szCs w:val="24"/>
          <w:highlight w:val="none"/>
          <w:lang w:val="en-US" w:eastAsia="zh-CN"/>
        </w:rPr>
        <w:pPrChange w:id="0" w:author="Ms.h" w:date="2024-08-05T16:47:37Z">
          <w:pPr>
            <w:numPr>
              <w:ilvl w:val="-1"/>
              <w:numId w:val="0"/>
            </w:numPr>
            <w:spacing w:line="360" w:lineRule="auto"/>
            <w:ind w:firstLine="480" w:firstLineChars="200"/>
          </w:pPr>
        </w:pPrChange>
      </w:pPr>
      <w:ins w:id="1" w:author="Ms.h" w:date="2024-08-05T16:47:29Z">
        <w:r>
          <w:rPr>
            <w:rFonts w:hint="eastAsia" w:asciiTheme="minorEastAsia" w:hAnsiTheme="minorEastAsia" w:eastAsiaTheme="minorEastAsia" w:cstheme="minorEastAsia"/>
            <w:color w:val="auto"/>
            <w:szCs w:val="24"/>
          </w:rPr>
          <w:t>具体</w:t>
        </w:r>
      </w:ins>
      <w:ins w:id="2" w:author="Ms.h" w:date="2024-08-05T16:47:29Z">
        <w:r>
          <w:rPr>
            <w:rFonts w:hint="eastAsia" w:asciiTheme="minorEastAsia" w:hAnsiTheme="minorEastAsia" w:eastAsiaTheme="minorEastAsia" w:cstheme="minorEastAsia"/>
            <w:color w:val="auto"/>
            <w:szCs w:val="24"/>
            <w:lang w:eastAsia="zh-CN"/>
          </w:rPr>
          <w:t>按甲方书面</w:t>
        </w:r>
      </w:ins>
      <w:ins w:id="3" w:author="Ms.h" w:date="2024-08-05T16:47:29Z">
        <w:r>
          <w:rPr>
            <w:rFonts w:hint="eastAsia" w:asciiTheme="minorEastAsia" w:hAnsiTheme="minorEastAsia" w:eastAsiaTheme="minorEastAsia" w:cstheme="minorEastAsia"/>
            <w:color w:val="auto"/>
            <w:szCs w:val="24"/>
          </w:rPr>
          <w:t>界定</w:t>
        </w:r>
      </w:ins>
      <w:del w:id="4" w:author="Ms.h" w:date="2024-08-05T16:47:29Z">
        <w:r>
          <w:rPr>
            <w:rFonts w:hint="eastAsia" w:asciiTheme="minorEastAsia" w:hAnsiTheme="minorEastAsia" w:eastAsiaTheme="minorEastAsia" w:cstheme="minorEastAsia"/>
            <w:b w:val="0"/>
            <w:color w:val="auto"/>
            <w:kern w:val="2"/>
            <w:position w:val="0"/>
            <w:szCs w:val="24"/>
            <w:highlight w:val="none"/>
            <w:lang w:val="en-US" w:eastAsia="zh-CN"/>
          </w:rPr>
          <w:delText>具体详见附件工作面界定划分表</w:delText>
        </w:r>
      </w:del>
      <w:r>
        <w:rPr>
          <w:rFonts w:hint="eastAsia" w:asciiTheme="minorEastAsia" w:hAnsiTheme="minorEastAsia" w:eastAsiaTheme="minorEastAsia" w:cstheme="minorEastAsia"/>
          <w:b w:val="0"/>
          <w:color w:val="auto"/>
          <w:kern w:val="2"/>
          <w:position w:val="0"/>
          <w:szCs w:val="24"/>
          <w:highlight w:val="none"/>
          <w:lang w:val="en-US" w:eastAsia="zh-CN"/>
        </w:rPr>
        <w:t>。</w:t>
      </w:r>
    </w:p>
    <w:p w14:paraId="623E3AAC">
      <w:pPr>
        <w:pStyle w:val="54"/>
        <w:kinsoku/>
        <w:wordWrap w:val="0"/>
        <w:topLinePunct/>
        <w:autoSpaceDE w:val="0"/>
        <w:spacing w:line="360" w:lineRule="auto"/>
        <w:rPr>
          <w:rFonts w:hint="eastAsia" w:asciiTheme="minorEastAsia" w:hAnsiTheme="minorEastAsia" w:eastAsiaTheme="minorEastAsia" w:cstheme="minorEastAsia"/>
          <w:b w:val="0"/>
          <w:color w:val="auto"/>
          <w:szCs w:val="24"/>
          <w:highlight w:val="none"/>
        </w:rPr>
      </w:pPr>
      <w:r>
        <w:rPr>
          <w:rFonts w:hint="eastAsia" w:asciiTheme="minorEastAsia" w:hAnsiTheme="minorEastAsia" w:eastAsiaTheme="minorEastAsia" w:cstheme="minorEastAsia"/>
          <w:color w:val="auto"/>
          <w:szCs w:val="24"/>
          <w:highlight w:val="none"/>
        </w:rPr>
        <w:t>三、承包方式</w:t>
      </w:r>
    </w:p>
    <w:p w14:paraId="6A58B5C5">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1、合同承包方式：全费用固定总价包干。</w:t>
      </w:r>
    </w:p>
    <w:p w14:paraId="14D5BE1E">
      <w:pPr>
        <w:pStyle w:val="54"/>
        <w:kinsoku/>
        <w:wordWrap w:val="0"/>
        <w:overflowPunct/>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2、全费用固定总价是甲方根据本合同要求就单位产品应向乙方支付的所有费用，包括但不限于人工费、材料费（包括材料损耗、材料加工费、材料检验试验费）、甲供材保管费、设备费、机械使用费、合同工期内的赶工费、施工水电费（不含甲分包水电费，费用自行协商）、规费、管理费、措施费、利润、税金、加班费、农民工工伤保险费、建筑施工人身意外伤害保险、包装空运、国外及本地存仓、运输、办理验收直至取得验收合格证明文件和保修费用，以及政策性文件规定的各项应有费用及招标文件明示或暗示的所有一切风险、责任和义务的费用。其中，措施费包含但不限于组织措施费、缩短工期增加费、二次搬运费、检测费、远途施工增加费、夜间施工费、疫情防护费用、环境保护、文明施工（含扬尘治理，含施工现场为达到环保主管部门要求所需要的各项措施费用）、安全施工、临时设施等，技术措施费、垂直运输费、超高增加费、成品保护费、现场勘察费、垃圾外运费、工程完工验收前精保洁及移交、交叉施工降效费及配合费、设备/材料的安全保管、石材结晶等其他费用。此费用不随材料市场价格波动、工资、物价、费率的变动或的政府颁发的任何调价文件而发生变化；材料风险费不再调整。</w:t>
      </w:r>
    </w:p>
    <w:p w14:paraId="4BD35DBF">
      <w:pPr>
        <w:pStyle w:val="54"/>
        <w:kinsoku/>
        <w:wordWrap w:val="0"/>
        <w:overflowPunct/>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3、无论原材料市场有何变动，任何一方均不能以任何理由调整本合同的各分项工程固定综合单价。</w:t>
      </w:r>
    </w:p>
    <w:p w14:paraId="4B8C7A2E">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4、各分项工程施工图或报价清单中没有说明但在施工过程中为完成各分项工程必须完成的所有工作，视为已经包含在各分项工程固定总价中。各分项工程固定综合单价结算时不做任何调整。</w:t>
      </w:r>
    </w:p>
    <w:p w14:paraId="49565D8D">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乙方应提前视察现场并了解现场现状，本合同签订时乙方已清楚并考虑工地现场条件，包括周围环境、交通道路、现场地质条件、施工场地及周围地下管网、承包范围、施工图纸、施工组织设计，且已考虑施工技术措施、文明施工、安全生产维护、工期内赶工等因素。合同价格已充分考虑上述因素并考虑在价格中。合同价格视为由工程开工至完成竣工验收并符合交付使用标准的一切费用，甲方将不会就现场状况作出任何变更签证或增加工程款，但是，由于甲方改变工程范围或工作量的设计变更除外。乙方为完成本合同规定的工作所需施工组织中的所有费用均已包含在本合同价格内，不再另外计取。</w:t>
      </w:r>
    </w:p>
    <w:p w14:paraId="233D285B">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6、施工过程中经甲方认可的实际施工方案仅作为甲方对乙方技术方案的肯定，不作为计价依据，甲方不接受乙方重新组价或者调价的要求。</w:t>
      </w:r>
    </w:p>
    <w:p w14:paraId="2CB5581A">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本项目由乙方对施工图纸进行深化，乙方应在保证招标图纸的装饰效果（面层材料不属于深化范围）的情况下进行深化。乙方对图纸进行深化时应结合施工现场实际情况并充分考虑基层做法的可实施性（可实施性指：质量达到国家最新质量标准及甲方的要求，其装饰效果达到设计部门的要求，能一次性通过整体验收合格）。乙方在报价时应考虑基层施工所需的费用</w:t>
      </w:r>
      <w:r>
        <w:rPr>
          <w:rFonts w:hint="eastAsia" w:asciiTheme="minorEastAsia" w:hAnsiTheme="minorEastAsia" w:eastAsiaTheme="minorEastAsia" w:cstheme="minorEastAsia"/>
          <w:color w:val="auto"/>
          <w:szCs w:val="24"/>
          <w:highlight w:val="none"/>
          <w:lang w:eastAsia="zh-CN"/>
        </w:rPr>
        <w:t>（包括因深化点位对原有墙体的拆改及修补）</w:t>
      </w:r>
      <w:r>
        <w:rPr>
          <w:rFonts w:hint="eastAsia" w:asciiTheme="minorEastAsia" w:hAnsiTheme="minorEastAsia" w:eastAsiaTheme="minorEastAsia" w:cstheme="minorEastAsia"/>
          <w:color w:val="auto"/>
          <w:szCs w:val="24"/>
          <w:highlight w:val="none"/>
        </w:rPr>
        <w:t>，不再另计，乙方的报价必须考虑深化后的施工图纸基层做法，不因施工过程中对图纸的深化、做法的不同而增加基层施工的费用。</w:t>
      </w:r>
    </w:p>
    <w:p w14:paraId="7BE7B61F">
      <w:pPr>
        <w:pStyle w:val="54"/>
        <w:kinsoku/>
        <w:wordWrap w:val="0"/>
        <w:overflowPunct/>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8、土建工程的总承包施工单位是按合同约定的施工范围及交楼标准施工，工程质量必须符合国家有关规定验收标准，在交楼时如发现不满足的由总承包施工单位负责整改到满足规范要求为止。如建筑工程规范与装修的规范标准有差异时（即总承包施工单位负责完成的项目达到建筑工程规范标准而达不到装修标准要求时），则由乙方负责将施工面完善至符合装修要求，并已在价格中综合考虑此部分费用。</w:t>
      </w:r>
    </w:p>
    <w:p w14:paraId="5CE0E16C">
      <w:pPr>
        <w:pStyle w:val="54"/>
        <w:kinsoku/>
        <w:wordWrap w:val="0"/>
        <w:overflowPunct/>
        <w:topLinePunct/>
        <w:autoSpaceDE w:val="0"/>
        <w:spacing w:line="360" w:lineRule="auto"/>
        <w:ind w:firstLine="480" w:firstLineChars="200"/>
        <w:rPr>
          <w:rFonts w:hint="default"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lang w:val="en-US" w:eastAsia="zh-CN"/>
        </w:rPr>
        <w:t>9、本工程优先施工样板，样板段需经甲方验收合格后方进行后续大区施工，若样板段验收不合格，甲方有权无责对后续合同及施工内容另行分包，双方就已完成部分进行合同结算。</w:t>
      </w:r>
    </w:p>
    <w:p w14:paraId="6F1C809A">
      <w:pPr>
        <w:kinsoku/>
        <w:wordWrap w:val="0"/>
        <w:topLinePunct/>
        <w:autoSpaceDE w:val="0"/>
        <w:spacing w:line="360" w:lineRule="auto"/>
        <w:rPr>
          <w:rFonts w:hint="eastAsia" w:asciiTheme="minorEastAsia" w:hAnsiTheme="minorEastAsia" w:eastAsiaTheme="minorEastAsia" w:cstheme="minorEastAsia"/>
          <w:bCs/>
          <w:color w:val="auto"/>
          <w:szCs w:val="24"/>
          <w:highlight w:val="none"/>
        </w:rPr>
      </w:pPr>
      <w:r>
        <w:rPr>
          <w:rFonts w:hint="eastAsia" w:asciiTheme="minorEastAsia" w:hAnsiTheme="minorEastAsia" w:eastAsiaTheme="minorEastAsia" w:cstheme="minorEastAsia"/>
          <w:b/>
          <w:bCs/>
          <w:color w:val="auto"/>
          <w:szCs w:val="24"/>
          <w:highlight w:val="none"/>
        </w:rPr>
        <w:t>四、工期要求</w:t>
      </w:r>
    </w:p>
    <w:p w14:paraId="1E41538D">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1、本施工工期为</w:t>
      </w:r>
      <w:r>
        <w:rPr>
          <w:rFonts w:hint="eastAsia" w:asciiTheme="minorEastAsia" w:hAnsiTheme="minorEastAsia" w:eastAsiaTheme="minorEastAsia" w:cstheme="minorEastAsia"/>
          <w:color w:val="auto"/>
          <w:szCs w:val="24"/>
          <w:highlight w:val="none"/>
          <w:lang w:val="en-US" w:eastAsia="zh-CN"/>
        </w:rPr>
        <w:t xml:space="preserve"> 90 日历</w:t>
      </w:r>
      <w:r>
        <w:rPr>
          <w:rFonts w:hint="eastAsia" w:asciiTheme="minorEastAsia" w:hAnsiTheme="minorEastAsia" w:eastAsiaTheme="minorEastAsia" w:cstheme="minorEastAsia"/>
          <w:color w:val="auto"/>
          <w:szCs w:val="24"/>
          <w:highlight w:val="none"/>
        </w:rPr>
        <w:t>天，</w:t>
      </w:r>
      <w:r>
        <w:rPr>
          <w:rFonts w:hint="eastAsia" w:asciiTheme="minorEastAsia" w:hAnsiTheme="minorEastAsia" w:eastAsiaTheme="minorEastAsia" w:cstheme="minorEastAsia"/>
          <w:color w:val="auto"/>
          <w:szCs w:val="24"/>
          <w:highlight w:val="none"/>
          <w:lang w:eastAsia="zh-CN"/>
        </w:rPr>
        <w:t>分批次施工，首次进场时间暂定于</w:t>
      </w:r>
      <w:r>
        <w:rPr>
          <w:rFonts w:hint="eastAsia" w:asciiTheme="minorEastAsia" w:hAnsiTheme="minorEastAsia" w:eastAsiaTheme="minorEastAsia" w:cstheme="minorEastAsia"/>
          <w:color w:val="auto"/>
          <w:szCs w:val="24"/>
          <w:highlight w:val="none"/>
          <w:lang w:val="en-US" w:eastAsia="zh-CN"/>
        </w:rPr>
        <w:t>7月5日 ，</w:t>
      </w:r>
      <w:r>
        <w:rPr>
          <w:rFonts w:hint="eastAsia" w:asciiTheme="minorEastAsia" w:hAnsiTheme="minorEastAsia" w:eastAsiaTheme="minorEastAsia" w:cstheme="minorEastAsia"/>
          <w:color w:val="auto"/>
          <w:szCs w:val="24"/>
          <w:highlight w:val="none"/>
        </w:rPr>
        <w:t>具体开工时间以甲方发出的书面通知为准。</w:t>
      </w:r>
    </w:p>
    <w:p w14:paraId="412E9414">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2、施工过程中如遇甲方责任或</w:t>
      </w:r>
      <w:r>
        <w:rPr>
          <w:rFonts w:hint="eastAsia" w:asciiTheme="minorEastAsia" w:hAnsiTheme="minorEastAsia" w:eastAsiaTheme="minorEastAsia" w:cstheme="minorEastAsia"/>
          <w:color w:val="auto"/>
          <w:szCs w:val="24"/>
          <w:highlight w:val="none"/>
          <w:lang w:val="en-US" w:eastAsia="zh-CN"/>
        </w:rPr>
        <w:t>需明确允许工期顺延的各种情况</w:t>
      </w:r>
      <w:r>
        <w:rPr>
          <w:rFonts w:hint="eastAsia" w:asciiTheme="minorEastAsia" w:hAnsiTheme="minorEastAsia" w:eastAsiaTheme="minorEastAsia" w:cstheme="minorEastAsia"/>
          <w:color w:val="auto"/>
          <w:szCs w:val="24"/>
          <w:highlight w:val="none"/>
        </w:rPr>
        <w:t xml:space="preserve">所延误的工期，经甲、乙双方签证认可后予以调整，并在此基础上确定完工日期。 </w:t>
      </w:r>
    </w:p>
    <w:p w14:paraId="35F477F7">
      <w:pPr>
        <w:kinsoku/>
        <w:wordWrap w:val="0"/>
        <w:topLinePunct/>
        <w:autoSpaceDE w:val="0"/>
        <w:spacing w:line="360" w:lineRule="auto"/>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五、合同价格</w:t>
      </w:r>
    </w:p>
    <w:p w14:paraId="3575BF56">
      <w:pPr>
        <w:pStyle w:val="55"/>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1、合同含税固定总价为¥</w:t>
      </w:r>
      <w:r>
        <w:rPr>
          <w:rFonts w:hint="eastAsia" w:asciiTheme="minorEastAsia" w:hAnsiTheme="minorEastAsia" w:eastAsiaTheme="minorEastAsia" w:cstheme="minorEastAsia"/>
          <w:color w:val="auto"/>
          <w:szCs w:val="24"/>
          <w:highlight w:val="none"/>
          <w:u w:val="single"/>
          <w:lang w:val="en-US" w:eastAsia="zh-CN"/>
        </w:rPr>
        <w:t>5614562.30</w:t>
      </w:r>
      <w:r>
        <w:rPr>
          <w:rFonts w:hint="eastAsia"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rPr>
        <w:t>元（大写人民币</w:t>
      </w:r>
      <w:r>
        <w:rPr>
          <w:rFonts w:hint="eastAsia" w:asciiTheme="minorEastAsia" w:hAnsiTheme="minorEastAsia" w:eastAsiaTheme="minorEastAsia" w:cstheme="minorEastAsia"/>
          <w:color w:val="auto"/>
          <w:szCs w:val="24"/>
          <w:highlight w:val="none"/>
          <w:u w:val="single"/>
          <w:lang w:val="en-US" w:eastAsia="zh-CN"/>
        </w:rPr>
        <w:t>伍佰陆拾壹万肆仟伍佰陆拾贰元叁角零分</w:t>
      </w:r>
      <w:r>
        <w:rPr>
          <w:rFonts w:hint="eastAsia" w:asciiTheme="minorEastAsia" w:hAnsiTheme="minorEastAsia" w:eastAsiaTheme="minorEastAsia" w:cstheme="minorEastAsia"/>
          <w:color w:val="auto"/>
          <w:szCs w:val="24"/>
          <w:highlight w:val="none"/>
        </w:rPr>
        <w:t>（以下简称“合同总价”）。其中不含税金额为¥</w:t>
      </w:r>
      <w:r>
        <w:rPr>
          <w:rFonts w:hint="eastAsia" w:asciiTheme="minorEastAsia" w:hAnsiTheme="minorEastAsia" w:eastAsiaTheme="minorEastAsia" w:cstheme="minorEastAsia"/>
          <w:color w:val="auto"/>
          <w:szCs w:val="24"/>
          <w:highlight w:val="none"/>
          <w:u w:val="single"/>
          <w:lang w:val="en-US" w:eastAsia="zh-CN"/>
        </w:rPr>
        <w:t>5150974.59</w:t>
      </w:r>
      <w:r>
        <w:rPr>
          <w:rFonts w:hint="eastAsia" w:asciiTheme="minorEastAsia" w:hAnsiTheme="minorEastAsia" w:eastAsiaTheme="minorEastAsia" w:cstheme="minorEastAsia"/>
          <w:color w:val="auto"/>
          <w:szCs w:val="24"/>
          <w:highlight w:val="none"/>
        </w:rPr>
        <w:t>元（大写人民币</w:t>
      </w:r>
      <w:r>
        <w:rPr>
          <w:rFonts w:hint="eastAsia" w:asciiTheme="minorEastAsia" w:hAnsiTheme="minorEastAsia" w:eastAsiaTheme="minorEastAsia" w:cstheme="minorEastAsia"/>
          <w:color w:val="auto"/>
          <w:szCs w:val="24"/>
          <w:highlight w:val="none"/>
          <w:u w:val="single"/>
          <w:lang w:val="en-US" w:eastAsia="zh-CN"/>
        </w:rPr>
        <w:t>伍佰壹拾伍万零玖佰柒拾肆元伍角玖分</w:t>
      </w:r>
      <w:r>
        <w:rPr>
          <w:rFonts w:hint="eastAsia" w:asciiTheme="minorEastAsia" w:hAnsiTheme="minorEastAsia" w:eastAsiaTheme="minorEastAsia" w:cstheme="minorEastAsia"/>
          <w:color w:val="auto"/>
          <w:szCs w:val="24"/>
          <w:highlight w:val="none"/>
        </w:rPr>
        <w:t>元），增值税税金为¥</w:t>
      </w:r>
      <w:r>
        <w:rPr>
          <w:rFonts w:hint="eastAsia" w:asciiTheme="minorEastAsia" w:hAnsiTheme="minorEastAsia" w:eastAsiaTheme="minorEastAsia" w:cstheme="minorEastAsia"/>
          <w:color w:val="auto"/>
          <w:szCs w:val="24"/>
          <w:highlight w:val="none"/>
          <w:u w:val="single"/>
          <w:lang w:val="en-US" w:eastAsia="zh-CN"/>
        </w:rPr>
        <w:t>463587.71</w:t>
      </w:r>
      <w:r>
        <w:rPr>
          <w:rFonts w:hint="eastAsia" w:asciiTheme="minorEastAsia" w:hAnsiTheme="minorEastAsia" w:eastAsiaTheme="minorEastAsia" w:cstheme="minorEastAsia"/>
          <w:color w:val="auto"/>
          <w:szCs w:val="24"/>
          <w:highlight w:val="none"/>
        </w:rPr>
        <w:t>元（大写人民币</w:t>
      </w:r>
      <w:r>
        <w:rPr>
          <w:rFonts w:hint="eastAsia" w:asciiTheme="minorEastAsia" w:hAnsiTheme="minorEastAsia" w:eastAsiaTheme="minorEastAsia" w:cstheme="minorEastAsia"/>
          <w:color w:val="auto"/>
          <w:szCs w:val="24"/>
          <w:highlight w:val="none"/>
          <w:u w:val="single"/>
          <w:lang w:val="en-US" w:eastAsia="zh-CN"/>
        </w:rPr>
        <w:t>肆拾陆万叁仟伍佰捌拾柒元柒角壹分</w:t>
      </w:r>
      <w:r>
        <w:rPr>
          <w:rFonts w:hint="eastAsia" w:asciiTheme="minorEastAsia" w:hAnsiTheme="minorEastAsia" w:eastAsiaTheme="minorEastAsia" w:cstheme="minorEastAsia"/>
          <w:color w:val="auto"/>
          <w:szCs w:val="24"/>
          <w:highlight w:val="none"/>
        </w:rPr>
        <w:t>），税率</w:t>
      </w:r>
      <w:r>
        <w:rPr>
          <w:rFonts w:hint="eastAsia"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u w:val="single"/>
          <w:lang w:val="en-US" w:eastAsia="zh-CN"/>
        </w:rPr>
        <w:t>9</w:t>
      </w:r>
      <w:r>
        <w:rPr>
          <w:rFonts w:hint="eastAsia" w:asciiTheme="minorEastAsia" w:hAnsiTheme="minorEastAsia" w:eastAsiaTheme="minorEastAsia" w:cstheme="minorEastAsia"/>
          <w:color w:val="auto"/>
          <w:szCs w:val="24"/>
          <w:highlight w:val="none"/>
        </w:rPr>
        <w:t>%。详见附件《价格清单》。</w:t>
      </w:r>
    </w:p>
    <w:p w14:paraId="0241D6FE">
      <w:pPr>
        <w:pStyle w:val="55"/>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2、增值税税率说明： </w:t>
      </w:r>
    </w:p>
    <w:p w14:paraId="505F2532">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2.1、合同价增值税税率按</w:t>
      </w:r>
      <w:r>
        <w:rPr>
          <w:rFonts w:hint="eastAsia" w:asciiTheme="minorEastAsia" w:hAnsiTheme="minorEastAsia" w:eastAsiaTheme="minorEastAsia" w:cstheme="minorEastAsia"/>
          <w:color w:val="auto"/>
          <w:highlight w:val="none"/>
          <w:u w:val="single"/>
          <w:lang w:val="en-US" w:eastAsia="zh-CN"/>
        </w:rPr>
        <w:t>9</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计算，如因国家税收政策变化引起增值税税率调整，增值税税金依据国家增值税税率调整进行增减调整，合同价随增值税税金增减进行增减调整（合同不含税金额不变）。增值税税金增减金额随付款节点进行调整，结算总价的税金按实际付款时税率进行结算。</w:t>
      </w:r>
    </w:p>
    <w:p w14:paraId="65419D13">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2.2、如因乙方纳税资格变更引起增值税税率变化，风险由乙方自行承担（税率增加的，甲方仍按原税率支付税金；税率减小的，甲方按减小后的税率支付税金）。</w:t>
      </w:r>
    </w:p>
    <w:p w14:paraId="1AC87876">
      <w:pPr>
        <w:pStyle w:val="54"/>
        <w:tabs>
          <w:tab w:val="left" w:pos="0"/>
        </w:tabs>
        <w:kinsoku/>
        <w:wordWrap w:val="0"/>
        <w:topLinePunct/>
        <w:autoSpaceDE w:val="0"/>
        <w:spacing w:line="360" w:lineRule="auto"/>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rPr>
        <w:t xml:space="preserve">六、工程价款支付 </w:t>
      </w:r>
      <w:r>
        <w:rPr>
          <w:rFonts w:hint="eastAsia" w:asciiTheme="minorEastAsia" w:hAnsiTheme="minorEastAsia" w:eastAsiaTheme="minorEastAsia" w:cstheme="minorEastAsia"/>
          <w:color w:val="auto"/>
          <w:szCs w:val="24"/>
          <w:highlight w:val="none"/>
          <w:lang w:eastAsia="zh-CN"/>
        </w:rPr>
        <w:t>（分</w:t>
      </w:r>
      <w:r>
        <w:rPr>
          <w:rFonts w:hint="eastAsia" w:asciiTheme="minorEastAsia" w:hAnsiTheme="minorEastAsia" w:eastAsiaTheme="minorEastAsia" w:cstheme="minorEastAsia"/>
          <w:color w:val="auto"/>
          <w:szCs w:val="24"/>
          <w:highlight w:val="none"/>
          <w:lang w:val="en-US" w:eastAsia="zh-CN"/>
        </w:rPr>
        <w:t>批次</w:t>
      </w:r>
      <w:r>
        <w:rPr>
          <w:rFonts w:hint="eastAsia" w:asciiTheme="minorEastAsia" w:hAnsiTheme="minorEastAsia" w:eastAsiaTheme="minorEastAsia" w:cstheme="minorEastAsia"/>
          <w:color w:val="auto"/>
          <w:szCs w:val="24"/>
          <w:highlight w:val="none"/>
          <w:lang w:eastAsia="zh-CN"/>
        </w:rPr>
        <w:t>施工，按月进度付款）</w:t>
      </w:r>
    </w:p>
    <w:p w14:paraId="31C04731">
      <w:pPr>
        <w:numPr>
          <w:ilvl w:val="0"/>
          <w:numId w:val="2"/>
        </w:numPr>
        <w:spacing w:line="360" w:lineRule="auto"/>
        <w:ind w:firstLine="480" w:firstLineChars="200"/>
        <w:rPr>
          <w:rFonts w:hint="eastAsia" w:asciiTheme="minorEastAsia" w:hAnsiTheme="minorEastAsia" w:eastAsiaTheme="minorEastAsia" w:cstheme="minorEastAsia"/>
          <w:b w:val="0"/>
          <w:bCs w:val="0"/>
          <w:color w:val="auto"/>
          <w:highlight w:val="none"/>
          <w:lang w:val="en-US" w:eastAsia="zh-CN"/>
        </w:rPr>
      </w:pPr>
      <w:r>
        <w:rPr>
          <w:rFonts w:hint="eastAsia" w:ascii="宋体" w:hAnsi="宋体" w:eastAsia="宋体" w:cs="Times New Roman"/>
          <w:sz w:val="24"/>
          <w:szCs w:val="22"/>
          <w:highlight w:val="none"/>
          <w:lang w:val="en-US" w:eastAsia="zh-CN"/>
        </w:rPr>
        <w:t>每批次按月形象进度进行付款,乙方每月25日前提交本月工程形象进度说明、预算报表、付款申请单等付款资料，甲方审核后</w:t>
      </w:r>
      <w:r>
        <w:rPr>
          <w:rFonts w:hint="eastAsia" w:asciiTheme="minorEastAsia" w:hAnsiTheme="minorEastAsia" w:eastAsiaTheme="minorEastAsia" w:cstheme="minorEastAsia"/>
          <w:b w:val="0"/>
          <w:bCs w:val="0"/>
          <w:color w:val="auto"/>
          <w:highlight w:val="none"/>
        </w:rPr>
        <w:t>甲方向乙方支付至</w:t>
      </w:r>
      <w:r>
        <w:rPr>
          <w:rFonts w:hint="eastAsia" w:asciiTheme="minorEastAsia" w:hAnsiTheme="minorEastAsia" w:eastAsiaTheme="minorEastAsia" w:cstheme="minorEastAsia"/>
          <w:b w:val="0"/>
          <w:bCs w:val="0"/>
          <w:color w:val="auto"/>
          <w:highlight w:val="none"/>
          <w:lang w:val="en-US" w:eastAsia="zh-CN"/>
        </w:rPr>
        <w:t>已完工程</w:t>
      </w:r>
      <w:r>
        <w:rPr>
          <w:rFonts w:hint="eastAsia" w:asciiTheme="minorEastAsia" w:hAnsiTheme="minorEastAsia" w:eastAsiaTheme="minorEastAsia" w:cstheme="minorEastAsia"/>
          <w:b w:val="0"/>
          <w:bCs w:val="0"/>
          <w:color w:val="auto"/>
          <w:highlight w:val="none"/>
        </w:rPr>
        <w:t>价款</w:t>
      </w:r>
      <w:r>
        <w:rPr>
          <w:rFonts w:hint="eastAsia" w:asciiTheme="minorEastAsia" w:hAnsiTheme="minorEastAsia" w:eastAsiaTheme="minorEastAsia" w:cstheme="minorEastAsia"/>
          <w:b w:val="0"/>
          <w:bCs w:val="0"/>
          <w:color w:val="auto"/>
          <w:highlight w:val="none"/>
          <w:lang w:val="en-US" w:eastAsia="zh-CN"/>
        </w:rPr>
        <w:t>及对应材料款</w:t>
      </w:r>
      <w:r>
        <w:rPr>
          <w:rFonts w:hint="eastAsia" w:asciiTheme="minorEastAsia" w:hAnsiTheme="minorEastAsia" w:eastAsiaTheme="minorEastAsia" w:cstheme="minorEastAsia"/>
          <w:b w:val="0"/>
          <w:bCs w:val="0"/>
          <w:color w:val="auto"/>
          <w:highlight w:val="none"/>
        </w:rPr>
        <w:t>的8</w:t>
      </w:r>
      <w:r>
        <w:rPr>
          <w:rFonts w:hint="eastAsia" w:asciiTheme="minorEastAsia" w:hAnsiTheme="minorEastAsia" w:eastAsiaTheme="minorEastAsia" w:cstheme="minorEastAsia"/>
          <w:b w:val="0"/>
          <w:bCs w:val="0"/>
          <w:color w:val="auto"/>
          <w:highlight w:val="none"/>
          <w:lang w:val="en-US" w:eastAsia="zh-CN"/>
        </w:rPr>
        <w:t>0</w:t>
      </w:r>
      <w:r>
        <w:rPr>
          <w:rFonts w:hint="eastAsia" w:asciiTheme="minorEastAsia" w:hAnsiTheme="minorEastAsia" w:eastAsiaTheme="minorEastAsia" w:cstheme="minorEastAsia"/>
          <w:b w:val="0"/>
          <w:bCs w:val="0"/>
          <w:color w:val="auto"/>
          <w:highlight w:val="none"/>
        </w:rPr>
        <w:t>%</w:t>
      </w:r>
      <w:r>
        <w:rPr>
          <w:rFonts w:hint="eastAsia" w:asciiTheme="minorEastAsia" w:hAnsiTheme="minorEastAsia" w:eastAsiaTheme="minorEastAsia" w:cstheme="minorEastAsia"/>
          <w:b w:val="0"/>
          <w:bCs w:val="0"/>
          <w:color w:val="auto"/>
          <w:highlight w:val="none"/>
          <w:lang w:eastAsia="zh-CN"/>
        </w:rPr>
        <w:t>；</w:t>
      </w:r>
    </w:p>
    <w:p w14:paraId="62FC9DC6">
      <w:pPr>
        <w:spacing w:line="360" w:lineRule="auto"/>
        <w:ind w:firstLine="480" w:firstLineChars="200"/>
        <w:rPr>
          <w:rFonts w:hint="eastAsia" w:asciiTheme="minorEastAsia" w:hAnsiTheme="minorEastAsia" w:eastAsiaTheme="minorEastAsia" w:cstheme="minorEastAsia"/>
          <w:b w:val="0"/>
          <w:bCs w:val="0"/>
          <w:color w:val="auto"/>
          <w:highlight w:val="none"/>
        </w:rPr>
      </w:pPr>
      <w:r>
        <w:rPr>
          <w:rFonts w:hint="eastAsia" w:asciiTheme="minorEastAsia" w:hAnsiTheme="minorEastAsia" w:eastAsiaTheme="minorEastAsia" w:cstheme="minorEastAsia"/>
          <w:b w:val="0"/>
          <w:bCs w:val="0"/>
          <w:color w:val="auto"/>
          <w:highlight w:val="none"/>
          <w:lang w:val="en-US" w:eastAsia="zh-CN"/>
        </w:rPr>
        <w:t>2、</w:t>
      </w:r>
      <w:r>
        <w:rPr>
          <w:rFonts w:hint="eastAsia" w:asciiTheme="minorEastAsia" w:hAnsiTheme="minorEastAsia" w:eastAsiaTheme="minorEastAsia" w:cstheme="minorEastAsia"/>
          <w:b w:val="0"/>
          <w:bCs w:val="0"/>
          <w:color w:val="auto"/>
          <w:highlight w:val="none"/>
          <w:lang w:eastAsia="zh-CN"/>
        </w:rPr>
        <w:t>每批次</w:t>
      </w:r>
      <w:r>
        <w:rPr>
          <w:rFonts w:hint="eastAsia" w:asciiTheme="minorEastAsia" w:hAnsiTheme="minorEastAsia" w:eastAsiaTheme="minorEastAsia" w:cstheme="minorEastAsia"/>
          <w:b w:val="0"/>
          <w:bCs w:val="0"/>
          <w:color w:val="auto"/>
          <w:highlight w:val="none"/>
        </w:rPr>
        <w:t>全部施工完成</w:t>
      </w:r>
      <w:r>
        <w:rPr>
          <w:rFonts w:hint="eastAsia" w:asciiTheme="minorEastAsia" w:hAnsiTheme="minorEastAsia" w:eastAsiaTheme="minorEastAsia" w:cstheme="minorEastAsia"/>
          <w:b w:val="0"/>
          <w:bCs w:val="0"/>
          <w:color w:val="auto"/>
          <w:highlight w:val="none"/>
          <w:lang w:val="en-US" w:eastAsia="zh-CN"/>
        </w:rPr>
        <w:t>精</w:t>
      </w:r>
      <w:r>
        <w:rPr>
          <w:rFonts w:hint="eastAsia" w:asciiTheme="minorEastAsia" w:hAnsiTheme="minorEastAsia" w:eastAsiaTheme="minorEastAsia" w:cstheme="minorEastAsia"/>
          <w:b w:val="0"/>
          <w:bCs w:val="0"/>
          <w:color w:val="auto"/>
          <w:highlight w:val="none"/>
        </w:rPr>
        <w:t>保洁后，</w:t>
      </w:r>
      <w:del w:id="5" w:author="Ms.h" w:date="2024-08-05T16:48:16Z">
        <w:r>
          <w:rPr>
            <w:rFonts w:hint="default" w:asciiTheme="minorEastAsia" w:hAnsiTheme="minorEastAsia" w:eastAsiaTheme="minorEastAsia" w:cstheme="minorEastAsia"/>
            <w:b w:val="0"/>
            <w:bCs w:val="0"/>
            <w:color w:val="auto"/>
            <w:highlight w:val="none"/>
            <w:lang w:val="en-US" w:eastAsia="zh-CN"/>
          </w:rPr>
          <w:delText>移交</w:delText>
        </w:r>
      </w:del>
      <w:ins w:id="6" w:author="Ms.h" w:date="2024-08-05T16:48:17Z">
        <w:r>
          <w:rPr>
            <w:rFonts w:hint="eastAsia" w:asciiTheme="minorEastAsia" w:hAnsiTheme="minorEastAsia" w:eastAsiaTheme="minorEastAsia" w:cstheme="minorEastAsia"/>
            <w:b w:val="0"/>
            <w:bCs w:val="0"/>
            <w:color w:val="auto"/>
            <w:highlight w:val="none"/>
            <w:lang w:val="en-US" w:eastAsia="zh-CN"/>
          </w:rPr>
          <w:t>经</w:t>
        </w:r>
      </w:ins>
      <w:r>
        <w:rPr>
          <w:rFonts w:hint="eastAsia" w:asciiTheme="minorEastAsia" w:hAnsiTheme="minorEastAsia" w:eastAsiaTheme="minorEastAsia" w:cstheme="minorEastAsia"/>
          <w:b w:val="0"/>
          <w:bCs w:val="0"/>
          <w:color w:val="auto"/>
          <w:highlight w:val="none"/>
          <w:lang w:val="en-US" w:eastAsia="zh-CN"/>
        </w:rPr>
        <w:t>甲方</w:t>
      </w:r>
      <w:ins w:id="7" w:author="Ms.h" w:date="2024-08-05T16:48:19Z">
        <w:r>
          <w:rPr>
            <w:rFonts w:hint="eastAsia" w:asciiTheme="minorEastAsia" w:hAnsiTheme="minorEastAsia" w:eastAsiaTheme="minorEastAsia" w:cstheme="minorEastAsia"/>
            <w:b w:val="0"/>
            <w:bCs w:val="0"/>
            <w:color w:val="auto"/>
            <w:highlight w:val="none"/>
            <w:lang w:val="en-US" w:eastAsia="zh-CN"/>
          </w:rPr>
          <w:t>和</w:t>
        </w:r>
      </w:ins>
      <w:ins w:id="8" w:author="Ms.h" w:date="2024-08-05T16:48:20Z">
        <w:r>
          <w:rPr>
            <w:rFonts w:hint="eastAsia" w:asciiTheme="minorEastAsia" w:hAnsiTheme="minorEastAsia" w:eastAsiaTheme="minorEastAsia" w:cstheme="minorEastAsia"/>
            <w:b w:val="0"/>
            <w:bCs w:val="0"/>
            <w:color w:val="auto"/>
            <w:highlight w:val="none"/>
            <w:lang w:val="en-US" w:eastAsia="zh-CN"/>
          </w:rPr>
          <w:t>监理</w:t>
        </w:r>
      </w:ins>
      <w:ins w:id="9" w:author="Ms.h" w:date="2024-08-05T16:48:21Z">
        <w:r>
          <w:rPr>
            <w:rFonts w:hint="eastAsia" w:asciiTheme="minorEastAsia" w:hAnsiTheme="minorEastAsia" w:eastAsiaTheme="minorEastAsia" w:cstheme="minorEastAsia"/>
            <w:b w:val="0"/>
            <w:bCs w:val="0"/>
            <w:color w:val="auto"/>
            <w:highlight w:val="none"/>
            <w:lang w:val="en-US" w:eastAsia="zh-CN"/>
          </w:rPr>
          <w:t>确认后</w:t>
        </w:r>
      </w:ins>
      <w:r>
        <w:rPr>
          <w:rFonts w:hint="eastAsia" w:asciiTheme="minorEastAsia" w:hAnsiTheme="minorEastAsia" w:eastAsiaTheme="minorEastAsia" w:cstheme="minorEastAsia"/>
          <w:b w:val="0"/>
          <w:bCs w:val="0"/>
          <w:color w:val="auto"/>
          <w:highlight w:val="none"/>
          <w:lang w:val="en-US" w:eastAsia="zh-CN"/>
        </w:rPr>
        <w:t>，</w:t>
      </w:r>
      <w:r>
        <w:rPr>
          <w:rFonts w:hint="eastAsia" w:asciiTheme="minorEastAsia" w:hAnsiTheme="minorEastAsia" w:eastAsiaTheme="minorEastAsia" w:cstheme="minorEastAsia"/>
          <w:b w:val="0"/>
          <w:bCs w:val="0"/>
          <w:color w:val="auto"/>
          <w:highlight w:val="none"/>
        </w:rPr>
        <w:t>甲方向乙方支付至</w:t>
      </w:r>
      <w:r>
        <w:rPr>
          <w:rFonts w:hint="eastAsia" w:asciiTheme="minorEastAsia" w:hAnsiTheme="minorEastAsia" w:eastAsiaTheme="minorEastAsia" w:cstheme="minorEastAsia"/>
          <w:b w:val="0"/>
          <w:bCs w:val="0"/>
          <w:color w:val="auto"/>
          <w:highlight w:val="none"/>
          <w:lang w:val="en-US" w:eastAsia="zh-CN"/>
        </w:rPr>
        <w:t>已完工程</w:t>
      </w:r>
      <w:r>
        <w:rPr>
          <w:rFonts w:hint="eastAsia" w:asciiTheme="minorEastAsia" w:hAnsiTheme="minorEastAsia" w:eastAsiaTheme="minorEastAsia" w:cstheme="minorEastAsia"/>
          <w:b w:val="0"/>
          <w:bCs w:val="0"/>
          <w:color w:val="auto"/>
          <w:highlight w:val="none"/>
        </w:rPr>
        <w:t>价款的</w:t>
      </w:r>
      <w:r>
        <w:rPr>
          <w:rFonts w:hint="eastAsia" w:asciiTheme="minorEastAsia" w:hAnsiTheme="minorEastAsia" w:eastAsiaTheme="minorEastAsia" w:cstheme="minorEastAsia"/>
          <w:b w:val="0"/>
          <w:bCs w:val="0"/>
          <w:color w:val="auto"/>
          <w:highlight w:val="none"/>
          <w:lang w:val="en-US" w:eastAsia="zh-CN"/>
        </w:rPr>
        <w:t>85</w:t>
      </w:r>
      <w:r>
        <w:rPr>
          <w:rFonts w:hint="eastAsia" w:asciiTheme="minorEastAsia" w:hAnsiTheme="minorEastAsia" w:eastAsiaTheme="minorEastAsia" w:cstheme="minorEastAsia"/>
          <w:b w:val="0"/>
          <w:bCs w:val="0"/>
          <w:color w:val="auto"/>
          <w:highlight w:val="none"/>
        </w:rPr>
        <w:t>%；</w:t>
      </w:r>
    </w:p>
    <w:p w14:paraId="55163022">
      <w:pPr>
        <w:spacing w:line="360" w:lineRule="auto"/>
        <w:ind w:firstLine="480" w:firstLineChars="20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3</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b w:val="0"/>
          <w:bCs w:val="0"/>
          <w:color w:val="auto"/>
          <w:highlight w:val="none"/>
        </w:rPr>
        <w:t>经甲方及监理验收合格，</w:t>
      </w:r>
      <w:r>
        <w:rPr>
          <w:rFonts w:hint="eastAsia" w:asciiTheme="minorEastAsia" w:hAnsiTheme="minorEastAsia" w:eastAsiaTheme="minorEastAsia" w:cstheme="minorEastAsia"/>
          <w:color w:val="auto"/>
          <w:highlight w:val="none"/>
          <w:lang w:eastAsia="zh-CN"/>
        </w:rPr>
        <w:t>竣工资料完成，</w:t>
      </w:r>
      <w:r>
        <w:rPr>
          <w:rFonts w:hint="eastAsia" w:asciiTheme="minorEastAsia" w:hAnsiTheme="minorEastAsia" w:eastAsiaTheme="minorEastAsia" w:cstheme="minorEastAsia"/>
          <w:color w:val="auto"/>
          <w:highlight w:val="none"/>
        </w:rPr>
        <w:t>配合甲方完成结算后，支付至整个工程结算金额的97%</w:t>
      </w:r>
      <w:r>
        <w:rPr>
          <w:rFonts w:hint="eastAsia" w:asciiTheme="minorEastAsia" w:hAnsiTheme="minorEastAsia" w:eastAsiaTheme="minorEastAsia" w:cstheme="minorEastAsia"/>
          <w:color w:val="auto"/>
          <w:highlight w:val="none"/>
          <w:lang w:val="en-US" w:eastAsia="zh-CN"/>
        </w:rPr>
        <w:t>；</w:t>
      </w:r>
    </w:p>
    <w:p w14:paraId="5E3D21FF">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4</w:t>
      </w:r>
      <w:r>
        <w:rPr>
          <w:rFonts w:hint="eastAsia" w:asciiTheme="minorEastAsia" w:hAnsiTheme="minorEastAsia" w:eastAsiaTheme="minorEastAsia" w:cstheme="minorEastAsia"/>
          <w:color w:val="auto"/>
          <w:highlight w:val="none"/>
        </w:rPr>
        <w:t>、工程剩余金额（即结算金额的3%）留为质保金。工程质保期为</w:t>
      </w:r>
      <w:r>
        <w:rPr>
          <w:rFonts w:hint="eastAsia" w:asciiTheme="minorEastAsia" w:hAnsiTheme="minorEastAsia" w:eastAsiaTheme="minorEastAsia" w:cstheme="minorEastAsia"/>
          <w:color w:val="auto"/>
          <w:highlight w:val="none"/>
          <w:lang w:eastAsia="zh-CN"/>
        </w:rPr>
        <w:t>两</w:t>
      </w:r>
      <w:r>
        <w:rPr>
          <w:rFonts w:hint="eastAsia" w:asciiTheme="minorEastAsia" w:hAnsiTheme="minorEastAsia" w:eastAsiaTheme="minorEastAsia" w:cstheme="minorEastAsia"/>
          <w:color w:val="auto"/>
          <w:highlight w:val="none"/>
        </w:rPr>
        <w:t>年，自工程全部施工完成，并经甲方、监理及相关部门验收合格之日起开始计算。质保期满且无质量问题无息退还剩余款项（若有）。质保期内，如因工程质量问题、用料质量问题、维修或乙方其他违约行为等导致乙方存在应支付未支付款项或甲方代乙方支出的款项的，甲方有权在工程质保金中直接扣除，质保金不足以弥补甲方损失的，乙方应负责赔偿，因此导致工程质保金低于3%，乙方应在收到甲方补足通知之日起3日内予以补足。</w:t>
      </w:r>
    </w:p>
    <w:p w14:paraId="5BC8CC67">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5</w:t>
      </w:r>
      <w:r>
        <w:rPr>
          <w:rFonts w:hint="eastAsia" w:asciiTheme="minorEastAsia" w:hAnsiTheme="minorEastAsia" w:eastAsiaTheme="minorEastAsia" w:cstheme="minorEastAsia"/>
          <w:color w:val="auto"/>
          <w:highlight w:val="none"/>
        </w:rPr>
        <w:t>、每次付款前，乙方应按甲方要求出具合法有效的增值税专用发票，否则甲方有权延迟付款</w:t>
      </w:r>
      <w:ins w:id="10" w:author="Ms.h" w:date="2024-08-05T16:49:30Z">
        <w:r>
          <w:rPr>
            <w:rFonts w:hint="eastAsia" w:asciiTheme="minorEastAsia" w:hAnsiTheme="minorEastAsia" w:eastAsiaTheme="minorEastAsia" w:cstheme="minorEastAsia"/>
            <w:color w:val="auto"/>
            <w:highlight w:val="none"/>
            <w:lang w:val="en-US" w:eastAsia="zh-CN"/>
          </w:rPr>
          <w:t>且</w:t>
        </w:r>
      </w:ins>
      <w:ins w:id="11" w:author="Ms.h" w:date="2024-08-05T16:49:31Z">
        <w:r>
          <w:rPr>
            <w:rFonts w:hint="eastAsia" w:asciiTheme="minorEastAsia" w:hAnsiTheme="minorEastAsia" w:eastAsiaTheme="minorEastAsia" w:cstheme="minorEastAsia"/>
            <w:color w:val="auto"/>
            <w:highlight w:val="none"/>
            <w:lang w:val="en-US" w:eastAsia="zh-CN"/>
          </w:rPr>
          <w:t>不视为</w:t>
        </w:r>
      </w:ins>
      <w:ins w:id="12" w:author="Ms.h" w:date="2024-08-05T16:49:32Z">
        <w:r>
          <w:rPr>
            <w:rFonts w:hint="eastAsia" w:asciiTheme="minorEastAsia" w:hAnsiTheme="minorEastAsia" w:eastAsiaTheme="minorEastAsia" w:cstheme="minorEastAsia"/>
            <w:color w:val="auto"/>
            <w:highlight w:val="none"/>
            <w:lang w:val="en-US" w:eastAsia="zh-CN"/>
          </w:rPr>
          <w:t>违约</w:t>
        </w:r>
      </w:ins>
      <w:r>
        <w:rPr>
          <w:rFonts w:hint="eastAsia" w:asciiTheme="minorEastAsia" w:hAnsiTheme="minorEastAsia" w:eastAsiaTheme="minorEastAsia" w:cstheme="minorEastAsia"/>
          <w:color w:val="auto"/>
          <w:highlight w:val="none"/>
        </w:rPr>
        <w:t>。当甲方向乙方累计支付款项至本合同结算值的97％时，乙方须向甲方开具结算金额100％的合法有效的增值税专用发票，否则甲方除扣留质保金外，还有权延迟支付该批次工程款且不视为违约。乙方应在开票之后5个工作日内将发票送达甲方，甲方签收发票的日期为发票的送达日期。</w:t>
      </w:r>
      <w:r>
        <w:rPr>
          <w:rFonts w:hint="eastAsia" w:asciiTheme="minorEastAsia" w:hAnsiTheme="minorEastAsia" w:eastAsiaTheme="minorEastAsia" w:cstheme="minorEastAsia"/>
          <w:color w:val="auto"/>
          <w:highlight w:val="none"/>
        </w:rPr>
        <w:tab/>
      </w:r>
      <w:r>
        <w:rPr>
          <w:rFonts w:hint="eastAsia" w:asciiTheme="minorEastAsia" w:hAnsiTheme="minorEastAsia" w:eastAsiaTheme="minorEastAsia" w:cstheme="minorEastAsia"/>
          <w:color w:val="auto"/>
          <w:highlight w:val="none"/>
        </w:rPr>
        <w:tab/>
      </w:r>
    </w:p>
    <w:p w14:paraId="7A806DEA">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6</w:t>
      </w:r>
      <w:r>
        <w:rPr>
          <w:rFonts w:hint="eastAsia" w:asciiTheme="minorEastAsia" w:hAnsiTheme="minorEastAsia" w:eastAsiaTheme="minorEastAsia" w:cstheme="minorEastAsia"/>
          <w:color w:val="auto"/>
          <w:highlight w:val="none"/>
        </w:rPr>
        <w:t>、乙方应提供合规发票，乙方开具发票不合规时出现税务问题，乙方应承担赔偿责任，包括但不限于税款、滞纳金、罚款及其相关的损失。不合格发票包括但不限于以下情形：开具虚假、作废等无效发票或者违反国家法律法规开具、提供发票的；开具发票种类错误；开具发票税率与合同约定不符；发票上的信息错误；因乙方迟延送达、开具错误等原因造成发票认证失败等。</w:t>
      </w:r>
    </w:p>
    <w:p w14:paraId="1E837A59">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t>、对发票不合规的约定：</w:t>
      </w:r>
    </w:p>
    <w:p w14:paraId="5A1BA092">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t>.1、乙方提供的发票为增值税专用发票的，因乙方迟延送达、开具错误等原因导致其提供的增值税专用发票没有通过税务部门认证，造成甲方不能抵扣的，甲方有权拒绝接收。</w:t>
      </w:r>
    </w:p>
    <w:p w14:paraId="6346D6C9">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t>2、乙方开具虚假、作废等无效发票或者违反国家法律法规开具、提供发票的，乙方应自行承担相应法律责任，赔偿由此给甲方造成的全部损失并应向甲方支付合同总价20% 的违约金，乙方提供履约保证金的，甲方有权扣除乙方全部履约保证金，以上违约金或履约保证金不足以弥补甲方损失的，乙方应予赔偿；乙方重新开具的发票仍与合同约定不符的，乙方除按本项前述约定承担责任外，甲方拒绝接收；乙方无法开具发票的，乙方除按本项前述约定承担责任外，乙方应退还甲方已付款项，赔偿由此给甲方造成的全部损失，甲方有权终止合同。</w:t>
      </w:r>
    </w:p>
    <w:p w14:paraId="2CB55EF7">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8</w:t>
      </w:r>
      <w:r>
        <w:rPr>
          <w:rFonts w:hint="eastAsia" w:asciiTheme="minorEastAsia" w:hAnsiTheme="minorEastAsia" w:eastAsiaTheme="minorEastAsia" w:cstheme="minorEastAsia"/>
          <w:color w:val="auto"/>
          <w:highlight w:val="none"/>
        </w:rPr>
        <w:t>、其他税务风险的合同约定：</w:t>
      </w:r>
    </w:p>
    <w:p w14:paraId="1A115246">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8</w:t>
      </w:r>
      <w:r>
        <w:rPr>
          <w:rFonts w:hint="eastAsia" w:asciiTheme="minorEastAsia" w:hAnsiTheme="minorEastAsia" w:eastAsiaTheme="minorEastAsia" w:cstheme="minorEastAsia"/>
          <w:color w:val="auto"/>
          <w:highlight w:val="none"/>
        </w:rPr>
        <w:t>.1、如果甲方丢失增值税专用发票联和抵扣联，乙方应向甲方提供专用发票记账联复印件，并加盖乙方发票专用章。</w:t>
      </w:r>
    </w:p>
    <w:p w14:paraId="76B6E252">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8</w:t>
      </w:r>
      <w:r>
        <w:rPr>
          <w:rFonts w:hint="eastAsia" w:asciiTheme="minorEastAsia" w:hAnsiTheme="minorEastAsia" w:eastAsiaTheme="minorEastAsia" w:cstheme="minorEastAsia"/>
          <w:color w:val="auto"/>
          <w:highlight w:val="none"/>
        </w:rPr>
        <w:t>.2、如果获得开具的汇总专用发票，则乙方应提供其防伪税控系统开具的《销售货物或者提供应税劳务清单》，并加盖发票专用章。</w:t>
      </w:r>
    </w:p>
    <w:p w14:paraId="6A504AB9">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9</w:t>
      </w:r>
      <w:r>
        <w:rPr>
          <w:rFonts w:hint="eastAsia" w:asciiTheme="minorEastAsia" w:hAnsiTheme="minorEastAsia" w:eastAsiaTheme="minorEastAsia" w:cstheme="minorEastAsia"/>
          <w:color w:val="auto"/>
          <w:highlight w:val="none"/>
        </w:rPr>
        <w:t>、真实发生且合理合规的设计变更、现场签证事项，在按甲方制度审批完成后的次月随节点进度款进行付款（每次具备支付条件的签证变更金额累计金额需超过3万元，累计已审批变更签证金额不足3万元时依次滚动到下节点，甲方内部流程显示为审批中或未发起审批的金额不具备支付条件）；支付比例为流程已审批完成且已确认金额的80%，剩余20%于竣工结算后支付。</w:t>
      </w:r>
    </w:p>
    <w:p w14:paraId="754F8A7E">
      <w:pPr>
        <w:pStyle w:val="7"/>
        <w:keepNext w:val="0"/>
        <w:keepLines w:val="0"/>
        <w:numPr>
          <w:ilvl w:val="0"/>
          <w:numId w:val="0"/>
        </w:numPr>
        <w:overflowPun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七、甲方现场移交标准</w:t>
      </w:r>
    </w:p>
    <w:p w14:paraId="4E9AFE60">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1、本工程移交界面为工地现状条件，且乙方已充分踏勘现场，对工地现状条件下施工所需的措施费等相关费用已综合考虑在固定合同总价内。</w:t>
      </w:r>
    </w:p>
    <w:p w14:paraId="061EF959">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2、甲方只负责告知施工现场堆放材料的场地，乙方自行解决施工及管理人员住宿办公场所，由此产生的费用由乙方自行承担。</w:t>
      </w:r>
    </w:p>
    <w:p w14:paraId="5A40B7B7">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val="en-US" w:eastAsia="zh-CN"/>
        </w:rPr>
        <w:t>3</w:t>
      </w:r>
      <w:r>
        <w:rPr>
          <w:rFonts w:hint="eastAsia" w:asciiTheme="minorEastAsia" w:hAnsiTheme="minorEastAsia" w:eastAsiaTheme="minorEastAsia" w:cstheme="minorEastAsia"/>
          <w:color w:val="auto"/>
          <w:szCs w:val="24"/>
          <w:highlight w:val="none"/>
        </w:rPr>
        <w:t>、甲方告知水源电源接驳点，接驳工作及接驳费用、施工过程中产生的水电费用由乙方承担。</w:t>
      </w:r>
    </w:p>
    <w:p w14:paraId="39A2B6EC">
      <w:pPr>
        <w:pStyle w:val="54"/>
        <w:tabs>
          <w:tab w:val="left" w:pos="0"/>
        </w:tabs>
        <w:kinsoku/>
        <w:wordWrap w:val="0"/>
        <w:overflowPunct/>
        <w:topLinePunct/>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八、材料供应要求：</w:t>
      </w:r>
    </w:p>
    <w:p w14:paraId="29B65100">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由乙方自行选择供货商进行采购的材料：由乙方采购前按照甲方确认的设计图纸及定标封样要求注明的颜色、质量、质感、规格、品牌等送实物样品（所有饰面材料）供甲方确认，经甲方、监理书面确认后，作为施工实物样板封存甲方，并由乙方按甲方确认的施工实物样板自行采购。</w:t>
      </w:r>
    </w:p>
    <w:p w14:paraId="3DEC383B">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2、在施工时材料在进场前必须先经甲方书面认可后方能进场，否则甲方有权清退相关材料，由此产生的费用由乙方承担。甲方有权自主决定是否改为甲供材料，乙方对此不能有任何异议； </w:t>
      </w:r>
    </w:p>
    <w:p w14:paraId="796A2B32">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乙方所使用的材料必须保证合格证书等资料齐全，保证材料通过消防等主管部门的检验检测并承担相关费用且提交相应检测报告，因材料不合格造成费用等损失均由乙方承担。同时，乙方采购材料必须符合国家、河南省及洛阳市的环保标准，选用板材必须达到E1级环保级别及达到洛阳市环保主管部门的标准。</w:t>
      </w:r>
    </w:p>
    <w:p w14:paraId="193F326B">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乙方在购置设备及材料前必须经甲方、监理书面认可后方可采购。乙方采购的设备、材料等在进场前要先向甲方和监理方填报《材料、设备进场报验单》，经甲方和监理验收合格并书面签证认可后方能进场，且使用前应按有关规定进行自检或按甲方要求进行检验或试验，不合格的不得使用，检验或试验费用由乙方承担。甲方的认可及/或签证并不视为对乙方供应设备及材料的质量合格的认可，也不因此免除乙方对设备及材料的质量瑕疵担保的责任。未经甲方和监理工程师检查认可的设备、材料不得进场；已进场但自检或甲方检验不合格的设备、材料应清退出场，由此造成的责任及损失由乙方负责。</w:t>
      </w:r>
    </w:p>
    <w:p w14:paraId="356F15BE">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5、本工程承包范围内使用的全部设备、材料及产品必须满足合格品规定，</w:t>
      </w:r>
      <w:r>
        <w:rPr>
          <w:rFonts w:hint="eastAsia" w:asciiTheme="minorEastAsia" w:hAnsiTheme="minorEastAsia" w:eastAsiaTheme="minorEastAsia" w:cstheme="minorEastAsia"/>
          <w:color w:val="auto"/>
          <w:highlight w:val="none"/>
          <w:lang w:val="en-US" w:eastAsia="zh-CN"/>
        </w:rPr>
        <w:t>满足国家标准和行业标准，并</w:t>
      </w:r>
      <w:r>
        <w:rPr>
          <w:rFonts w:hint="eastAsia" w:asciiTheme="minorEastAsia" w:hAnsiTheme="minorEastAsia" w:eastAsiaTheme="minorEastAsia" w:cstheme="minorEastAsia"/>
          <w:color w:val="auto"/>
          <w:highlight w:val="none"/>
        </w:rPr>
        <w:t>符合洛阳市质量部门对建筑设备、材料及产品的具体要求，坚持三证（合格证，材质书，出厂检验报告）齐全，有规定要求的材料必须检测或复试合格后方可使用。同时因乙方所使用的建筑材料存在的包括但不限于质量问题造成建筑物环境污染超过国家或洛阳市允许标准，由乙方负责处理并承担因此而造成的相应经济损失。</w:t>
      </w:r>
    </w:p>
    <w:p w14:paraId="3487D28B">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highlight w:val="none"/>
        </w:rPr>
        <w:t>6、</w:t>
      </w:r>
      <w:r>
        <w:rPr>
          <w:rFonts w:hint="eastAsia" w:asciiTheme="minorEastAsia" w:hAnsiTheme="minorEastAsia" w:eastAsiaTheme="minorEastAsia" w:cstheme="minorEastAsia"/>
          <w:color w:val="auto"/>
          <w:sz w:val="24"/>
          <w:szCs w:val="24"/>
          <w:highlight w:val="none"/>
        </w:rPr>
        <w:t>材料供应要求：</w:t>
      </w:r>
    </w:p>
    <w:p w14:paraId="062603CA">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1、本工程所有材料及设备均由乙方采购，乙方必须保证所采用的材料符合国家和地方现行规范标准，符合本合同要求的材料品牌、规格、质量标准及其他技术要求。</w:t>
      </w:r>
    </w:p>
    <w:p w14:paraId="270DE9A9">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2、乙方使用的材料设备如不符合合同约定要求，甲方或监理单位有权要求乙方负责更换、拆除并重新采购，由此产生的责任及损失由乙方承担。因材料不合格造成费用等损失均由乙方承担。</w:t>
      </w:r>
    </w:p>
    <w:p w14:paraId="1934DBD5">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3、乙方在购置设备及材料前必须经甲方、监理书面认可后方可采购。乙方采购的设备、材料等在进场前要先向甲方和监理方填报《材料、设备进场报验单》，经甲方和监理验收合格并书面签字认可后方能进场。材料进场验收要求详见《中浩德控股集团有限公司工程材料/设备进场验收管理制度V1.0 》。未经甲方和监理工程师检查认可的设备、材料不得进场；已进场但自检或甲方检验不合格的设备、材料应清退出场，由此造成的责任及损失由乙方负责。甲方的认可及/或签证并不视为对乙方供应设备及材料的质量合格的认可，也不因此免除乙方对设备及材料的质量瑕疵担保的责任。</w:t>
      </w:r>
    </w:p>
    <w:p w14:paraId="1B6F397B">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4、甲方对施工过程中的工程质量问题实行零容忍，若乙方采购的材料设备不符合合同约定的品牌、厂家、产地、材质、工艺、规格、型号等标准或者存在“假冒伪劣”等情形（包含提供虚假或者过期无效的合格证、检测报告等情形），则甲方有权要求乙方将该部分材料设备清退出场，对已施工使用的材料设备，有权要求乙方全部拆除并重新施工，直至符合合同约定的各项质量标准，工期不予顺延，由此导致乙方工期及材料费用等损失由乙方自行承担，同时甲方还有权根据本合同相关条款追究乙方的违约责任，并向乙方主张包括但不限于因索赔产生的诉讼费、保全费、保全担保费、律师费等损失。为保障建设工程品质、强化施工质量，无论工程是否已经验收合格，无论甲方是否未经验收即已投入使用，乙方均承诺：不论何时，只要甲方发现乙方施工的工程存在前述约定的情形，乙方除按照本条款承担相应责任外，还应当按照该部分材料设备对应的合同价款的5倍金额另行向甲方支付惩罚性赔偿（该惩罚性赔偿不足伍万元的，按伍万元计）。</w:t>
      </w:r>
    </w:p>
    <w:p w14:paraId="48C2676A">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5、主要材料品牌约定详见附件《</w:t>
      </w:r>
      <w:r>
        <w:rPr>
          <w:rFonts w:hint="eastAsia" w:asciiTheme="minorEastAsia" w:hAnsiTheme="minorEastAsia" w:cstheme="minorEastAsia"/>
          <w:color w:val="auto"/>
          <w:sz w:val="24"/>
          <w:szCs w:val="24"/>
          <w:highlight w:val="none"/>
          <w:lang w:eastAsia="zh-CN"/>
        </w:rPr>
        <w:t>价格清单</w:t>
      </w:r>
      <w:r>
        <w:rPr>
          <w:rFonts w:hint="eastAsia" w:asciiTheme="minorEastAsia" w:hAnsiTheme="minorEastAsia" w:eastAsiaTheme="minorEastAsia" w:cstheme="minorEastAsia"/>
          <w:color w:val="auto"/>
          <w:sz w:val="24"/>
          <w:szCs w:val="24"/>
          <w:highlight w:val="none"/>
        </w:rPr>
        <w:t>》中约定的品牌，定制材料以现场封样确认的品牌为准。</w:t>
      </w:r>
    </w:p>
    <w:p w14:paraId="38F70823">
      <w:pPr>
        <w:pStyle w:val="2"/>
        <w:ind w:right="410" w:rightChars="171" w:firstLine="420" w:firstLineChars="175"/>
        <w:rPr>
          <w:rFonts w:hint="eastAsia" w:asciiTheme="minorEastAsia" w:hAnsiTheme="minorEastAsia" w:eastAsiaTheme="minorEastAsia" w:cstheme="minorEastAsia"/>
          <w:color w:val="auto"/>
          <w:highlight w:val="none"/>
        </w:rPr>
      </w:pPr>
      <w:r>
        <w:rPr>
          <w:rFonts w:hint="eastAsia" w:asciiTheme="minorEastAsia" w:hAnsi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6、乙方确保随货提供的检测报告、合格证的真实性，否则，乙方应对所供产品符合合同约定承担证明责任。</w:t>
      </w:r>
    </w:p>
    <w:p w14:paraId="1DF34B0B">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7、材料品牌约定详见附件三《材料品牌表》。</w:t>
      </w:r>
    </w:p>
    <w:p w14:paraId="50968B53">
      <w:pPr>
        <w:pStyle w:val="54"/>
        <w:tabs>
          <w:tab w:val="left" w:pos="0"/>
        </w:tabs>
        <w:kinsoku/>
        <w:wordWrap w:val="0"/>
        <w:overflowPunct/>
        <w:topLinePunct/>
        <w:autoSpaceDE w:val="0"/>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九、工程质量要求</w:t>
      </w:r>
    </w:p>
    <w:p w14:paraId="32C92601">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1、施工质量标准：合格。全部工程（包括材料、工艺等）应符合按合同约定、设计图纸及现行的国家相关行业及工程所在地的技术规范及质量验收评定标准，具体评定标准及奖罚条例如下：</w:t>
      </w:r>
    </w:p>
    <w:p w14:paraId="18EA0BDF">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1.1、按照有关验收规范和国家标准执行，工程质量为合格。</w:t>
      </w:r>
    </w:p>
    <w:p w14:paraId="12859821">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1.2、不合格工程不予验收和结算，且乙方应赔偿甲方因此遭受的一切损失。</w:t>
      </w:r>
    </w:p>
    <w:p w14:paraId="58E5614B">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2、工程质量控制要求：所有装修装饰工程必须达到设计图纸和国家现行施工规范的技术要求。工程质量达不到要求的应予以免费返工，直到达到要求为止，若由此而造成的损失和工程逾期的，由乙方负责。</w:t>
      </w:r>
    </w:p>
    <w:p w14:paraId="53300230">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3、工程质量必须符合设计图纸及相应设计文件的要求，验收标准执行现行国家质量验收及施工规范和地方行政管理部门制定的规范文件。</w:t>
      </w:r>
    </w:p>
    <w:p w14:paraId="6490C7F6">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4、工程材料与设备应符合国家质量标准和环保标准，按照设计图纸及施工规范、验收规范组织进货，且应“三证”齐全。材料进场后，甲方有权按规定分批号进行抽检，复检合格经甲方认可后方可使用，抽检产生的费用由乙方承担（若有）。   </w:t>
      </w:r>
    </w:p>
    <w:p w14:paraId="72B5719B">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5、乙方在施工现场组织施工时应做好现场成品保护工作，禁止私自拆除或破坏现有成品。如必须拆除或改变需书面报请甲方同意。成品保护需满足附件六</w:t>
      </w:r>
      <w:r>
        <w:rPr>
          <w:rFonts w:hint="eastAsia" w:asciiTheme="minorEastAsia" w:hAnsiTheme="minorEastAsia" w:eastAsiaTheme="minorEastAsia" w:cstheme="minorEastAsia"/>
          <w:color w:val="auto"/>
          <w:szCs w:val="28"/>
          <w:highlight w:val="none"/>
        </w:rPr>
        <w:t>《成品保护标准》中对应的要求。</w:t>
      </w:r>
    </w:p>
    <w:p w14:paraId="08AF881C">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6、如果发生以下情形，甲方有权要求整改，情节严重的甲方有权解除合同，由此造成的损失乙方承担：</w:t>
      </w:r>
    </w:p>
    <w:p w14:paraId="627E0536">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6.1、不按合同约定的要求施工；</w:t>
      </w:r>
    </w:p>
    <w:p w14:paraId="19A9B58F">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6.2、违反正常施工程序、施工工艺进行野蛮施工；</w:t>
      </w:r>
    </w:p>
    <w:p w14:paraId="7B9BD673">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6.3、施工质量、安全、环保等达不到有关要求；</w:t>
      </w:r>
    </w:p>
    <w:p w14:paraId="534A7962">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6.4、施工材料不符合本合同规定的品牌或材质的。</w:t>
      </w:r>
    </w:p>
    <w:p w14:paraId="4C59A09C">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7、施工厂区每项工序需做到工完料清。</w:t>
      </w:r>
    </w:p>
    <w:p w14:paraId="6391AA9E">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8、技术标准：材料满足国家或相关行业的强制性质量标准；无强制性标准的应以样品或双方约定的标准为准（包括图纸、样品）等，图纸及样品必须经双方签认并妥善封存，并具有国家认可机构出具的与每批石材、铝板相对应有效期限内的有效质量检验合格报告。同时，如国家标准、行业标准及企业内控标准不一致时，以其中较高的标准为准。</w:t>
      </w:r>
    </w:p>
    <w:p w14:paraId="5F3F3DFC">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9、国家现行的有关规范、法规及行业标准；</w:t>
      </w:r>
    </w:p>
    <w:p w14:paraId="343E95EA">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10、应采用的主要设计、施工、检验、评定标准。</w:t>
      </w:r>
    </w:p>
    <w:p w14:paraId="611A0459">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(1)《建筑工程施工质量验收统一标准》GB50300-2013</w:t>
      </w:r>
    </w:p>
    <w:p w14:paraId="6875CFF1">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(2)《建筑工程质量验收规范》GB50210-2018</w:t>
      </w:r>
    </w:p>
    <w:p w14:paraId="2563E456">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(3)与本工程有关的技术规范和验收标准</w:t>
      </w:r>
    </w:p>
    <w:p w14:paraId="085F0635">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(3.1)《建筑工程施工质量验收统一标准》GB50300-2013</w:t>
      </w:r>
    </w:p>
    <w:p w14:paraId="146A5982">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(3.2)《建筑工程质量验收规范》GB50210-2018</w:t>
      </w:r>
    </w:p>
    <w:p w14:paraId="60AAAC23">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(3.3) 《住宅装饰装修工程施工规范》GB50327-2001 </w:t>
      </w:r>
    </w:p>
    <w:p w14:paraId="035BA73D">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11、其他施工及验收规范、质量检验评定标准：</w:t>
      </w:r>
    </w:p>
    <w:p w14:paraId="692AEB9B">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(1)《砌体工程施工质量验收规范》GB50203--2019</w:t>
      </w:r>
    </w:p>
    <w:p w14:paraId="095276EE">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(2)《混凝土工程施工质量验收规范》GB50204—2015</w:t>
      </w:r>
    </w:p>
    <w:p w14:paraId="05D98606">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（3）《建筑电气工程施工质量验收规范》GB50303—2015</w:t>
      </w:r>
    </w:p>
    <w:p w14:paraId="60958C67">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（4）《河南省工程建设标准设计》12YJ</w:t>
      </w:r>
    </w:p>
    <w:p w14:paraId="2C9B7110">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（5）《建筑施工安全检查标准》JGJ59-2011</w:t>
      </w:r>
    </w:p>
    <w:p w14:paraId="16747A9E">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（6）《施工现场临时用电安全技术规范》JGJ46-2005</w:t>
      </w:r>
    </w:p>
    <w:p w14:paraId="2D9CCBB0">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（7）《建筑涂饰工程施工及验收规程》JGJ/T29-2003</w:t>
      </w:r>
    </w:p>
    <w:p w14:paraId="0F0CDCD8">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（8）《建筑装饰装修工程质量验收规范》GB50210-2018</w:t>
      </w:r>
    </w:p>
    <w:p w14:paraId="16CC3798">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（9）《安全防范工程技术规范》GB50348-2018</w:t>
      </w:r>
    </w:p>
    <w:p w14:paraId="6524C937">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（10）《综合布线系统工程验收规范》 GBT 50312-2016</w:t>
      </w:r>
    </w:p>
    <w:p w14:paraId="34BEF08F">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（11）《建筑给水排水及采暖工程施工质量验收规范》GB50242-2002</w:t>
      </w:r>
    </w:p>
    <w:p w14:paraId="38C43DF9">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（12）《综合布线系统工程验收规范》 GBT 50312-2016</w:t>
      </w:r>
    </w:p>
    <w:p w14:paraId="5361FF82">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（13）工程质量同时需满足《中浩德地产集团工程精细化手册1.0工艺标准》中对应的要求。</w:t>
      </w:r>
    </w:p>
    <w:p w14:paraId="6C8AE0EE">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12、施工及选用设备和材料时按最近的国际或国内标准执行，并提供采用的国际或国内标准、规范和所 应用的最新版本的有关技术依据资料。</w:t>
      </w:r>
    </w:p>
    <w:p w14:paraId="1DDA4C40">
      <w:pPr>
        <w:tabs>
          <w:tab w:val="left" w:pos="0"/>
        </w:tabs>
        <w:kinsoku/>
        <w:wordWrap w:val="0"/>
        <w:overflowPunct/>
        <w:topLinePunct/>
        <w:autoSpaceDE w:val="0"/>
        <w:spacing w:line="360" w:lineRule="auto"/>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十、现场安全文明施工及管理要求</w:t>
      </w:r>
    </w:p>
    <w:p w14:paraId="11D2815F">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乙方负责施工现场的安全管理工作，对施工期间的安全承担全部责任，派专人负责具体的安全工作，并经常性地做好安全宣传教育，严防安全隐患，杜绝伤亡事故和火灾的发生。如发生事故，责任由乙方负责，与甲方无关，乙方同时保护现场并及时上报有关部门。</w:t>
      </w:r>
    </w:p>
    <w:p w14:paraId="0A34CBB1">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2、乙方及乙方施工人员在现场包括但不限于因用水、用电、高空作业、使用机器发生伤亡事故的，其经济责任、法律责任和其他民事责任均由乙方负责。</w:t>
      </w:r>
    </w:p>
    <w:p w14:paraId="3CBE93D1">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3、乙方及乙方派驻施工现场的现场代表须向甲方签订安全责任书，对工程质量、安全作出相应承诺和确定目标值。若上述目标不能达到，应向甲方支付违约金2000元并向甲方给予经济补偿和承担相应的法律责任。</w:t>
      </w:r>
    </w:p>
    <w:p w14:paraId="3B1A10B1">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4、施工现场用电器具应有接地、接零装置和线路布置规范化，安全防护措施到位。乙方自身职工、与甲方有关的第三方人员在现场发生伤亡事故，其经济责任、法律责任和其他民事责任均由乙方负责。</w:t>
      </w:r>
    </w:p>
    <w:p w14:paraId="77D44A70">
      <w:pPr>
        <w:pStyle w:val="3"/>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5、乙方应加强对现场施工人员的教育。施工现场严禁酗酒、打架斗殴、赌博和其他违法违章现象，每发现一次，乙方按2000元/次向甲方支付违约金</w:t>
      </w:r>
      <w:r>
        <w:rPr>
          <w:rFonts w:hint="eastAsia" w:asciiTheme="minorEastAsia" w:hAnsiTheme="minorEastAsia" w:eastAsiaTheme="minorEastAsia" w:cstheme="minorEastAsia"/>
          <w:color w:val="auto"/>
          <w:highlight w:val="none"/>
          <w:lang w:eastAsia="zh-CN"/>
        </w:rPr>
        <w:t>，</w:t>
      </w:r>
      <w:r>
        <w:rPr>
          <w:rFonts w:hint="eastAsia" w:ascii="宋体" w:hAnsi="宋体" w:cs="宋体"/>
          <w:szCs w:val="24"/>
          <w:lang w:val="en-US" w:eastAsia="zh-CN"/>
        </w:rPr>
        <w:t>乙方任何人员不得以任何理由出现围堵售楼部、公司、政府部门等现象，每发现一次，乙方向甲方支付违约金10万元，</w:t>
      </w:r>
      <w:r>
        <w:rPr>
          <w:rFonts w:hint="eastAsia" w:hAnsi="宋体" w:cs="宋体"/>
          <w:kern w:val="2"/>
          <w:sz w:val="24"/>
          <w:szCs w:val="22"/>
          <w:lang w:val="en-US" w:eastAsia="zh-CN"/>
        </w:rPr>
        <w:t>乙方在施工期间，合同约定项目经理必须24小时在场，甲方、监理随时对乙方项目经理在岗履职情况进行考评，如每发现1次项目经理无故不在岗，乙方向甲方支付违约金5000元。</w:t>
      </w:r>
    </w:p>
    <w:p w14:paraId="559367ED">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乙方严禁对现场甲方工作人员、与甲方有关第三方人员、监理人员等，进行请客、行贿等。甲方发现一次无论何原因将对各方参与人员给予发生数额10倍以上的经济处罚，达到刑事责任时，将依据有关法律追究当事人的刑事责任。</w:t>
      </w:r>
    </w:p>
    <w:p w14:paraId="676EBDB1">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7、乙方需遵守甲方、监理及总承包单位的相关安全规程制度，否则按相关制度进行处罚。</w:t>
      </w:r>
    </w:p>
    <w:p w14:paraId="2562061C">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8、乙方在施工中要服从甲方及监理人员的统一指挥，做好防尘防噪措施，各项措施和管理达到洛阳市文明建设的有关规定。现场施工实行工完场清制度，垃圾及时清运出场。</w:t>
      </w:r>
    </w:p>
    <w:p w14:paraId="4F61E143">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9、乙方应保证施工现场的卫生标准、噪声标准等指标满足国家、地方的有关规定。施工中因乙方违反规定造成的损失和发生的费用（若主管部门罚款）均由乙方承担。</w:t>
      </w:r>
    </w:p>
    <w:p w14:paraId="2BE2239A">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10、施工过程中如发生扰民或民扰，由乙方与甲方协调解决，费用乙方承担。</w:t>
      </w:r>
    </w:p>
    <w:p w14:paraId="36EF46E3">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11、安全文明施工标准应符合《浩德地产安全文明措施标准化手册2022版》的相关要求。</w:t>
      </w:r>
    </w:p>
    <w:p w14:paraId="77434BCB">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12、现场安全文明施工、进度及质量等未尽事宜参照《悠然居项目现场管理制度》执行。</w:t>
      </w:r>
    </w:p>
    <w:p w14:paraId="0A481A6C">
      <w:pPr>
        <w:pStyle w:val="7"/>
        <w:keepNext w:val="0"/>
        <w:keepLines w:val="0"/>
        <w:numPr>
          <w:ilvl w:val="0"/>
          <w:numId w:val="0"/>
        </w:numPr>
        <w:overflowPun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十一、验收及移交</w:t>
      </w:r>
    </w:p>
    <w:p w14:paraId="5C23491D">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工程验收：按照国家标准设计要求装饰装修工程质量标准和甲方的要求进行验收。如工程质量达不到约定条件，乙方应按甲方和监理的要求返工、修改，并承担因此导致返工、修改的费用及逾期完工的违约责任。</w:t>
      </w:r>
    </w:p>
    <w:p w14:paraId="085DFE74">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1.1、甲方可委托任何设计单位、政府有关质量监督部门或其他单位对施工质量进行检查及对工程质量进行监督，乙方应予积极配合。</w:t>
      </w:r>
    </w:p>
    <w:p w14:paraId="02867271">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1.2、甲方有权利随时对本合同范围内产品的生产过程及到场产品进行检查，乙方应予以积极配合，如甲方认定产品的用料、工艺及产品质量不合格，乙方应立即按照合同质量要求重新生产，且工期不予顺延。</w:t>
      </w:r>
    </w:p>
    <w:p w14:paraId="08781386">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1.3、本工程的质量监督验收单位为：甲方、监理方。</w:t>
      </w:r>
    </w:p>
    <w:p w14:paraId="4D1B50D6">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1.4、工程验收必须以合同约定的质量要求、材料品牌、规格、型号、施工图纸及有关变更的书面文件、国家颁布的施工及验收规范和质量检验标准为依据。乙方施工有防火要求的门窗必须满足施工图设计要求，乙方要负责消防验收通过。</w:t>
      </w:r>
    </w:p>
    <w:p w14:paraId="54F52C04">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1.5、隐蔽工程由乙方书面通知甲方、监理，由甲方 、监理相关工程技术人员到现场检查验收，经验收合格后并履行隐蔽工程签证手续，乙方可将该部位隐蔽。未经甲方监理验收私自进行隐蔽，甲方有权要求进行破坏性检查，同时乙方承担2000元/次的违约。</w:t>
      </w:r>
    </w:p>
    <w:p w14:paraId="7ABEB077">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1.6、工程竣工后，乙方通过自检、自查，并进行调试、开通、试运行正常后，认为具备条件时，乙方应以书面的方式向甲方、监理方提出验收申请，甲方自收到申请之日起5个工作日内给出正式回复，并在回复之日起5个工作日内组织相关人员验收，并提出验收意见，甲方认为不具备验收条件的除外。</w:t>
      </w:r>
    </w:p>
    <w:p w14:paraId="2A4AFCD9">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1.7、验收中如发现不合格需返工或修补的部分，乙方应及时进行整改并在规定期限内完成。由此发生的费用及产生的逾期完工责任由乙方承担；</w:t>
      </w:r>
    </w:p>
    <w:p w14:paraId="4F974BAC">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1.8、竣工工程验收以国家规定的施工验收规范质量检验标准为依据，在进行竣工验收时，乙方应向甲方提供增减工程变更的有关手续和中间交工验收纪录、隐蔽验收工程纪录、所有材料及设备合格证书产地证明等有关材料、所有安装工程的竣工图纸；</w:t>
      </w:r>
    </w:p>
    <w:p w14:paraId="391D5F03">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1.9、工程验收合格后5个工作日内，乙方负责按工程竣工资料归档要求，提交满足相关建筑工程质量监督部门对技术资料的要求的竣工资料，把有关资料送交甲方。</w:t>
      </w:r>
    </w:p>
    <w:p w14:paraId="627AE507">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1.10、乙方负责办理向甲方和监理公司验收手续及负担有关费用，验收合格后，乙方应向甲方提供工程验收合格证书。对于验收中存在的施工问题乙方应无条件进行整改，涉及不同标段相连结的施工问题，乙方应主动进行协调并解决问题。</w:t>
      </w:r>
    </w:p>
    <w:p w14:paraId="56173413">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1.11、办理竣工验收、合格证、检测费用等由乙方自行承担。</w:t>
      </w:r>
    </w:p>
    <w:p w14:paraId="289C6C6D">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2、工程的移交：</w:t>
      </w:r>
    </w:p>
    <w:p w14:paraId="70CEBF06">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2.1、交房前精装修所有范围内（含精装甲分包、甲供材）所有安保责任均由乙方承担，出现物品丢失，由乙方按照购买同种类及同品质产品的重购价进行赔偿。</w:t>
      </w:r>
    </w:p>
    <w:p w14:paraId="71660813">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2.2、本工程竣工验收合格之日起3日内由双方负责人共同洽谈交接事宜并办理移交手续。工程自移交第二日起，全部由甲方负责管理。</w:t>
      </w:r>
    </w:p>
    <w:p w14:paraId="59AAFAF0">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2.3、乙方应在竣工验收合格之日起2日内撤出全部施工人员、机械设备和剩余材料，并将所有承包及管理范围内的工程清理干净，如乙方不能及时拆除或清理，甲方有权另派人拆除并清理，由此所发生的全部费用由乙方承担，甲方有权从应付未付款项中扣除。乙方遗留的物品视为乙方放弃所有权，甲方有权自行处置。若出售或处理乙方遗留的物品，由此支出的费用由乙方承担，甲方出售乙方遗留物品所得款项在扣除必要费用后可返还乙方。</w:t>
      </w:r>
    </w:p>
    <w:p w14:paraId="2AE79B3B">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2.4、工程在未移交甲方之前，乙方承担维护及管理责任；如甲方提前使用，因使用损坏发生的修理费用由甲方承担。</w:t>
      </w:r>
    </w:p>
    <w:p w14:paraId="17322E62">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2.5、工程竣工并达到合同验收要求后，乙方不得因自身的经济纠纷或其他任何原因（含甲方延期付款等）而拒绝交付工程；如乙方拒绝移交工程的，自应当移交工程之日起，乙方每日需向甲方按照合同总价0.5‰承担违约责任，甲方有权从应付未付款项中扣除，应付未付款项不足以抵扣的，乙方应当补足。</w:t>
      </w:r>
    </w:p>
    <w:p w14:paraId="22E8C979">
      <w:pPr>
        <w:tabs>
          <w:tab w:val="left" w:pos="0"/>
        </w:tabs>
        <w:kinsoku/>
        <w:wordWrap w:val="0"/>
        <w:overflowPunct/>
        <w:topLinePunct/>
        <w:autoSpaceDE w:val="0"/>
        <w:spacing w:line="360" w:lineRule="auto"/>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十二、工程变更、签证</w:t>
      </w:r>
    </w:p>
    <w:p w14:paraId="440918E6">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1、乙方应严格按照经甲方审核签认的施工图纸施工，不得随意变更；若确需变更，应按程序报甲方书面同意后，方可变更施工，否则造成的一切后果及责任均由乙方负责。</w:t>
      </w:r>
    </w:p>
    <w:p w14:paraId="5DB202C1">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2、施工过程中，若甲方需要增减项目或变更项目应提前以书面形式通知乙方，乙方承诺满足甲方的需求</w:t>
      </w:r>
      <w:r>
        <w:rPr>
          <w:rFonts w:hint="eastAsia" w:asciiTheme="minorEastAsia" w:hAnsiTheme="minorEastAsia" w:eastAsiaTheme="minorEastAsia" w:cstheme="minorEastAsia"/>
          <w:color w:val="auto"/>
          <w:kern w:val="0"/>
          <w:szCs w:val="20"/>
          <w:highlight w:val="none"/>
        </w:rPr>
        <w:t>，并不因此要求赔偿/补偿。</w:t>
      </w:r>
    </w:p>
    <w:p w14:paraId="4E1D38CD">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变更、签证的计价原则：本合同执行期间，若因甲方设计原因引起的设计变更，由甲方出具设计变更单。因设计变更引起部分分项工程子目的增加，该项子目的综合单价在合同中（即后附价格清单）有相同子目的执行相同子目的单价，合同中后附表中有相近子目的按相近子目执行；若合同中后附表无适用或类似于变更、签证工程综合单价的，则由甲方乙方共同认价后按照认价计入结算；若在施工过程中未由甲方认价的，结算时按照甲方认为可行的单价计入结算，乙方不得有任何异议。</w:t>
      </w:r>
    </w:p>
    <w:p w14:paraId="631216A2">
      <w:pPr>
        <w:pStyle w:val="2"/>
        <w:overflowPunct/>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2"/>
          <w:sz w:val="24"/>
          <w:szCs w:val="22"/>
          <w:highlight w:val="none"/>
        </w:rPr>
        <w:t>4、设计变更与现场签证必须进行一单一算、一月一清。为了保证甲方成本管理部、项目工程部及乙方三方资料的完整性和一致性，每月5日之前，应按“一月一清”的原则，对上月所有甲方发出的设计变更单和收到的工程签证单进行核对和清理，并签字确认。对于乙方在结算时提出的、月结月清中未登记的设计变更和现场签证，甲方有权不接收、不计算、不结算和不支付费用。</w:t>
      </w:r>
    </w:p>
    <w:p w14:paraId="58A17CC5">
      <w:pPr>
        <w:pStyle w:val="2"/>
        <w:kinsoku/>
        <w:wordWrap w:val="0"/>
        <w:overflowPunct/>
        <w:topLinePunct/>
        <w:autoSpaceDE w:val="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十三、结算方式</w:t>
      </w:r>
    </w:p>
    <w:p w14:paraId="7B6DC32D">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1、结算依据：甲方审核签认的施工设计方案、甲方认可的变更签证、施工合同、补充协议、招标、投标文件等。</w:t>
      </w:r>
    </w:p>
    <w:p w14:paraId="294A3E04">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2、结算价款＝固定总价合同±变更、签证造价－其他应扣费用（含违约金）。</w:t>
      </w:r>
    </w:p>
    <w:p w14:paraId="2090CE86">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3、乙方结算资料在报送甲方时一次性报送完整，在甲方结算审价过程中，不再接受增加任何结算资料（图纸、签证变更单、价格凭证等），送审的结算书中若有遗漏项目均作为让利给发包人，不作增加调整。</w:t>
      </w:r>
    </w:p>
    <w:p w14:paraId="061F9AB4">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4、乙方报送结算书应诚实准确，若最终审减额（报送金额—结算金额）超过结算金额的5%，则需要乙方向甲方支付超出5%部分的费用的3%作为违约金，且违约金在结算金额中一次性扣除。</w:t>
      </w:r>
    </w:p>
    <w:p w14:paraId="4FE97404">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5、办理竣工验收、合格证、检测费用等由乙方自行承担。</w:t>
      </w:r>
    </w:p>
    <w:p w14:paraId="342F7541">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6、若甲方需在本合同约定的承包范围以外委托乙方完成其他工作，应以正式书面形式将具体工作范围、价款、完成时间、付款方式等主要内容通知乙方。若无正式书面委托，甲方不予结算。</w:t>
      </w:r>
    </w:p>
    <w:p w14:paraId="01D001A3">
      <w:pPr>
        <w:pStyle w:val="7"/>
        <w:keepNext w:val="0"/>
        <w:keepLines w:val="0"/>
        <w:numPr>
          <w:ilvl w:val="0"/>
          <w:numId w:val="0"/>
        </w:numPr>
        <w:overflowPunct/>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十四、质保期</w:t>
      </w:r>
    </w:p>
    <w:p w14:paraId="34F15F91">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1、本工程的质保期为2年，自工程全部施工完成，经甲方、监理及相关部门验收合格之日起开始计算。</w:t>
      </w:r>
    </w:p>
    <w:p w14:paraId="23525A76">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2、质保期内若有施工质量问题、用量问题等，乙方必须在接到通知后的 24 个小时内派员维修并在24 小时内完成修复，因质量问题引起的损坏，乙方免收一切费用；对于质保范围外的维修，乙方承诺仅向甲方收取更换的材料、部件的成本费。若乙方在收到通知后不及时派员维修，甲方、物业管理公司可另请人员修理，费用在质保金中扣除，如质保金不足以支付的，甲方有权向乙方追偿。因质量问题给甲方或第三方造成损失的，乙方承担全部赔偿责任。</w:t>
      </w:r>
    </w:p>
    <w:p w14:paraId="43E48E22">
      <w:pPr>
        <w:pStyle w:val="2"/>
        <w:tabs>
          <w:tab w:val="left" w:pos="0"/>
        </w:tabs>
        <w:kinsoku/>
        <w:wordWrap w:val="0"/>
        <w:overflowPunct/>
        <w:topLinePunct/>
        <w:autoSpaceDE w:val="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bCs/>
          <w:color w:val="auto"/>
          <w:sz w:val="24"/>
          <w:szCs w:val="24"/>
          <w:highlight w:val="none"/>
        </w:rPr>
        <w:t>十五、双方责任与义务</w:t>
      </w:r>
    </w:p>
    <w:p w14:paraId="17C0261C">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1、甲方的责任与义务</w:t>
      </w:r>
    </w:p>
    <w:p w14:paraId="22D850F0">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4"/>
          <w:highlight w:val="none"/>
        </w:rPr>
        <w:t>1.1、遵守法律、法规和规章，甲方应在其实施本合同的全部工作中遵守与本合同有关的法律、法规和规章，并应承担由于其</w:t>
      </w:r>
      <w:r>
        <w:rPr>
          <w:rFonts w:hint="eastAsia" w:asciiTheme="minorEastAsia" w:hAnsiTheme="minorEastAsia" w:eastAsiaTheme="minorEastAsia" w:cstheme="minorEastAsia"/>
          <w:color w:val="auto"/>
          <w:highlight w:val="none"/>
        </w:rPr>
        <w:t>自身违反上述法律、法规和规章的责任。</w:t>
      </w:r>
    </w:p>
    <w:p w14:paraId="6E91BB37">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1.2、</w:t>
      </w:r>
      <w:r>
        <w:rPr>
          <w:rFonts w:hint="eastAsia" w:asciiTheme="minorEastAsia" w:hAnsiTheme="minorEastAsia" w:eastAsiaTheme="minorEastAsia" w:cstheme="minorEastAsia"/>
          <w:color w:val="auto"/>
          <w:szCs w:val="24"/>
          <w:highlight w:val="none"/>
        </w:rPr>
        <w:t>甲方委派</w:t>
      </w:r>
      <w:r>
        <w:rPr>
          <w:rFonts w:hint="eastAsia" w:ascii="宋体" w:hAnsi="宋体" w:eastAsia="宋体" w:cs="宋体"/>
          <w:color w:val="auto"/>
          <w:sz w:val="24"/>
          <w:highlight w:val="none"/>
          <w:u w:val="single"/>
          <w:lang w:val="en-US" w:eastAsia="zh-CN"/>
        </w:rPr>
        <w:t xml:space="preserve"> </w:t>
      </w:r>
      <w:r>
        <w:rPr>
          <w:rFonts w:hint="eastAsia" w:ascii="宋体" w:hAnsi="宋体" w:cs="宋体"/>
          <w:color w:val="auto"/>
          <w:sz w:val="24"/>
          <w:highlight w:val="none"/>
          <w:lang w:val="en-US" w:eastAsia="zh-CN"/>
        </w:rPr>
        <w:t xml:space="preserve"> </w:t>
      </w:r>
      <w:r>
        <w:rPr>
          <w:rFonts w:hint="eastAsia" w:asciiTheme="minorEastAsia" w:hAnsiTheme="minorEastAsia" w:cstheme="minorEastAsia"/>
          <w:color w:val="auto"/>
          <w:kern w:val="24"/>
          <w:sz w:val="24"/>
          <w:szCs w:val="24"/>
          <w:highlight w:val="none"/>
          <w:u w:val="single"/>
          <w:lang w:val="en-US" w:eastAsia="zh-CN"/>
        </w:rPr>
        <w:t>陈卓</w:t>
      </w:r>
      <w:r>
        <w:rPr>
          <w:rFonts w:hint="eastAsia" w:asciiTheme="minorEastAsia" w:hAnsiTheme="minorEastAsia" w:eastAsiaTheme="minorEastAsia" w:cstheme="minorEastAsia"/>
          <w:color w:val="auto"/>
          <w:kern w:val="24"/>
          <w:sz w:val="24"/>
          <w:szCs w:val="24"/>
          <w:highlight w:val="none"/>
          <w:u w:val="single"/>
        </w:rPr>
        <w:t>，</w:t>
      </w:r>
      <w:r>
        <w:rPr>
          <w:rFonts w:hint="eastAsia" w:asciiTheme="minorEastAsia" w:hAnsiTheme="minorEastAsia" w:eastAsiaTheme="minorEastAsia" w:cstheme="minorEastAsia"/>
          <w:color w:val="auto"/>
          <w:kern w:val="24"/>
          <w:sz w:val="24"/>
          <w:szCs w:val="24"/>
          <w:highlight w:val="none"/>
        </w:rPr>
        <w:t>电话：</w:t>
      </w:r>
      <w:r>
        <w:rPr>
          <w:rFonts w:hint="eastAsia" w:asciiTheme="minorEastAsia" w:hAnsiTheme="minorEastAsia" w:cstheme="minorEastAsia"/>
          <w:color w:val="auto"/>
          <w:kern w:val="24"/>
          <w:sz w:val="24"/>
          <w:szCs w:val="24"/>
          <w:highlight w:val="none"/>
          <w:u w:val="single"/>
          <w:lang w:val="en-US" w:eastAsia="zh-CN"/>
        </w:rPr>
        <w:t>18611572097，</w:t>
      </w:r>
      <w:r>
        <w:rPr>
          <w:rFonts w:hint="eastAsia" w:ascii="宋体" w:hAnsi="宋体" w:cs="宋体"/>
          <w:color w:val="auto"/>
          <w:sz w:val="24"/>
          <w:highlight w:val="none"/>
          <w:u w:val="single"/>
          <w:lang w:val="en-US" w:eastAsia="zh-CN"/>
        </w:rPr>
        <w:t>为现场代表，</w:t>
      </w:r>
      <w:r>
        <w:rPr>
          <w:rFonts w:hint="eastAsia" w:asciiTheme="minorEastAsia" w:hAnsiTheme="minorEastAsia" w:eastAsiaTheme="minorEastAsia" w:cstheme="minorEastAsia"/>
          <w:color w:val="auto"/>
          <w:highlight w:val="none"/>
        </w:rPr>
        <w:t>监督、检查产品、工程的质量，协调工作中发生的有关事宜，并参与产品、工程的初验、验收和签证工作。如现场代表变更则需及时通知乙方。</w:t>
      </w:r>
    </w:p>
    <w:p w14:paraId="1AEF4308">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1.3、甲方应提供乙方所需工程建筑图、说明书、建筑平面图、变更图及有关技术文件等作为乙方产品设计和施工的有效依据。</w:t>
      </w:r>
    </w:p>
    <w:p w14:paraId="6E543CAE">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1.4、甲方协调乙方与土建单位施工配合问题，并督促工程进度。</w:t>
      </w:r>
    </w:p>
    <w:p w14:paraId="16A86371">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1.5、签订合同时，甲方向乙方提供建筑施工图、变更通知及相关材料1套。</w:t>
      </w:r>
    </w:p>
    <w:p w14:paraId="2A89C848">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1.6、甲方应及时按合同要求给乙方拨付工程款、组织工程竣工验收并按合同规定办理竣工结算。</w:t>
      </w:r>
    </w:p>
    <w:p w14:paraId="04DE5803">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1.7、进场材料及施工成品、半成品达不到标准要求的，甲方有权责令乙方调换。</w:t>
      </w:r>
    </w:p>
    <w:p w14:paraId="2F1331B6">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1.8、为乙方协调水源、电源接驳点。</w:t>
      </w:r>
    </w:p>
    <w:p w14:paraId="723A3DBE">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 乙方责任与义务</w:t>
      </w:r>
    </w:p>
    <w:p w14:paraId="0EB79071">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2.1、遵守法律、法规和规章，乙方应在其负责的各项工作中遵守与本合同工程有关的法律、法规和规章，并保证甲方免于承担由于乙方违反上述法律、法规和规章的任何责任。</w:t>
      </w:r>
    </w:p>
    <w:p w14:paraId="44FA47C9">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w:t>
      </w:r>
      <w:r>
        <w:rPr>
          <w:rFonts w:hint="eastAsia" w:asciiTheme="minorEastAsia" w:hAnsiTheme="minorEastAsia" w:eastAsiaTheme="minorEastAsia" w:cstheme="minorEastAsia"/>
          <w:color w:val="auto"/>
          <w:szCs w:val="24"/>
          <w:highlight w:val="none"/>
        </w:rPr>
        <w:t>乙方委派</w:t>
      </w:r>
      <w:r>
        <w:rPr>
          <w:rFonts w:hint="eastAsia" w:asciiTheme="minorEastAsia" w:hAnsiTheme="minorEastAsia" w:eastAsiaTheme="minorEastAsia" w:cstheme="minorEastAsia"/>
          <w:color w:val="auto"/>
          <w:szCs w:val="24"/>
          <w:highlight w:val="none"/>
          <w:u w:val="single"/>
          <w:lang w:val="en-US" w:eastAsia="zh-CN"/>
        </w:rPr>
        <w:t>张峥</w:t>
      </w:r>
      <w:r>
        <w:rPr>
          <w:rFonts w:hint="eastAsia"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rPr>
        <w:t>为现场代表，电话</w:t>
      </w:r>
      <w:r>
        <w:rPr>
          <w:rFonts w:hint="eastAsia" w:asciiTheme="minorEastAsia" w:hAnsiTheme="minorEastAsia" w:eastAsiaTheme="minorEastAsia" w:cstheme="minorEastAsia"/>
          <w:color w:val="auto"/>
          <w:szCs w:val="24"/>
          <w:highlight w:val="none"/>
          <w:u w:val="single"/>
          <w:lang w:val="en-US" w:eastAsia="zh-CN"/>
        </w:rPr>
        <w:t>18530891398</w:t>
      </w:r>
      <w:r>
        <w:rPr>
          <w:rFonts w:hint="eastAsia" w:asciiTheme="minorEastAsia" w:hAnsiTheme="minorEastAsia" w:eastAsiaTheme="minorEastAsia" w:cstheme="minorEastAsia"/>
          <w:color w:val="auto"/>
          <w:szCs w:val="24"/>
          <w:highlight w:val="none"/>
        </w:rPr>
        <w:t>，</w:t>
      </w:r>
      <w:r>
        <w:rPr>
          <w:rFonts w:hint="eastAsia" w:asciiTheme="minorEastAsia" w:hAnsiTheme="minorEastAsia" w:eastAsiaTheme="minorEastAsia" w:cstheme="minorEastAsia"/>
          <w:color w:val="auto"/>
          <w:highlight w:val="none"/>
        </w:rPr>
        <w:t>并须持有与工程项目相适应的资格证书，负责施工期间的施工质量、安全问题，协调工作中发生的有关事宜。如现场代表变更则需经甲方同意。</w:t>
      </w:r>
    </w:p>
    <w:p w14:paraId="5E7BCFD2">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2.3、乙方应服从甲方、监理单位、总承包单位的管理，密切配合总承包单位施工，遵守工地的有关规定；严格实行工序开工前向监理报验制度。</w:t>
      </w:r>
    </w:p>
    <w:p w14:paraId="1257DA40">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2.4、</w:t>
      </w:r>
      <w:r>
        <w:rPr>
          <w:rFonts w:hint="eastAsia" w:asciiTheme="minorEastAsia" w:hAnsiTheme="minorEastAsia" w:eastAsiaTheme="minorEastAsia" w:cstheme="minorEastAsia"/>
          <w:color w:val="auto"/>
          <w:highlight w:val="none"/>
          <w:lang w:val="en-US" w:eastAsia="zh-CN"/>
        </w:rPr>
        <w:t>乙方需无条件配合其它二次单位（软装、智能化等）做好预留预埋工作</w:t>
      </w:r>
      <w:r>
        <w:rPr>
          <w:rFonts w:hint="eastAsia" w:asciiTheme="minorEastAsia" w:hAnsiTheme="minorEastAsia" w:eastAsiaTheme="minorEastAsia" w:cstheme="minorEastAsia"/>
          <w:color w:val="auto"/>
          <w:highlight w:val="none"/>
        </w:rPr>
        <w:t>。</w:t>
      </w:r>
    </w:p>
    <w:p w14:paraId="308016F2">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2.5、乙方不得将该工程转包或分包，否则甲方不支付乙方所发生的任何费用。</w:t>
      </w:r>
    </w:p>
    <w:p w14:paraId="112BC803">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2.6、按照施工安全规范的要求，采取相应的安全施工防护措施，对验收合格前的安全负全责，发生安全事故与甲方及总承包单位无关，一切责任由乙方承担，甲方因此承担责任的，乙方应负责赔偿；做到文明施工，工完料清、场清；乙方做好半成品保护工作。</w:t>
      </w:r>
    </w:p>
    <w:p w14:paraId="70389EFC">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2.7、做好各项质量自检记录，参加竣工验收，编制工程结算。</w:t>
      </w:r>
    </w:p>
    <w:p w14:paraId="3871F780">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2.8、遵守国家或地方政府及有关部门对施工现场管理规定；服从甲方的有关指令，积极配合甲方进度安排。</w:t>
      </w:r>
    </w:p>
    <w:p w14:paraId="3A199828">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2.9、依据规范要求，负责组织工程验收及检测，验收及检测费由乙方自理。</w:t>
      </w:r>
    </w:p>
    <w:p w14:paraId="630B92B9">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2.10、根据施工验收规范及甲方要求，及时向甲方和总承包单位提供该分项技术资料。</w:t>
      </w:r>
    </w:p>
    <w:p w14:paraId="1E725537">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2.11、甲方告知水源电源接驳点，但是具体接驳工作及产生的水电费由乙方自行承担。</w:t>
      </w:r>
      <w:r>
        <w:rPr>
          <w:rFonts w:hint="eastAsia" w:asciiTheme="minorEastAsia" w:hAnsiTheme="minorEastAsia" w:eastAsiaTheme="minorEastAsia" w:cstheme="minorEastAsia"/>
          <w:color w:val="auto"/>
          <w:szCs w:val="24"/>
          <w:highlight w:val="none"/>
        </w:rPr>
        <w:t>乙方在施工中用水、用电耗直接向总承包单位缴纳（具体的计量计价方式由乙方和总承包单位自行协商确定）。</w:t>
      </w:r>
    </w:p>
    <w:p w14:paraId="139FDDB9">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2.12、周边关系由乙方进行协调，包括协调的责任及相关费用。</w:t>
      </w:r>
    </w:p>
    <w:p w14:paraId="429C7CE0">
      <w:pPr>
        <w:spacing w:line="360" w:lineRule="auto"/>
        <w:ind w:firstLine="480" w:firstLineChars="200"/>
        <w:rPr>
          <w:rFonts w:hint="eastAsia" w:asciiTheme="minorEastAsia" w:hAnsiTheme="minorEastAsia" w:eastAsiaTheme="minorEastAsia" w:cstheme="minorEastAsia"/>
          <w:b w:val="0"/>
          <w:color w:val="auto"/>
          <w:kern w:val="2"/>
          <w:position w:val="0"/>
          <w:highlight w:val="none"/>
        </w:rPr>
      </w:pPr>
      <w:r>
        <w:rPr>
          <w:rFonts w:hint="eastAsia" w:asciiTheme="minorEastAsia" w:hAnsiTheme="minorEastAsia" w:eastAsiaTheme="minorEastAsia" w:cstheme="minorEastAsia"/>
          <w:b w:val="0"/>
          <w:color w:val="auto"/>
          <w:kern w:val="2"/>
          <w:position w:val="0"/>
          <w:highlight w:val="none"/>
        </w:rPr>
        <w:t>2.13、乙方负责电梯门洞及电梯控制箱周边的封堵。</w:t>
      </w:r>
    </w:p>
    <w:p w14:paraId="50FA020F">
      <w:pPr>
        <w:spacing w:line="360" w:lineRule="auto"/>
        <w:ind w:firstLine="480" w:firstLineChars="200"/>
        <w:rPr>
          <w:rFonts w:hint="eastAsia" w:asciiTheme="minorEastAsia" w:hAnsiTheme="minorEastAsia" w:eastAsiaTheme="minorEastAsia" w:cstheme="minorEastAsia"/>
          <w:b w:val="0"/>
          <w:color w:val="auto"/>
          <w:kern w:val="2"/>
          <w:position w:val="0"/>
          <w:highlight w:val="none"/>
          <w:lang w:val="en-US" w:eastAsia="zh-CN"/>
        </w:rPr>
      </w:pPr>
      <w:r>
        <w:rPr>
          <w:rFonts w:hint="eastAsia" w:asciiTheme="minorEastAsia" w:hAnsiTheme="minorEastAsia" w:eastAsiaTheme="minorEastAsia" w:cstheme="minorEastAsia"/>
          <w:b w:val="0"/>
          <w:color w:val="auto"/>
          <w:kern w:val="2"/>
          <w:position w:val="0"/>
          <w:highlight w:val="none"/>
          <w:lang w:val="en-US" w:eastAsia="zh-CN"/>
        </w:rPr>
        <w:t>2.14、乙方负责完工后异味去除、保洁、垃圾清理等收尾工作。</w:t>
      </w:r>
    </w:p>
    <w:p w14:paraId="27D6D84C">
      <w:pPr>
        <w:overflowPunct/>
        <w:spacing w:line="360" w:lineRule="auto"/>
        <w:ind w:firstLine="480" w:firstLineChars="200"/>
        <w:rPr>
          <w:rFonts w:hint="eastAsia" w:asciiTheme="minorEastAsia" w:hAnsiTheme="minorEastAsia" w:eastAsiaTheme="minorEastAsia" w:cstheme="minorEastAsia"/>
          <w:b w:val="0"/>
          <w:color w:val="auto"/>
          <w:kern w:val="2"/>
          <w:position w:val="0"/>
          <w:highlight w:val="none"/>
          <w:lang w:val="en-US" w:eastAsia="zh-CN"/>
        </w:rPr>
      </w:pPr>
      <w:r>
        <w:rPr>
          <w:rFonts w:hint="eastAsia" w:asciiTheme="minorEastAsia" w:hAnsiTheme="minorEastAsia" w:eastAsiaTheme="minorEastAsia" w:cstheme="minorEastAsia"/>
          <w:b w:val="0"/>
          <w:color w:val="auto"/>
          <w:kern w:val="2"/>
          <w:position w:val="0"/>
          <w:highlight w:val="none"/>
          <w:lang w:val="en-US" w:eastAsia="zh-CN"/>
        </w:rPr>
        <w:t>2.15、乙方</w:t>
      </w:r>
      <w:r>
        <w:rPr>
          <w:rFonts w:hint="eastAsia" w:asciiTheme="minorEastAsia" w:hAnsiTheme="minorEastAsia" w:eastAsiaTheme="minorEastAsia" w:cstheme="minorEastAsia"/>
          <w:i w:val="0"/>
          <w:iCs w:val="0"/>
          <w:caps w:val="0"/>
          <w:color w:val="auto"/>
          <w:spacing w:val="0"/>
          <w:sz w:val="24"/>
          <w:szCs w:val="22"/>
          <w:highlight w:val="none"/>
          <w:shd w:val="clear"/>
        </w:rPr>
        <w:t>承诺本项目不因其他项目的合作（付款）影响本项目的施工，否则自愿承担10万元违约金</w:t>
      </w:r>
      <w:r>
        <w:rPr>
          <w:rFonts w:hint="eastAsia" w:asciiTheme="minorEastAsia" w:hAnsiTheme="minorEastAsia" w:eastAsiaTheme="minorEastAsia" w:cstheme="minorEastAsia"/>
          <w:i w:val="0"/>
          <w:iCs w:val="0"/>
          <w:caps w:val="0"/>
          <w:color w:val="auto"/>
          <w:spacing w:val="0"/>
          <w:sz w:val="24"/>
          <w:szCs w:val="22"/>
          <w:highlight w:val="none"/>
          <w:shd w:val="clear"/>
          <w:lang w:eastAsia="zh-CN"/>
        </w:rPr>
        <w:t>。</w:t>
      </w:r>
    </w:p>
    <w:p w14:paraId="013CBF56">
      <w:pPr>
        <w:pStyle w:val="2"/>
        <w:tabs>
          <w:tab w:val="left" w:pos="0"/>
        </w:tabs>
        <w:kinsoku/>
        <w:wordWrap w:val="0"/>
        <w:overflowPunct/>
        <w:topLinePunct/>
        <w:autoSpaceDE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十六、违约责任</w:t>
      </w:r>
      <w:bookmarkStart w:id="0" w:name="_GoBack"/>
      <w:bookmarkEnd w:id="0"/>
    </w:p>
    <w:p w14:paraId="005C5310">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1、除不可抗力外，甲乙双方应严格遵守本合同的条款，否则，违约方须承担违约责任。</w:t>
      </w:r>
    </w:p>
    <w:p w14:paraId="18782D62">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2、乙方逾期进场、完工的或单独楼栋、总体工程未能按本合同约定工期进场、完工的，视为乙方违约，每逾期一天，按2000元/天向甲方支付违约金，同时因施工逾期引起的相关损失由乙方承担。</w:t>
      </w:r>
    </w:p>
    <w:p w14:paraId="7742BC0D">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3、乙方存在其他任何逾期违约行为但未达到甲方行使单方解除条件的，每逾期一日，按2000元/日向甲方支付违约金，本合同另有约定时除外。</w:t>
      </w:r>
    </w:p>
    <w:p w14:paraId="7E36496B">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4、乙方存在其他违约行为但未达到甲方行使单方解除条件的，每存在一项/次违约行为，乙方应按2000元/次（项）向甲方支付违约金。</w:t>
      </w:r>
    </w:p>
    <w:p w14:paraId="6231A1E9">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5、乙方提供产品的品牌、规格、型号等与本合同约定不符的，视为乙方违约，甲方有权拒绝验收，乙方应在5日内无偿更换。</w:t>
      </w:r>
    </w:p>
    <w:p w14:paraId="73334C4A">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乙方提供的产品质量、施工的工程质量、质保期服务质量未能达到本合同约定的质量要求和验收标准的，或进度上不符合甲方要求的，视为乙方违约，甲方有权拒绝验收；乙方应在甲方同意的期限内进行更换、维修、整改，因此造成逾期的，按逾期条款承担违约责任。</w:t>
      </w:r>
    </w:p>
    <w:p w14:paraId="315D82AB">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8、乙方违约导致甲方解除合同的，乙方所有人员必须在3日内撤离施工现场，甲方已支付的预付款（如有）需在3日内退还至甲方，由此造成的所有损失均由乙方负责。</w:t>
      </w:r>
    </w:p>
    <w:p w14:paraId="578104B4">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9、乙方应向甲方支付的违约金等，甲方有权直接在甲方应付未付款中扣除，违约金不足以弥补甲方损失的，甲方可继续向乙方追偿。</w:t>
      </w:r>
    </w:p>
    <w:p w14:paraId="4C20451E">
      <w:pPr>
        <w:pStyle w:val="2"/>
        <w:overflowPunct/>
        <w:ind w:firstLine="480" w:firstLineChars="200"/>
        <w:rPr>
          <w:rFonts w:hint="eastAsia" w:asciiTheme="minorEastAsia" w:hAnsiTheme="minorEastAsia" w:eastAsiaTheme="minorEastAsia" w:cstheme="minorEastAsia"/>
          <w:color w:val="auto"/>
          <w:kern w:val="2"/>
          <w:sz w:val="24"/>
          <w:szCs w:val="22"/>
          <w:highlight w:val="none"/>
        </w:rPr>
      </w:pPr>
      <w:r>
        <w:rPr>
          <w:rFonts w:hint="eastAsia" w:asciiTheme="minorEastAsia" w:hAnsiTheme="minorEastAsia" w:eastAsiaTheme="minorEastAsia" w:cstheme="minorEastAsia"/>
          <w:color w:val="auto"/>
          <w:kern w:val="2"/>
          <w:sz w:val="24"/>
          <w:szCs w:val="22"/>
          <w:highlight w:val="none"/>
        </w:rPr>
        <w:t>10、合同约定应由乙方完成的工作内容（包括但不限于：承包范围内防火门施工工程、图纸会审纪要、设计变更、现场签证等），如乙方拒绝施工或不能按合同要求的工期或质量标准完成施工，甲方可安排第三方实施，并按照另行委托造价的1.3倍从乙方下一次的付款节点中扣除，且影响工期的责任由乙方负责。</w:t>
      </w:r>
    </w:p>
    <w:p w14:paraId="01361A9D">
      <w:pPr>
        <w:pStyle w:val="2"/>
        <w:overflowPunct/>
        <w:ind w:firstLine="480" w:firstLineChars="200"/>
        <w:rPr>
          <w:rFonts w:hint="default" w:asciiTheme="minorEastAsia" w:hAnsiTheme="minorEastAsia" w:eastAsiaTheme="minorEastAsia" w:cstheme="minorEastAsia"/>
          <w:color w:val="auto"/>
          <w:kern w:val="2"/>
          <w:sz w:val="24"/>
          <w:szCs w:val="22"/>
          <w:highlight w:val="none"/>
          <w:lang w:val="en-US" w:eastAsia="zh-CN"/>
        </w:rPr>
      </w:pPr>
      <w:r>
        <w:rPr>
          <w:rFonts w:hint="eastAsia" w:asciiTheme="minorEastAsia" w:hAnsiTheme="minorEastAsia" w:eastAsiaTheme="minorEastAsia" w:cstheme="minorEastAsia"/>
          <w:color w:val="auto"/>
          <w:kern w:val="2"/>
          <w:sz w:val="24"/>
          <w:szCs w:val="22"/>
          <w:highlight w:val="none"/>
          <w:lang w:val="en-US" w:eastAsia="zh-CN"/>
        </w:rPr>
        <w:t>11、</w:t>
      </w:r>
      <w:r>
        <w:rPr>
          <w:rFonts w:hint="eastAsia" w:ascii="宋体" w:hAnsi="宋体" w:cs="宋体"/>
          <w:color w:val="FF0000"/>
          <w:highlight w:val="none"/>
          <w:lang w:val="en-US" w:eastAsia="zh-CN"/>
        </w:rPr>
        <w:t>合同签订后乙方不得擅自解除本合同，否则乙方按合同总价款20%向甲方承担违约金</w:t>
      </w:r>
      <w:r>
        <w:rPr>
          <w:rFonts w:hint="eastAsia" w:ascii="宋体" w:hAnsi="宋体" w:eastAsia="宋体" w:cs="宋体"/>
          <w:kern w:val="2"/>
          <w:sz w:val="24"/>
          <w:szCs w:val="22"/>
          <w:highlight w:val="none"/>
          <w:lang w:val="en-US" w:eastAsia="zh-CN" w:bidi="ar-SA"/>
        </w:rPr>
        <w:t>。</w:t>
      </w:r>
    </w:p>
    <w:p w14:paraId="67AEC61C">
      <w:pPr>
        <w:pStyle w:val="2"/>
        <w:tabs>
          <w:tab w:val="left" w:pos="0"/>
        </w:tabs>
        <w:kinsoku/>
        <w:wordWrap w:val="0"/>
        <w:overflowPunct/>
        <w:topLinePun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十七、不可抗力</w:t>
      </w:r>
    </w:p>
    <w:p w14:paraId="6DA466B3">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1、不可抗力指因战争、动乱、瘟疫、空中飞行物坠落或其他非双方责任造成的爆炸、火灾以及9级以上的台风、7级及7级以上的地震等。（以当地行业主管部门的公告为准 ）。</w:t>
      </w:r>
    </w:p>
    <w:p w14:paraId="351D0197">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不可抗力发生后，乙方应迅速采取措施，尽力减少损失，并在24小时内向甲方通报受害情况，在事件发生后10日内向甲方报告损失情况和清理、修复的费用；因乙方未及时采取补救措施或采取不当措施造成的扩大损失由乙方承担。</w:t>
      </w:r>
    </w:p>
    <w:p w14:paraId="05CA9D9B">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3、费用承担：</w:t>
      </w:r>
    </w:p>
    <w:p w14:paraId="76AEA220">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3.1、人员伤亡由所属单位负责，并承担相应费用；</w:t>
      </w:r>
    </w:p>
    <w:p w14:paraId="176BE954">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3.2、造成乙方工程设备、机械的损失等损失由乙方承担；</w:t>
      </w:r>
    </w:p>
    <w:p w14:paraId="3598E11E">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3.3、所需清理修复工作的责任与费用的承担，双方另行商定。</w:t>
      </w:r>
    </w:p>
    <w:p w14:paraId="20D37981">
      <w:pPr>
        <w:pStyle w:val="2"/>
        <w:tabs>
          <w:tab w:val="left" w:pos="0"/>
        </w:tabs>
        <w:kinsoku/>
        <w:wordWrap w:val="0"/>
        <w:overflowPunct/>
        <w:topLinePunct/>
        <w:autoSpaceDE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十八、送达条款</w:t>
      </w:r>
    </w:p>
    <w:p w14:paraId="540F9270">
      <w:pPr>
        <w:kinsoku/>
        <w:wordWrap w:val="0"/>
        <w:overflowPunct/>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甲乙双方明确送达信息如下：</w:t>
      </w:r>
    </w:p>
    <w:p w14:paraId="5C659FAE">
      <w:pPr>
        <w:kinsoku/>
        <w:wordWrap w:val="0"/>
        <w:overflowPunct/>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1、甲方确认的送达信息为：</w:t>
      </w:r>
    </w:p>
    <w:p w14:paraId="18C2A361">
      <w:pPr>
        <w:tabs>
          <w:tab w:val="left" w:pos="1276"/>
        </w:tabs>
        <w:kinsoku/>
        <w:wordWrap w:val="0"/>
        <w:overflowPunct/>
        <w:topLinePunct/>
        <w:autoSpaceDE w:val="0"/>
        <w:spacing w:line="360" w:lineRule="auto"/>
        <w:ind w:left="480" w:left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送达地址：</w:t>
      </w:r>
      <w:r>
        <w:rPr>
          <w:rFonts w:hint="eastAsia" w:asciiTheme="minorEastAsia" w:hAnsiTheme="minorEastAsia" w:eastAsiaTheme="minorEastAsia" w:cstheme="minorEastAsia"/>
          <w:color w:val="auto"/>
          <w:szCs w:val="24"/>
          <w:highlight w:val="none"/>
          <w:u w:val="single"/>
        </w:rPr>
        <w:t xml:space="preserve">洛阳市洛龙区关林西路8号中浩德控股集团有限公司1楼 </w:t>
      </w:r>
      <w:r>
        <w:rPr>
          <w:rFonts w:hint="eastAsia" w:asciiTheme="minorEastAsia" w:hAnsiTheme="minorEastAsia" w:eastAsiaTheme="minorEastAsia" w:cstheme="minorEastAsia"/>
          <w:color w:val="auto"/>
          <w:szCs w:val="24"/>
          <w:highlight w:val="none"/>
        </w:rPr>
        <w:t>。           联系人：</w:t>
      </w:r>
      <w:r>
        <w:rPr>
          <w:rFonts w:hint="eastAsia" w:asciiTheme="minorEastAsia" w:hAnsiTheme="minorEastAsia" w:eastAsiaTheme="minorEastAsia" w:cstheme="minorEastAsia"/>
          <w:color w:val="auto"/>
          <w:szCs w:val="24"/>
          <w:highlight w:val="none"/>
          <w:u w:val="single"/>
        </w:rPr>
        <w:t>成本管理部</w:t>
      </w:r>
      <w:r>
        <w:rPr>
          <w:rFonts w:hint="eastAsia" w:asciiTheme="minorEastAsia" w:hAnsiTheme="minorEastAsia" w:eastAsiaTheme="minorEastAsia" w:cstheme="minorEastAsia"/>
          <w:color w:val="auto"/>
          <w:szCs w:val="24"/>
          <w:highlight w:val="none"/>
        </w:rPr>
        <w:t>；联系固话：</w:t>
      </w:r>
      <w:r>
        <w:rPr>
          <w:rFonts w:hint="eastAsia" w:asciiTheme="minorEastAsia" w:hAnsiTheme="minorEastAsia" w:eastAsiaTheme="minorEastAsia" w:cstheme="minorEastAsia"/>
          <w:color w:val="auto"/>
          <w:szCs w:val="24"/>
          <w:highlight w:val="none"/>
          <w:u w:val="single"/>
        </w:rPr>
        <w:t>0379-60667770</w:t>
      </w:r>
      <w:r>
        <w:rPr>
          <w:rFonts w:hint="eastAsia" w:asciiTheme="minorEastAsia" w:hAnsiTheme="minorEastAsia" w:eastAsiaTheme="minorEastAsia" w:cstheme="minorEastAsia"/>
          <w:color w:val="auto"/>
          <w:szCs w:val="24"/>
          <w:highlight w:val="none"/>
        </w:rPr>
        <w:t>；联系手机 ：</w:t>
      </w:r>
      <w:r>
        <w:rPr>
          <w:rFonts w:hint="eastAsia" w:asciiTheme="minorEastAsia" w:hAnsiTheme="minorEastAsia" w:eastAsiaTheme="minorEastAsia" w:cstheme="minorEastAsia"/>
          <w:color w:val="auto"/>
          <w:szCs w:val="24"/>
          <w:highlight w:val="none"/>
          <w:u w:val="single"/>
        </w:rPr>
        <w:t xml:space="preserve">   /   </w:t>
      </w:r>
      <w:r>
        <w:rPr>
          <w:rFonts w:hint="eastAsia" w:asciiTheme="minorEastAsia" w:hAnsiTheme="minorEastAsia" w:eastAsiaTheme="minorEastAsia" w:cstheme="minorEastAsia"/>
          <w:color w:val="auto"/>
          <w:szCs w:val="24"/>
          <w:highlight w:val="none"/>
        </w:rPr>
        <w:t xml:space="preserve">。      </w:t>
      </w:r>
    </w:p>
    <w:p w14:paraId="1713E9B2">
      <w:pPr>
        <w:tabs>
          <w:tab w:val="left" w:pos="1276"/>
        </w:tabs>
        <w:kinsoku/>
        <w:wordWrap w:val="0"/>
        <w:overflowPunct/>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2、乙方确认的送达信息为：</w:t>
      </w:r>
    </w:p>
    <w:p w14:paraId="70CE10B3">
      <w:pPr>
        <w:kinsoku/>
        <w:wordWrap/>
        <w:overflowPunct/>
        <w:topLinePunct w:val="0"/>
        <w:autoSpaceDE/>
        <w:spacing w:line="360" w:lineRule="auto"/>
        <w:ind w:firstLine="468" w:firstLineChars="195"/>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送达地址：</w:t>
      </w:r>
      <w:r>
        <w:rPr>
          <w:rFonts w:hint="eastAsia" w:asciiTheme="minorEastAsia" w:hAnsiTheme="minorEastAsia" w:eastAsiaTheme="minorEastAsia" w:cstheme="minorEastAsia"/>
          <w:color w:val="auto"/>
          <w:szCs w:val="24"/>
          <w:highlight w:val="none"/>
          <w:u w:val="single"/>
        </w:rPr>
        <w:t>郑州市惠济区花园北路与英才街交叉口正弘智空间 A 座 6 层</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Cs w:val="24"/>
          <w:highlight w:val="none"/>
          <w:u w:val="none"/>
        </w:rPr>
        <w:t xml:space="preserve">  </w:t>
      </w:r>
      <w:r>
        <w:rPr>
          <w:rFonts w:hint="eastAsia" w:asciiTheme="minorEastAsia" w:hAnsiTheme="minorEastAsia" w:eastAsiaTheme="minorEastAsia" w:cstheme="minorEastAsia"/>
          <w:color w:val="auto"/>
          <w:szCs w:val="24"/>
          <w:highlight w:val="none"/>
        </w:rPr>
        <w:t>。</w:t>
      </w:r>
    </w:p>
    <w:p w14:paraId="3A1B1201">
      <w:pPr>
        <w:pStyle w:val="2"/>
        <w:kinsoku/>
        <w:wordWrap w:val="0"/>
        <w:overflowPunct/>
        <w:topLinePunct/>
        <w:autoSpaceDE w:val="0"/>
        <w:ind w:left="480" w:left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联系人：</w:t>
      </w:r>
      <w:r>
        <w:rPr>
          <w:rFonts w:hint="eastAsia" w:asciiTheme="minorEastAsia" w:hAnsiTheme="minorEastAsia" w:eastAsiaTheme="minorEastAsia" w:cstheme="minorEastAsia"/>
          <w:color w:val="auto"/>
          <w:sz w:val="24"/>
          <w:szCs w:val="24"/>
          <w:highlight w:val="none"/>
          <w:u w:val="single"/>
          <w:lang w:val="en-US" w:eastAsia="zh-CN"/>
        </w:rPr>
        <w:t>营销中心李仁杰</w:t>
      </w:r>
      <w:r>
        <w:rPr>
          <w:rFonts w:hint="eastAsia" w:asciiTheme="minorEastAsia" w:hAnsiTheme="minorEastAsia" w:eastAsiaTheme="minorEastAsia" w:cstheme="minorEastAsia"/>
          <w:color w:val="auto"/>
          <w:sz w:val="24"/>
          <w:szCs w:val="24"/>
          <w:highlight w:val="none"/>
        </w:rPr>
        <w:t>；联系固话：</w:t>
      </w:r>
      <w:r>
        <w:rPr>
          <w:rFonts w:hint="eastAsia" w:asciiTheme="minorEastAsia" w:hAnsiTheme="minorEastAsia" w:eastAsiaTheme="minorEastAsia" w:cstheme="minorEastAsia"/>
          <w:color w:val="auto"/>
          <w:sz w:val="24"/>
          <w:szCs w:val="24"/>
          <w:highlight w:val="none"/>
          <w:u w:val="single"/>
          <w:lang w:val="en-US" w:eastAsia="zh-CN"/>
        </w:rPr>
        <w:t>0371-86121017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；联系手机 ：</w:t>
      </w:r>
      <w:r>
        <w:rPr>
          <w:rFonts w:hint="eastAsia" w:asciiTheme="minorEastAsia" w:hAnsiTheme="minorEastAsia" w:eastAsiaTheme="minorEastAsia" w:cstheme="minorEastAsia"/>
          <w:color w:val="auto"/>
          <w:sz w:val="24"/>
          <w:szCs w:val="24"/>
          <w:highlight w:val="none"/>
          <w:u w:val="single"/>
          <w:lang w:val="en-US" w:eastAsia="zh-CN"/>
        </w:rPr>
        <w:t>13071068299</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w:t>
      </w:r>
    </w:p>
    <w:p w14:paraId="5941254D">
      <w:pPr>
        <w:overflowPunct/>
        <w:spacing w:line="360" w:lineRule="auto"/>
        <w:ind w:firstLine="468" w:firstLineChars="195"/>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双方在此共同确认，上述送达信息将作为双方在合同项下邮寄往来通知、函件等任何文件资料及法院送达法律文书的唯一有效送达地址及联系信息。任何一方变更送达信息，应当提前10日书面通知对方，否则视为未变更。任何一方按照上述送达信息向对方邮寄任何文件资料，自邮件发出后的第3日视为已经有效送达对方并产生相应的法律后果，不论该邮件是否已经由对方实际签收。</w:t>
      </w:r>
    </w:p>
    <w:p w14:paraId="4B4DE349">
      <w:pPr>
        <w:pStyle w:val="2"/>
        <w:kinsoku/>
        <w:wordWrap w:val="0"/>
        <w:overflowPunct/>
        <w:topLinePunct/>
        <w:autoSpaceDE w:val="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 w:val="24"/>
          <w:szCs w:val="24"/>
          <w:highlight w:val="none"/>
        </w:rPr>
        <w:t>十九、合同解约条款</w:t>
      </w:r>
    </w:p>
    <w:p w14:paraId="4F1C4BB9">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1、乙方存在如下任一情况的，甲方有权要求乙方按照合同总价的20%支付违约金，且有权解除本合同，解除通知到达乙方之日生效，该违约金不足以弥补甲方损失，乙方还应继续承担赔偿责任。</w:t>
      </w:r>
    </w:p>
    <w:p w14:paraId="58DED07E">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1.1、本工程不能通过验收的；</w:t>
      </w:r>
    </w:p>
    <w:p w14:paraId="494F3771">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1.2、乙方未能按时进场施工的，在甲方发出书面通知后的5日内仍未进场施工的；</w:t>
      </w:r>
    </w:p>
    <w:p w14:paraId="7DAD9C26">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1.3、乙方在施工过程中非因不可抗力或甲方原因造成连续停工7日以上或累计达    7日的；</w:t>
      </w:r>
    </w:p>
    <w:p w14:paraId="67E1487A">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1.4、乙方逾期竣工、向甲方提交竣工结算书及完整的竣工结算资料、核对工程价款或其他逾期行为达7日及以上的；</w:t>
      </w:r>
    </w:p>
    <w:p w14:paraId="2FFDF3C6">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1.5、乙方人员在施工区内出现打架斗殴行为至警察出警、立案、相关行为人</w:t>
      </w:r>
      <w:r>
        <w:rPr>
          <w:rFonts w:hint="eastAsia" w:asciiTheme="minorEastAsia" w:hAnsiTheme="minorEastAsia" w:eastAsiaTheme="minorEastAsia" w:cstheme="minorEastAsia"/>
          <w:color w:val="auto"/>
          <w:highlight w:val="none"/>
          <w:lang w:val="en-US" w:eastAsia="zh-CN"/>
        </w:rPr>
        <w:t>受到</w:t>
      </w:r>
      <w:r>
        <w:rPr>
          <w:rFonts w:hint="eastAsia" w:asciiTheme="minorEastAsia" w:hAnsiTheme="minorEastAsia" w:eastAsiaTheme="minorEastAsia" w:cstheme="minorEastAsia"/>
          <w:color w:val="auto"/>
          <w:highlight w:val="none"/>
        </w:rPr>
        <w:t>行政处罚或刑事处罚的；</w:t>
      </w:r>
    </w:p>
    <w:p w14:paraId="39851F0F">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1.6、乙方擅自把工程分包或转包给其他任何单位的；</w:t>
      </w:r>
    </w:p>
    <w:p w14:paraId="7C048392">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1.7、乙方与甲方工作人员串通、虚构事实或使用其他方式虚报工程量的；</w:t>
      </w:r>
    </w:p>
    <w:p w14:paraId="58DD6E89">
      <w:pPr>
        <w:tabs>
          <w:tab w:val="left" w:pos="900"/>
        </w:tabs>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1.8、</w:t>
      </w:r>
      <w:r>
        <w:rPr>
          <w:rFonts w:hint="eastAsia" w:asciiTheme="minorEastAsia" w:hAnsiTheme="minorEastAsia" w:eastAsiaTheme="minorEastAsia" w:cstheme="minorEastAsia"/>
          <w:color w:val="auto"/>
          <w:szCs w:val="24"/>
          <w:highlight w:val="none"/>
        </w:rPr>
        <w:t>甲方或监理方对同一施工问题连续下发三次整改通知书后乙方无作为或整改问题未在整改通知书要求的期限内解决；</w:t>
      </w:r>
    </w:p>
    <w:p w14:paraId="2B437E09">
      <w:pPr>
        <w:tabs>
          <w:tab w:val="left" w:pos="900"/>
        </w:tabs>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1.9、乙方购置不符合合同约定的品牌、厂家、产地、材质、工艺、规格、型号等标准的产品或者假冒伪劣产品用于本工程；</w:t>
      </w:r>
    </w:p>
    <w:p w14:paraId="0B5904AD">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4"/>
          <w:highlight w:val="none"/>
        </w:rPr>
        <w:t>1.10、</w:t>
      </w:r>
      <w:r>
        <w:rPr>
          <w:rFonts w:hint="eastAsia" w:asciiTheme="minorEastAsia" w:hAnsiTheme="minorEastAsia" w:eastAsiaTheme="minorEastAsia" w:cstheme="minorEastAsia"/>
          <w:color w:val="auto"/>
          <w:highlight w:val="none"/>
        </w:rPr>
        <w:t>乙方存在其他违约行为，经甲方书面通知之日7日内仍未纠正的。</w:t>
      </w:r>
    </w:p>
    <w:p w14:paraId="1BB608E3">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合同解除后，对于乙方已完工部分且质量合格的按照实际工程量给予结算70%；对于不合格部分责令整改，整改合格后给予结算工程70%。若乙方拒绝整改或无作为，甲方对不合格工程量不予支付费用，并由乙方承担由此产生的拆改、整修等费用，乙方应按甲方要求的日期清理现场撤离。如果乙方不主动拆改、整修，甲方可自行整改，相关的费用从未付工程款中直接扣除，不足部分甲方另行向乙方追偿。</w:t>
      </w:r>
    </w:p>
    <w:p w14:paraId="7285435A">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Cs/>
          <w:color w:val="auto"/>
          <w:szCs w:val="24"/>
          <w:highlight w:val="none"/>
        </w:rPr>
        <w:t>3、如合同解约甲方有权委托其他公司进行施工。</w:t>
      </w:r>
    </w:p>
    <w:p w14:paraId="3A824DF0">
      <w:pPr>
        <w:pStyle w:val="2"/>
        <w:kinsoku/>
        <w:wordWrap w:val="0"/>
        <w:overflowPunct/>
        <w:topLinePunct/>
        <w:autoSpaceDE w:val="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 w:val="24"/>
          <w:szCs w:val="24"/>
          <w:highlight w:val="none"/>
        </w:rPr>
        <w:t>二十、争议的解决</w:t>
      </w:r>
    </w:p>
    <w:p w14:paraId="30E4C14B">
      <w:pPr>
        <w:kinsoku/>
        <w:wordWrap w:val="0"/>
        <w:overflowPunct/>
        <w:topLinePunct/>
        <w:autoSpaceDE w:val="0"/>
        <w:spacing w:line="360" w:lineRule="auto"/>
        <w:ind w:firstLine="512" w:firstLineChars="20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color w:val="auto"/>
          <w:spacing w:val="8"/>
          <w:szCs w:val="24"/>
          <w:highlight w:val="none"/>
        </w:rPr>
        <w:t>本合同履行过程中发生争议或纠纷的，由当事人双方协商解决。协商不成时，双方同意向合同签约地人民法院提起诉讼。</w:t>
      </w:r>
    </w:p>
    <w:p w14:paraId="3DA2BFEE">
      <w:pPr>
        <w:pStyle w:val="2"/>
        <w:kinsoku/>
        <w:wordWrap w:val="0"/>
        <w:overflowPunct/>
        <w:topLinePunct/>
        <w:autoSpaceDE w:val="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 w:val="24"/>
          <w:szCs w:val="24"/>
          <w:highlight w:val="none"/>
        </w:rPr>
        <w:t>二十一、其他</w:t>
      </w:r>
    </w:p>
    <w:p w14:paraId="237036EC">
      <w:pPr>
        <w:kinsoku/>
        <w:wordWrap w:val="0"/>
        <w:overflowPunct/>
        <w:topLinePunct/>
        <w:autoSpaceDE w:val="0"/>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1、本合同未尽事宜双方协商解决或另签补充协议，补充协议与本合同具有同等法律效力。</w:t>
      </w:r>
    </w:p>
    <w:p w14:paraId="3D5BDBAF">
      <w:pPr>
        <w:kinsoku/>
        <w:wordWrap w:val="0"/>
        <w:overflowPunct/>
        <w:topLinePunct/>
        <w:autoSpaceDE w:val="0"/>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2、本合同一式柒份，甲方伍份，乙方贰份，均具有同等法律效力。</w:t>
      </w:r>
    </w:p>
    <w:p w14:paraId="20F1F122">
      <w:pPr>
        <w:kinsoku/>
        <w:wordWrap w:val="0"/>
        <w:overflowPunct/>
        <w:topLinePunct/>
        <w:autoSpaceDE w:val="0"/>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3、本合同及其补充协议自双方盖章之日起生效。</w:t>
      </w:r>
    </w:p>
    <w:p w14:paraId="490E4BD3">
      <w:pPr>
        <w:pStyle w:val="2"/>
        <w:kinsoku/>
        <w:wordWrap w:val="0"/>
        <w:overflowPunct/>
        <w:topLinePunct/>
        <w:autoSpaceDE w:val="0"/>
        <w:ind w:firstLine="512"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 xml:space="preserve">4、合同签订地点：洛阳市洛龙区关林西路8号中浩德控股集团有限公司1楼。 </w:t>
      </w:r>
      <w:r>
        <w:rPr>
          <w:rFonts w:hint="eastAsia" w:asciiTheme="minorEastAsia" w:hAnsiTheme="minorEastAsia" w:eastAsiaTheme="minorEastAsia" w:cstheme="minorEastAsia"/>
          <w:b/>
          <w:bCs/>
          <w:color w:val="auto"/>
          <w:sz w:val="24"/>
          <w:szCs w:val="24"/>
          <w:highlight w:val="none"/>
        </w:rPr>
        <w:t>二十二、合同附件</w:t>
      </w:r>
    </w:p>
    <w:p w14:paraId="19278F84">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1、合同附件一、《廉政合作协议》</w:t>
      </w:r>
    </w:p>
    <w:p w14:paraId="1BA76D2D">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2、合同附件二、《乙方派驻本工程人员名单表》</w:t>
      </w:r>
    </w:p>
    <w:p w14:paraId="6FEDD073">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3、合同附件三、《材料品牌表》</w:t>
      </w:r>
    </w:p>
    <w:p w14:paraId="133DC987">
      <w:pPr>
        <w:overflowPunct/>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4、合同附件四、《装修工程外观验收标准》</w:t>
      </w:r>
    </w:p>
    <w:p w14:paraId="01478304">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5、合同附件五、《工程完工清洁移交标准》</w:t>
      </w:r>
    </w:p>
    <w:p w14:paraId="23220565">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6、合同附件六、《成品保护标准》</w:t>
      </w:r>
    </w:p>
    <w:p w14:paraId="4BA3FBC1">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lang w:val="en-US" w:eastAsia="zh-CN"/>
        </w:rPr>
      </w:pPr>
      <w:r>
        <w:rPr>
          <w:rFonts w:hint="eastAsia" w:asciiTheme="minorEastAsia" w:hAnsiTheme="minorEastAsia" w:eastAsiaTheme="minorEastAsia" w:cstheme="minorEastAsia"/>
          <w:color w:val="auto"/>
          <w:spacing w:val="8"/>
          <w:szCs w:val="24"/>
          <w:highlight w:val="none"/>
          <w:lang w:val="en-US" w:eastAsia="zh-CN"/>
        </w:rPr>
        <w:t>7、</w:t>
      </w:r>
      <w:r>
        <w:rPr>
          <w:rFonts w:hint="eastAsia" w:asciiTheme="minorEastAsia" w:hAnsiTheme="minorEastAsia" w:eastAsiaTheme="minorEastAsia" w:cstheme="minorEastAsia"/>
          <w:color w:val="auto"/>
          <w:spacing w:val="8"/>
          <w:szCs w:val="24"/>
          <w:highlight w:val="none"/>
        </w:rPr>
        <w:t>合同附件七、</w:t>
      </w:r>
      <w:r>
        <w:rPr>
          <w:rFonts w:hint="eastAsia" w:asciiTheme="minorEastAsia" w:hAnsiTheme="minorEastAsia" w:eastAsiaTheme="minorEastAsia" w:cstheme="minorEastAsia"/>
          <w:color w:val="auto"/>
          <w:spacing w:val="8"/>
          <w:szCs w:val="24"/>
          <w:highlight w:val="none"/>
          <w:lang w:val="en-US" w:eastAsia="zh-CN"/>
        </w:rPr>
        <w:t>招标答疑及回复</w:t>
      </w:r>
    </w:p>
    <w:p w14:paraId="06D2CAD5">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lang w:val="en-US" w:eastAsia="zh-CN"/>
        </w:rPr>
        <w:t>8</w:t>
      </w:r>
      <w:r>
        <w:rPr>
          <w:rFonts w:hint="eastAsia" w:asciiTheme="minorEastAsia" w:hAnsiTheme="minorEastAsia" w:eastAsiaTheme="minorEastAsia" w:cstheme="minorEastAsia"/>
          <w:color w:val="auto"/>
          <w:spacing w:val="8"/>
          <w:szCs w:val="24"/>
          <w:highlight w:val="none"/>
        </w:rPr>
        <w:t>、合同附件</w:t>
      </w:r>
      <w:r>
        <w:rPr>
          <w:rFonts w:hint="eastAsia" w:asciiTheme="minorEastAsia" w:hAnsiTheme="minorEastAsia" w:eastAsiaTheme="minorEastAsia" w:cstheme="minorEastAsia"/>
          <w:color w:val="auto"/>
          <w:spacing w:val="8"/>
          <w:szCs w:val="24"/>
          <w:highlight w:val="none"/>
          <w:lang w:eastAsia="zh-CN"/>
        </w:rPr>
        <w:t>八</w:t>
      </w:r>
      <w:r>
        <w:rPr>
          <w:rFonts w:hint="eastAsia" w:asciiTheme="minorEastAsia" w:hAnsiTheme="minorEastAsia" w:eastAsiaTheme="minorEastAsia" w:cstheme="minorEastAsia"/>
          <w:color w:val="auto"/>
          <w:spacing w:val="8"/>
          <w:szCs w:val="24"/>
          <w:highlight w:val="none"/>
        </w:rPr>
        <w:t>、《价格清单》（单独打印后附装订）</w:t>
      </w:r>
    </w:p>
    <w:p w14:paraId="10B50B04">
      <w:pPr>
        <w:kinsoku/>
        <w:wordWrap/>
        <w:overflowPunct/>
        <w:topLinePunct w:val="0"/>
        <w:autoSpaceDE/>
        <w:spacing w:line="240" w:lineRule="auto"/>
        <w:ind w:firstLine="0" w:firstLineChars="0"/>
        <w:rPr>
          <w:rFonts w:hint="eastAsia" w:asciiTheme="minorEastAsia" w:hAnsiTheme="minorEastAsia" w:eastAsiaTheme="minorEastAsia" w:cstheme="minorEastAsia"/>
          <w:bCs/>
          <w:color w:val="auto"/>
          <w:szCs w:val="24"/>
          <w:highlight w:val="none"/>
        </w:rPr>
      </w:pPr>
      <w:r>
        <w:rPr>
          <w:rFonts w:hint="eastAsia" w:asciiTheme="minorEastAsia" w:hAnsiTheme="minorEastAsia" w:eastAsiaTheme="minorEastAsia" w:cstheme="minorEastAsia"/>
          <w:color w:val="auto"/>
          <w:szCs w:val="28"/>
          <w:highlight w:val="none"/>
        </w:rPr>
        <w:t>（以下无正文）</w:t>
      </w:r>
    </w:p>
    <w:p w14:paraId="76AEE0EF">
      <w:pPr>
        <w:overflowPunct/>
        <w:spacing w:line="360" w:lineRule="auto"/>
        <w:ind w:left="0" w:leftChars="0" w:firstLine="480"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bCs/>
          <w:color w:val="auto"/>
          <w:szCs w:val="24"/>
          <w:highlight w:val="none"/>
        </w:rPr>
        <w:t>甲方：（盖章）</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color w:val="auto"/>
          <w:spacing w:val="8"/>
          <w:szCs w:val="24"/>
          <w:highlight w:val="none"/>
          <w:lang w:val="en-US" w:eastAsia="zh-CN"/>
        </w:rPr>
        <w:t xml:space="preserve">             </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color w:val="auto"/>
          <w:spacing w:val="8"/>
          <w:szCs w:val="24"/>
          <w:highlight w:val="none"/>
          <w:lang w:val="en-US" w:eastAsia="zh-CN"/>
        </w:rPr>
        <w:t xml:space="preserve">  </w:t>
      </w:r>
      <w:r>
        <w:rPr>
          <w:rFonts w:hint="eastAsia" w:asciiTheme="minorEastAsia" w:hAnsiTheme="minorEastAsia" w:eastAsiaTheme="minorEastAsia" w:cstheme="minorEastAsia"/>
          <w:bCs/>
          <w:color w:val="auto"/>
          <w:szCs w:val="24"/>
          <w:highlight w:val="none"/>
        </w:rPr>
        <w:t>乙方：（盖章）</w:t>
      </w:r>
    </w:p>
    <w:p w14:paraId="2BB1E3C1">
      <w:pPr>
        <w:overflowPunct/>
        <w:spacing w:line="360" w:lineRule="auto"/>
        <w:ind w:left="0" w:leftChars="0" w:firstLine="512" w:firstLineChars="200"/>
        <w:jc w:val="left"/>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lang w:eastAsia="zh-CN"/>
        </w:rPr>
        <w:t>河南浩德龙瑞置业有限公司</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color w:val="auto"/>
          <w:spacing w:val="8"/>
          <w:szCs w:val="24"/>
          <w:highlight w:val="none"/>
          <w:lang w:val="en-US" w:eastAsia="zh-CN"/>
        </w:rPr>
        <w:t xml:space="preserve">   </w:t>
      </w:r>
      <w:r>
        <w:rPr>
          <w:rFonts w:hint="eastAsia" w:asciiTheme="minorEastAsia" w:hAnsiTheme="minorEastAsia" w:eastAsiaTheme="minorEastAsia" w:cstheme="minorEastAsia"/>
          <w:b w:val="0"/>
          <w:bCs/>
          <w:color w:val="auto"/>
          <w:highlight w:val="none"/>
          <w:u w:val="none"/>
          <w:lang w:val="en-US" w:eastAsia="zh-CN"/>
        </w:rPr>
        <w:t>腾升建筑装饰股份有限</w:t>
      </w:r>
      <w:r>
        <w:rPr>
          <w:rFonts w:hint="eastAsia" w:asciiTheme="minorEastAsia" w:hAnsiTheme="minorEastAsia" w:eastAsiaTheme="minorEastAsia" w:cstheme="minorEastAsia"/>
          <w:b w:val="0"/>
          <w:bCs/>
          <w:color w:val="auto"/>
          <w:highlight w:val="none"/>
          <w:u w:val="none"/>
          <w:lang w:eastAsia="zh-CN"/>
        </w:rPr>
        <w:t>公司</w:t>
      </w:r>
      <w:r>
        <w:rPr>
          <w:rFonts w:hint="eastAsia" w:asciiTheme="minorEastAsia" w:hAnsiTheme="minorEastAsia" w:eastAsiaTheme="minorEastAsia" w:cstheme="minorEastAsia"/>
          <w:color w:val="auto"/>
          <w:spacing w:val="8"/>
          <w:szCs w:val="24"/>
          <w:highlight w:val="none"/>
        </w:rPr>
        <w:t xml:space="preserve">        </w:t>
      </w:r>
    </w:p>
    <w:p w14:paraId="180AD2CA">
      <w:pPr>
        <w:overflowPunct/>
        <w:spacing w:line="360" w:lineRule="auto"/>
        <w:ind w:firstLine="512" w:firstLineChars="200"/>
        <w:rPr>
          <w:rFonts w:hint="eastAsia" w:asciiTheme="minorEastAsia" w:hAnsiTheme="minorEastAsia" w:eastAsiaTheme="minorEastAsia" w:cstheme="minorEastAsia"/>
          <w:bCs w:val="0"/>
          <w:color w:val="auto"/>
          <w:spacing w:val="8"/>
          <w:szCs w:val="24"/>
          <w:highlight w:val="none"/>
        </w:rPr>
      </w:pPr>
      <w:r>
        <w:rPr>
          <w:rFonts w:hint="eastAsia" w:asciiTheme="minorEastAsia" w:hAnsiTheme="minorEastAsia" w:eastAsiaTheme="minorEastAsia" w:cstheme="minorEastAsia"/>
          <w:bCs w:val="0"/>
          <w:color w:val="auto"/>
          <w:spacing w:val="8"/>
          <w:szCs w:val="24"/>
          <w:highlight w:val="none"/>
        </w:rPr>
        <w:t>法定代表人</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bCs w:val="0"/>
          <w:color w:val="auto"/>
          <w:spacing w:val="8"/>
          <w:szCs w:val="24"/>
          <w:highlight w:val="none"/>
        </w:rPr>
        <w:t>法定代表人：</w:t>
      </w:r>
    </w:p>
    <w:p w14:paraId="3C2A63BE">
      <w:pPr>
        <w:kinsoku/>
        <w:wordWrap/>
        <w:overflowPunct/>
        <w:topLinePunct w:val="0"/>
        <w:autoSpaceDE/>
        <w:spacing w:line="360" w:lineRule="auto"/>
        <w:ind w:firstLine="512" w:firstLineChars="200"/>
        <w:rPr>
          <w:rFonts w:hint="eastAsia" w:asciiTheme="minorEastAsia" w:hAnsiTheme="minorEastAsia" w:eastAsiaTheme="minorEastAsia" w:cstheme="minorEastAsia"/>
          <w:bCs w:val="0"/>
          <w:color w:val="auto"/>
          <w:spacing w:val="8"/>
          <w:szCs w:val="24"/>
          <w:highlight w:val="none"/>
        </w:rPr>
      </w:pPr>
      <w:r>
        <w:rPr>
          <w:rFonts w:hint="eastAsia" w:asciiTheme="minorEastAsia" w:hAnsiTheme="minorEastAsia" w:eastAsiaTheme="minorEastAsia" w:cstheme="minorEastAsia"/>
          <w:bCs w:val="0"/>
          <w:color w:val="auto"/>
          <w:spacing w:val="8"/>
          <w:szCs w:val="24"/>
          <w:highlight w:val="none"/>
        </w:rPr>
        <w:t>委托代理人：                       委托代理人：</w:t>
      </w:r>
    </w:p>
    <w:p w14:paraId="5C9EBC85">
      <w:pPr>
        <w:kinsoku/>
        <w:wordWrap/>
        <w:overflowPunct/>
        <w:topLinePunct w:val="0"/>
        <w:autoSpaceDE/>
        <w:spacing w:line="360" w:lineRule="auto"/>
        <w:ind w:firstLine="512" w:firstLineChars="200"/>
        <w:rPr>
          <w:rFonts w:hint="eastAsia" w:asciiTheme="minorEastAsia" w:hAnsiTheme="minorEastAsia" w:eastAsiaTheme="minorEastAsia" w:cstheme="minorEastAsia"/>
          <w:bCs w:val="0"/>
          <w:color w:val="auto"/>
          <w:spacing w:val="8"/>
          <w:szCs w:val="24"/>
          <w:highlight w:val="none"/>
          <w:lang w:val="en-US" w:eastAsia="zh-CN"/>
        </w:rPr>
      </w:pPr>
      <w:r>
        <w:rPr>
          <w:rFonts w:hint="eastAsia" w:asciiTheme="minorEastAsia" w:hAnsiTheme="minorEastAsia" w:eastAsiaTheme="minorEastAsia" w:cstheme="minorEastAsia"/>
          <w:bCs w:val="0"/>
          <w:color w:val="auto"/>
          <w:spacing w:val="8"/>
          <w:szCs w:val="24"/>
          <w:highlight w:val="none"/>
        </w:rPr>
        <w:t>纳税人识别号：</w:t>
      </w:r>
      <w:r>
        <w:rPr>
          <w:rFonts w:hint="eastAsia" w:asciiTheme="minorEastAsia" w:hAnsiTheme="minorEastAsia" w:eastAsiaTheme="minorEastAsia" w:cstheme="minorEastAsia"/>
          <w:b w:val="0"/>
          <w:bCs w:val="0"/>
          <w:color w:val="auto"/>
          <w:spacing w:val="8"/>
          <w:szCs w:val="24"/>
          <w:highlight w:val="none"/>
          <w:u w:val="none"/>
          <w:lang w:eastAsia="zh-CN"/>
        </w:rPr>
        <w:t>91410300MA9MYURF5B</w:t>
      </w:r>
      <w:r>
        <w:rPr>
          <w:rFonts w:hint="eastAsia" w:asciiTheme="minorEastAsia" w:hAnsiTheme="minorEastAsia" w:eastAsiaTheme="minorEastAsia" w:cstheme="minorEastAsia"/>
          <w:bCs w:val="0"/>
          <w:color w:val="auto"/>
          <w:spacing w:val="8"/>
          <w:szCs w:val="24"/>
          <w:highlight w:val="none"/>
          <w:lang w:val="en-US" w:eastAsia="zh-CN"/>
        </w:rPr>
        <w:t xml:space="preserve">    </w:t>
      </w:r>
      <w:r>
        <w:rPr>
          <w:rFonts w:hint="eastAsia" w:asciiTheme="minorEastAsia" w:hAnsiTheme="minorEastAsia" w:eastAsiaTheme="minorEastAsia" w:cstheme="minorEastAsia"/>
          <w:bCs w:val="0"/>
          <w:color w:val="auto"/>
          <w:spacing w:val="8"/>
          <w:szCs w:val="24"/>
          <w:highlight w:val="none"/>
        </w:rPr>
        <w:t>纳税人识别号：</w:t>
      </w:r>
      <w:r>
        <w:rPr>
          <w:rFonts w:hint="eastAsia" w:asciiTheme="minorEastAsia" w:hAnsiTheme="minorEastAsia" w:eastAsiaTheme="minorEastAsia" w:cstheme="minorEastAsia"/>
          <w:color w:val="auto"/>
          <w:highlight w:val="none"/>
          <w:u w:val="none"/>
          <w:lang w:val="en-US" w:eastAsia="zh-CN"/>
        </w:rPr>
        <w:t>91410100706511590X</w:t>
      </w:r>
      <w:r>
        <w:rPr>
          <w:rFonts w:hint="eastAsia" w:asciiTheme="minorEastAsia" w:hAnsiTheme="minorEastAsia" w:eastAsiaTheme="minorEastAsia" w:cstheme="minorEastAsia"/>
          <w:bCs w:val="0"/>
          <w:color w:val="auto"/>
          <w:spacing w:val="8"/>
          <w:szCs w:val="24"/>
          <w:highlight w:val="none"/>
          <w:lang w:val="en-US" w:eastAsia="zh-CN"/>
        </w:rPr>
        <w:t xml:space="preserve"> </w:t>
      </w:r>
    </w:p>
    <w:p w14:paraId="52865FD1">
      <w:pPr>
        <w:overflowPunct/>
        <w:spacing w:line="360" w:lineRule="auto"/>
        <w:ind w:left="6286" w:leftChars="166" w:hanging="5888" w:hangingChars="2300"/>
        <w:rPr>
          <w:rFonts w:hint="eastAsia" w:asciiTheme="minorEastAsia" w:hAnsiTheme="minorEastAsia" w:eastAsiaTheme="minorEastAsia" w:cstheme="minorEastAsia"/>
          <w:color w:val="auto"/>
          <w:spacing w:val="8"/>
          <w:sz w:val="24"/>
          <w:szCs w:val="24"/>
          <w:highlight w:val="none"/>
          <w:lang w:val="en-US" w:eastAsia="zh-CN"/>
        </w:rPr>
      </w:pPr>
      <w:r>
        <w:rPr>
          <w:rFonts w:hint="eastAsia" w:asciiTheme="minorEastAsia" w:hAnsiTheme="minorEastAsia" w:eastAsiaTheme="minorEastAsia" w:cstheme="minorEastAsia"/>
          <w:bCs w:val="0"/>
          <w:color w:val="auto"/>
          <w:spacing w:val="8"/>
          <w:szCs w:val="24"/>
          <w:highlight w:val="none"/>
          <w:lang w:eastAsia="zh-CN"/>
        </w:rPr>
        <w:t>开户行：</w:t>
      </w:r>
      <w:r>
        <w:rPr>
          <w:rFonts w:hint="eastAsia" w:asciiTheme="minorEastAsia" w:hAnsiTheme="minorEastAsia" w:eastAsiaTheme="minorEastAsia" w:cstheme="minorEastAsia"/>
          <w:bCs w:val="0"/>
          <w:color w:val="auto"/>
          <w:spacing w:val="8"/>
          <w:szCs w:val="24"/>
          <w:highlight w:val="none"/>
        </w:rPr>
        <w:t>中原银行股份有限公司</w:t>
      </w:r>
      <w:r>
        <w:rPr>
          <w:rFonts w:hint="eastAsia" w:asciiTheme="minorEastAsia" w:hAnsiTheme="minorEastAsia" w:eastAsiaTheme="minorEastAsia" w:cstheme="minorEastAsia"/>
          <w:bCs w:val="0"/>
          <w:color w:val="auto"/>
          <w:spacing w:val="8"/>
          <w:szCs w:val="24"/>
          <w:highlight w:val="none"/>
          <w:lang w:eastAsia="zh-CN"/>
        </w:rPr>
        <w:t xml:space="preserve">    </w:t>
      </w:r>
      <w:r>
        <w:rPr>
          <w:rFonts w:hint="eastAsia" w:asciiTheme="minorEastAsia" w:hAnsiTheme="minorEastAsia" w:eastAsiaTheme="minorEastAsia" w:cstheme="minorEastAsia"/>
          <w:bCs w:val="0"/>
          <w:color w:val="auto"/>
          <w:spacing w:val="8"/>
          <w:szCs w:val="24"/>
          <w:highlight w:val="none"/>
          <w:lang w:val="en-US" w:eastAsia="zh-CN"/>
        </w:rPr>
        <w:t xml:space="preserve">    </w:t>
      </w:r>
      <w:r>
        <w:rPr>
          <w:rFonts w:hint="eastAsia" w:asciiTheme="minorEastAsia" w:hAnsiTheme="minorEastAsia" w:eastAsiaTheme="minorEastAsia" w:cstheme="minorEastAsia"/>
          <w:bCs w:val="0"/>
          <w:color w:val="auto"/>
          <w:spacing w:val="8"/>
          <w:szCs w:val="24"/>
          <w:highlight w:val="none"/>
          <w:lang w:eastAsia="zh-CN"/>
        </w:rPr>
        <w:t>开户行：上海浦东发展银行股份有限公司郑州长江路支行</w:t>
      </w:r>
      <w:r>
        <w:rPr>
          <w:rFonts w:hint="eastAsia" w:asciiTheme="minorEastAsia" w:hAnsiTheme="minorEastAsia" w:eastAsiaTheme="minorEastAsia" w:cstheme="minorEastAsia"/>
          <w:color w:val="auto"/>
          <w:spacing w:val="8"/>
          <w:sz w:val="24"/>
          <w:szCs w:val="24"/>
          <w:highlight w:val="none"/>
          <w:lang w:val="en-US" w:eastAsia="zh-CN"/>
        </w:rPr>
        <w:t xml:space="preserve"> </w:t>
      </w:r>
    </w:p>
    <w:p w14:paraId="45163F07">
      <w:pPr>
        <w:kinsoku/>
        <w:wordWrap/>
        <w:overflowPunct/>
        <w:topLinePunct w:val="0"/>
        <w:autoSpaceDE/>
        <w:spacing w:line="360" w:lineRule="auto"/>
        <w:ind w:firstLine="512" w:firstLineChars="200"/>
        <w:rPr>
          <w:rFonts w:hint="eastAsia" w:asciiTheme="minorEastAsia" w:hAnsiTheme="minorEastAsia" w:eastAsiaTheme="minorEastAsia" w:cstheme="minorEastAsia"/>
          <w:bCs w:val="0"/>
          <w:color w:val="auto"/>
          <w:spacing w:val="8"/>
          <w:szCs w:val="24"/>
          <w:highlight w:val="none"/>
          <w:lang w:eastAsia="zh-CN"/>
        </w:rPr>
      </w:pPr>
      <w:r>
        <w:rPr>
          <w:rFonts w:hint="eastAsia" w:asciiTheme="minorEastAsia" w:hAnsiTheme="minorEastAsia" w:eastAsiaTheme="minorEastAsia" w:cstheme="minorEastAsia"/>
          <w:b w:val="0"/>
          <w:bCs w:val="0"/>
          <w:color w:val="auto"/>
          <w:spacing w:val="8"/>
          <w:kern w:val="2"/>
          <w:position w:val="0"/>
          <w:szCs w:val="24"/>
          <w:highlight w:val="none"/>
          <w:u w:val="none"/>
        </w:rPr>
        <w:t>洛阳万豪中心支行</w:t>
      </w:r>
      <w:r>
        <w:rPr>
          <w:rFonts w:hint="eastAsia" w:asciiTheme="minorEastAsia" w:hAnsiTheme="minorEastAsia" w:eastAsiaTheme="minorEastAsia" w:cstheme="minorEastAsia"/>
          <w:bCs w:val="0"/>
          <w:color w:val="auto"/>
          <w:spacing w:val="8"/>
          <w:szCs w:val="24"/>
          <w:highlight w:val="none"/>
          <w:lang w:eastAsia="zh-CN"/>
        </w:rPr>
        <w:t xml:space="preserve">                             </w:t>
      </w:r>
    </w:p>
    <w:p w14:paraId="499E35BC">
      <w:pPr>
        <w:kinsoku/>
        <w:wordWrap/>
        <w:overflowPunct/>
        <w:topLinePunct w:val="0"/>
        <w:autoSpaceDE/>
        <w:spacing w:line="360" w:lineRule="auto"/>
        <w:ind w:firstLine="512" w:firstLineChars="200"/>
        <w:rPr>
          <w:rFonts w:hint="default" w:asciiTheme="minorEastAsia" w:hAnsiTheme="minorEastAsia" w:eastAsiaTheme="minorEastAsia" w:cstheme="minorEastAsia"/>
          <w:color w:val="auto"/>
          <w:spacing w:val="8"/>
          <w:sz w:val="24"/>
          <w:szCs w:val="24"/>
          <w:highlight w:val="none"/>
          <w:lang w:val="en-US"/>
        </w:rPr>
      </w:pPr>
      <w:r>
        <w:rPr>
          <w:rFonts w:hint="eastAsia" w:asciiTheme="minorEastAsia" w:hAnsiTheme="minorEastAsia" w:eastAsiaTheme="minorEastAsia" w:cstheme="minorEastAsia"/>
          <w:bCs w:val="0"/>
          <w:color w:val="auto"/>
          <w:spacing w:val="8"/>
          <w:szCs w:val="24"/>
          <w:highlight w:val="none"/>
          <w:lang w:eastAsia="zh-CN"/>
        </w:rPr>
        <w:t>账号：</w:t>
      </w:r>
      <w:r>
        <w:rPr>
          <w:rFonts w:hint="eastAsia" w:asciiTheme="minorEastAsia" w:hAnsiTheme="minorEastAsia" w:eastAsiaTheme="minorEastAsia" w:cstheme="minorEastAsia"/>
          <w:bCs w:val="0"/>
          <w:color w:val="auto"/>
          <w:spacing w:val="8"/>
          <w:sz w:val="24"/>
          <w:szCs w:val="24"/>
          <w:highlight w:val="none"/>
          <w:lang w:val="en-US" w:eastAsia="zh-CN" w:bidi="ar-SA"/>
        </w:rPr>
        <w:t xml:space="preserve">410311010160004001 </w:t>
      </w:r>
      <w:r>
        <w:rPr>
          <w:rFonts w:hint="eastAsia" w:asciiTheme="minorEastAsia" w:hAnsiTheme="minorEastAsia" w:eastAsiaTheme="minorEastAsia" w:cstheme="minorEastAsia"/>
          <w:bCs w:val="0"/>
          <w:color w:val="auto"/>
          <w:spacing w:val="8"/>
          <w:szCs w:val="24"/>
          <w:highlight w:val="none"/>
          <w:lang w:eastAsia="zh-CN"/>
        </w:rPr>
        <w:t xml:space="preserve">           账号：7623 0078 8013 0000 2000</w:t>
      </w:r>
    </w:p>
    <w:p w14:paraId="1B76EACA">
      <w:pPr>
        <w:kinsoku/>
        <w:wordWrap/>
        <w:overflowPunct/>
        <w:topLinePunct w:val="0"/>
        <w:autoSpaceDE/>
        <w:spacing w:line="360" w:lineRule="auto"/>
        <w:ind w:firstLine="512" w:firstLineChars="200"/>
        <w:rPr>
          <w:rFonts w:hint="default" w:asciiTheme="minorEastAsia" w:hAnsiTheme="minorEastAsia" w:eastAsiaTheme="minorEastAsia" w:cstheme="minorEastAsia"/>
          <w:color w:val="auto"/>
          <w:spacing w:val="8"/>
          <w:sz w:val="24"/>
          <w:szCs w:val="24"/>
          <w:highlight w:val="none"/>
          <w:lang w:val="en-US"/>
        </w:rPr>
      </w:pPr>
      <w:r>
        <w:rPr>
          <w:rFonts w:hint="eastAsia" w:asciiTheme="minorEastAsia" w:hAnsiTheme="minorEastAsia" w:eastAsiaTheme="minorEastAsia" w:cstheme="minorEastAsia"/>
          <w:color w:val="auto"/>
          <w:spacing w:val="8"/>
          <w:sz w:val="24"/>
          <w:szCs w:val="24"/>
          <w:highlight w:val="none"/>
          <w:lang w:val="en-US" w:eastAsia="zh-CN"/>
        </w:rPr>
        <w:t xml:space="preserve"> </w:t>
      </w:r>
    </w:p>
    <w:p w14:paraId="4F8D5D6A">
      <w:pPr>
        <w:kinsoku/>
        <w:wordWrap w:val="0"/>
        <w:topLinePunct/>
        <w:autoSpaceDE w:val="0"/>
        <w:ind w:firstLine="480" w:firstLineChars="20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Cs/>
          <w:color w:val="auto"/>
          <w:szCs w:val="24"/>
          <w:highlight w:val="none"/>
        </w:rPr>
        <w:t>签订日期：</w:t>
      </w:r>
      <w:r>
        <w:rPr>
          <w:rFonts w:hint="eastAsia" w:asciiTheme="minorEastAsia" w:hAnsiTheme="minorEastAsia" w:eastAsiaTheme="minorEastAsia" w:cstheme="minorEastAsia"/>
          <w:bCs/>
          <w:color w:val="auto"/>
          <w:szCs w:val="24"/>
          <w:highlight w:val="none"/>
          <w:u w:val="single"/>
        </w:rPr>
        <w:t>202</w:t>
      </w:r>
      <w:r>
        <w:rPr>
          <w:rFonts w:hint="eastAsia" w:asciiTheme="minorEastAsia" w:hAnsiTheme="minorEastAsia" w:eastAsiaTheme="minorEastAsia" w:cstheme="minorEastAsia"/>
          <w:bCs/>
          <w:color w:val="auto"/>
          <w:szCs w:val="24"/>
          <w:highlight w:val="none"/>
          <w:u w:val="single"/>
          <w:lang w:val="en-US" w:eastAsia="zh-CN"/>
        </w:rPr>
        <w:t>4</w:t>
      </w:r>
      <w:r>
        <w:rPr>
          <w:rFonts w:hint="eastAsia" w:asciiTheme="minorEastAsia" w:hAnsiTheme="minorEastAsia" w:eastAsiaTheme="minorEastAsia" w:cstheme="minorEastAsia"/>
          <w:bCs/>
          <w:color w:val="auto"/>
          <w:szCs w:val="24"/>
          <w:highlight w:val="none"/>
        </w:rPr>
        <w:t>年</w:t>
      </w:r>
      <w:r>
        <w:rPr>
          <w:rFonts w:hint="eastAsia" w:asciiTheme="minorEastAsia" w:hAnsiTheme="minorEastAsia" w:eastAsiaTheme="minorEastAsia" w:cstheme="minorEastAsia"/>
          <w:bCs/>
          <w:color w:val="auto"/>
          <w:szCs w:val="24"/>
          <w:highlight w:val="none"/>
          <w:u w:val="single"/>
          <w:lang w:val="en-US" w:eastAsia="zh-CN"/>
        </w:rPr>
        <w:t>7</w:t>
      </w:r>
      <w:r>
        <w:rPr>
          <w:rFonts w:hint="eastAsia" w:asciiTheme="minorEastAsia" w:hAnsiTheme="minorEastAsia" w:eastAsiaTheme="minorEastAsia" w:cstheme="minorEastAsia"/>
          <w:bCs/>
          <w:color w:val="auto"/>
          <w:szCs w:val="24"/>
          <w:highlight w:val="none"/>
        </w:rPr>
        <w:t xml:space="preserve">月 </w:t>
      </w:r>
      <w:r>
        <w:rPr>
          <w:rFonts w:hint="eastAsia" w:asciiTheme="minorEastAsia" w:hAnsiTheme="minorEastAsia" w:eastAsiaTheme="minorEastAsia" w:cstheme="minorEastAsia"/>
          <w:bCs/>
          <w:color w:val="auto"/>
          <w:szCs w:val="24"/>
          <w:highlight w:val="none"/>
          <w:lang w:val="en-US" w:eastAsia="zh-CN"/>
        </w:rPr>
        <w:t>18</w:t>
      </w:r>
      <w:r>
        <w:rPr>
          <w:rFonts w:hint="eastAsia" w:asciiTheme="minorEastAsia" w:hAnsiTheme="minorEastAsia" w:eastAsiaTheme="minorEastAsia" w:cstheme="minorEastAsia"/>
          <w:bCs/>
          <w:color w:val="auto"/>
          <w:szCs w:val="24"/>
          <w:highlight w:val="none"/>
          <w:u w:val="single"/>
        </w:rPr>
        <w:t xml:space="preserve"> </w:t>
      </w:r>
      <w:r>
        <w:rPr>
          <w:rFonts w:hint="eastAsia" w:asciiTheme="minorEastAsia" w:hAnsiTheme="minorEastAsia" w:eastAsiaTheme="minorEastAsia" w:cstheme="minorEastAsia"/>
          <w:bCs/>
          <w:color w:val="auto"/>
          <w:szCs w:val="24"/>
          <w:highlight w:val="none"/>
        </w:rPr>
        <w:t>日         签订日期：</w:t>
      </w:r>
      <w:r>
        <w:rPr>
          <w:rFonts w:hint="eastAsia" w:asciiTheme="minorEastAsia" w:hAnsiTheme="minorEastAsia" w:eastAsiaTheme="minorEastAsia" w:cstheme="minorEastAsia"/>
          <w:bCs/>
          <w:color w:val="auto"/>
          <w:szCs w:val="24"/>
          <w:highlight w:val="none"/>
          <w:u w:val="single"/>
        </w:rPr>
        <w:t>202</w:t>
      </w:r>
      <w:r>
        <w:rPr>
          <w:rFonts w:hint="eastAsia" w:asciiTheme="minorEastAsia" w:hAnsiTheme="minorEastAsia" w:eastAsiaTheme="minorEastAsia" w:cstheme="minorEastAsia"/>
          <w:bCs/>
          <w:color w:val="auto"/>
          <w:szCs w:val="24"/>
          <w:highlight w:val="none"/>
          <w:u w:val="single"/>
          <w:lang w:val="en-US" w:eastAsia="zh-CN"/>
        </w:rPr>
        <w:t>4</w:t>
      </w:r>
      <w:r>
        <w:rPr>
          <w:rFonts w:hint="eastAsia" w:asciiTheme="minorEastAsia" w:hAnsiTheme="minorEastAsia" w:eastAsiaTheme="minorEastAsia" w:cstheme="minorEastAsia"/>
          <w:bCs/>
          <w:color w:val="auto"/>
          <w:szCs w:val="24"/>
          <w:highlight w:val="none"/>
        </w:rPr>
        <w:t>年</w:t>
      </w:r>
      <w:r>
        <w:rPr>
          <w:rFonts w:hint="eastAsia" w:asciiTheme="minorEastAsia" w:hAnsiTheme="minorEastAsia" w:eastAsiaTheme="minorEastAsia" w:cstheme="minorEastAsia"/>
          <w:bCs/>
          <w:color w:val="auto"/>
          <w:szCs w:val="24"/>
          <w:highlight w:val="none"/>
          <w:u w:val="single"/>
          <w:lang w:val="en-US" w:eastAsia="zh-CN"/>
        </w:rPr>
        <w:t xml:space="preserve"> 7</w:t>
      </w:r>
      <w:r>
        <w:rPr>
          <w:rFonts w:hint="eastAsia" w:asciiTheme="minorEastAsia" w:hAnsiTheme="minorEastAsia" w:eastAsiaTheme="minorEastAsia" w:cstheme="minorEastAsia"/>
          <w:bCs/>
          <w:color w:val="auto"/>
          <w:szCs w:val="24"/>
          <w:highlight w:val="none"/>
        </w:rPr>
        <w:t>月</w:t>
      </w:r>
      <w:r>
        <w:rPr>
          <w:rFonts w:hint="eastAsia" w:asciiTheme="minorEastAsia" w:hAnsiTheme="minorEastAsia" w:eastAsiaTheme="minorEastAsia" w:cstheme="minorEastAsia"/>
          <w:bCs/>
          <w:color w:val="auto"/>
          <w:szCs w:val="24"/>
          <w:highlight w:val="none"/>
          <w:u w:val="single"/>
        </w:rPr>
        <w:t xml:space="preserve"> </w:t>
      </w:r>
      <w:r>
        <w:rPr>
          <w:rFonts w:hint="eastAsia" w:asciiTheme="minorEastAsia" w:hAnsiTheme="minorEastAsia" w:eastAsiaTheme="minorEastAsia" w:cstheme="minorEastAsia"/>
          <w:bCs/>
          <w:color w:val="auto"/>
          <w:szCs w:val="24"/>
          <w:highlight w:val="none"/>
          <w:u w:val="single"/>
          <w:lang w:val="en-US" w:eastAsia="zh-CN"/>
        </w:rPr>
        <w:t>18</w:t>
      </w:r>
      <w:r>
        <w:rPr>
          <w:rFonts w:hint="eastAsia" w:asciiTheme="minorEastAsia" w:hAnsiTheme="minorEastAsia" w:eastAsiaTheme="minorEastAsia" w:cstheme="minorEastAsia"/>
          <w:bCs/>
          <w:color w:val="auto"/>
          <w:szCs w:val="24"/>
          <w:highlight w:val="none"/>
        </w:rPr>
        <w:t>日</w:t>
      </w:r>
    </w:p>
    <w:p w14:paraId="548208AD">
      <w:pPr>
        <w:tabs>
          <w:tab w:val="left" w:pos="4465"/>
        </w:tabs>
        <w:spacing w:line="360" w:lineRule="auto"/>
        <w:rPr>
          <w:rFonts w:hint="eastAsia" w:asciiTheme="minorEastAsia" w:hAnsiTheme="minorEastAsia" w:eastAsiaTheme="minorEastAsia" w:cstheme="minorEastAsia"/>
          <w:b/>
          <w:color w:val="auto"/>
          <w:szCs w:val="24"/>
          <w:highlight w:val="none"/>
        </w:rPr>
      </w:pPr>
    </w:p>
    <w:p w14:paraId="065DC2DF">
      <w:pPr>
        <w:rPr>
          <w:rFonts w:hint="eastAsia" w:asciiTheme="minorEastAsia" w:hAnsiTheme="minorEastAsia" w:eastAsiaTheme="minorEastAsia" w:cstheme="minorEastAsia"/>
          <w:b/>
          <w:color w:val="auto"/>
          <w:szCs w:val="24"/>
          <w:highlight w:val="none"/>
        </w:rPr>
      </w:pPr>
    </w:p>
    <w:p w14:paraId="443371E5">
      <w:pPr>
        <w:pStyle w:val="2"/>
        <w:rPr>
          <w:rFonts w:hint="eastAsia" w:asciiTheme="minorEastAsia" w:hAnsiTheme="minorEastAsia" w:eastAsiaTheme="minorEastAsia" w:cstheme="minorEastAsia"/>
          <w:b/>
          <w:color w:val="auto"/>
          <w:szCs w:val="24"/>
          <w:highlight w:val="none"/>
        </w:rPr>
      </w:pPr>
    </w:p>
    <w:p w14:paraId="2FA4D1C8">
      <w:pPr>
        <w:pStyle w:val="3"/>
        <w:rPr>
          <w:rFonts w:hint="eastAsia" w:asciiTheme="minorEastAsia" w:hAnsiTheme="minorEastAsia" w:eastAsiaTheme="minorEastAsia" w:cstheme="minorEastAsia"/>
          <w:b/>
          <w:color w:val="auto"/>
          <w:szCs w:val="24"/>
          <w:highlight w:val="none"/>
        </w:rPr>
      </w:pPr>
    </w:p>
    <w:p w14:paraId="4E86F2CB">
      <w:pPr>
        <w:pStyle w:val="4"/>
        <w:rPr>
          <w:rFonts w:hint="eastAsia" w:asciiTheme="minorEastAsia" w:hAnsiTheme="minorEastAsia" w:eastAsiaTheme="minorEastAsia" w:cstheme="minorEastAsia"/>
          <w:b/>
          <w:color w:val="auto"/>
          <w:szCs w:val="24"/>
          <w:highlight w:val="none"/>
        </w:rPr>
      </w:pPr>
    </w:p>
    <w:p w14:paraId="64EA51DB">
      <w:pPr>
        <w:pStyle w:val="5"/>
        <w:rPr>
          <w:rFonts w:hint="eastAsia" w:asciiTheme="minorEastAsia" w:hAnsiTheme="minorEastAsia" w:eastAsiaTheme="minorEastAsia" w:cstheme="minorEastAsia"/>
          <w:b/>
          <w:color w:val="auto"/>
          <w:szCs w:val="24"/>
          <w:highlight w:val="none"/>
        </w:rPr>
      </w:pPr>
    </w:p>
    <w:p w14:paraId="0244EDEB">
      <w:pPr>
        <w:pStyle w:val="2"/>
        <w:rPr>
          <w:rFonts w:hint="eastAsia" w:asciiTheme="minorEastAsia" w:hAnsiTheme="minorEastAsia" w:eastAsiaTheme="minorEastAsia" w:cstheme="minorEastAsia"/>
          <w:b/>
          <w:color w:val="auto"/>
          <w:szCs w:val="24"/>
          <w:highlight w:val="none"/>
        </w:rPr>
      </w:pPr>
    </w:p>
    <w:p w14:paraId="2BE2F9A4">
      <w:pPr>
        <w:pStyle w:val="3"/>
        <w:rPr>
          <w:rFonts w:hint="eastAsia" w:asciiTheme="minorEastAsia" w:hAnsiTheme="minorEastAsia" w:eastAsiaTheme="minorEastAsia" w:cstheme="minorEastAsia"/>
          <w:b/>
          <w:color w:val="auto"/>
          <w:szCs w:val="24"/>
          <w:highlight w:val="none"/>
        </w:rPr>
      </w:pPr>
    </w:p>
    <w:p w14:paraId="6272041A">
      <w:pPr>
        <w:pStyle w:val="5"/>
        <w:rPr>
          <w:rFonts w:hint="eastAsia" w:asciiTheme="minorEastAsia" w:hAnsiTheme="minorEastAsia" w:eastAsiaTheme="minorEastAsia" w:cstheme="minorEastAsia"/>
          <w:b/>
          <w:color w:val="auto"/>
          <w:szCs w:val="24"/>
          <w:highlight w:val="none"/>
        </w:rPr>
      </w:pPr>
    </w:p>
    <w:p w14:paraId="7421A37B">
      <w:pPr>
        <w:pStyle w:val="2"/>
        <w:rPr>
          <w:rFonts w:hint="eastAsia"/>
        </w:rPr>
      </w:pPr>
    </w:p>
    <w:p w14:paraId="28CE274B">
      <w:pPr>
        <w:pStyle w:val="2"/>
        <w:rPr>
          <w:rFonts w:hint="eastAsia" w:asciiTheme="minorEastAsia" w:hAnsiTheme="minorEastAsia" w:eastAsiaTheme="minorEastAsia" w:cstheme="minorEastAsia"/>
          <w:b/>
          <w:color w:val="auto"/>
          <w:szCs w:val="24"/>
          <w:highlight w:val="none"/>
        </w:rPr>
      </w:pPr>
    </w:p>
    <w:p w14:paraId="6C251867">
      <w:pPr>
        <w:pStyle w:val="3"/>
        <w:rPr>
          <w:rFonts w:hint="eastAsia"/>
        </w:rPr>
      </w:pPr>
    </w:p>
    <w:p w14:paraId="1C7F902D">
      <w:pPr>
        <w:ind w:firstLine="0"/>
        <w:rPr>
          <w:rFonts w:hint="eastAsia" w:asciiTheme="minorEastAsia" w:hAnsiTheme="minorEastAsia" w:eastAsiaTheme="minorEastAsia" w:cstheme="minorEastAsia"/>
          <w:color w:val="auto"/>
          <w:highlight w:val="none"/>
        </w:rPr>
      </w:pPr>
    </w:p>
    <w:p w14:paraId="1EB3219C">
      <w:pPr>
        <w:tabs>
          <w:tab w:val="left" w:pos="4465"/>
        </w:tabs>
        <w:spacing w:line="360" w:lineRule="auto"/>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附件一、廉政合作协议</w:t>
      </w:r>
    </w:p>
    <w:p w14:paraId="1EA33F2D">
      <w:pPr>
        <w:spacing w:line="360" w:lineRule="auto"/>
        <w:ind w:firstLine="292" w:firstLineChars="91"/>
        <w:jc w:val="center"/>
        <w:rPr>
          <w:rFonts w:hint="eastAsia" w:asciiTheme="minorEastAsia" w:hAnsiTheme="minorEastAsia" w:eastAsiaTheme="minorEastAsia" w:cstheme="minorEastAsia"/>
          <w:b/>
          <w:bCs/>
          <w:color w:val="auto"/>
          <w:sz w:val="32"/>
          <w:szCs w:val="32"/>
          <w:highlight w:val="none"/>
          <w:lang w:val="zh-CN"/>
        </w:rPr>
      </w:pPr>
      <w:r>
        <w:rPr>
          <w:rFonts w:hint="eastAsia" w:asciiTheme="minorEastAsia" w:hAnsiTheme="minorEastAsia" w:eastAsiaTheme="minorEastAsia" w:cstheme="minorEastAsia"/>
          <w:b/>
          <w:bCs/>
          <w:color w:val="auto"/>
          <w:sz w:val="32"/>
          <w:szCs w:val="32"/>
          <w:highlight w:val="none"/>
          <w:lang w:val="zh-CN"/>
        </w:rPr>
        <w:t>廉政合作协议</w:t>
      </w:r>
    </w:p>
    <w:p w14:paraId="7CCAFBB7">
      <w:pPr>
        <w:spacing w:line="360" w:lineRule="auto"/>
        <w:rPr>
          <w:rFonts w:hint="eastAsia" w:asciiTheme="minorEastAsia" w:hAnsiTheme="minorEastAsia" w:eastAsiaTheme="minorEastAsia" w:cstheme="minorEastAsia"/>
          <w:b/>
          <w:color w:val="auto"/>
          <w:szCs w:val="24"/>
          <w:highlight w:val="none"/>
          <w:u w:val="single"/>
          <w:lang w:eastAsia="zh-CN"/>
        </w:rPr>
      </w:pPr>
      <w:r>
        <w:rPr>
          <w:rFonts w:hint="eastAsia" w:asciiTheme="minorEastAsia" w:hAnsiTheme="minorEastAsia" w:eastAsiaTheme="minorEastAsia" w:cstheme="minorEastAsia"/>
          <w:b/>
          <w:color w:val="auto"/>
          <w:szCs w:val="24"/>
          <w:highlight w:val="none"/>
        </w:rPr>
        <w:t>甲方：</w:t>
      </w:r>
      <w:r>
        <w:rPr>
          <w:rFonts w:hint="eastAsia" w:asciiTheme="minorEastAsia" w:hAnsiTheme="minorEastAsia" w:eastAsiaTheme="minorEastAsia" w:cstheme="minorEastAsia"/>
          <w:color w:val="auto"/>
          <w:spacing w:val="8"/>
          <w:szCs w:val="24"/>
          <w:highlight w:val="none"/>
          <w:u w:val="single"/>
          <w:lang w:eastAsia="zh-CN"/>
        </w:rPr>
        <w:t>河南浩德龙瑞置业有限公司</w:t>
      </w:r>
    </w:p>
    <w:p w14:paraId="467F9588">
      <w:pPr>
        <w:spacing w:line="360" w:lineRule="auto"/>
        <w:jc w:val="left"/>
        <w:rPr>
          <w:rFonts w:hint="eastAsia" w:asciiTheme="minorEastAsia" w:hAnsiTheme="minorEastAsia" w:eastAsiaTheme="minorEastAsia" w:cstheme="minorEastAsia"/>
          <w:color w:val="auto"/>
          <w:spacing w:val="8"/>
          <w:szCs w:val="24"/>
          <w:highlight w:val="none"/>
          <w:u w:val="single"/>
          <w:lang w:eastAsia="zh-CN"/>
        </w:rPr>
      </w:pPr>
      <w:r>
        <w:rPr>
          <w:rFonts w:hint="eastAsia" w:asciiTheme="minorEastAsia" w:hAnsiTheme="minorEastAsia" w:eastAsiaTheme="minorEastAsia" w:cstheme="minorEastAsia"/>
          <w:b/>
          <w:color w:val="auto"/>
          <w:szCs w:val="24"/>
          <w:highlight w:val="none"/>
        </w:rPr>
        <w:t>乙方：</w:t>
      </w:r>
      <w:r>
        <w:rPr>
          <w:rFonts w:hint="eastAsia" w:asciiTheme="minorEastAsia" w:hAnsiTheme="minorEastAsia" w:eastAsiaTheme="minorEastAsia" w:cstheme="minorEastAsia"/>
          <w:b w:val="0"/>
          <w:bCs/>
          <w:color w:val="auto"/>
          <w:highlight w:val="none"/>
          <w:u w:val="single"/>
          <w:lang w:val="en-US" w:eastAsia="zh-CN"/>
        </w:rPr>
        <w:t>腾升建筑装饰股份有限</w:t>
      </w:r>
      <w:r>
        <w:rPr>
          <w:rFonts w:hint="eastAsia" w:asciiTheme="minorEastAsia" w:hAnsiTheme="minorEastAsia" w:eastAsiaTheme="minorEastAsia" w:cstheme="minorEastAsia"/>
          <w:b w:val="0"/>
          <w:bCs/>
          <w:color w:val="auto"/>
          <w:highlight w:val="none"/>
          <w:u w:val="single"/>
          <w:lang w:eastAsia="zh-CN"/>
        </w:rPr>
        <w:t>公司</w:t>
      </w:r>
    </w:p>
    <w:p w14:paraId="12DCEB60">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为加强工程项目建设期间的廉政管理，确保项目高效优质按期竣工，甲、乙双方经协商签订本协议并作为双方共同遵守的廉政行为准则。</w:t>
      </w:r>
    </w:p>
    <w:p w14:paraId="58CBD79E">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一．甲方责任</w:t>
      </w:r>
    </w:p>
    <w:p w14:paraId="773780E8">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1．甲方有责任向乙方介绍本单位有关廉政管理的各项制度和规定。</w:t>
      </w:r>
    </w:p>
    <w:p w14:paraId="4196B66F">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2．甲方有责任对本单位项目管理人员进行廉政教育。</w:t>
      </w:r>
    </w:p>
    <w:p w14:paraId="739AD45E">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3．甲方人员应严格遵守本单位有关廉政管理的规定，不得接受乙方的宴请，不得接受任何形式的实物、现金或礼券。</w:t>
      </w:r>
    </w:p>
    <w:p w14:paraId="1C113309">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4．甲方在项目建设期间发现甲方人员任何形式的索贿受贿行为，均应及时采取措施予以制止，并及时通报乙方单位领导。</w:t>
      </w:r>
    </w:p>
    <w:p w14:paraId="1C4929BE">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5．甲方人员如违反廉政管理制度及本协议规定，甲方应视情节轻重、影响大小给予处罚。</w:t>
      </w:r>
    </w:p>
    <w:p w14:paraId="3DA77BE2">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6．对于乙方举报甲方人员违反廉政规定的情况，甲方应及时进行调查，根据调查情况进行处理。</w:t>
      </w:r>
    </w:p>
    <w:p w14:paraId="581F8E9A">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二．乙方责任</w:t>
      </w:r>
    </w:p>
    <w:p w14:paraId="2FD1DE1A">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1．乙方应保证乙方有关人员了解甲方有关廉政管理的各项制度及本协议的规定，并遵照执行。</w:t>
      </w:r>
    </w:p>
    <w:p w14:paraId="3C235EA0">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2．乙方不得宴请甲方人员，不得以任何形式赠送实物、现金或礼券。</w:t>
      </w:r>
    </w:p>
    <w:p w14:paraId="573C505B">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3．乙方在项目建设期间发现乙方人员任何向甲方人员行贿行为，均应及时采取措施予以制止，并及时通报甲方单位领导。</w:t>
      </w:r>
    </w:p>
    <w:p w14:paraId="37E18682">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4．乙方有责任接受甲方对乙方在项目建设期间廉政管理执行情况的监督。</w:t>
      </w:r>
    </w:p>
    <w:p w14:paraId="3ACA7A14">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乙方单位人员有义务就甲方人员任何形式的索贿或受贿行为及时向甲方单位领导举报；如乙方向甲方人员行贿，或甲方人员向乙方索贿，乙方满足其要求且未向甲方举报的，一经查实，除追回由此给甲方造成的损失外，甲方可要求乙方支付5-100万元的违约金。</w:t>
      </w:r>
    </w:p>
    <w:p w14:paraId="2F116842">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6．如因乙方或其人员在项目建设期间贿赂甲方人员，被检察机关立案查处的，甲方有权终止合同履行或解除合同，由此给甲方造成的损失，均由乙方负责赔偿。</w:t>
      </w:r>
    </w:p>
    <w:p w14:paraId="53B42D67">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 xml:space="preserve"> 三、为维护甲乙双方的合法利益，营造良好的商务环境，甲方建立多种举报渠道（如下）。甲方风控部人员将恪守职业道德，严格履行保密义务！</w:t>
      </w:r>
    </w:p>
    <w:p w14:paraId="14601A65">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（1）微信小程序举报（扫描右侧二维码进入程序，举报信息直达集团董事长）；</w:t>
      </w:r>
    </w:p>
    <w:p w14:paraId="347513F3">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drawing>
          <wp:anchor distT="0" distB="0" distL="114300" distR="114300" simplePos="0" relativeHeight="251660288" behindDoc="0" locked="0" layoutInCell="1" allowOverlap="1">
            <wp:simplePos x="0" y="0"/>
            <wp:positionH relativeFrom="column">
              <wp:posOffset>4453255</wp:posOffset>
            </wp:positionH>
            <wp:positionV relativeFrom="paragraph">
              <wp:posOffset>221615</wp:posOffset>
            </wp:positionV>
            <wp:extent cx="935990" cy="935990"/>
            <wp:effectExtent l="0" t="0" r="8890" b="8890"/>
            <wp:wrapNone/>
            <wp:docPr id="1" name="图片 2" descr="说明: 32dc313b898daf07a491037a11ba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说明: 32dc313b898daf07a491037a11ba2c8"/>
                    <pic:cNvPicPr>
                      <a:picLocks noChangeAspect="1"/>
                    </pic:cNvPicPr>
                  </pic:nvPicPr>
                  <pic:blipFill>
                    <a:blip r:embed="rId6"/>
                    <a:stretch>
                      <a:fillRect/>
                    </a:stretch>
                  </pic:blipFill>
                  <pic:spPr>
                    <a:xfrm>
                      <a:off x="0" y="0"/>
                      <a:ext cx="935990" cy="935990"/>
                    </a:xfrm>
                    <a:prstGeom prst="rect">
                      <a:avLst/>
                    </a:prstGeom>
                    <a:noFill/>
                    <a:ln>
                      <a:noFill/>
                    </a:ln>
                  </pic:spPr>
                </pic:pic>
              </a:graphicData>
            </a:graphic>
          </wp:anchor>
        </w:drawing>
      </w:r>
      <w:r>
        <w:rPr>
          <w:rFonts w:hint="eastAsia" w:asciiTheme="minorEastAsia" w:hAnsiTheme="minorEastAsia" w:eastAsiaTheme="minorEastAsia" w:cstheme="minorEastAsia"/>
          <w:color w:val="auto"/>
          <w:szCs w:val="28"/>
          <w:highlight w:val="none"/>
        </w:rPr>
        <w:t>（2）邮箱：shenji@chinahonden.com</w:t>
      </w:r>
    </w:p>
    <w:p w14:paraId="59B0F06A">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（3）电话：风控总监毛政辉：13693798532</w:t>
      </w:r>
    </w:p>
    <w:p w14:paraId="01244EEA">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（4）电话：审计监察副总监齐全中：18137710188</w:t>
      </w:r>
    </w:p>
    <w:p w14:paraId="4862C9D5">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（5）电话：审计监察高级经理苏文倩：18839528225</w:t>
      </w:r>
    </w:p>
    <w:p w14:paraId="43EA29B1">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（6）信件举报邮寄地址：洛阳市洛龙区关林西路8号中浩德控股集团有限公司审计监察部（收）。</w:t>
      </w:r>
    </w:p>
    <w:p w14:paraId="3B473DD0">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四、甲乙双方发现对方工作人员有下列行为之一的，可通过第三条约定的渠道进行举报：</w:t>
      </w:r>
    </w:p>
    <w:p w14:paraId="712FD669">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1.推诿扯皮、有责不负、处事消极、渎职失职、弄虚作假等行为。</w:t>
      </w:r>
    </w:p>
    <w:p w14:paraId="0A5B432D">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2.以权谋私、滥用职权、处事不公、隐瞒事故、违章指挥造成公司严重事故隐患的行为。</w:t>
      </w:r>
    </w:p>
    <w:p w14:paraId="512DC9F6">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3.贪污、受贿、盗窃、欺上瞒下等违法乱纪行为。</w:t>
      </w:r>
    </w:p>
    <w:p w14:paraId="6349124F">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4.出卖、泄露公司商业机密等危害公司行为。</w:t>
      </w:r>
    </w:p>
    <w:p w14:paraId="26122801">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5.重大经济活动未按公司制度、流程执行的违规违纪行为。</w:t>
      </w:r>
    </w:p>
    <w:p w14:paraId="03DC3705">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6.利用职权，任人唯亲，拉帮结派，搞小利益团体或对同事正当行使权利进行打击报复的行为。</w:t>
      </w:r>
    </w:p>
    <w:p w14:paraId="484B3867">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7.故意涂改公司文件或以公司名义谋私利，损害公司荣誉和利益的行为。</w:t>
      </w:r>
    </w:p>
    <w:p w14:paraId="003316D1">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8.私自侵占、挪用公司财物，损坏公司重要设备或资产的行为。</w:t>
      </w:r>
    </w:p>
    <w:p w14:paraId="5AE26168">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9.破坏团队和谐，故意挑拨员工之间关系，对同事恶意侮辱、陷害、制造事端的行为。</w:t>
      </w:r>
    </w:p>
    <w:p w14:paraId="3963EA0A">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10.妄议集团经营、管理、决策部署、会议决议，对正当行使职权的执法部门、员工进行设置障碍、诋毁、恶意侮辱的行为。</w:t>
      </w:r>
    </w:p>
    <w:p w14:paraId="366229BC">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8"/>
          <w:highlight w:val="none"/>
        </w:rPr>
        <w:t>11.其他违反法律或者甲方公司相关制度的行为。</w:t>
      </w:r>
    </w:p>
    <w:p w14:paraId="6E575509">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（以下无正文）</w:t>
      </w:r>
    </w:p>
    <w:p w14:paraId="0EFDD977">
      <w:pPr>
        <w:autoSpaceDN w:val="0"/>
        <w:spacing w:line="360" w:lineRule="auto"/>
        <w:ind w:firstLine="480" w:firstLineChars="200"/>
        <w:rPr>
          <w:rFonts w:hint="eastAsia" w:asciiTheme="minorEastAsia" w:hAnsiTheme="minorEastAsia" w:eastAsiaTheme="minorEastAsia" w:cstheme="minorEastAsia"/>
          <w:color w:val="auto"/>
          <w:szCs w:val="28"/>
          <w:highlight w:val="none"/>
        </w:rPr>
      </w:pPr>
    </w:p>
    <w:p w14:paraId="2323C3C0">
      <w:pPr>
        <w:spacing w:line="360" w:lineRule="auto"/>
        <w:ind w:left="0" w:firstLine="0" w:firstLineChars="0"/>
        <w:jc w:val="left"/>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甲方（盖章）：</w:t>
      </w:r>
      <w:r>
        <w:rPr>
          <w:rFonts w:hint="eastAsia" w:asciiTheme="minorEastAsia" w:hAnsiTheme="minorEastAsia" w:eastAsiaTheme="minorEastAsia" w:cstheme="minorEastAsia"/>
          <w:color w:val="auto"/>
          <w:szCs w:val="28"/>
          <w:highlight w:val="none"/>
          <w:lang w:eastAsia="zh-CN"/>
        </w:rPr>
        <w:t>河南浩德龙瑞置业有限公司</w:t>
      </w:r>
      <w:r>
        <w:rPr>
          <w:rFonts w:hint="eastAsia" w:asciiTheme="minorEastAsia" w:hAnsiTheme="minorEastAsia" w:eastAsiaTheme="minorEastAsia" w:cstheme="minorEastAsia"/>
          <w:color w:val="auto"/>
          <w:szCs w:val="28"/>
          <w:highlight w:val="none"/>
        </w:rPr>
        <w:t xml:space="preserve">  乙方（盖章）</w:t>
      </w:r>
      <w:r>
        <w:rPr>
          <w:rFonts w:hint="eastAsia" w:asciiTheme="minorEastAsia" w:hAnsiTheme="minorEastAsia" w:eastAsiaTheme="minorEastAsia" w:cstheme="minorEastAsia"/>
          <w:b w:val="0"/>
          <w:bCs/>
          <w:color w:val="auto"/>
          <w:highlight w:val="none"/>
          <w:u w:val="single"/>
          <w:lang w:val="en-US" w:eastAsia="zh-CN"/>
        </w:rPr>
        <w:t>腾升建筑装饰股份有限</w:t>
      </w:r>
      <w:r>
        <w:rPr>
          <w:rFonts w:hint="eastAsia" w:asciiTheme="minorEastAsia" w:hAnsiTheme="minorEastAsia" w:eastAsiaTheme="minorEastAsia" w:cstheme="minorEastAsia"/>
          <w:b w:val="0"/>
          <w:bCs/>
          <w:color w:val="auto"/>
          <w:highlight w:val="none"/>
          <w:u w:val="single"/>
          <w:lang w:eastAsia="zh-CN"/>
        </w:rPr>
        <w:t>公司</w:t>
      </w:r>
      <w:r>
        <w:rPr>
          <w:rFonts w:hint="eastAsia" w:asciiTheme="minorEastAsia" w:hAnsiTheme="minorEastAsia" w:eastAsiaTheme="minorEastAsia" w:cstheme="minorEastAsia"/>
          <w:color w:val="auto"/>
          <w:szCs w:val="28"/>
          <w:highlight w:val="none"/>
        </w:rPr>
        <w:t xml:space="preserve">：             </w:t>
      </w:r>
    </w:p>
    <w:p w14:paraId="56F94097">
      <w:pPr>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签订日期：</w:t>
      </w:r>
      <w:r>
        <w:rPr>
          <w:rFonts w:hint="eastAsia" w:asciiTheme="minorEastAsia" w:hAnsiTheme="minorEastAsia" w:eastAsiaTheme="minorEastAsia" w:cstheme="minorEastAsia"/>
          <w:color w:val="auto"/>
          <w:szCs w:val="28"/>
          <w:highlight w:val="none"/>
          <w:u w:val="single"/>
        </w:rPr>
        <w:t>202</w:t>
      </w:r>
      <w:r>
        <w:rPr>
          <w:rFonts w:hint="eastAsia" w:asciiTheme="minorEastAsia" w:hAnsiTheme="minorEastAsia" w:eastAsiaTheme="minorEastAsia" w:cstheme="minorEastAsia"/>
          <w:color w:val="auto"/>
          <w:szCs w:val="28"/>
          <w:highlight w:val="none"/>
          <w:u w:val="single"/>
          <w:lang w:val="en-US" w:eastAsia="zh-CN"/>
        </w:rPr>
        <w:t>4</w:t>
      </w:r>
      <w:r>
        <w:rPr>
          <w:rFonts w:hint="eastAsia" w:asciiTheme="minorEastAsia" w:hAnsiTheme="minorEastAsia" w:eastAsiaTheme="minorEastAsia" w:cstheme="minorEastAsia"/>
          <w:color w:val="auto"/>
          <w:szCs w:val="28"/>
          <w:highlight w:val="none"/>
        </w:rPr>
        <w:t>年</w:t>
      </w:r>
      <w:r>
        <w:rPr>
          <w:rFonts w:hint="eastAsia" w:asciiTheme="minorEastAsia" w:hAnsiTheme="minorEastAsia" w:eastAsiaTheme="minorEastAsia" w:cstheme="minorEastAsia"/>
          <w:color w:val="auto"/>
          <w:szCs w:val="28"/>
          <w:highlight w:val="none"/>
          <w:lang w:val="en-US" w:eastAsia="zh-CN"/>
        </w:rPr>
        <w:t>7</w:t>
      </w:r>
      <w:r>
        <w:rPr>
          <w:rFonts w:hint="eastAsia" w:asciiTheme="minorEastAsia" w:hAnsiTheme="minorEastAsia" w:eastAsiaTheme="minorEastAsia" w:cstheme="minorEastAsia"/>
          <w:color w:val="auto"/>
          <w:szCs w:val="28"/>
          <w:highlight w:val="none"/>
        </w:rPr>
        <w:t>月</w:t>
      </w:r>
      <w:r>
        <w:rPr>
          <w:rFonts w:hint="eastAsia" w:asciiTheme="minorEastAsia" w:hAnsiTheme="minorEastAsia" w:eastAsiaTheme="minorEastAsia" w:cstheme="minorEastAsia"/>
          <w:color w:val="auto"/>
          <w:szCs w:val="28"/>
          <w:highlight w:val="none"/>
          <w:u w:val="single"/>
          <w:lang w:val="en-US" w:eastAsia="zh-CN"/>
        </w:rPr>
        <w:t>8</w:t>
      </w:r>
      <w:r>
        <w:rPr>
          <w:rFonts w:hint="eastAsia" w:asciiTheme="minorEastAsia" w:hAnsiTheme="minorEastAsia" w:eastAsiaTheme="minorEastAsia" w:cstheme="minorEastAsia"/>
          <w:color w:val="auto"/>
          <w:szCs w:val="28"/>
          <w:highlight w:val="none"/>
          <w:u w:val="single"/>
        </w:rPr>
        <w:t xml:space="preserve"> </w:t>
      </w:r>
      <w:r>
        <w:rPr>
          <w:rFonts w:hint="eastAsia" w:asciiTheme="minorEastAsia" w:hAnsiTheme="minorEastAsia" w:eastAsiaTheme="minorEastAsia" w:cstheme="minorEastAsia"/>
          <w:color w:val="auto"/>
          <w:szCs w:val="28"/>
          <w:highlight w:val="none"/>
        </w:rPr>
        <w:t>日          签订日期：</w:t>
      </w:r>
      <w:r>
        <w:rPr>
          <w:rFonts w:hint="eastAsia" w:asciiTheme="minorEastAsia" w:hAnsiTheme="minorEastAsia" w:eastAsiaTheme="minorEastAsia" w:cstheme="minorEastAsia"/>
          <w:color w:val="auto"/>
          <w:szCs w:val="28"/>
          <w:highlight w:val="none"/>
          <w:u w:val="single"/>
        </w:rPr>
        <w:t>202</w:t>
      </w:r>
      <w:r>
        <w:rPr>
          <w:rFonts w:hint="eastAsia" w:asciiTheme="minorEastAsia" w:hAnsiTheme="minorEastAsia" w:eastAsiaTheme="minorEastAsia" w:cstheme="minorEastAsia"/>
          <w:color w:val="auto"/>
          <w:szCs w:val="28"/>
          <w:highlight w:val="none"/>
          <w:u w:val="single"/>
          <w:lang w:val="en-US" w:eastAsia="zh-CN"/>
        </w:rPr>
        <w:t>4</w:t>
      </w:r>
      <w:r>
        <w:rPr>
          <w:rFonts w:hint="eastAsia" w:asciiTheme="minorEastAsia" w:hAnsiTheme="minorEastAsia" w:eastAsiaTheme="minorEastAsia" w:cstheme="minorEastAsia"/>
          <w:color w:val="auto"/>
          <w:szCs w:val="28"/>
          <w:highlight w:val="none"/>
        </w:rPr>
        <w:t>年</w:t>
      </w:r>
      <w:r>
        <w:rPr>
          <w:rFonts w:hint="eastAsia" w:asciiTheme="minorEastAsia" w:hAnsiTheme="minorEastAsia" w:eastAsiaTheme="minorEastAsia" w:cstheme="minorEastAsia"/>
          <w:color w:val="auto"/>
          <w:szCs w:val="28"/>
          <w:highlight w:val="none"/>
          <w:u w:val="single"/>
          <w:lang w:val="en-US" w:eastAsia="zh-CN"/>
        </w:rPr>
        <w:t>7</w:t>
      </w:r>
      <w:r>
        <w:rPr>
          <w:rFonts w:hint="eastAsia" w:asciiTheme="minorEastAsia" w:hAnsiTheme="minorEastAsia" w:eastAsiaTheme="minorEastAsia" w:cstheme="minorEastAsia"/>
          <w:color w:val="auto"/>
          <w:szCs w:val="28"/>
          <w:highlight w:val="none"/>
        </w:rPr>
        <w:t>月</w:t>
      </w:r>
      <w:r>
        <w:rPr>
          <w:rFonts w:hint="eastAsia" w:asciiTheme="minorEastAsia" w:hAnsiTheme="minorEastAsia" w:eastAsiaTheme="minorEastAsia" w:cstheme="minorEastAsia"/>
          <w:color w:val="auto"/>
          <w:szCs w:val="28"/>
          <w:highlight w:val="none"/>
          <w:u w:val="single"/>
          <w:lang w:val="en-US" w:eastAsia="zh-CN"/>
        </w:rPr>
        <w:t>8</w:t>
      </w:r>
      <w:r>
        <w:rPr>
          <w:rFonts w:hint="eastAsia" w:asciiTheme="minorEastAsia" w:hAnsiTheme="minorEastAsia" w:eastAsiaTheme="minorEastAsia" w:cstheme="minorEastAsia"/>
          <w:color w:val="auto"/>
          <w:szCs w:val="28"/>
          <w:highlight w:val="none"/>
        </w:rPr>
        <w:t xml:space="preserve">日  </w:t>
      </w:r>
    </w:p>
    <w:p w14:paraId="48BB1F5D">
      <w:pPr>
        <w:pStyle w:val="54"/>
        <w:spacing w:line="360" w:lineRule="auto"/>
        <w:rPr>
          <w:rFonts w:hint="eastAsia" w:asciiTheme="minorEastAsia" w:hAnsiTheme="minorEastAsia" w:eastAsiaTheme="minorEastAsia" w:cstheme="minorEastAsia"/>
          <w:bCs/>
          <w:color w:val="auto"/>
          <w:szCs w:val="28"/>
          <w:highlight w:val="none"/>
        </w:rPr>
      </w:pPr>
    </w:p>
    <w:p w14:paraId="71C059B9">
      <w:pPr>
        <w:pStyle w:val="54"/>
        <w:spacing w:line="360" w:lineRule="auto"/>
        <w:rPr>
          <w:rFonts w:hint="eastAsia" w:asciiTheme="minorEastAsia" w:hAnsiTheme="minorEastAsia" w:eastAsiaTheme="minorEastAsia" w:cstheme="minorEastAsia"/>
          <w:bCs/>
          <w:color w:val="auto"/>
          <w:szCs w:val="28"/>
          <w:highlight w:val="none"/>
        </w:rPr>
      </w:pPr>
    </w:p>
    <w:p w14:paraId="75A14267">
      <w:pPr>
        <w:pStyle w:val="54"/>
        <w:spacing w:line="360" w:lineRule="auto"/>
        <w:rPr>
          <w:rFonts w:hint="eastAsia" w:asciiTheme="minorEastAsia" w:hAnsiTheme="minorEastAsia" w:eastAsiaTheme="minorEastAsia" w:cstheme="minorEastAsia"/>
          <w:bCs/>
          <w:color w:val="auto"/>
          <w:szCs w:val="28"/>
          <w:highlight w:val="none"/>
        </w:rPr>
      </w:pPr>
    </w:p>
    <w:p w14:paraId="5E50DB66">
      <w:pPr>
        <w:pStyle w:val="54"/>
        <w:spacing w:line="360" w:lineRule="auto"/>
        <w:rPr>
          <w:rFonts w:hint="eastAsia" w:asciiTheme="minorEastAsia" w:hAnsiTheme="minorEastAsia" w:eastAsiaTheme="minorEastAsia" w:cstheme="minorEastAsia"/>
          <w:bCs/>
          <w:color w:val="auto"/>
          <w:szCs w:val="28"/>
          <w:highlight w:val="none"/>
        </w:rPr>
      </w:pPr>
    </w:p>
    <w:p w14:paraId="447F8726">
      <w:pPr>
        <w:tabs>
          <w:tab w:val="left" w:pos="6587"/>
        </w:tabs>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ab/>
      </w:r>
    </w:p>
    <w:p w14:paraId="766FCDEC">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附件二、《乙方派驻本工程人员名单表》</w:t>
      </w:r>
    </w:p>
    <w:tbl>
      <w:tblPr>
        <w:tblStyle w:val="47"/>
        <w:tblW w:w="90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1315"/>
        <w:gridCol w:w="1152"/>
        <w:gridCol w:w="1584"/>
        <w:gridCol w:w="1132"/>
        <w:gridCol w:w="1229"/>
        <w:gridCol w:w="1744"/>
      </w:tblGrid>
      <w:tr w14:paraId="0E7DC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9000" w:type="dxa"/>
            <w:gridSpan w:val="7"/>
            <w:noWrap w:val="0"/>
            <w:vAlign w:val="center"/>
          </w:tcPr>
          <w:p w14:paraId="76BE39E0">
            <w:pPr>
              <w:pStyle w:val="101"/>
              <w:spacing w:before="132"/>
              <w:ind w:left="39" w:lef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b/>
                <w:color w:val="auto"/>
                <w:kern w:val="0"/>
                <w:szCs w:val="20"/>
                <w:highlight w:val="none"/>
                <w:lang w:val="en-US" w:bidi="ar-SA"/>
              </w:rPr>
              <w:t>《</w:t>
            </w:r>
            <w:r>
              <w:rPr>
                <w:rFonts w:hint="eastAsia" w:asciiTheme="minorEastAsia" w:hAnsiTheme="minorEastAsia" w:eastAsiaTheme="minorEastAsia" w:cstheme="minorEastAsia"/>
                <w:b/>
                <w:bCs/>
                <w:color w:val="auto"/>
                <w:szCs w:val="28"/>
                <w:highlight w:val="none"/>
              </w:rPr>
              <w:t>乙方派驻本工程</w:t>
            </w:r>
            <w:r>
              <w:rPr>
                <w:rFonts w:hint="eastAsia" w:asciiTheme="minorEastAsia" w:hAnsiTheme="minorEastAsia" w:eastAsiaTheme="minorEastAsia" w:cstheme="minorEastAsia"/>
                <w:b/>
                <w:bCs/>
                <w:color w:val="auto"/>
                <w:szCs w:val="28"/>
                <w:highlight w:val="none"/>
                <w:lang w:val="en-US"/>
              </w:rPr>
              <w:t>人员名单表</w:t>
            </w:r>
            <w:r>
              <w:rPr>
                <w:rFonts w:hint="eastAsia" w:asciiTheme="minorEastAsia" w:hAnsiTheme="minorEastAsia" w:eastAsiaTheme="minorEastAsia" w:cstheme="minorEastAsia"/>
                <w:b/>
                <w:color w:val="auto"/>
                <w:kern w:val="0"/>
                <w:szCs w:val="20"/>
                <w:highlight w:val="none"/>
                <w:lang w:val="en-US" w:bidi="ar-SA"/>
              </w:rPr>
              <w:t>》</w:t>
            </w:r>
          </w:p>
        </w:tc>
      </w:tr>
      <w:tr w14:paraId="13430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844" w:type="dxa"/>
            <w:noWrap w:val="0"/>
            <w:vAlign w:val="center"/>
          </w:tcPr>
          <w:p w14:paraId="224FF68B">
            <w:pPr>
              <w:pStyle w:val="101"/>
              <w:spacing w:before="132"/>
              <w:ind w:left="51" w:leftChars="0" w:right="44"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序号</w:t>
            </w:r>
          </w:p>
        </w:tc>
        <w:tc>
          <w:tcPr>
            <w:tcW w:w="1315" w:type="dxa"/>
            <w:noWrap w:val="0"/>
            <w:vAlign w:val="center"/>
          </w:tcPr>
          <w:p w14:paraId="2C27874F">
            <w:pPr>
              <w:pStyle w:val="101"/>
              <w:spacing w:before="132"/>
              <w:ind w:right="167"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专业</w:t>
            </w:r>
          </w:p>
        </w:tc>
        <w:tc>
          <w:tcPr>
            <w:tcW w:w="1152" w:type="dxa"/>
            <w:noWrap w:val="0"/>
            <w:vAlign w:val="center"/>
          </w:tcPr>
          <w:p w14:paraId="356B7796">
            <w:pPr>
              <w:pStyle w:val="101"/>
              <w:spacing w:before="132"/>
              <w:ind w:left="201" w:leftChars="0" w:right="178"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姓名</w:t>
            </w:r>
          </w:p>
        </w:tc>
        <w:tc>
          <w:tcPr>
            <w:tcW w:w="1584" w:type="dxa"/>
            <w:noWrap w:val="0"/>
            <w:vAlign w:val="center"/>
          </w:tcPr>
          <w:p w14:paraId="3A97A118">
            <w:pPr>
              <w:pStyle w:val="101"/>
              <w:spacing w:before="132"/>
              <w:ind w:left="41" w:leftChars="0" w:right="31"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职称</w:t>
            </w:r>
          </w:p>
        </w:tc>
        <w:tc>
          <w:tcPr>
            <w:tcW w:w="1132" w:type="dxa"/>
            <w:noWrap w:val="0"/>
            <w:vAlign w:val="center"/>
          </w:tcPr>
          <w:p w14:paraId="33ABA3DD">
            <w:pPr>
              <w:pStyle w:val="101"/>
              <w:spacing w:before="132"/>
              <w:ind w:right="95"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学历</w:t>
            </w:r>
          </w:p>
        </w:tc>
        <w:tc>
          <w:tcPr>
            <w:tcW w:w="1229" w:type="dxa"/>
            <w:noWrap w:val="0"/>
            <w:vAlign w:val="center"/>
          </w:tcPr>
          <w:p w14:paraId="4DFB5522">
            <w:pPr>
              <w:pStyle w:val="101"/>
              <w:spacing w:before="132"/>
              <w:ind w:left="189" w:leftChars="0" w:right="183"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工作年限</w:t>
            </w:r>
          </w:p>
        </w:tc>
        <w:tc>
          <w:tcPr>
            <w:tcW w:w="1744" w:type="dxa"/>
            <w:noWrap w:val="0"/>
            <w:vAlign w:val="center"/>
          </w:tcPr>
          <w:p w14:paraId="7467B68E">
            <w:pPr>
              <w:pStyle w:val="101"/>
              <w:spacing w:before="132"/>
              <w:ind w:left="39"/>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担任本工程</w:t>
            </w:r>
          </w:p>
          <w:p w14:paraId="6C8FB16B">
            <w:pPr>
              <w:pStyle w:val="101"/>
              <w:spacing w:before="132"/>
              <w:ind w:left="39" w:lef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的职务</w:t>
            </w:r>
          </w:p>
        </w:tc>
      </w:tr>
      <w:tr w14:paraId="4C717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14:paraId="1AB3CB54">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1</w:t>
            </w:r>
          </w:p>
        </w:tc>
        <w:tc>
          <w:tcPr>
            <w:tcW w:w="1315" w:type="dxa"/>
            <w:noWrap w:val="0"/>
            <w:vAlign w:val="center"/>
          </w:tcPr>
          <w:p w14:paraId="00E333F0">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建筑工程</w:t>
            </w:r>
          </w:p>
        </w:tc>
        <w:tc>
          <w:tcPr>
            <w:tcW w:w="1152" w:type="dxa"/>
            <w:noWrap w:val="0"/>
            <w:vAlign w:val="center"/>
          </w:tcPr>
          <w:p w14:paraId="36C0510E">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cs="宋体"/>
                <w:kern w:val="0"/>
                <w:sz w:val="24"/>
                <w:szCs w:val="24"/>
                <w:lang w:eastAsia="zh-CN"/>
              </w:rPr>
              <w:t>张峥</w:t>
            </w:r>
          </w:p>
        </w:tc>
        <w:tc>
          <w:tcPr>
            <w:tcW w:w="1584" w:type="dxa"/>
            <w:noWrap w:val="0"/>
            <w:vAlign w:val="center"/>
          </w:tcPr>
          <w:p w14:paraId="0CD1278D">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高级工程师</w:t>
            </w:r>
          </w:p>
        </w:tc>
        <w:tc>
          <w:tcPr>
            <w:tcW w:w="1132" w:type="dxa"/>
            <w:noWrap w:val="0"/>
            <w:vAlign w:val="center"/>
          </w:tcPr>
          <w:p w14:paraId="434EA265">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本科</w:t>
            </w:r>
          </w:p>
        </w:tc>
        <w:tc>
          <w:tcPr>
            <w:tcW w:w="1229" w:type="dxa"/>
            <w:noWrap w:val="0"/>
            <w:vAlign w:val="center"/>
          </w:tcPr>
          <w:p w14:paraId="268A30BA">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cs="宋体"/>
                <w:kern w:val="0"/>
                <w:sz w:val="24"/>
                <w:szCs w:val="24"/>
                <w:lang w:val="en-US" w:eastAsia="zh-CN"/>
              </w:rPr>
              <w:t>22</w:t>
            </w:r>
            <w:r>
              <w:rPr>
                <w:rFonts w:hint="eastAsia" w:ascii="宋体" w:hAnsi="宋体" w:eastAsia="宋体" w:cs="宋体"/>
                <w:kern w:val="0"/>
                <w:sz w:val="24"/>
                <w:szCs w:val="24"/>
                <w:lang w:val="en-US" w:eastAsia="zh-CN"/>
              </w:rPr>
              <w:t>年</w:t>
            </w:r>
          </w:p>
        </w:tc>
        <w:tc>
          <w:tcPr>
            <w:tcW w:w="1744" w:type="dxa"/>
            <w:noWrap w:val="0"/>
            <w:vAlign w:val="center"/>
          </w:tcPr>
          <w:p w14:paraId="74298F8B">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项目经理</w:t>
            </w:r>
          </w:p>
        </w:tc>
      </w:tr>
      <w:tr w14:paraId="3771B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14:paraId="4ED8E74E">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2</w:t>
            </w:r>
          </w:p>
        </w:tc>
        <w:tc>
          <w:tcPr>
            <w:tcW w:w="1315" w:type="dxa"/>
            <w:noWrap w:val="0"/>
            <w:vAlign w:val="center"/>
          </w:tcPr>
          <w:p w14:paraId="61F53B47">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sz w:val="24"/>
                <w:szCs w:val="24"/>
                <w:lang w:eastAsia="zh-CN"/>
              </w:rPr>
              <w:t>建筑工程</w:t>
            </w:r>
          </w:p>
        </w:tc>
        <w:tc>
          <w:tcPr>
            <w:tcW w:w="1152" w:type="dxa"/>
            <w:noWrap w:val="0"/>
            <w:vAlign w:val="center"/>
          </w:tcPr>
          <w:p w14:paraId="3B7C0027">
            <w:pPr>
              <w:autoSpaceDE w:val="0"/>
              <w:autoSpaceDN w:val="0"/>
              <w:adjustRightInd w:val="0"/>
              <w:spacing w:line="360" w:lineRule="auto"/>
              <w:jc w:val="both"/>
              <w:rPr>
                <w:rFonts w:hint="eastAsia" w:asciiTheme="minorEastAsia" w:hAnsiTheme="minorEastAsia" w:eastAsiaTheme="minorEastAsia" w:cstheme="minorEastAsia"/>
                <w:color w:val="auto"/>
                <w:szCs w:val="24"/>
                <w:highlight w:val="none"/>
              </w:rPr>
            </w:pPr>
            <w:r>
              <w:rPr>
                <w:rFonts w:hint="eastAsia" w:ascii="宋体" w:hAnsi="宋体" w:cs="宋体"/>
                <w:kern w:val="0"/>
                <w:sz w:val="24"/>
                <w:szCs w:val="24"/>
                <w:lang w:val="en-US" w:eastAsia="zh-CN"/>
              </w:rPr>
              <w:t>常林凯</w:t>
            </w:r>
          </w:p>
        </w:tc>
        <w:tc>
          <w:tcPr>
            <w:tcW w:w="1584" w:type="dxa"/>
            <w:noWrap w:val="0"/>
            <w:vAlign w:val="center"/>
          </w:tcPr>
          <w:p w14:paraId="2730041D">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cs="宋体"/>
                <w:kern w:val="0"/>
                <w:sz w:val="24"/>
                <w:szCs w:val="24"/>
                <w:lang w:eastAsia="zh-CN"/>
              </w:rPr>
              <w:t>高级</w:t>
            </w:r>
            <w:r>
              <w:rPr>
                <w:rFonts w:hint="eastAsia" w:ascii="宋体" w:hAnsi="宋体" w:eastAsia="宋体" w:cs="宋体"/>
                <w:kern w:val="0"/>
                <w:sz w:val="24"/>
                <w:szCs w:val="24"/>
                <w:lang w:eastAsia="zh-CN"/>
              </w:rPr>
              <w:t>工程师</w:t>
            </w:r>
          </w:p>
        </w:tc>
        <w:tc>
          <w:tcPr>
            <w:tcW w:w="1132" w:type="dxa"/>
            <w:noWrap w:val="0"/>
            <w:vAlign w:val="center"/>
          </w:tcPr>
          <w:p w14:paraId="3AF3E3C4">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cs="宋体"/>
                <w:kern w:val="0"/>
                <w:sz w:val="24"/>
                <w:szCs w:val="24"/>
                <w:lang w:eastAsia="zh-CN"/>
              </w:rPr>
              <w:t>专</w:t>
            </w:r>
            <w:r>
              <w:rPr>
                <w:rFonts w:hint="eastAsia" w:ascii="宋体" w:hAnsi="宋体" w:eastAsia="宋体" w:cs="宋体"/>
                <w:kern w:val="0"/>
                <w:sz w:val="24"/>
                <w:szCs w:val="24"/>
                <w:lang w:eastAsia="zh-CN"/>
              </w:rPr>
              <w:t>科</w:t>
            </w:r>
          </w:p>
        </w:tc>
        <w:tc>
          <w:tcPr>
            <w:tcW w:w="1229" w:type="dxa"/>
            <w:noWrap w:val="0"/>
            <w:vAlign w:val="center"/>
          </w:tcPr>
          <w:p w14:paraId="0499AEBD">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cs="宋体"/>
                <w:kern w:val="0"/>
                <w:sz w:val="24"/>
                <w:szCs w:val="24"/>
                <w:lang w:val="en-US" w:eastAsia="zh-CN"/>
              </w:rPr>
              <w:t>10</w:t>
            </w:r>
            <w:r>
              <w:rPr>
                <w:rFonts w:hint="eastAsia" w:ascii="宋体" w:hAnsi="宋体" w:eastAsia="宋体" w:cs="宋体"/>
                <w:kern w:val="0"/>
                <w:sz w:val="24"/>
                <w:szCs w:val="24"/>
                <w:lang w:val="en-US" w:eastAsia="zh-CN"/>
              </w:rPr>
              <w:t>年</w:t>
            </w:r>
          </w:p>
        </w:tc>
        <w:tc>
          <w:tcPr>
            <w:tcW w:w="1744" w:type="dxa"/>
            <w:noWrap w:val="0"/>
            <w:vAlign w:val="center"/>
          </w:tcPr>
          <w:p w14:paraId="45A1E6C7">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技术负责人</w:t>
            </w:r>
          </w:p>
        </w:tc>
      </w:tr>
      <w:tr w14:paraId="0E326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14:paraId="19D8E539">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3</w:t>
            </w:r>
          </w:p>
        </w:tc>
        <w:tc>
          <w:tcPr>
            <w:tcW w:w="1315" w:type="dxa"/>
            <w:noWrap w:val="0"/>
            <w:vAlign w:val="center"/>
          </w:tcPr>
          <w:p w14:paraId="174DC4EA">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sz w:val="24"/>
                <w:szCs w:val="24"/>
              </w:rPr>
              <w:t>装饰装修</w:t>
            </w:r>
          </w:p>
        </w:tc>
        <w:tc>
          <w:tcPr>
            <w:tcW w:w="1152" w:type="dxa"/>
            <w:noWrap w:val="0"/>
            <w:vAlign w:val="center"/>
          </w:tcPr>
          <w:p w14:paraId="7DBF33BF">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武世超</w:t>
            </w:r>
          </w:p>
        </w:tc>
        <w:tc>
          <w:tcPr>
            <w:tcW w:w="1584" w:type="dxa"/>
            <w:noWrap w:val="0"/>
            <w:vAlign w:val="center"/>
          </w:tcPr>
          <w:p w14:paraId="4C9F5214">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w:t>
            </w:r>
          </w:p>
        </w:tc>
        <w:tc>
          <w:tcPr>
            <w:tcW w:w="1132" w:type="dxa"/>
            <w:noWrap w:val="0"/>
            <w:vAlign w:val="center"/>
          </w:tcPr>
          <w:p w14:paraId="30F79C9E">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专科</w:t>
            </w:r>
          </w:p>
        </w:tc>
        <w:tc>
          <w:tcPr>
            <w:tcW w:w="1229" w:type="dxa"/>
            <w:noWrap w:val="0"/>
            <w:vAlign w:val="center"/>
          </w:tcPr>
          <w:p w14:paraId="43DC2927">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val="en-US" w:eastAsia="zh-CN"/>
              </w:rPr>
              <w:t>5年</w:t>
            </w:r>
          </w:p>
        </w:tc>
        <w:tc>
          <w:tcPr>
            <w:tcW w:w="1744" w:type="dxa"/>
            <w:noWrap w:val="0"/>
            <w:vAlign w:val="center"/>
          </w:tcPr>
          <w:p w14:paraId="0BA59319">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施工员</w:t>
            </w:r>
          </w:p>
        </w:tc>
      </w:tr>
      <w:tr w14:paraId="6AA04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14:paraId="146B1EC2">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4</w:t>
            </w:r>
          </w:p>
        </w:tc>
        <w:tc>
          <w:tcPr>
            <w:tcW w:w="1315" w:type="dxa"/>
            <w:noWrap w:val="0"/>
            <w:vAlign w:val="center"/>
          </w:tcPr>
          <w:p w14:paraId="6B7DF5E6">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sz w:val="24"/>
                <w:szCs w:val="24"/>
              </w:rPr>
              <w:t>土建工程</w:t>
            </w:r>
          </w:p>
        </w:tc>
        <w:tc>
          <w:tcPr>
            <w:tcW w:w="1152" w:type="dxa"/>
            <w:noWrap w:val="0"/>
            <w:vAlign w:val="center"/>
          </w:tcPr>
          <w:p w14:paraId="0825A23A">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于洪林</w:t>
            </w:r>
          </w:p>
        </w:tc>
        <w:tc>
          <w:tcPr>
            <w:tcW w:w="1584" w:type="dxa"/>
            <w:noWrap w:val="0"/>
            <w:vAlign w:val="center"/>
          </w:tcPr>
          <w:p w14:paraId="6874BCB9">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val="en-US" w:eastAsia="zh-CN"/>
              </w:rPr>
              <w:t>工程师</w:t>
            </w:r>
          </w:p>
        </w:tc>
        <w:tc>
          <w:tcPr>
            <w:tcW w:w="1132" w:type="dxa"/>
            <w:noWrap w:val="0"/>
            <w:vAlign w:val="center"/>
          </w:tcPr>
          <w:p w14:paraId="6AD42D72">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专科</w:t>
            </w:r>
          </w:p>
        </w:tc>
        <w:tc>
          <w:tcPr>
            <w:tcW w:w="1229" w:type="dxa"/>
            <w:noWrap w:val="0"/>
            <w:vAlign w:val="center"/>
          </w:tcPr>
          <w:p w14:paraId="246B0B74">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val="en-US" w:eastAsia="zh-CN"/>
              </w:rPr>
              <w:t>25年</w:t>
            </w:r>
          </w:p>
        </w:tc>
        <w:tc>
          <w:tcPr>
            <w:tcW w:w="1744" w:type="dxa"/>
            <w:noWrap w:val="0"/>
            <w:vAlign w:val="center"/>
          </w:tcPr>
          <w:p w14:paraId="490F51E7">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质量员</w:t>
            </w:r>
          </w:p>
        </w:tc>
      </w:tr>
      <w:tr w14:paraId="504D5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14:paraId="47045E34">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5</w:t>
            </w:r>
          </w:p>
        </w:tc>
        <w:tc>
          <w:tcPr>
            <w:tcW w:w="1315" w:type="dxa"/>
            <w:noWrap w:val="0"/>
            <w:vAlign w:val="center"/>
          </w:tcPr>
          <w:p w14:paraId="77F8AC7E">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sz w:val="24"/>
                <w:szCs w:val="24"/>
              </w:rPr>
              <w:t>建筑工程</w:t>
            </w:r>
          </w:p>
        </w:tc>
        <w:tc>
          <w:tcPr>
            <w:tcW w:w="1152" w:type="dxa"/>
            <w:noWrap w:val="0"/>
            <w:vAlign w:val="center"/>
          </w:tcPr>
          <w:p w14:paraId="4381C3F7">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吕松涛</w:t>
            </w:r>
          </w:p>
        </w:tc>
        <w:tc>
          <w:tcPr>
            <w:tcW w:w="1584" w:type="dxa"/>
            <w:noWrap w:val="0"/>
            <w:vAlign w:val="center"/>
          </w:tcPr>
          <w:p w14:paraId="6F862456">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val="en-US" w:eastAsia="zh-CN"/>
              </w:rPr>
              <w:t>/</w:t>
            </w:r>
          </w:p>
        </w:tc>
        <w:tc>
          <w:tcPr>
            <w:tcW w:w="1132" w:type="dxa"/>
            <w:noWrap w:val="0"/>
            <w:vAlign w:val="center"/>
          </w:tcPr>
          <w:p w14:paraId="3551D78C">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专科</w:t>
            </w:r>
          </w:p>
        </w:tc>
        <w:tc>
          <w:tcPr>
            <w:tcW w:w="1229" w:type="dxa"/>
            <w:noWrap w:val="0"/>
            <w:vAlign w:val="center"/>
          </w:tcPr>
          <w:p w14:paraId="277AB04F">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val="en-US" w:eastAsia="zh-CN"/>
              </w:rPr>
              <w:t>12年</w:t>
            </w:r>
          </w:p>
        </w:tc>
        <w:tc>
          <w:tcPr>
            <w:tcW w:w="1744" w:type="dxa"/>
            <w:noWrap w:val="0"/>
            <w:vAlign w:val="center"/>
          </w:tcPr>
          <w:p w14:paraId="3706E778">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专职安全生产管理人员</w:t>
            </w:r>
          </w:p>
        </w:tc>
      </w:tr>
      <w:tr w14:paraId="74B94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14:paraId="75E8B83F">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6</w:t>
            </w:r>
          </w:p>
        </w:tc>
        <w:tc>
          <w:tcPr>
            <w:tcW w:w="1315" w:type="dxa"/>
            <w:noWrap w:val="0"/>
            <w:vAlign w:val="center"/>
          </w:tcPr>
          <w:p w14:paraId="5D43BB55">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sz w:val="24"/>
                <w:szCs w:val="24"/>
              </w:rPr>
              <w:t>装饰装修</w:t>
            </w:r>
          </w:p>
        </w:tc>
        <w:tc>
          <w:tcPr>
            <w:tcW w:w="1152" w:type="dxa"/>
            <w:noWrap w:val="0"/>
            <w:vAlign w:val="center"/>
          </w:tcPr>
          <w:p w14:paraId="34B4642F">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石松林</w:t>
            </w:r>
          </w:p>
        </w:tc>
        <w:tc>
          <w:tcPr>
            <w:tcW w:w="1584" w:type="dxa"/>
            <w:noWrap w:val="0"/>
            <w:vAlign w:val="center"/>
          </w:tcPr>
          <w:p w14:paraId="51E13AA8">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w:t>
            </w:r>
          </w:p>
        </w:tc>
        <w:tc>
          <w:tcPr>
            <w:tcW w:w="1132" w:type="dxa"/>
            <w:noWrap w:val="0"/>
            <w:vAlign w:val="center"/>
          </w:tcPr>
          <w:p w14:paraId="015D78EC">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专科</w:t>
            </w:r>
          </w:p>
        </w:tc>
        <w:tc>
          <w:tcPr>
            <w:tcW w:w="1229" w:type="dxa"/>
            <w:noWrap w:val="0"/>
            <w:vAlign w:val="center"/>
          </w:tcPr>
          <w:p w14:paraId="0AEFF8A0">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val="en-US" w:eastAsia="zh-CN"/>
              </w:rPr>
              <w:t>20年</w:t>
            </w:r>
          </w:p>
        </w:tc>
        <w:tc>
          <w:tcPr>
            <w:tcW w:w="1744" w:type="dxa"/>
            <w:noWrap w:val="0"/>
            <w:vAlign w:val="center"/>
          </w:tcPr>
          <w:p w14:paraId="197DD91B">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材料员</w:t>
            </w:r>
          </w:p>
        </w:tc>
      </w:tr>
      <w:tr w14:paraId="5D893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14:paraId="08C5E098">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7</w:t>
            </w:r>
          </w:p>
        </w:tc>
        <w:tc>
          <w:tcPr>
            <w:tcW w:w="1315" w:type="dxa"/>
            <w:noWrap w:val="0"/>
            <w:vAlign w:val="center"/>
          </w:tcPr>
          <w:p w14:paraId="3D60E3D0">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sz w:val="24"/>
                <w:szCs w:val="24"/>
              </w:rPr>
              <w:t>装饰装修</w:t>
            </w:r>
          </w:p>
        </w:tc>
        <w:tc>
          <w:tcPr>
            <w:tcW w:w="1152" w:type="dxa"/>
            <w:noWrap w:val="0"/>
            <w:vAlign w:val="center"/>
          </w:tcPr>
          <w:p w14:paraId="3AFE3CA7">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王芳芳</w:t>
            </w:r>
          </w:p>
        </w:tc>
        <w:tc>
          <w:tcPr>
            <w:tcW w:w="1584" w:type="dxa"/>
            <w:noWrap w:val="0"/>
            <w:vAlign w:val="center"/>
          </w:tcPr>
          <w:p w14:paraId="69B62E1A">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工程师</w:t>
            </w:r>
          </w:p>
        </w:tc>
        <w:tc>
          <w:tcPr>
            <w:tcW w:w="1132" w:type="dxa"/>
            <w:noWrap w:val="0"/>
            <w:vAlign w:val="center"/>
          </w:tcPr>
          <w:p w14:paraId="296009CE">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专科</w:t>
            </w:r>
          </w:p>
        </w:tc>
        <w:tc>
          <w:tcPr>
            <w:tcW w:w="1229" w:type="dxa"/>
            <w:noWrap w:val="0"/>
            <w:vAlign w:val="center"/>
          </w:tcPr>
          <w:p w14:paraId="1F80D8B5">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val="en-US" w:eastAsia="zh-CN"/>
              </w:rPr>
              <w:t>10年</w:t>
            </w:r>
          </w:p>
        </w:tc>
        <w:tc>
          <w:tcPr>
            <w:tcW w:w="1744" w:type="dxa"/>
            <w:noWrap w:val="0"/>
            <w:vAlign w:val="center"/>
          </w:tcPr>
          <w:p w14:paraId="04887D5D">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资料员</w:t>
            </w:r>
          </w:p>
        </w:tc>
      </w:tr>
      <w:tr w14:paraId="2F16C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844" w:type="dxa"/>
            <w:noWrap w:val="0"/>
            <w:vAlign w:val="center"/>
          </w:tcPr>
          <w:p w14:paraId="7B58A6D3">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8</w:t>
            </w:r>
          </w:p>
        </w:tc>
        <w:tc>
          <w:tcPr>
            <w:tcW w:w="1315" w:type="dxa"/>
            <w:noWrap w:val="0"/>
            <w:vAlign w:val="center"/>
          </w:tcPr>
          <w:p w14:paraId="154244F8">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sz w:val="24"/>
                <w:szCs w:val="24"/>
              </w:rPr>
              <w:t>土木建筑</w:t>
            </w:r>
          </w:p>
        </w:tc>
        <w:tc>
          <w:tcPr>
            <w:tcW w:w="1152" w:type="dxa"/>
            <w:noWrap w:val="0"/>
            <w:vAlign w:val="center"/>
          </w:tcPr>
          <w:p w14:paraId="69E54C2B">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任超然</w:t>
            </w:r>
          </w:p>
        </w:tc>
        <w:tc>
          <w:tcPr>
            <w:tcW w:w="1584" w:type="dxa"/>
            <w:noWrap w:val="0"/>
            <w:vAlign w:val="center"/>
          </w:tcPr>
          <w:p w14:paraId="7095BBF3">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工程师</w:t>
            </w:r>
          </w:p>
        </w:tc>
        <w:tc>
          <w:tcPr>
            <w:tcW w:w="1132" w:type="dxa"/>
            <w:noWrap w:val="0"/>
            <w:vAlign w:val="center"/>
          </w:tcPr>
          <w:p w14:paraId="4725F6EB">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专科</w:t>
            </w:r>
          </w:p>
        </w:tc>
        <w:tc>
          <w:tcPr>
            <w:tcW w:w="1229" w:type="dxa"/>
            <w:noWrap w:val="0"/>
            <w:vAlign w:val="center"/>
          </w:tcPr>
          <w:p w14:paraId="39E6418D">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val="en-US" w:eastAsia="zh-CN"/>
              </w:rPr>
              <w:t>8年</w:t>
            </w:r>
          </w:p>
        </w:tc>
        <w:tc>
          <w:tcPr>
            <w:tcW w:w="1744" w:type="dxa"/>
            <w:noWrap w:val="0"/>
            <w:vAlign w:val="center"/>
          </w:tcPr>
          <w:p w14:paraId="41183E56">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造价师</w:t>
            </w:r>
          </w:p>
        </w:tc>
      </w:tr>
    </w:tbl>
    <w:p w14:paraId="48EF05D8">
      <w:pPr>
        <w:pStyle w:val="54"/>
        <w:spacing w:line="360" w:lineRule="auto"/>
        <w:rPr>
          <w:rFonts w:hint="eastAsia" w:asciiTheme="minorEastAsia" w:hAnsiTheme="minorEastAsia" w:eastAsiaTheme="minorEastAsia" w:cstheme="minorEastAsia"/>
          <w:bCs/>
          <w:color w:val="auto"/>
          <w:szCs w:val="28"/>
          <w:highlight w:val="none"/>
        </w:rPr>
      </w:pPr>
    </w:p>
    <w:p w14:paraId="074E50B0">
      <w:pPr>
        <w:pStyle w:val="54"/>
        <w:spacing w:line="360" w:lineRule="auto"/>
        <w:rPr>
          <w:rFonts w:hint="eastAsia" w:asciiTheme="minorEastAsia" w:hAnsiTheme="minorEastAsia" w:eastAsiaTheme="minorEastAsia" w:cstheme="minorEastAsia"/>
          <w:bCs/>
          <w:color w:val="auto"/>
          <w:szCs w:val="28"/>
          <w:highlight w:val="none"/>
        </w:rPr>
      </w:pPr>
    </w:p>
    <w:p w14:paraId="1B858387">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附件三、材料品牌表</w:t>
      </w:r>
    </w:p>
    <w:tbl>
      <w:tblPr>
        <w:tblStyle w:val="47"/>
        <w:tblW w:w="98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2"/>
        <w:gridCol w:w="2398"/>
        <w:gridCol w:w="1679"/>
        <w:gridCol w:w="3268"/>
        <w:gridCol w:w="1883"/>
      </w:tblGrid>
      <w:tr w14:paraId="2450F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59358">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2"/>
                <w:szCs w:val="22"/>
                <w:highlight w:val="none"/>
                <w:u w:val="none"/>
              </w:rPr>
            </w:pPr>
            <w:r>
              <w:rPr>
                <w:rFonts w:hint="eastAsia" w:asciiTheme="minorEastAsia" w:hAnsiTheme="minorEastAsia" w:eastAsiaTheme="minorEastAsia" w:cstheme="minorEastAsia"/>
                <w:b/>
                <w:bCs/>
                <w:i w:val="0"/>
                <w:iCs w:val="0"/>
                <w:color w:val="auto"/>
                <w:kern w:val="0"/>
                <w:sz w:val="22"/>
                <w:szCs w:val="22"/>
                <w:highlight w:val="none"/>
                <w:u w:val="none"/>
                <w:lang w:val="en-US" w:eastAsia="zh-CN" w:bidi="ar"/>
              </w:rPr>
              <w:t>序号</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40851">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2"/>
                <w:szCs w:val="22"/>
                <w:highlight w:val="none"/>
                <w:u w:val="none"/>
              </w:rPr>
            </w:pPr>
            <w:r>
              <w:rPr>
                <w:rFonts w:hint="eastAsia" w:asciiTheme="minorEastAsia" w:hAnsiTheme="minorEastAsia" w:eastAsiaTheme="minorEastAsia" w:cstheme="minorEastAsia"/>
                <w:b/>
                <w:bCs/>
                <w:i w:val="0"/>
                <w:iCs w:val="0"/>
                <w:color w:val="auto"/>
                <w:kern w:val="0"/>
                <w:sz w:val="22"/>
                <w:szCs w:val="22"/>
                <w:highlight w:val="none"/>
                <w:u w:val="none"/>
                <w:lang w:val="en-US" w:eastAsia="zh-CN" w:bidi="ar"/>
              </w:rPr>
              <w:t>材料名称</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77254">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2"/>
                <w:szCs w:val="22"/>
                <w:highlight w:val="none"/>
                <w:u w:val="none"/>
              </w:rPr>
            </w:pPr>
            <w:r>
              <w:rPr>
                <w:rFonts w:hint="eastAsia" w:asciiTheme="minorEastAsia" w:hAnsiTheme="minorEastAsia" w:eastAsiaTheme="minorEastAsia" w:cstheme="minorEastAsia"/>
                <w:b/>
                <w:bCs/>
                <w:i w:val="0"/>
                <w:iCs w:val="0"/>
                <w:color w:val="auto"/>
                <w:kern w:val="0"/>
                <w:sz w:val="22"/>
                <w:szCs w:val="22"/>
                <w:highlight w:val="none"/>
                <w:u w:val="none"/>
                <w:lang w:val="en-US" w:eastAsia="zh-CN" w:bidi="ar"/>
              </w:rPr>
              <w:t>供应方式</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B71B6">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2"/>
                <w:szCs w:val="22"/>
                <w:highlight w:val="none"/>
                <w:u w:val="none"/>
              </w:rPr>
            </w:pPr>
            <w:r>
              <w:rPr>
                <w:rFonts w:hint="eastAsia" w:asciiTheme="minorEastAsia" w:hAnsiTheme="minorEastAsia" w:eastAsiaTheme="minorEastAsia" w:cstheme="minorEastAsia"/>
                <w:b/>
                <w:bCs/>
                <w:i w:val="0"/>
                <w:iCs w:val="0"/>
                <w:color w:val="auto"/>
                <w:kern w:val="0"/>
                <w:sz w:val="22"/>
                <w:szCs w:val="22"/>
                <w:highlight w:val="none"/>
                <w:u w:val="none"/>
                <w:lang w:val="en-US" w:eastAsia="zh-CN" w:bidi="ar"/>
              </w:rPr>
              <w:t>限定品牌范围</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E8D08">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2"/>
                <w:szCs w:val="22"/>
                <w:highlight w:val="none"/>
                <w:u w:val="none"/>
              </w:rPr>
            </w:pPr>
            <w:r>
              <w:rPr>
                <w:rFonts w:hint="eastAsia" w:asciiTheme="minorEastAsia" w:hAnsiTheme="minorEastAsia" w:eastAsiaTheme="minorEastAsia" w:cstheme="minorEastAsia"/>
                <w:b/>
                <w:bCs/>
                <w:i w:val="0"/>
                <w:iCs w:val="0"/>
                <w:color w:val="auto"/>
                <w:kern w:val="0"/>
                <w:sz w:val="22"/>
                <w:szCs w:val="22"/>
                <w:highlight w:val="none"/>
                <w:u w:val="none"/>
                <w:lang w:val="en-US" w:eastAsia="zh-CN" w:bidi="ar"/>
              </w:rPr>
              <w:t>乙方选定品牌</w:t>
            </w:r>
          </w:p>
        </w:tc>
      </w:tr>
      <w:tr w14:paraId="6B77A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344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EC7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墙地砖</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379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B3B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FF0000"/>
                <w:kern w:val="0"/>
                <w:sz w:val="22"/>
                <w:szCs w:val="22"/>
                <w:highlight w:val="none"/>
                <w:u w:val="none"/>
                <w:lang w:val="en-US" w:eastAsia="zh-CN" w:bidi="ar"/>
              </w:rPr>
              <w:t>诺贝尔（MS807807用于楼梯踏步及标准层公区地面，RA15072356用于地下一层大堂地面，RA1507622YN用于公区墙面）</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B6B64">
            <w:pPr>
              <w:jc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sz w:val="22"/>
                <w:szCs w:val="22"/>
                <w:highlight w:val="none"/>
                <w:u w:val="none"/>
              </w:rPr>
              <w:t>蒙娜丽莎</w:t>
            </w:r>
          </w:p>
        </w:tc>
      </w:tr>
      <w:tr w14:paraId="23699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602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C0A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木饰面</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AB9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1C3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无</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CA34D">
            <w:pPr>
              <w:jc w:val="center"/>
              <w:rPr>
                <w:rFonts w:hint="eastAsia" w:asciiTheme="minorEastAsia" w:hAnsiTheme="minorEastAsia" w:eastAsiaTheme="minorEastAsia" w:cstheme="minorEastAsia"/>
                <w:i w:val="0"/>
                <w:iCs w:val="0"/>
                <w:color w:val="auto"/>
                <w:sz w:val="22"/>
                <w:szCs w:val="22"/>
                <w:highlight w:val="none"/>
                <w:u w:val="none"/>
              </w:rPr>
            </w:pPr>
          </w:p>
        </w:tc>
      </w:tr>
      <w:tr w14:paraId="15E41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A14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E17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灯具（工艺吊灯除外）</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DF5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DE5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西顿、三雄、雷士</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792CD">
            <w:pPr>
              <w:jc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sz w:val="22"/>
                <w:szCs w:val="22"/>
                <w:highlight w:val="none"/>
                <w:u w:val="none"/>
              </w:rPr>
              <w:t>三雄极光</w:t>
            </w:r>
          </w:p>
        </w:tc>
      </w:tr>
      <w:tr w14:paraId="5D157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ABB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24F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开关插座</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1BD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40D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罗格朗、西蒙、西门子</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A02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罗格朗</w:t>
            </w:r>
          </w:p>
        </w:tc>
      </w:tr>
      <w:tr w14:paraId="55286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407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E21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电线电缆</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51C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99F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郑三、金水、恒天、郑缆</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10677">
            <w:pPr>
              <w:jc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sz w:val="22"/>
                <w:szCs w:val="22"/>
                <w:highlight w:val="none"/>
                <w:u w:val="none"/>
              </w:rPr>
              <w:t>郑三</w:t>
            </w:r>
          </w:p>
        </w:tc>
      </w:tr>
      <w:tr w14:paraId="6AEA5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289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09F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防水石膏板、普通石膏板</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5FA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CE0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龙牌、泰山</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DE98A">
            <w:pPr>
              <w:jc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sz w:val="22"/>
                <w:szCs w:val="22"/>
                <w:highlight w:val="none"/>
                <w:u w:val="none"/>
              </w:rPr>
              <w:t>泰山</w:t>
            </w:r>
          </w:p>
        </w:tc>
      </w:tr>
      <w:tr w14:paraId="674E3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272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7</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034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轻钢龙骨</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8C4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473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龙牌、北新建材、可耐福</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A4115">
            <w:pPr>
              <w:jc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sz w:val="22"/>
                <w:szCs w:val="22"/>
                <w:highlight w:val="none"/>
                <w:u w:val="none"/>
              </w:rPr>
              <w:t>北新建材</w:t>
            </w:r>
          </w:p>
        </w:tc>
      </w:tr>
      <w:tr w14:paraId="6EEC9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865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w:t>
            </w:r>
          </w:p>
        </w:tc>
        <w:tc>
          <w:tcPr>
            <w:tcW w:w="2398" w:type="dxa"/>
            <w:tcBorders>
              <w:top w:val="single" w:color="000000" w:sz="4" w:space="0"/>
              <w:left w:val="single" w:color="000000" w:sz="4" w:space="0"/>
              <w:bottom w:val="nil"/>
              <w:right w:val="single" w:color="000000" w:sz="4" w:space="0"/>
            </w:tcBorders>
            <w:shd w:val="clear" w:color="auto" w:fill="auto"/>
            <w:vAlign w:val="center"/>
          </w:tcPr>
          <w:p w14:paraId="76DBC9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乳胶漆</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18D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nil"/>
              <w:right w:val="single" w:color="000000" w:sz="4" w:space="0"/>
            </w:tcBorders>
            <w:shd w:val="clear" w:color="auto" w:fill="auto"/>
            <w:vAlign w:val="center"/>
          </w:tcPr>
          <w:p w14:paraId="291C94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立邦、多乐士、嘉宝莉</w:t>
            </w:r>
          </w:p>
        </w:tc>
        <w:tc>
          <w:tcPr>
            <w:tcW w:w="1883" w:type="dxa"/>
            <w:tcBorders>
              <w:top w:val="single" w:color="000000" w:sz="4" w:space="0"/>
              <w:left w:val="single" w:color="000000" w:sz="4" w:space="0"/>
              <w:bottom w:val="nil"/>
              <w:right w:val="single" w:color="000000" w:sz="4" w:space="0"/>
            </w:tcBorders>
            <w:shd w:val="clear" w:color="auto" w:fill="auto"/>
            <w:vAlign w:val="center"/>
          </w:tcPr>
          <w:p w14:paraId="467453A3">
            <w:pPr>
              <w:jc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sz w:val="22"/>
                <w:szCs w:val="22"/>
                <w:highlight w:val="none"/>
                <w:u w:val="none"/>
              </w:rPr>
              <w:t>立邦</w:t>
            </w:r>
          </w:p>
        </w:tc>
      </w:tr>
      <w:tr w14:paraId="77FF6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126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9</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5BD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铝合金门窗内墙密封胶</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B88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776D3">
            <w:pPr>
              <w:jc w:val="center"/>
              <w:rPr>
                <w:rFonts w:hint="eastAsia" w:asciiTheme="minorEastAsia" w:hAnsiTheme="minorEastAsia" w:eastAsiaTheme="minorEastAsia" w:cstheme="minorEastAsia"/>
                <w:i w:val="0"/>
                <w:iCs w:val="0"/>
                <w:color w:val="auto"/>
                <w:sz w:val="22"/>
                <w:szCs w:val="22"/>
                <w:highlight w:val="none"/>
                <w:u w:val="none"/>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AE739">
            <w:pPr>
              <w:jc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sz w:val="22"/>
                <w:szCs w:val="22"/>
                <w:highlight w:val="none"/>
                <w:u w:val="none"/>
              </w:rPr>
              <w:t>白云</w:t>
            </w:r>
          </w:p>
        </w:tc>
      </w:tr>
      <w:tr w14:paraId="0CE7B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6C2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CAB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给排水管</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65F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A47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金牛、日丰、保利、伟星</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9E6A2">
            <w:pPr>
              <w:jc w:val="center"/>
              <w:rPr>
                <w:rFonts w:hint="eastAsia" w:asciiTheme="minorEastAsia" w:hAnsiTheme="minorEastAsia" w:eastAsiaTheme="minorEastAsia" w:cstheme="minorEastAsia"/>
                <w:i w:val="0"/>
                <w:iCs w:val="0"/>
                <w:color w:val="auto"/>
                <w:sz w:val="22"/>
                <w:szCs w:val="22"/>
                <w:highlight w:val="none"/>
                <w:u w:val="none"/>
              </w:rPr>
            </w:pPr>
          </w:p>
        </w:tc>
      </w:tr>
      <w:tr w14:paraId="3A873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3BF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11</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5F1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地暖管材</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427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91C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金牛、日丰、保利、伟星</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5DAE0">
            <w:pPr>
              <w:jc w:val="center"/>
              <w:rPr>
                <w:rFonts w:hint="eastAsia" w:asciiTheme="minorEastAsia" w:hAnsiTheme="minorEastAsia" w:eastAsiaTheme="minorEastAsia" w:cstheme="minorEastAsia"/>
                <w:i w:val="0"/>
                <w:iCs w:val="0"/>
                <w:color w:val="auto"/>
                <w:sz w:val="22"/>
                <w:szCs w:val="22"/>
                <w:highlight w:val="none"/>
                <w:u w:val="none"/>
              </w:rPr>
            </w:pPr>
          </w:p>
        </w:tc>
      </w:tr>
      <w:tr w14:paraId="18E21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7D1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12</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CCC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石膏阴角线</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47C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6F537">
            <w:pPr>
              <w:jc w:val="center"/>
              <w:rPr>
                <w:rFonts w:hint="eastAsia" w:asciiTheme="minorEastAsia" w:hAnsiTheme="minorEastAsia" w:eastAsiaTheme="minorEastAsia" w:cstheme="minorEastAsia"/>
                <w:i w:val="0"/>
                <w:iCs w:val="0"/>
                <w:color w:val="auto"/>
                <w:sz w:val="22"/>
                <w:szCs w:val="22"/>
                <w:highlight w:val="none"/>
                <w:u w:val="none"/>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3CE71">
            <w:pPr>
              <w:jc w:val="center"/>
              <w:rPr>
                <w:rFonts w:hint="eastAsia" w:asciiTheme="minorEastAsia" w:hAnsiTheme="minorEastAsia" w:eastAsiaTheme="minorEastAsia" w:cstheme="minorEastAsia"/>
                <w:i w:val="0"/>
                <w:iCs w:val="0"/>
                <w:color w:val="auto"/>
                <w:sz w:val="22"/>
                <w:szCs w:val="22"/>
                <w:highlight w:val="none"/>
                <w:u w:val="none"/>
              </w:rPr>
            </w:pPr>
          </w:p>
        </w:tc>
      </w:tr>
      <w:tr w14:paraId="2ECC6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C75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13</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2B3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石材</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4AE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4C4D9">
            <w:pPr>
              <w:jc w:val="center"/>
              <w:rPr>
                <w:rFonts w:hint="eastAsia" w:asciiTheme="minorEastAsia" w:hAnsiTheme="minorEastAsia" w:eastAsiaTheme="minorEastAsia" w:cstheme="minorEastAsia"/>
                <w:i w:val="0"/>
                <w:iCs w:val="0"/>
                <w:color w:val="auto"/>
                <w:sz w:val="22"/>
                <w:szCs w:val="22"/>
                <w:highlight w:val="none"/>
                <w:u w:val="none"/>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8A3EB">
            <w:pPr>
              <w:jc w:val="center"/>
              <w:rPr>
                <w:rFonts w:hint="eastAsia" w:asciiTheme="minorEastAsia" w:hAnsiTheme="minorEastAsia" w:eastAsiaTheme="minorEastAsia" w:cstheme="minorEastAsia"/>
                <w:i w:val="0"/>
                <w:iCs w:val="0"/>
                <w:color w:val="auto"/>
                <w:sz w:val="22"/>
                <w:szCs w:val="22"/>
                <w:highlight w:val="none"/>
                <w:u w:val="none"/>
              </w:rPr>
            </w:pPr>
          </w:p>
        </w:tc>
      </w:tr>
      <w:tr w14:paraId="7DDBD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550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14</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A43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内墙腻子</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BDA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3DB4A">
            <w:pPr>
              <w:jc w:val="center"/>
              <w:rPr>
                <w:rFonts w:hint="default" w:asciiTheme="minorEastAsia" w:hAnsiTheme="minorEastAsia" w:eastAsiaTheme="minorEastAsia" w:cstheme="minorEastAsia"/>
                <w:i w:val="0"/>
                <w:iCs w:val="0"/>
                <w:color w:val="auto"/>
                <w:sz w:val="22"/>
                <w:szCs w:val="22"/>
                <w:highlight w:val="none"/>
                <w:u w:val="none"/>
                <w:lang w:val="en-US" w:eastAsia="zh-CN"/>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9DA9A">
            <w:pPr>
              <w:jc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sz w:val="22"/>
                <w:szCs w:val="22"/>
                <w:highlight w:val="none"/>
                <w:u w:val="none"/>
                <w:lang w:val="en-US" w:eastAsia="zh-CN"/>
              </w:rPr>
              <w:t>腻子303</w:t>
            </w:r>
          </w:p>
        </w:tc>
      </w:tr>
      <w:tr w14:paraId="5FFB5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F3E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AE7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沙、石</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B17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8EBF2">
            <w:pPr>
              <w:jc w:val="center"/>
              <w:rPr>
                <w:rFonts w:hint="eastAsia" w:asciiTheme="minorEastAsia" w:hAnsiTheme="minorEastAsia" w:eastAsiaTheme="minorEastAsia" w:cstheme="minorEastAsia"/>
                <w:i w:val="0"/>
                <w:iCs w:val="0"/>
                <w:color w:val="auto"/>
                <w:sz w:val="22"/>
                <w:szCs w:val="22"/>
                <w:highlight w:val="none"/>
                <w:u w:val="none"/>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68B01">
            <w:pPr>
              <w:jc w:val="center"/>
              <w:rPr>
                <w:rFonts w:hint="eastAsia" w:asciiTheme="minorEastAsia" w:hAnsiTheme="minorEastAsia" w:eastAsiaTheme="minorEastAsia" w:cstheme="minorEastAsia"/>
                <w:i w:val="0"/>
                <w:iCs w:val="0"/>
                <w:color w:val="auto"/>
                <w:sz w:val="22"/>
                <w:szCs w:val="22"/>
                <w:highlight w:val="none"/>
                <w:u w:val="none"/>
              </w:rPr>
            </w:pPr>
          </w:p>
        </w:tc>
      </w:tr>
      <w:tr w14:paraId="73150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E99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16</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F10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防水材料</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E8A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966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雨中情、三棵树、宏源、华瑞</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1B0F8">
            <w:pPr>
              <w:jc w:val="center"/>
              <w:rPr>
                <w:rFonts w:hint="eastAsia" w:asciiTheme="minorEastAsia" w:hAnsiTheme="minorEastAsia" w:eastAsiaTheme="minorEastAsia" w:cstheme="minorEastAsia"/>
                <w:i w:val="0"/>
                <w:iCs w:val="0"/>
                <w:color w:val="auto"/>
                <w:sz w:val="22"/>
                <w:szCs w:val="22"/>
                <w:highlight w:val="none"/>
                <w:u w:val="none"/>
              </w:rPr>
            </w:pPr>
          </w:p>
        </w:tc>
      </w:tr>
    </w:tbl>
    <w:p w14:paraId="0C7F79B0">
      <w:pPr>
        <w:pStyle w:val="54"/>
        <w:rPr>
          <w:rFonts w:hint="eastAsia" w:asciiTheme="minorEastAsia" w:hAnsiTheme="minorEastAsia" w:eastAsiaTheme="minorEastAsia" w:cstheme="minorEastAsia"/>
          <w:bCs/>
          <w:color w:val="auto"/>
          <w:szCs w:val="28"/>
          <w:highlight w:val="none"/>
        </w:rPr>
      </w:pPr>
    </w:p>
    <w:p w14:paraId="786D01FE">
      <w:pPr>
        <w:pStyle w:val="54"/>
        <w:rPr>
          <w:rFonts w:hint="eastAsia" w:asciiTheme="minorEastAsia" w:hAnsiTheme="minorEastAsia" w:eastAsiaTheme="minorEastAsia" w:cstheme="minorEastAsia"/>
          <w:bCs/>
          <w:color w:val="auto"/>
          <w:szCs w:val="28"/>
          <w:highlight w:val="none"/>
        </w:rPr>
      </w:pPr>
    </w:p>
    <w:p w14:paraId="35461492">
      <w:pPr>
        <w:pStyle w:val="54"/>
        <w:rPr>
          <w:rFonts w:hint="eastAsia" w:asciiTheme="minorEastAsia" w:hAnsiTheme="minorEastAsia" w:eastAsiaTheme="minorEastAsia" w:cstheme="minorEastAsia"/>
          <w:bCs/>
          <w:color w:val="auto"/>
          <w:szCs w:val="28"/>
          <w:highlight w:val="none"/>
        </w:rPr>
      </w:pPr>
    </w:p>
    <w:p w14:paraId="4359C98F">
      <w:pPr>
        <w:pStyle w:val="54"/>
        <w:ind w:firstLine="0"/>
        <w:rPr>
          <w:rFonts w:hint="eastAsia" w:asciiTheme="minorEastAsia" w:hAnsiTheme="minorEastAsia" w:eastAsiaTheme="minorEastAsia" w:cstheme="minorEastAsia"/>
          <w:bCs/>
          <w:color w:val="auto"/>
          <w:szCs w:val="28"/>
          <w:highlight w:val="none"/>
        </w:rPr>
      </w:pPr>
    </w:p>
    <w:p w14:paraId="70080FBD">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附件四、《装修工程外观验收标准》</w:t>
      </w:r>
    </w:p>
    <w:tbl>
      <w:tblPr>
        <w:tblStyle w:val="47"/>
        <w:tblW w:w="94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3"/>
        <w:gridCol w:w="820"/>
        <w:gridCol w:w="7501"/>
      </w:tblGrid>
      <w:tr w14:paraId="1A666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093" w:type="dxa"/>
            <w:noWrap w:val="0"/>
            <w:vAlign w:val="top"/>
          </w:tcPr>
          <w:p w14:paraId="4F999839">
            <w:pPr>
              <w:pStyle w:val="101"/>
              <w:spacing w:before="37"/>
              <w:ind w:left="10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检查内容</w:t>
            </w:r>
          </w:p>
        </w:tc>
        <w:tc>
          <w:tcPr>
            <w:tcW w:w="8321" w:type="dxa"/>
            <w:gridSpan w:val="2"/>
            <w:noWrap w:val="0"/>
            <w:vAlign w:val="top"/>
          </w:tcPr>
          <w:p w14:paraId="58262512">
            <w:pPr>
              <w:pStyle w:val="101"/>
              <w:spacing w:before="37"/>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检查标准</w:t>
            </w:r>
          </w:p>
        </w:tc>
      </w:tr>
      <w:tr w14:paraId="1A1C4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noWrap w:val="0"/>
            <w:vAlign w:val="top"/>
          </w:tcPr>
          <w:p w14:paraId="52F8AFFE">
            <w:pPr>
              <w:pStyle w:val="101"/>
              <w:spacing w:before="20"/>
              <w:ind w:left="10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交楼标准</w:t>
            </w:r>
          </w:p>
        </w:tc>
        <w:tc>
          <w:tcPr>
            <w:tcW w:w="8321" w:type="dxa"/>
            <w:gridSpan w:val="2"/>
            <w:noWrap w:val="0"/>
            <w:vAlign w:val="top"/>
          </w:tcPr>
          <w:p w14:paraId="77B9D14C">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是否符合</w:t>
            </w:r>
          </w:p>
        </w:tc>
      </w:tr>
      <w:tr w14:paraId="0F7DF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noWrap w:val="0"/>
            <w:vAlign w:val="top"/>
          </w:tcPr>
          <w:p w14:paraId="2D70C918">
            <w:pPr>
              <w:pStyle w:val="101"/>
              <w:rPr>
                <w:rFonts w:hint="eastAsia" w:asciiTheme="minorEastAsia" w:hAnsiTheme="minorEastAsia" w:eastAsiaTheme="minorEastAsia" w:cstheme="minorEastAsia"/>
                <w:b/>
                <w:color w:val="auto"/>
                <w:szCs w:val="24"/>
                <w:highlight w:val="none"/>
              </w:rPr>
            </w:pPr>
          </w:p>
          <w:p w14:paraId="0F08D1DB">
            <w:pPr>
              <w:pStyle w:val="101"/>
              <w:rPr>
                <w:rFonts w:hint="eastAsia" w:asciiTheme="minorEastAsia" w:hAnsiTheme="minorEastAsia" w:eastAsiaTheme="minorEastAsia" w:cstheme="minorEastAsia"/>
                <w:b/>
                <w:color w:val="auto"/>
                <w:szCs w:val="24"/>
                <w:highlight w:val="none"/>
              </w:rPr>
            </w:pPr>
          </w:p>
          <w:p w14:paraId="67033199">
            <w:pPr>
              <w:pStyle w:val="101"/>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地面</w:t>
            </w:r>
          </w:p>
        </w:tc>
        <w:tc>
          <w:tcPr>
            <w:tcW w:w="820" w:type="dxa"/>
            <w:vMerge w:val="restart"/>
            <w:noWrap w:val="0"/>
            <w:vAlign w:val="top"/>
          </w:tcPr>
          <w:p w14:paraId="08D9216A">
            <w:pPr>
              <w:pStyle w:val="101"/>
              <w:spacing w:line="269" w:lineRule="exact"/>
              <w:ind w:left="219"/>
              <w:jc w:val="left"/>
              <w:rPr>
                <w:rFonts w:hint="eastAsia" w:asciiTheme="minorEastAsia" w:hAnsiTheme="minorEastAsia" w:eastAsiaTheme="minorEastAsia" w:cstheme="minorEastAsia"/>
                <w:color w:val="auto"/>
                <w:szCs w:val="24"/>
                <w:highlight w:val="none"/>
              </w:rPr>
            </w:pPr>
          </w:p>
          <w:p w14:paraId="1DF4278C">
            <w:pPr>
              <w:pStyle w:val="101"/>
              <w:spacing w:line="269" w:lineRule="exact"/>
              <w:ind w:left="219"/>
              <w:jc w:val="left"/>
              <w:rPr>
                <w:rFonts w:hint="eastAsia" w:asciiTheme="minorEastAsia" w:hAnsiTheme="minorEastAsia" w:eastAsiaTheme="minorEastAsia" w:cstheme="minorEastAsia"/>
                <w:color w:val="auto"/>
                <w:szCs w:val="24"/>
                <w:highlight w:val="none"/>
              </w:rPr>
            </w:pPr>
          </w:p>
          <w:p w14:paraId="1565D2F2">
            <w:pPr>
              <w:pStyle w:val="101"/>
              <w:spacing w:line="269" w:lineRule="exact"/>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瓷 </w:t>
            </w:r>
            <w:r>
              <w:rPr>
                <w:rFonts w:hint="eastAsia" w:asciiTheme="minorEastAsia" w:hAnsiTheme="minorEastAsia" w:eastAsiaTheme="minorEastAsia" w:cstheme="minorEastAsia"/>
                <w:color w:val="auto"/>
                <w:spacing w:val="-16"/>
                <w:szCs w:val="24"/>
                <w:highlight w:val="none"/>
              </w:rPr>
              <w:t>砖</w:t>
            </w:r>
          </w:p>
        </w:tc>
        <w:tc>
          <w:tcPr>
            <w:tcW w:w="7501" w:type="dxa"/>
            <w:noWrap w:val="0"/>
            <w:vAlign w:val="top"/>
          </w:tcPr>
          <w:p w14:paraId="743F4421">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瓷砖铺贴平整、对缝整齐，无空鼓、开裂、缺棱、掉角、色差、污染。</w:t>
            </w:r>
          </w:p>
        </w:tc>
      </w:tr>
      <w:tr w14:paraId="01F4E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5D6E9389">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58A59DF1">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3D63A423">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地漏口须设置在对角裁开的方砖正中，且收边美观、圆滑。</w:t>
            </w:r>
          </w:p>
        </w:tc>
      </w:tr>
      <w:tr w14:paraId="6C02A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14:paraId="3529BF9F">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22892456">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2F441F9D">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厨卫和阳台地面肉眼可见明显坡向地漏，须放水检验排水畅通、不积水、不渗漏。</w:t>
            </w:r>
          </w:p>
        </w:tc>
      </w:tr>
      <w:tr w14:paraId="2708D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763FCCDE">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05B9BA91">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786CF511">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地漏不应设在厨房菜盆、灶台、冰箱、卫生间洗脸盆的前方或阳台上经常行走的部位。</w:t>
            </w:r>
          </w:p>
        </w:tc>
      </w:tr>
      <w:tr w14:paraId="1C41D7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7354D004">
            <w:pPr>
              <w:rPr>
                <w:rFonts w:hint="eastAsia" w:asciiTheme="minorEastAsia" w:hAnsiTheme="minorEastAsia" w:eastAsiaTheme="minorEastAsia" w:cstheme="minorEastAsia"/>
                <w:color w:val="auto"/>
                <w:szCs w:val="24"/>
                <w:highlight w:val="none"/>
              </w:rPr>
            </w:pPr>
          </w:p>
        </w:tc>
        <w:tc>
          <w:tcPr>
            <w:tcW w:w="820" w:type="dxa"/>
            <w:vMerge w:val="restart"/>
            <w:noWrap w:val="0"/>
            <w:vAlign w:val="top"/>
          </w:tcPr>
          <w:p w14:paraId="4F1D6AA7">
            <w:pPr>
              <w:pStyle w:val="101"/>
              <w:spacing w:before="11"/>
              <w:jc w:val="left"/>
              <w:rPr>
                <w:rFonts w:hint="eastAsia" w:asciiTheme="minorEastAsia" w:hAnsiTheme="minorEastAsia" w:eastAsiaTheme="minorEastAsia" w:cstheme="minorEastAsia"/>
                <w:b/>
                <w:color w:val="auto"/>
                <w:szCs w:val="24"/>
                <w:highlight w:val="none"/>
              </w:rPr>
            </w:pPr>
          </w:p>
          <w:p w14:paraId="3DABF794">
            <w:pPr>
              <w:pStyle w:val="101"/>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木地板</w:t>
            </w:r>
          </w:p>
        </w:tc>
        <w:tc>
          <w:tcPr>
            <w:tcW w:w="7501" w:type="dxa"/>
            <w:noWrap w:val="0"/>
            <w:vAlign w:val="top"/>
          </w:tcPr>
          <w:p w14:paraId="11A07CF7">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表面平直，颜色、木纹协调一致，洁净无胶痕。</w:t>
            </w:r>
          </w:p>
        </w:tc>
      </w:tr>
      <w:tr w14:paraId="53CF7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14:paraId="13B5C64B">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23636AB2">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3D8905D7">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地板无松动、爆裂或撞凹，行走时无吱吱作响声。</w:t>
            </w:r>
          </w:p>
        </w:tc>
      </w:tr>
      <w:tr w14:paraId="42D60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6771AF88">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3E3F327F">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1CBD64CF">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地脚线接口，无松动现象。</w:t>
            </w:r>
          </w:p>
        </w:tc>
      </w:tr>
      <w:tr w14:paraId="2DA80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noWrap w:val="0"/>
            <w:vAlign w:val="top"/>
          </w:tcPr>
          <w:p w14:paraId="3AB978CE">
            <w:pPr>
              <w:pStyle w:val="101"/>
              <w:rPr>
                <w:rFonts w:hint="eastAsia" w:asciiTheme="minorEastAsia" w:hAnsiTheme="minorEastAsia" w:eastAsiaTheme="minorEastAsia" w:cstheme="minorEastAsia"/>
                <w:b/>
                <w:color w:val="auto"/>
                <w:szCs w:val="24"/>
                <w:highlight w:val="none"/>
              </w:rPr>
            </w:pPr>
          </w:p>
          <w:p w14:paraId="7CDA0D1A">
            <w:pPr>
              <w:pStyle w:val="101"/>
              <w:spacing w:before="1"/>
              <w:rPr>
                <w:rFonts w:hint="eastAsia" w:asciiTheme="minorEastAsia" w:hAnsiTheme="minorEastAsia" w:eastAsiaTheme="minorEastAsia" w:cstheme="minorEastAsia"/>
                <w:color w:val="auto"/>
                <w:szCs w:val="24"/>
                <w:highlight w:val="none"/>
              </w:rPr>
            </w:pPr>
          </w:p>
          <w:p w14:paraId="55C91FF8">
            <w:pPr>
              <w:pStyle w:val="101"/>
              <w:spacing w:before="1"/>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墙面</w:t>
            </w:r>
          </w:p>
        </w:tc>
        <w:tc>
          <w:tcPr>
            <w:tcW w:w="820" w:type="dxa"/>
            <w:vMerge w:val="restart"/>
            <w:noWrap w:val="0"/>
            <w:vAlign w:val="top"/>
          </w:tcPr>
          <w:p w14:paraId="7D834355">
            <w:pPr>
              <w:pStyle w:val="101"/>
              <w:spacing w:before="4"/>
              <w:jc w:val="left"/>
              <w:rPr>
                <w:rFonts w:hint="eastAsia" w:asciiTheme="minorEastAsia" w:hAnsiTheme="minorEastAsia" w:eastAsiaTheme="minorEastAsia" w:cstheme="minorEastAsia"/>
                <w:b/>
                <w:color w:val="auto"/>
                <w:szCs w:val="24"/>
                <w:highlight w:val="none"/>
              </w:rPr>
            </w:pPr>
          </w:p>
          <w:p w14:paraId="0EF361E0">
            <w:pPr>
              <w:pStyle w:val="101"/>
              <w:spacing w:line="278" w:lineRule="auto"/>
              <w:ind w:right="8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乳胶漆墙面</w:t>
            </w:r>
          </w:p>
        </w:tc>
        <w:tc>
          <w:tcPr>
            <w:tcW w:w="7501" w:type="dxa"/>
            <w:noWrap w:val="0"/>
            <w:vAlign w:val="top"/>
          </w:tcPr>
          <w:p w14:paraId="57BE8467">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无裂缝、裂纹，无掉粉、起皮，无流坠、疙瘩，无漏刷、污损、透底。</w:t>
            </w:r>
          </w:p>
        </w:tc>
      </w:tr>
      <w:tr w14:paraId="7E026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093" w:type="dxa"/>
            <w:vMerge w:val="continue"/>
            <w:tcBorders>
              <w:top w:val="nil"/>
            </w:tcBorders>
            <w:noWrap w:val="0"/>
            <w:vAlign w:val="top"/>
          </w:tcPr>
          <w:p w14:paraId="6E99A558">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0A7F3D11">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0FB8C5B1">
            <w:pPr>
              <w:pStyle w:val="101"/>
              <w:spacing w:before="52"/>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刷纹通顺、无明显刷纹，光感均匀、无起伏阴影和色差。</w:t>
            </w:r>
          </w:p>
        </w:tc>
      </w:tr>
      <w:tr w14:paraId="2295B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6CFD5983">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0033F0F8">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7C7A6767">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阴阳角线条清晰、方正顺直。</w:t>
            </w:r>
          </w:p>
        </w:tc>
      </w:tr>
      <w:tr w14:paraId="73FE1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67E3C9B8">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14487E59">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2EE44457">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基本无反碱、咬色。</w:t>
            </w:r>
          </w:p>
        </w:tc>
      </w:tr>
      <w:tr w14:paraId="4E22D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0949DCF2">
            <w:pPr>
              <w:rPr>
                <w:rFonts w:hint="eastAsia" w:asciiTheme="minorEastAsia" w:hAnsiTheme="minorEastAsia" w:eastAsiaTheme="minorEastAsia" w:cstheme="minorEastAsia"/>
                <w:color w:val="auto"/>
                <w:szCs w:val="24"/>
                <w:highlight w:val="none"/>
              </w:rPr>
            </w:pPr>
          </w:p>
        </w:tc>
        <w:tc>
          <w:tcPr>
            <w:tcW w:w="820" w:type="dxa"/>
            <w:vMerge w:val="restart"/>
            <w:noWrap w:val="0"/>
            <w:vAlign w:val="top"/>
          </w:tcPr>
          <w:p w14:paraId="22D0783A">
            <w:pPr>
              <w:pStyle w:val="101"/>
              <w:spacing w:before="11"/>
              <w:jc w:val="left"/>
              <w:rPr>
                <w:rFonts w:hint="eastAsia" w:asciiTheme="minorEastAsia" w:hAnsiTheme="minorEastAsia" w:eastAsiaTheme="minorEastAsia" w:cstheme="minorEastAsia"/>
                <w:b/>
                <w:color w:val="auto"/>
                <w:szCs w:val="24"/>
                <w:highlight w:val="none"/>
              </w:rPr>
            </w:pPr>
          </w:p>
          <w:p w14:paraId="49A8C682">
            <w:pPr>
              <w:pStyle w:val="101"/>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val="en-US"/>
              </w:rPr>
              <w:t>瓷砖</w:t>
            </w:r>
            <w:r>
              <w:rPr>
                <w:rFonts w:hint="eastAsia" w:asciiTheme="minorEastAsia" w:hAnsiTheme="minorEastAsia" w:eastAsiaTheme="minorEastAsia" w:cstheme="minorEastAsia"/>
                <w:color w:val="auto"/>
                <w:szCs w:val="24"/>
                <w:highlight w:val="none"/>
              </w:rPr>
              <w:t>墙面</w:t>
            </w:r>
          </w:p>
        </w:tc>
        <w:tc>
          <w:tcPr>
            <w:tcW w:w="7501" w:type="dxa"/>
            <w:noWrap w:val="0"/>
            <w:vAlign w:val="top"/>
          </w:tcPr>
          <w:p w14:paraId="6B0F224D">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瓷片牢固平整、对缝整齐、勾缝饱满均匀。</w:t>
            </w:r>
          </w:p>
        </w:tc>
      </w:tr>
      <w:tr w14:paraId="52706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14:paraId="354023C9">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78F313C7">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213B540A">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无破裂、空鼓、色差、污渍，无缺棱掉角、歪斜。</w:t>
            </w:r>
          </w:p>
        </w:tc>
      </w:tr>
      <w:tr w14:paraId="53B43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11816A23">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74DB09A0">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0D8FD0C7">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阴阳角处瓷片搭接方向正确。</w:t>
            </w:r>
          </w:p>
        </w:tc>
      </w:tr>
      <w:tr w14:paraId="37278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noWrap w:val="0"/>
            <w:vAlign w:val="top"/>
          </w:tcPr>
          <w:p w14:paraId="2237CCA5">
            <w:pPr>
              <w:pStyle w:val="101"/>
              <w:rPr>
                <w:rFonts w:hint="eastAsia" w:asciiTheme="minorEastAsia" w:hAnsiTheme="minorEastAsia" w:eastAsiaTheme="minorEastAsia" w:cstheme="minorEastAsia"/>
                <w:color w:val="auto"/>
                <w:szCs w:val="24"/>
                <w:highlight w:val="none"/>
              </w:rPr>
            </w:pPr>
          </w:p>
          <w:p w14:paraId="7C7F985D">
            <w:pPr>
              <w:pStyle w:val="101"/>
              <w:rPr>
                <w:rFonts w:hint="eastAsia" w:asciiTheme="minorEastAsia" w:hAnsiTheme="minorEastAsia" w:eastAsiaTheme="minorEastAsia" w:cstheme="minorEastAsia"/>
                <w:color w:val="auto"/>
                <w:szCs w:val="24"/>
                <w:highlight w:val="none"/>
              </w:rPr>
            </w:pPr>
          </w:p>
          <w:p w14:paraId="25E26956">
            <w:pPr>
              <w:pStyle w:val="101"/>
              <w:rPr>
                <w:rFonts w:hint="eastAsia" w:asciiTheme="minorEastAsia" w:hAnsiTheme="minorEastAsia" w:eastAsiaTheme="minorEastAsia" w:cstheme="minorEastAsia"/>
                <w:color w:val="auto"/>
                <w:szCs w:val="24"/>
                <w:highlight w:val="none"/>
              </w:rPr>
            </w:pPr>
          </w:p>
          <w:p w14:paraId="6F4A42C1">
            <w:pPr>
              <w:pStyle w:val="101"/>
              <w:rPr>
                <w:rFonts w:hint="eastAsia" w:asciiTheme="minorEastAsia" w:hAnsiTheme="minorEastAsia" w:eastAsiaTheme="minorEastAsia" w:cstheme="minorEastAsia"/>
                <w:color w:val="auto"/>
                <w:szCs w:val="24"/>
                <w:highlight w:val="none"/>
              </w:rPr>
            </w:pPr>
          </w:p>
          <w:p w14:paraId="08C3C790">
            <w:pPr>
              <w:pStyle w:val="101"/>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天花</w:t>
            </w:r>
          </w:p>
        </w:tc>
        <w:tc>
          <w:tcPr>
            <w:tcW w:w="820" w:type="dxa"/>
            <w:vMerge w:val="restart"/>
            <w:noWrap w:val="0"/>
            <w:vAlign w:val="top"/>
          </w:tcPr>
          <w:p w14:paraId="2A0846B1">
            <w:pPr>
              <w:pStyle w:val="101"/>
              <w:spacing w:before="7"/>
              <w:jc w:val="left"/>
              <w:rPr>
                <w:rFonts w:hint="eastAsia" w:asciiTheme="minorEastAsia" w:hAnsiTheme="minorEastAsia" w:eastAsiaTheme="minorEastAsia" w:cstheme="minorEastAsia"/>
                <w:b/>
                <w:color w:val="auto"/>
                <w:szCs w:val="24"/>
                <w:highlight w:val="none"/>
              </w:rPr>
            </w:pPr>
          </w:p>
          <w:p w14:paraId="0E8231A9">
            <w:pPr>
              <w:pStyle w:val="101"/>
              <w:spacing w:line="278" w:lineRule="auto"/>
              <w:ind w:right="8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乳胶漆天花</w:t>
            </w:r>
          </w:p>
        </w:tc>
        <w:tc>
          <w:tcPr>
            <w:tcW w:w="7501" w:type="dxa"/>
            <w:noWrap w:val="0"/>
            <w:vAlign w:val="top"/>
          </w:tcPr>
          <w:p w14:paraId="3CDD0E7C">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无裂缝、裂纹，无掉粉、起皮，无流坠、疙瘩，无漏刷、污损、透底。</w:t>
            </w:r>
          </w:p>
        </w:tc>
      </w:tr>
      <w:tr w14:paraId="33B0B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2C823EAD">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1962EEEE">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078CD204">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刷纹通顺、无明显刷纹，光感均匀、无起伏阴影和色差。</w:t>
            </w:r>
          </w:p>
        </w:tc>
      </w:tr>
      <w:tr w14:paraId="0FAB1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14:paraId="1C896E6A">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52FBCF56">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30519BAD">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装饰线、分色线平直，阴阳角线条清晰、方正顺直。</w:t>
            </w:r>
          </w:p>
        </w:tc>
      </w:tr>
      <w:tr w14:paraId="6EDFE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2F097091">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1250D32F">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06679989">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基本无反碱、咬色。</w:t>
            </w:r>
          </w:p>
        </w:tc>
      </w:tr>
      <w:tr w14:paraId="2F9FC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14:paraId="2FA9BAA8">
            <w:pPr>
              <w:rPr>
                <w:rFonts w:hint="eastAsia" w:asciiTheme="minorEastAsia" w:hAnsiTheme="minorEastAsia" w:eastAsiaTheme="minorEastAsia" w:cstheme="minorEastAsia"/>
                <w:color w:val="auto"/>
                <w:szCs w:val="24"/>
                <w:highlight w:val="none"/>
              </w:rPr>
            </w:pPr>
          </w:p>
        </w:tc>
        <w:tc>
          <w:tcPr>
            <w:tcW w:w="820" w:type="dxa"/>
            <w:vMerge w:val="restart"/>
            <w:noWrap w:val="0"/>
            <w:vAlign w:val="top"/>
          </w:tcPr>
          <w:p w14:paraId="592DD809">
            <w:pPr>
              <w:pStyle w:val="101"/>
              <w:spacing w:before="11"/>
              <w:jc w:val="left"/>
              <w:rPr>
                <w:rFonts w:hint="eastAsia" w:asciiTheme="minorEastAsia" w:hAnsiTheme="minorEastAsia" w:eastAsiaTheme="minorEastAsia" w:cstheme="minorEastAsia"/>
                <w:b/>
                <w:color w:val="auto"/>
                <w:szCs w:val="24"/>
                <w:highlight w:val="none"/>
              </w:rPr>
            </w:pPr>
          </w:p>
          <w:p w14:paraId="34A6743C">
            <w:pPr>
              <w:pStyle w:val="101"/>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吊顶</w:t>
            </w:r>
          </w:p>
        </w:tc>
        <w:tc>
          <w:tcPr>
            <w:tcW w:w="7501" w:type="dxa"/>
            <w:noWrap w:val="0"/>
            <w:vAlign w:val="top"/>
          </w:tcPr>
          <w:p w14:paraId="66FA0F31">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整体完好、安装牢固，表面平整、颜色均匀，线角顺直方正。</w:t>
            </w:r>
          </w:p>
        </w:tc>
      </w:tr>
      <w:tr w14:paraId="23EA8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47DD1BDD">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4AFF7C18">
            <w:pPr>
              <w:rPr>
                <w:rFonts w:hint="eastAsia" w:asciiTheme="minorEastAsia" w:hAnsiTheme="minorEastAsia" w:eastAsiaTheme="minorEastAsia" w:cstheme="minorEastAsia"/>
                <w:color w:val="auto"/>
                <w:szCs w:val="24"/>
                <w:highlight w:val="none"/>
              </w:rPr>
            </w:pPr>
          </w:p>
        </w:tc>
        <w:tc>
          <w:tcPr>
            <w:tcW w:w="7501" w:type="dxa"/>
            <w:noWrap w:val="0"/>
            <w:vAlign w:val="top"/>
          </w:tcPr>
          <w:p w14:paraId="49D700F7">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无污染、折裂、锤伤、缺棱掉角。</w:t>
            </w:r>
          </w:p>
        </w:tc>
      </w:tr>
      <w:tr w14:paraId="16E58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bottom w:val="single" w:color="auto" w:sz="4" w:space="0"/>
            </w:tcBorders>
            <w:noWrap w:val="0"/>
            <w:vAlign w:val="top"/>
          </w:tcPr>
          <w:p w14:paraId="644B7C7E">
            <w:pPr>
              <w:rPr>
                <w:rFonts w:hint="eastAsia" w:asciiTheme="minorEastAsia" w:hAnsiTheme="minorEastAsia" w:eastAsiaTheme="minorEastAsia" w:cstheme="minorEastAsia"/>
                <w:color w:val="auto"/>
                <w:szCs w:val="24"/>
                <w:highlight w:val="none"/>
              </w:rPr>
            </w:pPr>
          </w:p>
        </w:tc>
        <w:tc>
          <w:tcPr>
            <w:tcW w:w="820" w:type="dxa"/>
            <w:vMerge w:val="continue"/>
            <w:tcBorders>
              <w:top w:val="nil"/>
              <w:bottom w:val="single" w:color="auto" w:sz="4" w:space="0"/>
            </w:tcBorders>
            <w:noWrap w:val="0"/>
            <w:vAlign w:val="top"/>
          </w:tcPr>
          <w:p w14:paraId="3D018334">
            <w:pPr>
              <w:rPr>
                <w:rFonts w:hint="eastAsia" w:asciiTheme="minorEastAsia" w:hAnsiTheme="minorEastAsia" w:eastAsiaTheme="minorEastAsia" w:cstheme="minorEastAsia"/>
                <w:color w:val="auto"/>
                <w:szCs w:val="24"/>
                <w:highlight w:val="none"/>
              </w:rPr>
            </w:pPr>
          </w:p>
        </w:tc>
        <w:tc>
          <w:tcPr>
            <w:tcW w:w="7501" w:type="dxa"/>
            <w:noWrap w:val="0"/>
            <w:vAlign w:val="top"/>
          </w:tcPr>
          <w:p w14:paraId="67C0EFA5">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接缝均匀一致。</w:t>
            </w:r>
          </w:p>
        </w:tc>
      </w:tr>
      <w:tr w14:paraId="6B276E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restart"/>
            <w:tcBorders>
              <w:top w:val="single" w:color="auto" w:sz="4" w:space="0"/>
              <w:left w:val="single" w:color="auto" w:sz="4" w:space="0"/>
              <w:bottom w:val="single" w:color="auto" w:sz="4" w:space="0"/>
              <w:right w:val="single" w:color="auto" w:sz="4" w:space="0"/>
            </w:tcBorders>
            <w:noWrap w:val="0"/>
            <w:vAlign w:val="top"/>
          </w:tcPr>
          <w:p w14:paraId="255AD55D">
            <w:pPr>
              <w:rPr>
                <w:rFonts w:hint="eastAsia" w:asciiTheme="minorEastAsia" w:hAnsiTheme="minorEastAsia" w:eastAsiaTheme="minorEastAsia" w:cstheme="minorEastAsia"/>
                <w:color w:val="auto"/>
                <w:szCs w:val="24"/>
                <w:highlight w:val="none"/>
              </w:rPr>
            </w:pPr>
          </w:p>
          <w:p w14:paraId="0714837F">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给排水</w:t>
            </w:r>
          </w:p>
        </w:tc>
        <w:tc>
          <w:tcPr>
            <w:tcW w:w="820" w:type="dxa"/>
            <w:tcBorders>
              <w:top w:val="single" w:color="auto" w:sz="4" w:space="0"/>
              <w:left w:val="single" w:color="auto" w:sz="4" w:space="0"/>
              <w:bottom w:val="single" w:color="auto" w:sz="4" w:space="0"/>
              <w:right w:val="single" w:color="auto" w:sz="4" w:space="0"/>
            </w:tcBorders>
            <w:noWrap w:val="0"/>
            <w:vAlign w:val="top"/>
          </w:tcPr>
          <w:p w14:paraId="04AF2145">
            <w:pPr>
              <w:pStyle w:val="101"/>
              <w:spacing w:before="2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给水</w:t>
            </w:r>
          </w:p>
        </w:tc>
        <w:tc>
          <w:tcPr>
            <w:tcW w:w="7501" w:type="dxa"/>
            <w:tcBorders>
              <w:left w:val="single" w:color="auto" w:sz="4" w:space="0"/>
            </w:tcBorders>
            <w:noWrap w:val="0"/>
            <w:vAlign w:val="top"/>
          </w:tcPr>
          <w:p w14:paraId="6A112EB4">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给水分户总阀开关正常、操作灵活自如、无渗漏，水表无损伤，运转方向正确。</w:t>
            </w:r>
          </w:p>
        </w:tc>
      </w:tr>
      <w:tr w14:paraId="3D6A3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single" w:color="auto" w:sz="4" w:space="0"/>
              <w:left w:val="single" w:color="auto" w:sz="4" w:space="0"/>
              <w:bottom w:val="single" w:color="auto" w:sz="4" w:space="0"/>
              <w:right w:val="single" w:color="auto" w:sz="4" w:space="0"/>
            </w:tcBorders>
            <w:noWrap w:val="0"/>
            <w:vAlign w:val="top"/>
          </w:tcPr>
          <w:p w14:paraId="3221E1D1">
            <w:pPr>
              <w:rPr>
                <w:rFonts w:hint="eastAsia" w:asciiTheme="minorEastAsia" w:hAnsiTheme="minorEastAsia" w:eastAsiaTheme="minorEastAsia" w:cstheme="minorEastAsia"/>
                <w:color w:val="auto"/>
                <w:szCs w:val="24"/>
                <w:highlight w:val="none"/>
              </w:rPr>
            </w:pPr>
          </w:p>
        </w:tc>
        <w:tc>
          <w:tcPr>
            <w:tcW w:w="820" w:type="dxa"/>
            <w:tcBorders>
              <w:top w:val="single" w:color="auto" w:sz="4" w:space="0"/>
              <w:left w:val="single" w:color="auto" w:sz="4" w:space="0"/>
              <w:bottom w:val="single" w:color="auto" w:sz="4" w:space="0"/>
              <w:right w:val="single" w:color="auto" w:sz="4" w:space="0"/>
            </w:tcBorders>
            <w:noWrap w:val="0"/>
            <w:vAlign w:val="top"/>
          </w:tcPr>
          <w:p w14:paraId="2E819CC3">
            <w:pPr>
              <w:pStyle w:val="101"/>
              <w:spacing w:before="17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排水</w:t>
            </w:r>
          </w:p>
        </w:tc>
        <w:tc>
          <w:tcPr>
            <w:tcW w:w="7501" w:type="dxa"/>
            <w:tcBorders>
              <w:left w:val="single" w:color="auto" w:sz="4" w:space="0"/>
              <w:bottom w:val="single" w:color="auto" w:sz="4" w:space="0"/>
            </w:tcBorders>
            <w:noWrap w:val="0"/>
            <w:vAlign w:val="top"/>
          </w:tcPr>
          <w:p w14:paraId="062EA7A2">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排水顺畅、有吸力，不渗漏，配件齐全，安装到位。预留口位置准确，保护有效，管内无</w:t>
            </w:r>
          </w:p>
          <w:p w14:paraId="5B9482A6">
            <w:pPr>
              <w:pStyle w:val="101"/>
              <w:spacing w:before="43"/>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异物。</w:t>
            </w:r>
          </w:p>
        </w:tc>
      </w:tr>
      <w:tr w14:paraId="182AA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1093" w:type="dxa"/>
            <w:vMerge w:val="restart"/>
            <w:tcBorders>
              <w:top w:val="single" w:color="auto" w:sz="4" w:space="0"/>
              <w:left w:val="single" w:color="auto" w:sz="4" w:space="0"/>
              <w:right w:val="single" w:color="auto" w:sz="4" w:space="0"/>
            </w:tcBorders>
            <w:noWrap w:val="0"/>
            <w:vAlign w:val="top"/>
          </w:tcPr>
          <w:p w14:paraId="3DC1E42A">
            <w:pPr>
              <w:rPr>
                <w:rFonts w:hint="eastAsia" w:asciiTheme="minorEastAsia" w:hAnsiTheme="minorEastAsia" w:eastAsiaTheme="minorEastAsia" w:cstheme="minorEastAsia"/>
                <w:color w:val="auto"/>
                <w:szCs w:val="24"/>
                <w:highlight w:val="none"/>
              </w:rPr>
            </w:pPr>
          </w:p>
          <w:p w14:paraId="74619064">
            <w:pPr>
              <w:rPr>
                <w:rFonts w:hint="eastAsia" w:asciiTheme="minorEastAsia" w:hAnsiTheme="minorEastAsia" w:eastAsiaTheme="minorEastAsia" w:cstheme="minorEastAsia"/>
                <w:color w:val="auto"/>
                <w:szCs w:val="24"/>
                <w:highlight w:val="none"/>
              </w:rPr>
            </w:pPr>
          </w:p>
          <w:p w14:paraId="78461138">
            <w:pPr>
              <w:rPr>
                <w:rFonts w:hint="eastAsia" w:asciiTheme="minorEastAsia" w:hAnsiTheme="minorEastAsia" w:eastAsiaTheme="minorEastAsia" w:cstheme="minorEastAsia"/>
                <w:color w:val="auto"/>
                <w:szCs w:val="24"/>
                <w:highlight w:val="none"/>
              </w:rPr>
            </w:pPr>
          </w:p>
          <w:p w14:paraId="0A6DCACB">
            <w:pPr>
              <w:rPr>
                <w:rFonts w:hint="eastAsia" w:asciiTheme="minorEastAsia" w:hAnsiTheme="minorEastAsia" w:eastAsiaTheme="minorEastAsia" w:cstheme="minorEastAsia"/>
                <w:color w:val="auto"/>
                <w:szCs w:val="24"/>
                <w:highlight w:val="none"/>
              </w:rPr>
            </w:pPr>
          </w:p>
          <w:p w14:paraId="301E4447">
            <w:pPr>
              <w:rPr>
                <w:rFonts w:hint="eastAsia" w:asciiTheme="minorEastAsia" w:hAnsiTheme="minorEastAsia" w:eastAsiaTheme="minorEastAsia" w:cstheme="minorEastAsia"/>
                <w:color w:val="auto"/>
                <w:szCs w:val="24"/>
                <w:highlight w:val="none"/>
              </w:rPr>
            </w:pPr>
          </w:p>
          <w:p w14:paraId="4E9EE670">
            <w:pPr>
              <w:rPr>
                <w:rFonts w:hint="eastAsia" w:asciiTheme="minorEastAsia" w:hAnsiTheme="minorEastAsia" w:eastAsiaTheme="minorEastAsia" w:cstheme="minorEastAsia"/>
                <w:color w:val="auto"/>
                <w:szCs w:val="24"/>
                <w:highlight w:val="none"/>
              </w:rPr>
            </w:pPr>
          </w:p>
          <w:p w14:paraId="732A6598">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安装类</w:t>
            </w:r>
          </w:p>
        </w:tc>
        <w:tc>
          <w:tcPr>
            <w:tcW w:w="820" w:type="dxa"/>
            <w:vMerge w:val="restart"/>
            <w:tcBorders>
              <w:top w:val="single" w:color="auto" w:sz="4" w:space="0"/>
              <w:left w:val="single" w:color="auto" w:sz="4" w:space="0"/>
              <w:bottom w:val="single" w:color="auto" w:sz="4" w:space="0"/>
              <w:right w:val="single" w:color="auto" w:sz="4" w:space="0"/>
            </w:tcBorders>
            <w:noWrap w:val="0"/>
            <w:vAlign w:val="top"/>
          </w:tcPr>
          <w:p w14:paraId="7E7F2714">
            <w:pPr>
              <w:jc w:val="left"/>
              <w:rPr>
                <w:rFonts w:hint="eastAsia" w:asciiTheme="minorEastAsia" w:hAnsiTheme="minorEastAsia" w:eastAsiaTheme="minorEastAsia" w:cstheme="minorEastAsia"/>
                <w:color w:val="auto"/>
                <w:szCs w:val="24"/>
                <w:highlight w:val="none"/>
              </w:rPr>
            </w:pPr>
          </w:p>
          <w:p w14:paraId="55171299">
            <w:pPr>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灯具</w:t>
            </w:r>
          </w:p>
        </w:tc>
        <w:tc>
          <w:tcPr>
            <w:tcW w:w="7501" w:type="dxa"/>
            <w:tcBorders>
              <w:top w:val="single" w:color="auto" w:sz="4" w:space="0"/>
              <w:left w:val="single" w:color="auto" w:sz="4" w:space="0"/>
              <w:bottom w:val="single" w:color="auto" w:sz="4" w:space="0"/>
              <w:right w:val="single" w:color="auto" w:sz="4" w:space="0"/>
            </w:tcBorders>
            <w:noWrap w:val="0"/>
            <w:vAlign w:val="top"/>
          </w:tcPr>
          <w:p w14:paraId="119BB66B">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无松动、破损，表面整洁、开关正常、位置正确。</w:t>
            </w:r>
          </w:p>
        </w:tc>
      </w:tr>
      <w:tr w14:paraId="11D25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093" w:type="dxa"/>
            <w:vMerge w:val="continue"/>
            <w:tcBorders>
              <w:left w:val="single" w:color="auto" w:sz="4" w:space="0"/>
              <w:right w:val="single" w:color="auto" w:sz="4" w:space="0"/>
            </w:tcBorders>
            <w:noWrap w:val="0"/>
            <w:vAlign w:val="top"/>
          </w:tcPr>
          <w:p w14:paraId="69F2CB1C">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14:paraId="0EE4784C">
            <w:pPr>
              <w:jc w:val="left"/>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14:paraId="0C1F33EA">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灯泡完好、规格型号正确，符合设计要求。</w:t>
            </w:r>
          </w:p>
        </w:tc>
      </w:tr>
      <w:tr w14:paraId="69DE2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3FD0F380">
            <w:pPr>
              <w:jc w:val="left"/>
              <w:rPr>
                <w:rFonts w:hint="eastAsia" w:asciiTheme="minorEastAsia" w:hAnsiTheme="minorEastAsia" w:eastAsiaTheme="minorEastAsia" w:cstheme="minorEastAsia"/>
                <w:color w:val="auto"/>
                <w:szCs w:val="24"/>
                <w:highlight w:val="none"/>
              </w:rPr>
            </w:pPr>
          </w:p>
        </w:tc>
        <w:tc>
          <w:tcPr>
            <w:tcW w:w="820" w:type="dxa"/>
            <w:vMerge w:val="restart"/>
            <w:tcBorders>
              <w:top w:val="single" w:color="auto" w:sz="4" w:space="0"/>
              <w:left w:val="single" w:color="auto" w:sz="4" w:space="0"/>
              <w:bottom w:val="single" w:color="auto" w:sz="4" w:space="0"/>
              <w:right w:val="single" w:color="auto" w:sz="4" w:space="0"/>
            </w:tcBorders>
            <w:noWrap w:val="0"/>
            <w:vAlign w:val="top"/>
          </w:tcPr>
          <w:p w14:paraId="75E0F583">
            <w:pPr>
              <w:jc w:val="left"/>
              <w:rPr>
                <w:rFonts w:hint="eastAsia" w:asciiTheme="minorEastAsia" w:hAnsiTheme="minorEastAsia" w:eastAsiaTheme="minorEastAsia" w:cstheme="minorEastAsia"/>
                <w:color w:val="auto"/>
                <w:szCs w:val="24"/>
                <w:highlight w:val="none"/>
              </w:rPr>
            </w:pPr>
          </w:p>
          <w:p w14:paraId="4FD64C49">
            <w:pPr>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开关插座等</w:t>
            </w:r>
          </w:p>
        </w:tc>
        <w:tc>
          <w:tcPr>
            <w:tcW w:w="7501" w:type="dxa"/>
            <w:tcBorders>
              <w:top w:val="single" w:color="auto" w:sz="4" w:space="0"/>
              <w:left w:val="single" w:color="auto" w:sz="4" w:space="0"/>
              <w:bottom w:val="single" w:color="auto" w:sz="4" w:space="0"/>
              <w:right w:val="single" w:color="auto" w:sz="4" w:space="0"/>
            </w:tcBorders>
            <w:noWrap w:val="0"/>
            <w:vAlign w:val="top"/>
          </w:tcPr>
          <w:p w14:paraId="6305343F">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位置、高度正确合理，安装牢固、端正。</w:t>
            </w:r>
          </w:p>
        </w:tc>
      </w:tr>
      <w:tr w14:paraId="02F62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2DFFB873">
            <w:pPr>
              <w:jc w:val="left"/>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14:paraId="631AFEE7">
            <w:pPr>
              <w:jc w:val="left"/>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14:paraId="6F0DD8AB">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规格型号符合设计要求，使用、通电正常。</w:t>
            </w:r>
          </w:p>
        </w:tc>
      </w:tr>
      <w:tr w14:paraId="6F94F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0FE7AB30">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14:paraId="39C83106">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14:paraId="06F4273E">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表面完好，无破损、磕伤、划痕、锈蚀、污染等。</w:t>
            </w:r>
          </w:p>
        </w:tc>
      </w:tr>
      <w:tr w14:paraId="2F6EFC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69F4B4B1">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14:paraId="451072C1">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14:paraId="33AF7277">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开、关位置与标示对应，控制灯具正确。</w:t>
            </w:r>
          </w:p>
        </w:tc>
      </w:tr>
      <w:tr w14:paraId="0FA74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200A17B4">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14:paraId="46A8A6CF">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14:paraId="7B7D382C">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配电箱内布线整齐，接点紧固，负荷及支线开关标识清楚，漏电开关自检正常，箱体接地良好。</w:t>
            </w:r>
          </w:p>
        </w:tc>
      </w:tr>
      <w:tr w14:paraId="5FEA8E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1C982A42">
            <w:pPr>
              <w:rPr>
                <w:rFonts w:hint="eastAsia" w:asciiTheme="minorEastAsia" w:hAnsiTheme="minorEastAsia" w:eastAsiaTheme="minorEastAsia" w:cstheme="minorEastAsia"/>
                <w:color w:val="auto"/>
                <w:szCs w:val="24"/>
                <w:highlight w:val="none"/>
              </w:rPr>
            </w:pPr>
          </w:p>
        </w:tc>
        <w:tc>
          <w:tcPr>
            <w:tcW w:w="820" w:type="dxa"/>
            <w:vMerge w:val="restart"/>
            <w:tcBorders>
              <w:top w:val="single" w:color="auto" w:sz="4" w:space="0"/>
              <w:left w:val="single" w:color="auto" w:sz="4" w:space="0"/>
              <w:right w:val="single" w:color="auto" w:sz="4" w:space="0"/>
            </w:tcBorders>
            <w:noWrap w:val="0"/>
            <w:vAlign w:val="top"/>
          </w:tcPr>
          <w:p w14:paraId="0BE70825">
            <w:pPr>
              <w:rPr>
                <w:rFonts w:hint="eastAsia" w:asciiTheme="minorEastAsia" w:hAnsiTheme="minorEastAsia" w:eastAsiaTheme="minorEastAsia" w:cstheme="minorEastAsia"/>
                <w:color w:val="auto"/>
                <w:szCs w:val="24"/>
                <w:highlight w:val="none"/>
              </w:rPr>
            </w:pPr>
          </w:p>
          <w:p w14:paraId="3B0CE134">
            <w:pPr>
              <w:rPr>
                <w:rFonts w:hint="eastAsia" w:asciiTheme="minorEastAsia" w:hAnsiTheme="minorEastAsia" w:eastAsiaTheme="minorEastAsia" w:cstheme="minorEastAsia"/>
                <w:color w:val="auto"/>
                <w:szCs w:val="24"/>
                <w:highlight w:val="none"/>
              </w:rPr>
            </w:pPr>
          </w:p>
          <w:p w14:paraId="41C11CED">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洁具</w:t>
            </w:r>
          </w:p>
        </w:tc>
        <w:tc>
          <w:tcPr>
            <w:tcW w:w="7501" w:type="dxa"/>
            <w:tcBorders>
              <w:top w:val="single" w:color="auto" w:sz="4" w:space="0"/>
              <w:left w:val="single" w:color="auto" w:sz="4" w:space="0"/>
              <w:bottom w:val="single" w:color="auto" w:sz="4" w:space="0"/>
              <w:right w:val="single" w:color="auto" w:sz="4" w:space="0"/>
            </w:tcBorders>
            <w:noWrap w:val="0"/>
            <w:vAlign w:val="top"/>
          </w:tcPr>
          <w:p w14:paraId="45CCFADB">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洁具及配件安装牢固端正，无破裂、脱瓷、划痕、水锈、污渍，洗手盆闭水器启闭灵活自</w:t>
            </w:r>
            <w:r>
              <w:rPr>
                <w:rFonts w:hint="eastAsia" w:asciiTheme="minorEastAsia" w:hAnsiTheme="minorEastAsia" w:eastAsiaTheme="minorEastAsia" w:cstheme="minorEastAsia"/>
                <w:color w:val="auto"/>
                <w:szCs w:val="24"/>
                <w:highlight w:val="none"/>
              </w:rPr>
              <w:t>如。</w:t>
            </w:r>
          </w:p>
        </w:tc>
      </w:tr>
      <w:tr w14:paraId="3F2BF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3833F145">
            <w:pPr>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noWrap w:val="0"/>
            <w:vAlign w:val="top"/>
          </w:tcPr>
          <w:p w14:paraId="408225EC">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14:paraId="59D6523F">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洁具及存水弯无渗漏，排水畅通有吸力，无反臭现象。</w:t>
            </w:r>
          </w:p>
        </w:tc>
      </w:tr>
      <w:tr w14:paraId="7881A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5AB3ABC5">
            <w:pPr>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noWrap w:val="0"/>
            <w:vAlign w:val="top"/>
          </w:tcPr>
          <w:p w14:paraId="7BC3A918">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14:paraId="42E7048B">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坐便器紧靠墙面，水箱进水阀启闭自如不渗漏。</w:t>
            </w:r>
          </w:p>
        </w:tc>
      </w:tr>
      <w:tr w14:paraId="290CB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686890E5">
            <w:pPr>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noWrap w:val="0"/>
            <w:vAlign w:val="top"/>
          </w:tcPr>
          <w:p w14:paraId="21C4547C">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14:paraId="69B00C5F">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出水流速及水量正常，无滴漏现象。</w:t>
            </w:r>
          </w:p>
        </w:tc>
      </w:tr>
    </w:tbl>
    <w:p w14:paraId="1B4D2458">
      <w:pPr>
        <w:pStyle w:val="54"/>
        <w:spacing w:line="360" w:lineRule="auto"/>
        <w:ind w:firstLine="480"/>
        <w:rPr>
          <w:rFonts w:hint="eastAsia" w:asciiTheme="minorEastAsia" w:hAnsiTheme="minorEastAsia" w:eastAsiaTheme="minorEastAsia" w:cstheme="minorEastAsia"/>
          <w:color w:val="auto"/>
          <w:szCs w:val="24"/>
          <w:highlight w:val="none"/>
        </w:rPr>
      </w:pPr>
    </w:p>
    <w:p w14:paraId="13D87E64">
      <w:pPr>
        <w:pStyle w:val="54"/>
        <w:spacing w:line="360" w:lineRule="auto"/>
        <w:ind w:firstLine="480"/>
        <w:rPr>
          <w:rFonts w:hint="eastAsia" w:asciiTheme="minorEastAsia" w:hAnsiTheme="minorEastAsia" w:eastAsiaTheme="minorEastAsia" w:cstheme="minorEastAsia"/>
          <w:color w:val="auto"/>
          <w:szCs w:val="24"/>
          <w:highlight w:val="none"/>
        </w:rPr>
      </w:pPr>
    </w:p>
    <w:p w14:paraId="560B9208">
      <w:pPr>
        <w:pStyle w:val="54"/>
        <w:spacing w:line="360" w:lineRule="auto"/>
        <w:ind w:firstLine="480"/>
        <w:rPr>
          <w:rFonts w:hint="eastAsia" w:asciiTheme="minorEastAsia" w:hAnsiTheme="minorEastAsia" w:eastAsiaTheme="minorEastAsia" w:cstheme="minorEastAsia"/>
          <w:color w:val="auto"/>
          <w:szCs w:val="24"/>
          <w:highlight w:val="none"/>
        </w:rPr>
      </w:pPr>
    </w:p>
    <w:p w14:paraId="17E98D84">
      <w:pPr>
        <w:pStyle w:val="54"/>
        <w:spacing w:line="360" w:lineRule="auto"/>
        <w:ind w:firstLine="480"/>
        <w:rPr>
          <w:rFonts w:hint="eastAsia" w:asciiTheme="minorEastAsia" w:hAnsiTheme="minorEastAsia" w:eastAsiaTheme="minorEastAsia" w:cstheme="minorEastAsia"/>
          <w:color w:val="auto"/>
          <w:szCs w:val="24"/>
          <w:highlight w:val="none"/>
        </w:rPr>
      </w:pPr>
    </w:p>
    <w:p w14:paraId="2E82979C">
      <w:pPr>
        <w:pStyle w:val="54"/>
        <w:spacing w:line="360" w:lineRule="auto"/>
        <w:ind w:firstLine="480"/>
        <w:rPr>
          <w:rFonts w:hint="eastAsia" w:asciiTheme="minorEastAsia" w:hAnsiTheme="minorEastAsia" w:eastAsiaTheme="minorEastAsia" w:cstheme="minorEastAsia"/>
          <w:color w:val="auto"/>
          <w:szCs w:val="24"/>
          <w:highlight w:val="none"/>
        </w:rPr>
      </w:pPr>
    </w:p>
    <w:p w14:paraId="0B60E7A4">
      <w:pPr>
        <w:pStyle w:val="54"/>
        <w:spacing w:line="360" w:lineRule="auto"/>
        <w:ind w:firstLine="480"/>
        <w:rPr>
          <w:rFonts w:hint="eastAsia" w:asciiTheme="minorEastAsia" w:hAnsiTheme="minorEastAsia" w:eastAsiaTheme="minorEastAsia" w:cstheme="minorEastAsia"/>
          <w:color w:val="auto"/>
          <w:szCs w:val="24"/>
          <w:highlight w:val="none"/>
        </w:rPr>
      </w:pPr>
    </w:p>
    <w:p w14:paraId="3E412CDB">
      <w:pPr>
        <w:pStyle w:val="54"/>
        <w:spacing w:line="360" w:lineRule="auto"/>
        <w:ind w:firstLine="480"/>
        <w:rPr>
          <w:rFonts w:hint="eastAsia" w:asciiTheme="minorEastAsia" w:hAnsiTheme="minorEastAsia" w:eastAsiaTheme="minorEastAsia" w:cstheme="minorEastAsia"/>
          <w:color w:val="auto"/>
          <w:szCs w:val="24"/>
          <w:highlight w:val="none"/>
        </w:rPr>
      </w:pPr>
    </w:p>
    <w:p w14:paraId="3D86DBC7">
      <w:pPr>
        <w:pStyle w:val="54"/>
        <w:spacing w:line="360" w:lineRule="auto"/>
        <w:ind w:firstLine="480"/>
        <w:rPr>
          <w:rFonts w:hint="eastAsia" w:asciiTheme="minorEastAsia" w:hAnsiTheme="minorEastAsia" w:eastAsiaTheme="minorEastAsia" w:cstheme="minorEastAsia"/>
          <w:color w:val="auto"/>
          <w:szCs w:val="24"/>
          <w:highlight w:val="none"/>
        </w:rPr>
      </w:pPr>
    </w:p>
    <w:p w14:paraId="0688D785">
      <w:pPr>
        <w:pStyle w:val="54"/>
        <w:spacing w:line="360" w:lineRule="auto"/>
        <w:ind w:firstLine="480"/>
        <w:rPr>
          <w:rFonts w:hint="eastAsia" w:asciiTheme="minorEastAsia" w:hAnsiTheme="minorEastAsia" w:eastAsiaTheme="minorEastAsia" w:cstheme="minorEastAsia"/>
          <w:color w:val="auto"/>
          <w:szCs w:val="24"/>
          <w:highlight w:val="none"/>
        </w:rPr>
      </w:pPr>
    </w:p>
    <w:p w14:paraId="3C04B55A">
      <w:pPr>
        <w:pStyle w:val="54"/>
        <w:spacing w:line="360" w:lineRule="auto"/>
        <w:ind w:firstLine="480"/>
        <w:rPr>
          <w:rFonts w:hint="eastAsia" w:asciiTheme="minorEastAsia" w:hAnsiTheme="minorEastAsia" w:eastAsiaTheme="minorEastAsia" w:cstheme="minorEastAsia"/>
          <w:color w:val="auto"/>
          <w:szCs w:val="24"/>
          <w:highlight w:val="none"/>
        </w:rPr>
      </w:pPr>
    </w:p>
    <w:p w14:paraId="5C6C44CB">
      <w:pPr>
        <w:pStyle w:val="54"/>
        <w:spacing w:line="360" w:lineRule="auto"/>
        <w:ind w:firstLine="480"/>
        <w:rPr>
          <w:rFonts w:hint="eastAsia" w:asciiTheme="minorEastAsia" w:hAnsiTheme="minorEastAsia" w:eastAsiaTheme="minorEastAsia" w:cstheme="minorEastAsia"/>
          <w:color w:val="auto"/>
          <w:szCs w:val="24"/>
          <w:highlight w:val="none"/>
        </w:rPr>
      </w:pPr>
    </w:p>
    <w:p w14:paraId="2079FEEB">
      <w:pPr>
        <w:pStyle w:val="54"/>
        <w:spacing w:line="360" w:lineRule="auto"/>
        <w:ind w:firstLine="480"/>
        <w:rPr>
          <w:rFonts w:hint="eastAsia" w:asciiTheme="minorEastAsia" w:hAnsiTheme="minorEastAsia" w:eastAsiaTheme="minorEastAsia" w:cstheme="minorEastAsia"/>
          <w:color w:val="auto"/>
          <w:szCs w:val="24"/>
          <w:highlight w:val="none"/>
        </w:rPr>
      </w:pPr>
    </w:p>
    <w:p w14:paraId="245BAE98">
      <w:pPr>
        <w:pStyle w:val="54"/>
        <w:spacing w:line="360" w:lineRule="auto"/>
        <w:ind w:firstLine="480"/>
        <w:rPr>
          <w:rFonts w:hint="eastAsia" w:asciiTheme="minorEastAsia" w:hAnsiTheme="minorEastAsia" w:eastAsiaTheme="minorEastAsia" w:cstheme="minorEastAsia"/>
          <w:color w:val="auto"/>
          <w:szCs w:val="24"/>
          <w:highlight w:val="none"/>
        </w:rPr>
      </w:pPr>
    </w:p>
    <w:p w14:paraId="12EB5877">
      <w:pPr>
        <w:pStyle w:val="54"/>
        <w:spacing w:line="360" w:lineRule="auto"/>
        <w:ind w:firstLine="480"/>
        <w:rPr>
          <w:rFonts w:hint="eastAsia" w:asciiTheme="minorEastAsia" w:hAnsiTheme="minorEastAsia" w:eastAsiaTheme="minorEastAsia" w:cstheme="minorEastAsia"/>
          <w:color w:val="auto"/>
          <w:szCs w:val="24"/>
          <w:highlight w:val="none"/>
        </w:rPr>
      </w:pPr>
    </w:p>
    <w:p w14:paraId="202EC9D0">
      <w:pPr>
        <w:pStyle w:val="54"/>
        <w:spacing w:line="360" w:lineRule="auto"/>
        <w:ind w:firstLine="480"/>
        <w:rPr>
          <w:rFonts w:hint="eastAsia" w:asciiTheme="minorEastAsia" w:hAnsiTheme="minorEastAsia" w:eastAsiaTheme="minorEastAsia" w:cstheme="minorEastAsia"/>
          <w:color w:val="auto"/>
          <w:szCs w:val="24"/>
          <w:highlight w:val="none"/>
        </w:rPr>
      </w:pPr>
    </w:p>
    <w:p w14:paraId="0944D500">
      <w:pPr>
        <w:pStyle w:val="54"/>
        <w:spacing w:line="360" w:lineRule="auto"/>
        <w:ind w:firstLine="480"/>
        <w:rPr>
          <w:rFonts w:hint="eastAsia" w:asciiTheme="minorEastAsia" w:hAnsiTheme="minorEastAsia" w:eastAsiaTheme="minorEastAsia" w:cstheme="minorEastAsia"/>
          <w:color w:val="auto"/>
          <w:szCs w:val="24"/>
          <w:highlight w:val="none"/>
        </w:rPr>
      </w:pPr>
    </w:p>
    <w:p w14:paraId="530E76A8">
      <w:pPr>
        <w:pStyle w:val="54"/>
        <w:spacing w:line="360" w:lineRule="auto"/>
        <w:ind w:firstLine="480"/>
        <w:rPr>
          <w:rFonts w:hint="eastAsia" w:asciiTheme="minorEastAsia" w:hAnsiTheme="minorEastAsia" w:eastAsiaTheme="minorEastAsia" w:cstheme="minorEastAsia"/>
          <w:color w:val="auto"/>
          <w:szCs w:val="24"/>
          <w:highlight w:val="none"/>
        </w:rPr>
      </w:pPr>
    </w:p>
    <w:p w14:paraId="657877F7">
      <w:pPr>
        <w:pStyle w:val="54"/>
        <w:spacing w:line="360" w:lineRule="auto"/>
        <w:ind w:firstLine="480"/>
        <w:rPr>
          <w:rFonts w:hint="eastAsia" w:asciiTheme="minorEastAsia" w:hAnsiTheme="minorEastAsia" w:eastAsiaTheme="minorEastAsia" w:cstheme="minorEastAsia"/>
          <w:color w:val="auto"/>
          <w:szCs w:val="24"/>
          <w:highlight w:val="none"/>
        </w:rPr>
      </w:pPr>
    </w:p>
    <w:p w14:paraId="0C64F2BF">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附件五、《工程完工清洁移交标准》</w:t>
      </w:r>
    </w:p>
    <w:p w14:paraId="2C47924B">
      <w:pPr>
        <w:spacing w:line="360" w:lineRule="auto"/>
        <w:outlineLvl w:val="2"/>
        <w:rPr>
          <w:rFonts w:hint="eastAsia"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 xml:space="preserve">                  </w:t>
      </w:r>
      <w:r>
        <w:rPr>
          <w:rFonts w:hint="eastAsia" w:asciiTheme="minorEastAsia" w:hAnsiTheme="minorEastAsia" w:eastAsiaTheme="minorEastAsia" w:cstheme="minorEastAsia"/>
          <w:b/>
          <w:bCs/>
          <w:color w:val="auto"/>
          <w:sz w:val="28"/>
          <w:szCs w:val="28"/>
          <w:highlight w:val="none"/>
        </w:rPr>
        <w:t xml:space="preserve">   工程完工清洁移交标准</w:t>
      </w:r>
    </w:p>
    <w:tbl>
      <w:tblPr>
        <w:tblStyle w:val="47"/>
        <w:tblW w:w="9982" w:type="dxa"/>
        <w:tblInd w:w="-2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552"/>
        <w:gridCol w:w="7567"/>
      </w:tblGrid>
      <w:tr w14:paraId="3FAE6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trPr>
        <w:tc>
          <w:tcPr>
            <w:tcW w:w="863" w:type="dxa"/>
            <w:noWrap w:val="0"/>
            <w:vAlign w:val="center"/>
          </w:tcPr>
          <w:p w14:paraId="0DFF0810">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项目</w:t>
            </w:r>
          </w:p>
        </w:tc>
        <w:tc>
          <w:tcPr>
            <w:tcW w:w="1552" w:type="dxa"/>
            <w:noWrap w:val="0"/>
            <w:vAlign w:val="center"/>
          </w:tcPr>
          <w:p w14:paraId="74DC555B">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7567" w:type="dxa"/>
            <w:noWrap w:val="0"/>
            <w:vAlign w:val="center"/>
          </w:tcPr>
          <w:p w14:paraId="5FA523A0">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清洁移交标准</w:t>
            </w:r>
          </w:p>
        </w:tc>
      </w:tr>
      <w:tr w14:paraId="70EFC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63" w:type="dxa"/>
            <w:vMerge w:val="restart"/>
            <w:noWrap w:val="0"/>
            <w:vAlign w:val="center"/>
          </w:tcPr>
          <w:p w14:paraId="2D4B852A">
            <w:pPr>
              <w:widowControl/>
              <w:jc w:val="left"/>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室内部位</w:t>
            </w:r>
          </w:p>
        </w:tc>
        <w:tc>
          <w:tcPr>
            <w:tcW w:w="1552" w:type="dxa"/>
            <w:noWrap w:val="0"/>
            <w:vAlign w:val="center"/>
          </w:tcPr>
          <w:p w14:paraId="2BDBB3F7">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w:t>
            </w:r>
          </w:p>
        </w:tc>
        <w:tc>
          <w:tcPr>
            <w:tcW w:w="7567" w:type="dxa"/>
            <w:noWrap w:val="0"/>
            <w:vAlign w:val="center"/>
          </w:tcPr>
          <w:p w14:paraId="1D7C0311">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无积水、无泥沙、无灰尘、无污渍、无拖痕、无垃圾杂物、无建筑装修材料残留、无胶渍等异物、无涂料斑点、无异色污染，石材、瓷砖地面（含踢脚线）需保持光亮，木地板应显本色。</w:t>
            </w:r>
          </w:p>
        </w:tc>
      </w:tr>
      <w:tr w14:paraId="56C87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14:paraId="506AFECB">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2CE0143F">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w:t>
            </w:r>
          </w:p>
        </w:tc>
        <w:tc>
          <w:tcPr>
            <w:tcW w:w="7567" w:type="dxa"/>
            <w:noWrap w:val="0"/>
            <w:vAlign w:val="center"/>
          </w:tcPr>
          <w:p w14:paraId="5FE26F6A">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无粘贴物、无灰尘、无污渍、无建筑装修材料残留、无印迹、无划痕、无胶渍等异物、无异色污染，石材、瓷砖墙面需保持光亮，木制品应显本色。</w:t>
            </w:r>
          </w:p>
        </w:tc>
      </w:tr>
      <w:tr w14:paraId="5B5DB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0DADB5EF">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4CA4BC9">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w:t>
            </w:r>
          </w:p>
        </w:tc>
        <w:tc>
          <w:tcPr>
            <w:tcW w:w="7567" w:type="dxa"/>
            <w:noWrap w:val="0"/>
            <w:vAlign w:val="center"/>
          </w:tcPr>
          <w:p w14:paraId="40D2C85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14:paraId="74C02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61EE9B0D">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0C0E6F0D">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门（包括入户门和室内门）</w:t>
            </w:r>
          </w:p>
        </w:tc>
        <w:tc>
          <w:tcPr>
            <w:tcW w:w="7567" w:type="dxa"/>
            <w:noWrap w:val="0"/>
            <w:vAlign w:val="center"/>
          </w:tcPr>
          <w:p w14:paraId="62580572">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14:paraId="75B5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4AA91C4D">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7AEAEC0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开关面板</w:t>
            </w:r>
          </w:p>
        </w:tc>
        <w:tc>
          <w:tcPr>
            <w:tcW w:w="7567" w:type="dxa"/>
            <w:noWrap w:val="0"/>
            <w:vAlign w:val="center"/>
          </w:tcPr>
          <w:p w14:paraId="0691B47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无灰尘、无划痕、无污渍、无水泥迹、无涂料斑点。</w:t>
            </w:r>
          </w:p>
        </w:tc>
      </w:tr>
      <w:tr w14:paraId="4898B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12186353">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73AADECE">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入户电箱</w:t>
            </w:r>
          </w:p>
        </w:tc>
        <w:tc>
          <w:tcPr>
            <w:tcW w:w="7567" w:type="dxa"/>
            <w:noWrap w:val="0"/>
            <w:vAlign w:val="center"/>
          </w:tcPr>
          <w:p w14:paraId="04D50D09">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14:paraId="51942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274BC4C3">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3051719">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栏杆以及扶手</w:t>
            </w:r>
          </w:p>
        </w:tc>
        <w:tc>
          <w:tcPr>
            <w:tcW w:w="7567" w:type="dxa"/>
            <w:noWrap w:val="0"/>
            <w:vAlign w:val="center"/>
          </w:tcPr>
          <w:p w14:paraId="3709EFA1">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无粘贴物、无灰尘、无污渍、无划痕、无水泥迹、无印迹、无涂料斑点、木制品应显本色、金属制品无锈渍。</w:t>
            </w:r>
          </w:p>
        </w:tc>
      </w:tr>
      <w:tr w14:paraId="52A87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14:paraId="12275279">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0EED4970">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橱柜</w:t>
            </w:r>
          </w:p>
        </w:tc>
        <w:tc>
          <w:tcPr>
            <w:tcW w:w="7567" w:type="dxa"/>
            <w:noWrap w:val="0"/>
            <w:vAlign w:val="center"/>
          </w:tcPr>
          <w:p w14:paraId="387F7B3F">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无粘贴物、无灰尘、无污渍、无水渍、无水泥迹、无胶渍、无划痕、无印迹、无垃圾杂物、金属制品无锈渍，面层洁净、明亮、显本色。</w:t>
            </w:r>
          </w:p>
        </w:tc>
      </w:tr>
      <w:tr w14:paraId="2FBF2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722485C8">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16423FA">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淋浴屏风</w:t>
            </w:r>
          </w:p>
        </w:tc>
        <w:tc>
          <w:tcPr>
            <w:tcW w:w="7567" w:type="dxa"/>
            <w:noWrap w:val="0"/>
            <w:vAlign w:val="center"/>
          </w:tcPr>
          <w:p w14:paraId="4856B270">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14:paraId="362D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024971D2">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4A924CF9">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noWrap w:val="0"/>
            <w:vAlign w:val="center"/>
          </w:tcPr>
          <w:p w14:paraId="3A5E49BC">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无粘贴物、内部无杂物、无泥沙、无污渍，外部表面清洁、金属制品无锈渍。</w:t>
            </w:r>
          </w:p>
        </w:tc>
      </w:tr>
      <w:tr w14:paraId="1F613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20B5178B">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D5B548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w:t>
            </w:r>
          </w:p>
        </w:tc>
        <w:tc>
          <w:tcPr>
            <w:tcW w:w="7567" w:type="dxa"/>
            <w:noWrap w:val="0"/>
            <w:vAlign w:val="center"/>
          </w:tcPr>
          <w:p w14:paraId="3F58F1F9">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14:paraId="615B0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2F32EA09">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4792086F">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空调机位</w:t>
            </w:r>
          </w:p>
        </w:tc>
        <w:tc>
          <w:tcPr>
            <w:tcW w:w="7567" w:type="dxa"/>
            <w:noWrap w:val="0"/>
            <w:vAlign w:val="center"/>
          </w:tcPr>
          <w:p w14:paraId="1E58161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无杂物、百叶隔栅无涂料、胶迹污染、无灰尘。</w:t>
            </w:r>
          </w:p>
        </w:tc>
      </w:tr>
      <w:tr w14:paraId="4715A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652B2A14">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59F1018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w:t>
            </w:r>
          </w:p>
        </w:tc>
        <w:tc>
          <w:tcPr>
            <w:tcW w:w="7567" w:type="dxa"/>
            <w:noWrap w:val="0"/>
            <w:vAlign w:val="center"/>
          </w:tcPr>
          <w:p w14:paraId="02DA839D">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面板呈本色，无灰无污，白手套擦拭无污迹。</w:t>
            </w:r>
          </w:p>
        </w:tc>
      </w:tr>
      <w:tr w14:paraId="27C8A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1BFC34CE">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6B2703A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可视对讲、报警安防</w:t>
            </w:r>
          </w:p>
        </w:tc>
        <w:tc>
          <w:tcPr>
            <w:tcW w:w="7567" w:type="dxa"/>
            <w:noWrap w:val="0"/>
            <w:vAlign w:val="center"/>
          </w:tcPr>
          <w:p w14:paraId="2277E3B9">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无灰，无污，呈本色。</w:t>
            </w:r>
          </w:p>
        </w:tc>
      </w:tr>
      <w:tr w14:paraId="6D41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8FC0E11">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1F091F0">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龙头</w:t>
            </w:r>
          </w:p>
        </w:tc>
        <w:tc>
          <w:tcPr>
            <w:tcW w:w="7567" w:type="dxa"/>
            <w:noWrap w:val="0"/>
            <w:vAlign w:val="center"/>
          </w:tcPr>
          <w:p w14:paraId="5CE0C8B2">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无水迹，呈本色，无锈迹。</w:t>
            </w:r>
          </w:p>
        </w:tc>
      </w:tr>
      <w:tr w14:paraId="50FA4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FFBE4CD">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2E330701">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拖把池</w:t>
            </w:r>
          </w:p>
        </w:tc>
        <w:tc>
          <w:tcPr>
            <w:tcW w:w="7567" w:type="dxa"/>
            <w:noWrap w:val="0"/>
            <w:vAlign w:val="center"/>
          </w:tcPr>
          <w:p w14:paraId="4FB0B08F">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呈本色无污无垢。</w:t>
            </w:r>
          </w:p>
        </w:tc>
      </w:tr>
      <w:tr w14:paraId="2587A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5608FE3F">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A8F4B85">
            <w:pPr>
              <w:adjustRightInd w:val="0"/>
              <w:snapToGrid w:val="0"/>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w:t>
            </w:r>
          </w:p>
        </w:tc>
        <w:tc>
          <w:tcPr>
            <w:tcW w:w="7567" w:type="dxa"/>
            <w:noWrap w:val="0"/>
            <w:vAlign w:val="center"/>
          </w:tcPr>
          <w:p w14:paraId="583CBFE4">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无污迹、无涂料污染、无虫。</w:t>
            </w:r>
          </w:p>
        </w:tc>
      </w:tr>
      <w:tr w14:paraId="61F36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6D28441E">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281A9948">
            <w:pPr>
              <w:adjustRightInd w:val="0"/>
              <w:snapToGrid w:val="0"/>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空调孔</w:t>
            </w:r>
          </w:p>
        </w:tc>
        <w:tc>
          <w:tcPr>
            <w:tcW w:w="7567" w:type="dxa"/>
            <w:noWrap w:val="0"/>
            <w:vAlign w:val="center"/>
          </w:tcPr>
          <w:p w14:paraId="51725AA6">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无杂物、无灰尘。</w:t>
            </w:r>
          </w:p>
        </w:tc>
      </w:tr>
      <w:tr w14:paraId="3C14F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4CC95AE8">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ED68659">
            <w:pPr>
              <w:adjustRightInd w:val="0"/>
              <w:snapToGrid w:val="0"/>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报警按钮</w:t>
            </w:r>
          </w:p>
        </w:tc>
        <w:tc>
          <w:tcPr>
            <w:tcW w:w="7567" w:type="dxa"/>
            <w:noWrap w:val="0"/>
            <w:vAlign w:val="center"/>
          </w:tcPr>
          <w:p w14:paraId="04489DB7">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无涂料污染，处于复位状态。</w:t>
            </w:r>
          </w:p>
        </w:tc>
      </w:tr>
      <w:tr w14:paraId="57288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89D2EC8">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D19939C">
            <w:pPr>
              <w:adjustRightInd w:val="0"/>
              <w:snapToGrid w:val="0"/>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窗台</w:t>
            </w:r>
          </w:p>
        </w:tc>
        <w:tc>
          <w:tcPr>
            <w:tcW w:w="7567" w:type="dxa"/>
            <w:noWrap w:val="0"/>
            <w:vAlign w:val="center"/>
          </w:tcPr>
          <w:p w14:paraId="49DD775A">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无杂物、无污迹、无灰尘。</w:t>
            </w:r>
          </w:p>
        </w:tc>
      </w:tr>
      <w:tr w14:paraId="4A40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54C5A746">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4A65D443">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小家电（脱排、灶具、燃气热水器）</w:t>
            </w:r>
          </w:p>
        </w:tc>
        <w:tc>
          <w:tcPr>
            <w:tcW w:w="7567" w:type="dxa"/>
            <w:noWrap w:val="0"/>
            <w:vAlign w:val="center"/>
          </w:tcPr>
          <w:p w14:paraId="4A7D4372">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抽油烟机、灶台面呈本色，无油迹、光亮，用白色手套擦拭无污迹。</w:t>
            </w:r>
          </w:p>
        </w:tc>
      </w:tr>
      <w:tr w14:paraId="3831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579C773B">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5D799B4">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不锈钢水槽</w:t>
            </w:r>
          </w:p>
        </w:tc>
        <w:tc>
          <w:tcPr>
            <w:tcW w:w="7567" w:type="dxa"/>
            <w:noWrap w:val="0"/>
            <w:vAlign w:val="center"/>
          </w:tcPr>
          <w:p w14:paraId="7F1A03A6">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不锈钢面盆呈本色，无油迹、光亮，用白色手套擦拭无污迹。</w:t>
            </w:r>
          </w:p>
        </w:tc>
      </w:tr>
      <w:tr w14:paraId="42EB1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29A4478B">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1C731B1">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浴霸</w:t>
            </w:r>
          </w:p>
        </w:tc>
        <w:tc>
          <w:tcPr>
            <w:tcW w:w="7567" w:type="dxa"/>
            <w:noWrap w:val="0"/>
            <w:vAlign w:val="center"/>
          </w:tcPr>
          <w:p w14:paraId="2FE6885D">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侧面无灰无污，呈本色。</w:t>
            </w:r>
          </w:p>
        </w:tc>
      </w:tr>
      <w:tr w14:paraId="68CD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63A65B0">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6F5B957">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镜面梳妆柜</w:t>
            </w:r>
          </w:p>
        </w:tc>
        <w:tc>
          <w:tcPr>
            <w:tcW w:w="7567" w:type="dxa"/>
            <w:noWrap w:val="0"/>
            <w:vAlign w:val="center"/>
          </w:tcPr>
          <w:p w14:paraId="3F28B6DF">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镜面洁净光亮，侧面无灰无污。</w:t>
            </w:r>
          </w:p>
        </w:tc>
      </w:tr>
      <w:tr w14:paraId="724FA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149B0E1F">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70DB39E9">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浴巾架</w:t>
            </w:r>
          </w:p>
        </w:tc>
        <w:tc>
          <w:tcPr>
            <w:tcW w:w="7567" w:type="dxa"/>
            <w:noWrap w:val="0"/>
            <w:vAlign w:val="center"/>
          </w:tcPr>
          <w:p w14:paraId="7B45C210">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无灰无污，不锈钢呈本色，并且无水迹。</w:t>
            </w:r>
          </w:p>
        </w:tc>
      </w:tr>
      <w:tr w14:paraId="791C5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44FCBCD3">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461CACE3">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毛巾杆</w:t>
            </w:r>
          </w:p>
        </w:tc>
        <w:tc>
          <w:tcPr>
            <w:tcW w:w="7567" w:type="dxa"/>
            <w:noWrap w:val="0"/>
            <w:vAlign w:val="center"/>
          </w:tcPr>
          <w:p w14:paraId="5558C8A2">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无灰无污，不锈钢呈本色，并且无水迹。</w:t>
            </w:r>
          </w:p>
        </w:tc>
      </w:tr>
      <w:tr w14:paraId="4943F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04B5E43C">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B306DDD">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台盆</w:t>
            </w:r>
          </w:p>
        </w:tc>
        <w:tc>
          <w:tcPr>
            <w:tcW w:w="7567" w:type="dxa"/>
            <w:noWrap w:val="0"/>
            <w:vAlign w:val="center"/>
          </w:tcPr>
          <w:p w14:paraId="1F3D0E83">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无水迹，呈本色，无锈蚀。</w:t>
            </w:r>
          </w:p>
        </w:tc>
      </w:tr>
      <w:tr w14:paraId="36308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2345D08C">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082D216E">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储藏间</w:t>
            </w:r>
          </w:p>
        </w:tc>
        <w:tc>
          <w:tcPr>
            <w:tcW w:w="7567" w:type="dxa"/>
            <w:noWrap w:val="0"/>
            <w:vAlign w:val="center"/>
          </w:tcPr>
          <w:p w14:paraId="1ED6D4A0">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无死角，无灰，用白手套擦拭无灰无污。</w:t>
            </w:r>
          </w:p>
        </w:tc>
      </w:tr>
      <w:tr w14:paraId="34B0C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1FD5F85E">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07349FE">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晾衣架</w:t>
            </w:r>
          </w:p>
        </w:tc>
        <w:tc>
          <w:tcPr>
            <w:tcW w:w="7567" w:type="dxa"/>
            <w:noWrap w:val="0"/>
            <w:vAlign w:val="center"/>
          </w:tcPr>
          <w:p w14:paraId="29A76898">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呈本色，无油迹，无灰，白手套擦拭无灰。</w:t>
            </w:r>
          </w:p>
        </w:tc>
      </w:tr>
      <w:tr w14:paraId="36FC8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restart"/>
            <w:noWrap w:val="0"/>
            <w:vAlign w:val="center"/>
          </w:tcPr>
          <w:p w14:paraId="59F6BCE0">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公共</w:t>
            </w:r>
          </w:p>
          <w:p w14:paraId="65C28E4C">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1552" w:type="dxa"/>
            <w:noWrap w:val="0"/>
            <w:vAlign w:val="center"/>
          </w:tcPr>
          <w:p w14:paraId="41474417">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电梯（含轿厢、门扇、门套及控制面板）</w:t>
            </w:r>
          </w:p>
        </w:tc>
        <w:tc>
          <w:tcPr>
            <w:tcW w:w="7567" w:type="dxa"/>
            <w:noWrap w:val="0"/>
            <w:vAlign w:val="center"/>
          </w:tcPr>
          <w:p w14:paraId="2D3DBFD2">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无粘贴物、无垃圾杂物、无灰尘、无污渍、无水泥渍、无划痕、金属制品无锈渍，面层清洁、明亮</w:t>
            </w:r>
          </w:p>
        </w:tc>
      </w:tr>
      <w:tr w14:paraId="3AA1F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863" w:type="dxa"/>
            <w:vMerge w:val="continue"/>
            <w:noWrap w:val="0"/>
            <w:vAlign w:val="center"/>
          </w:tcPr>
          <w:p w14:paraId="6F2BDA76">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5A16BD7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楼地面（入户大堂及电梯厅）</w:t>
            </w:r>
          </w:p>
        </w:tc>
        <w:tc>
          <w:tcPr>
            <w:tcW w:w="7567" w:type="dxa"/>
            <w:noWrap w:val="0"/>
            <w:vAlign w:val="center"/>
          </w:tcPr>
          <w:p w14:paraId="630CBF7C">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无积水、无泥沙、无灰尘、无污渍、无拖痕、无垃圾杂物、无建筑装修材料残留、无胶渍等异物、无涂料斑点、无异色污染，石材、瓷砖地面（含踢脚线）需保持光亮。</w:t>
            </w:r>
          </w:p>
        </w:tc>
      </w:tr>
      <w:tr w14:paraId="33611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14:paraId="5E308634">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536D9572">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墙面（入户大堂及电梯厅）</w:t>
            </w:r>
          </w:p>
        </w:tc>
        <w:tc>
          <w:tcPr>
            <w:tcW w:w="7567" w:type="dxa"/>
            <w:noWrap w:val="0"/>
            <w:vAlign w:val="center"/>
          </w:tcPr>
          <w:p w14:paraId="188BA941">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无粘贴物、无灰尘、无污渍、无建筑装修材料残留、无印迹、无划痕、无胶渍等异物、无异色污染，石材、瓷砖墙面需保持光亮，木制品应显本色。</w:t>
            </w:r>
          </w:p>
        </w:tc>
      </w:tr>
      <w:tr w14:paraId="3F858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6E2960FA">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FEC42DF">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天棚（入户大堂及电梯厅）</w:t>
            </w:r>
          </w:p>
        </w:tc>
        <w:tc>
          <w:tcPr>
            <w:tcW w:w="7567" w:type="dxa"/>
            <w:noWrap w:val="0"/>
            <w:vAlign w:val="center"/>
          </w:tcPr>
          <w:p w14:paraId="2DD48F6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14:paraId="37491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5B634E91">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043807F8">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防火门</w:t>
            </w:r>
          </w:p>
        </w:tc>
        <w:tc>
          <w:tcPr>
            <w:tcW w:w="7567" w:type="dxa"/>
            <w:noWrap w:val="0"/>
            <w:vAlign w:val="center"/>
          </w:tcPr>
          <w:p w14:paraId="2FF82CB5">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14:paraId="1C459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0EDFAD85">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2CD38418">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消火栓箱</w:t>
            </w:r>
          </w:p>
        </w:tc>
        <w:tc>
          <w:tcPr>
            <w:tcW w:w="7567" w:type="dxa"/>
            <w:noWrap w:val="0"/>
            <w:vAlign w:val="center"/>
          </w:tcPr>
          <w:p w14:paraId="42A9F10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14:paraId="4B649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51F634A2">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45AE42A">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楼地面（楼梯）</w:t>
            </w:r>
          </w:p>
        </w:tc>
        <w:tc>
          <w:tcPr>
            <w:tcW w:w="7567" w:type="dxa"/>
            <w:noWrap w:val="0"/>
            <w:vAlign w:val="center"/>
          </w:tcPr>
          <w:p w14:paraId="2B8BCC45">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无灰尘、无垃圾杂物、无污渍、无涂料斑点，石材、瓷砖地面需保持光亮，踢脚线上无涂料和水泥迹。</w:t>
            </w:r>
          </w:p>
        </w:tc>
      </w:tr>
      <w:tr w14:paraId="2781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CB0F86E">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50F554CA">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墙面（楼梯）</w:t>
            </w:r>
          </w:p>
        </w:tc>
        <w:tc>
          <w:tcPr>
            <w:tcW w:w="7567" w:type="dxa"/>
            <w:noWrap w:val="0"/>
            <w:vAlign w:val="center"/>
          </w:tcPr>
          <w:p w14:paraId="11DCC6C9">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无粘贴物、无灰尘、无污渍、无建筑装修材料残留、无印迹、无划痕、无胶渍等异物、无异色污染，瓷砖墙面需保持光亮。</w:t>
            </w:r>
          </w:p>
        </w:tc>
      </w:tr>
      <w:tr w14:paraId="33C39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0379B045">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03F42223">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天棚（楼梯）</w:t>
            </w:r>
          </w:p>
        </w:tc>
        <w:tc>
          <w:tcPr>
            <w:tcW w:w="7567" w:type="dxa"/>
            <w:noWrap w:val="0"/>
            <w:vAlign w:val="center"/>
          </w:tcPr>
          <w:p w14:paraId="7A137478">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14:paraId="476BA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67345D5A">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0B1B729E">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开关面板</w:t>
            </w:r>
          </w:p>
        </w:tc>
        <w:tc>
          <w:tcPr>
            <w:tcW w:w="7567" w:type="dxa"/>
            <w:noWrap w:val="0"/>
            <w:vAlign w:val="center"/>
          </w:tcPr>
          <w:p w14:paraId="2C36BFE3">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无灰尘、无划痕、无污渍、无水泥迹、无涂料斑点。</w:t>
            </w:r>
          </w:p>
        </w:tc>
      </w:tr>
      <w:tr w14:paraId="325F6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11E68286">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69AE33B0">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电箱</w:t>
            </w:r>
          </w:p>
        </w:tc>
        <w:tc>
          <w:tcPr>
            <w:tcW w:w="7567" w:type="dxa"/>
            <w:noWrap w:val="0"/>
            <w:vAlign w:val="center"/>
          </w:tcPr>
          <w:p w14:paraId="4DFB729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14:paraId="01066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0F5517B8">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4C84E512">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栏杆以及扶手</w:t>
            </w:r>
          </w:p>
        </w:tc>
        <w:tc>
          <w:tcPr>
            <w:tcW w:w="7567" w:type="dxa"/>
            <w:noWrap w:val="0"/>
            <w:vAlign w:val="center"/>
          </w:tcPr>
          <w:p w14:paraId="48F411E1">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无粘贴物、无灰尘、无污渍、无划痕、无水泥迹、无印迹、无涂料斑点、木制品应显本色、金属制品无锈渍。</w:t>
            </w:r>
          </w:p>
        </w:tc>
      </w:tr>
      <w:tr w14:paraId="17FFE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46EF3755">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5D4F632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单元门</w:t>
            </w:r>
          </w:p>
        </w:tc>
        <w:tc>
          <w:tcPr>
            <w:tcW w:w="7567" w:type="dxa"/>
            <w:noWrap w:val="0"/>
            <w:vAlign w:val="center"/>
          </w:tcPr>
          <w:p w14:paraId="788EEC47">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14:paraId="5ED9F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279F98C1">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A068657">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noWrap w:val="0"/>
            <w:vAlign w:val="center"/>
          </w:tcPr>
          <w:p w14:paraId="1A137023">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内部无杂物、无泥沙、无污渍，外部表面清洁、金属制品无锈渍。</w:t>
            </w:r>
          </w:p>
        </w:tc>
      </w:tr>
      <w:tr w14:paraId="7FA21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6C666953">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2BF3BEEE">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指示牌</w:t>
            </w:r>
          </w:p>
        </w:tc>
        <w:tc>
          <w:tcPr>
            <w:tcW w:w="7567" w:type="dxa"/>
            <w:noWrap w:val="0"/>
            <w:vAlign w:val="center"/>
          </w:tcPr>
          <w:p w14:paraId="565DB72E">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14:paraId="4647E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7CC3898D">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4AC9141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信报箱</w:t>
            </w:r>
          </w:p>
        </w:tc>
        <w:tc>
          <w:tcPr>
            <w:tcW w:w="7567" w:type="dxa"/>
            <w:noWrap w:val="0"/>
            <w:vAlign w:val="center"/>
          </w:tcPr>
          <w:p w14:paraId="15D9A9A5">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14:paraId="398DF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3DCB3BC">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7DE90924">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w:t>
            </w:r>
          </w:p>
        </w:tc>
        <w:tc>
          <w:tcPr>
            <w:tcW w:w="7567" w:type="dxa"/>
            <w:noWrap w:val="0"/>
            <w:vAlign w:val="center"/>
          </w:tcPr>
          <w:p w14:paraId="4629EB2C">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14:paraId="3588D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12607658">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A052851">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w:t>
            </w:r>
          </w:p>
        </w:tc>
        <w:tc>
          <w:tcPr>
            <w:tcW w:w="7567" w:type="dxa"/>
            <w:noWrap w:val="0"/>
            <w:vAlign w:val="center"/>
          </w:tcPr>
          <w:p w14:paraId="63D79FFC">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灯罩外无污迹、无涂料污染、灯罩内无蚊虫残留。</w:t>
            </w:r>
          </w:p>
        </w:tc>
      </w:tr>
      <w:tr w14:paraId="4E6E2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restart"/>
            <w:noWrap w:val="0"/>
            <w:vAlign w:val="center"/>
          </w:tcPr>
          <w:p w14:paraId="31F592D4">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室外</w:t>
            </w:r>
          </w:p>
          <w:p w14:paraId="430780E7">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1552" w:type="dxa"/>
            <w:noWrap w:val="0"/>
            <w:vAlign w:val="center"/>
          </w:tcPr>
          <w:p w14:paraId="0F20087A">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外墙面</w:t>
            </w:r>
          </w:p>
        </w:tc>
        <w:tc>
          <w:tcPr>
            <w:tcW w:w="7567" w:type="dxa"/>
            <w:noWrap w:val="0"/>
            <w:vAlign w:val="center"/>
          </w:tcPr>
          <w:p w14:paraId="5EF46C71">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w:t>
            </w:r>
          </w:p>
        </w:tc>
      </w:tr>
      <w:tr w14:paraId="1642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720A5510">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9FB70AA">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玻璃幕墙、门窗</w:t>
            </w:r>
          </w:p>
        </w:tc>
        <w:tc>
          <w:tcPr>
            <w:tcW w:w="7567" w:type="dxa"/>
            <w:noWrap w:val="0"/>
            <w:vAlign w:val="center"/>
          </w:tcPr>
          <w:p w14:paraId="5A120CAE">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14:paraId="3048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47734530">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055DAE9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阳光棚或雨棚</w:t>
            </w:r>
          </w:p>
        </w:tc>
        <w:tc>
          <w:tcPr>
            <w:tcW w:w="7567" w:type="dxa"/>
            <w:noWrap w:val="0"/>
            <w:vAlign w:val="center"/>
          </w:tcPr>
          <w:p w14:paraId="687D0508">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14:paraId="35317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1CF38F83">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61861248">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百叶窗</w:t>
            </w:r>
          </w:p>
        </w:tc>
        <w:tc>
          <w:tcPr>
            <w:tcW w:w="7567" w:type="dxa"/>
            <w:noWrap w:val="0"/>
            <w:vAlign w:val="center"/>
          </w:tcPr>
          <w:p w14:paraId="03C8066A">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14:paraId="6D0E0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0A9F133A">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685822CD">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屋顶（含天沟）</w:t>
            </w:r>
          </w:p>
        </w:tc>
        <w:tc>
          <w:tcPr>
            <w:tcW w:w="7567" w:type="dxa"/>
            <w:noWrap w:val="0"/>
            <w:vAlign w:val="center"/>
          </w:tcPr>
          <w:p w14:paraId="2C64D435">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无积水、无泥沙、无垃圾杂物、无建筑装修材料残留，面层显本色。</w:t>
            </w:r>
          </w:p>
        </w:tc>
      </w:tr>
      <w:tr w14:paraId="5ADDB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665674AC">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64C70B3B">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室外地面</w:t>
            </w:r>
          </w:p>
        </w:tc>
        <w:tc>
          <w:tcPr>
            <w:tcW w:w="7567" w:type="dxa"/>
            <w:noWrap w:val="0"/>
            <w:vAlign w:val="center"/>
          </w:tcPr>
          <w:p w14:paraId="5301F0C9">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无粘贴物、无垃圾、无积砂、无印迹、无异色污染。</w:t>
            </w:r>
          </w:p>
        </w:tc>
      </w:tr>
      <w:tr w14:paraId="265B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04C6A1E4">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44D7FBB8">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室外道路</w:t>
            </w:r>
          </w:p>
        </w:tc>
        <w:tc>
          <w:tcPr>
            <w:tcW w:w="7567" w:type="dxa"/>
            <w:noWrap w:val="0"/>
            <w:vAlign w:val="center"/>
          </w:tcPr>
          <w:p w14:paraId="1538890D">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无粘贴物、无垃圾、无积砂、无异色污染。</w:t>
            </w:r>
          </w:p>
        </w:tc>
      </w:tr>
      <w:tr w14:paraId="459C7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1616C479">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61036B8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告示牌</w:t>
            </w:r>
          </w:p>
        </w:tc>
        <w:tc>
          <w:tcPr>
            <w:tcW w:w="7567" w:type="dxa"/>
            <w:noWrap w:val="0"/>
            <w:vAlign w:val="center"/>
          </w:tcPr>
          <w:p w14:paraId="07F0795B">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14:paraId="26BDC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686877AA">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4AE3910">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水篦子</w:t>
            </w:r>
          </w:p>
        </w:tc>
        <w:tc>
          <w:tcPr>
            <w:tcW w:w="7567" w:type="dxa"/>
            <w:noWrap w:val="0"/>
            <w:vAlign w:val="center"/>
          </w:tcPr>
          <w:p w14:paraId="22A593A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无垃圾杂物、无积砂、金属无锈渍、表面清洁。</w:t>
            </w:r>
          </w:p>
        </w:tc>
      </w:tr>
      <w:tr w14:paraId="080A8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63" w:type="dxa"/>
            <w:vMerge w:val="continue"/>
            <w:noWrap w:val="0"/>
            <w:vAlign w:val="center"/>
          </w:tcPr>
          <w:p w14:paraId="3D6E6C69">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42525E7E">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noWrap w:val="0"/>
            <w:vAlign w:val="center"/>
          </w:tcPr>
          <w:p w14:paraId="712ACD7E">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内部无杂物、无泥沙、无污渍，外部表面清洁、金属制品无锈渍。</w:t>
            </w:r>
          </w:p>
        </w:tc>
      </w:tr>
      <w:tr w14:paraId="768A4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AAEB1B2">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5C187D35">
            <w:pPr>
              <w:widowControl/>
              <w:jc w:val="left"/>
              <w:rPr>
                <w:rFonts w:hint="eastAsia" w:asciiTheme="minorEastAsia" w:hAnsiTheme="minorEastAsia" w:eastAsiaTheme="minorEastAsia" w:cstheme="minorEastAsia"/>
                <w:color w:val="auto"/>
                <w:kern w:val="0"/>
                <w:szCs w:val="24"/>
                <w:highlight w:val="none"/>
              </w:rPr>
            </w:pPr>
          </w:p>
          <w:p w14:paraId="7EF439AA">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消火栓</w:t>
            </w:r>
          </w:p>
          <w:p w14:paraId="74F42184">
            <w:pPr>
              <w:widowControl/>
              <w:jc w:val="left"/>
              <w:rPr>
                <w:rFonts w:hint="eastAsia" w:asciiTheme="minorEastAsia" w:hAnsiTheme="minorEastAsia" w:eastAsiaTheme="minorEastAsia" w:cstheme="minorEastAsia"/>
                <w:color w:val="auto"/>
                <w:kern w:val="0"/>
                <w:szCs w:val="24"/>
                <w:highlight w:val="none"/>
              </w:rPr>
            </w:pPr>
          </w:p>
        </w:tc>
        <w:tc>
          <w:tcPr>
            <w:tcW w:w="7567" w:type="dxa"/>
            <w:noWrap w:val="0"/>
            <w:vAlign w:val="center"/>
          </w:tcPr>
          <w:p w14:paraId="6F1DCED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14:paraId="23929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restart"/>
            <w:noWrap w:val="0"/>
            <w:vAlign w:val="center"/>
          </w:tcPr>
          <w:p w14:paraId="7D077CF4">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其他</w:t>
            </w:r>
          </w:p>
        </w:tc>
        <w:tc>
          <w:tcPr>
            <w:tcW w:w="1552" w:type="dxa"/>
            <w:noWrap w:val="0"/>
            <w:vAlign w:val="center"/>
          </w:tcPr>
          <w:p w14:paraId="1079A708">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卫浴洁具</w:t>
            </w:r>
          </w:p>
        </w:tc>
        <w:tc>
          <w:tcPr>
            <w:tcW w:w="7567" w:type="dxa"/>
            <w:noWrap w:val="0"/>
            <w:vAlign w:val="center"/>
          </w:tcPr>
          <w:p w14:paraId="728A85C8">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无粘贴物、无灰尘、无污渍、无水渍、无水泥迹、无胶渍、无划痕、无印迹、无垃圾杂物、金属制品无锈渍，表面洁净、明亮、显本色。</w:t>
            </w:r>
          </w:p>
        </w:tc>
      </w:tr>
      <w:tr w14:paraId="70616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2CE0BD7">
            <w:pPr>
              <w:widowControl/>
              <w:jc w:val="left"/>
              <w:rPr>
                <w:rFonts w:hint="eastAsia" w:asciiTheme="minorEastAsia" w:hAnsiTheme="minorEastAsia" w:eastAsiaTheme="minorEastAsia" w:cstheme="minorEastAsia"/>
                <w:b/>
                <w:bCs/>
                <w:color w:val="auto"/>
                <w:kern w:val="0"/>
                <w:szCs w:val="24"/>
                <w:highlight w:val="none"/>
              </w:rPr>
            </w:pPr>
          </w:p>
        </w:tc>
        <w:tc>
          <w:tcPr>
            <w:tcW w:w="1552" w:type="dxa"/>
            <w:vMerge w:val="restart"/>
            <w:noWrap w:val="0"/>
            <w:vAlign w:val="center"/>
          </w:tcPr>
          <w:p w14:paraId="490BBB47">
            <w:pPr>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灯具</w:t>
            </w:r>
          </w:p>
        </w:tc>
        <w:tc>
          <w:tcPr>
            <w:tcW w:w="7567" w:type="dxa"/>
            <w:noWrap w:val="0"/>
            <w:vAlign w:val="center"/>
          </w:tcPr>
          <w:p w14:paraId="11D6A370">
            <w:pPr>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灯具、灯座呈本色，无涂料污染、无灰尘，要求目测洁净光亮。</w:t>
            </w:r>
          </w:p>
        </w:tc>
      </w:tr>
      <w:tr w14:paraId="35F2C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731A00EE">
            <w:pPr>
              <w:widowControl/>
              <w:jc w:val="left"/>
              <w:rPr>
                <w:rFonts w:hint="eastAsia" w:asciiTheme="minorEastAsia" w:hAnsiTheme="minorEastAsia" w:eastAsiaTheme="minorEastAsia" w:cstheme="minorEastAsia"/>
                <w:b/>
                <w:bCs/>
                <w:color w:val="auto"/>
                <w:kern w:val="0"/>
                <w:szCs w:val="24"/>
                <w:highlight w:val="none"/>
              </w:rPr>
            </w:pPr>
          </w:p>
        </w:tc>
        <w:tc>
          <w:tcPr>
            <w:tcW w:w="1552" w:type="dxa"/>
            <w:vMerge w:val="continue"/>
            <w:noWrap w:val="0"/>
            <w:vAlign w:val="center"/>
          </w:tcPr>
          <w:p w14:paraId="32F5143F">
            <w:pPr>
              <w:widowControl/>
              <w:jc w:val="left"/>
              <w:rPr>
                <w:rFonts w:hint="eastAsia" w:asciiTheme="minorEastAsia" w:hAnsiTheme="minorEastAsia" w:eastAsiaTheme="minorEastAsia" w:cstheme="minorEastAsia"/>
                <w:color w:val="auto"/>
                <w:kern w:val="0"/>
                <w:szCs w:val="24"/>
                <w:highlight w:val="none"/>
              </w:rPr>
            </w:pPr>
          </w:p>
        </w:tc>
        <w:tc>
          <w:tcPr>
            <w:tcW w:w="7567" w:type="dxa"/>
            <w:noWrap w:val="0"/>
            <w:vAlign w:val="center"/>
          </w:tcPr>
          <w:p w14:paraId="492A5A1B">
            <w:pPr>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14:paraId="67DD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14:paraId="235A1F60">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F30EEB3">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柜子（如有）</w:t>
            </w:r>
          </w:p>
        </w:tc>
        <w:tc>
          <w:tcPr>
            <w:tcW w:w="7567" w:type="dxa"/>
            <w:noWrap w:val="0"/>
            <w:vAlign w:val="center"/>
          </w:tcPr>
          <w:p w14:paraId="6A5334C1">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无粘贴物、无灰尘、无污渍、无水渍、无水泥迹、无胶渍、无划痕、无印迹、无垃圾杂物、金属制品无锈渍，表面洁净、明亮、显本色。</w:t>
            </w:r>
          </w:p>
        </w:tc>
      </w:tr>
      <w:tr w14:paraId="548B8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863" w:type="dxa"/>
            <w:vMerge w:val="restart"/>
            <w:noWrap w:val="0"/>
            <w:vAlign w:val="center"/>
          </w:tcPr>
          <w:p w14:paraId="22D2FF35">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地下</w:t>
            </w:r>
          </w:p>
          <w:p w14:paraId="5F9043C9">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车库</w:t>
            </w:r>
          </w:p>
        </w:tc>
        <w:tc>
          <w:tcPr>
            <w:tcW w:w="1552" w:type="dxa"/>
            <w:noWrap w:val="0"/>
            <w:vAlign w:val="center"/>
          </w:tcPr>
          <w:p w14:paraId="3E8F8BD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地面</w:t>
            </w:r>
          </w:p>
        </w:tc>
        <w:tc>
          <w:tcPr>
            <w:tcW w:w="7567" w:type="dxa"/>
            <w:noWrap w:val="0"/>
            <w:vAlign w:val="center"/>
          </w:tcPr>
          <w:p w14:paraId="114809FD">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无泥沙、无灰尘、无垃圾杂物、无污渍、无建筑装修材料残留，踢脚线上无涂料和水泥渍，金刚砂、地坪漆地面需保持整洁、光亮、无划痕。</w:t>
            </w:r>
          </w:p>
        </w:tc>
      </w:tr>
      <w:tr w14:paraId="520BC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28F30ABD">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6BA180DA">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w:t>
            </w:r>
          </w:p>
        </w:tc>
        <w:tc>
          <w:tcPr>
            <w:tcW w:w="7567" w:type="dxa"/>
            <w:noWrap w:val="0"/>
            <w:vAlign w:val="center"/>
          </w:tcPr>
          <w:p w14:paraId="331B12D8">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w:t>
            </w:r>
          </w:p>
        </w:tc>
      </w:tr>
      <w:tr w14:paraId="4530F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6245267">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2664BC0C">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w:t>
            </w:r>
          </w:p>
        </w:tc>
        <w:tc>
          <w:tcPr>
            <w:tcW w:w="7567" w:type="dxa"/>
            <w:noWrap w:val="0"/>
            <w:vAlign w:val="center"/>
          </w:tcPr>
          <w:p w14:paraId="37E48B62">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14:paraId="73FD2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03987778">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968633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各类管道</w:t>
            </w:r>
          </w:p>
        </w:tc>
        <w:tc>
          <w:tcPr>
            <w:tcW w:w="7567" w:type="dxa"/>
            <w:noWrap w:val="0"/>
            <w:vAlign w:val="center"/>
          </w:tcPr>
          <w:p w14:paraId="544D94F4">
            <w:pPr>
              <w:widowControl/>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无涂料、胶迹污染，无灰尘，目测洁净。</w:t>
            </w:r>
          </w:p>
        </w:tc>
      </w:tr>
      <w:tr w14:paraId="4D5B8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531DFA47">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70B6A440">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水泵房、设备间等</w:t>
            </w:r>
          </w:p>
        </w:tc>
        <w:tc>
          <w:tcPr>
            <w:tcW w:w="7567" w:type="dxa"/>
            <w:noWrap w:val="0"/>
            <w:vAlign w:val="center"/>
          </w:tcPr>
          <w:p w14:paraId="2A2C956A">
            <w:pPr>
              <w:widowControl/>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地面无涂料污染，内外无垃圾灰尘。</w:t>
            </w:r>
          </w:p>
        </w:tc>
      </w:tr>
    </w:tbl>
    <w:p w14:paraId="7211E77D">
      <w:pPr>
        <w:pStyle w:val="54"/>
        <w:spacing w:line="360" w:lineRule="auto"/>
        <w:rPr>
          <w:rFonts w:hint="eastAsia" w:asciiTheme="minorEastAsia" w:hAnsiTheme="minorEastAsia" w:eastAsiaTheme="minorEastAsia" w:cstheme="minorEastAsia"/>
          <w:color w:val="auto"/>
          <w:spacing w:val="8"/>
          <w:szCs w:val="24"/>
          <w:highlight w:val="none"/>
        </w:rPr>
      </w:pPr>
    </w:p>
    <w:p w14:paraId="5BD94C9D">
      <w:pPr>
        <w:pStyle w:val="54"/>
        <w:spacing w:line="360" w:lineRule="auto"/>
        <w:rPr>
          <w:rFonts w:hint="eastAsia" w:asciiTheme="minorEastAsia" w:hAnsiTheme="minorEastAsia" w:eastAsiaTheme="minorEastAsia" w:cstheme="minorEastAsia"/>
          <w:bCs/>
          <w:color w:val="auto"/>
          <w:spacing w:val="8"/>
          <w:szCs w:val="24"/>
          <w:highlight w:val="none"/>
        </w:rPr>
      </w:pPr>
    </w:p>
    <w:p w14:paraId="08107B6D">
      <w:pPr>
        <w:pStyle w:val="54"/>
        <w:spacing w:line="360" w:lineRule="auto"/>
        <w:rPr>
          <w:rFonts w:hint="eastAsia" w:asciiTheme="minorEastAsia" w:hAnsiTheme="minorEastAsia" w:eastAsiaTheme="minorEastAsia" w:cstheme="minorEastAsia"/>
          <w:bCs/>
          <w:color w:val="auto"/>
          <w:spacing w:val="8"/>
          <w:szCs w:val="24"/>
          <w:highlight w:val="none"/>
        </w:rPr>
      </w:pPr>
    </w:p>
    <w:p w14:paraId="33CA26E9">
      <w:pPr>
        <w:pStyle w:val="54"/>
        <w:spacing w:line="360" w:lineRule="auto"/>
        <w:rPr>
          <w:rFonts w:hint="eastAsia" w:asciiTheme="minorEastAsia" w:hAnsiTheme="minorEastAsia" w:eastAsiaTheme="minorEastAsia" w:cstheme="minorEastAsia"/>
          <w:bCs/>
          <w:color w:val="auto"/>
          <w:spacing w:val="8"/>
          <w:szCs w:val="24"/>
          <w:highlight w:val="none"/>
        </w:rPr>
      </w:pPr>
    </w:p>
    <w:p w14:paraId="0A8EA721">
      <w:pPr>
        <w:pStyle w:val="54"/>
        <w:spacing w:line="360" w:lineRule="auto"/>
        <w:rPr>
          <w:rFonts w:hint="eastAsia" w:asciiTheme="minorEastAsia" w:hAnsiTheme="minorEastAsia" w:eastAsiaTheme="minorEastAsia" w:cstheme="minorEastAsia"/>
          <w:bCs/>
          <w:color w:val="auto"/>
          <w:spacing w:val="8"/>
          <w:szCs w:val="24"/>
          <w:highlight w:val="none"/>
        </w:rPr>
      </w:pPr>
    </w:p>
    <w:p w14:paraId="17E13A6D">
      <w:pPr>
        <w:pStyle w:val="54"/>
        <w:spacing w:line="360" w:lineRule="auto"/>
        <w:rPr>
          <w:rFonts w:hint="eastAsia" w:asciiTheme="minorEastAsia" w:hAnsiTheme="minorEastAsia" w:eastAsiaTheme="minorEastAsia" w:cstheme="minorEastAsia"/>
          <w:bCs/>
          <w:color w:val="auto"/>
          <w:spacing w:val="8"/>
          <w:szCs w:val="24"/>
          <w:highlight w:val="none"/>
        </w:rPr>
      </w:pPr>
    </w:p>
    <w:p w14:paraId="4C0A6179">
      <w:pPr>
        <w:pStyle w:val="54"/>
        <w:spacing w:line="360" w:lineRule="auto"/>
        <w:rPr>
          <w:rFonts w:hint="eastAsia" w:asciiTheme="minorEastAsia" w:hAnsiTheme="minorEastAsia" w:eastAsiaTheme="minorEastAsia" w:cstheme="minorEastAsia"/>
          <w:bCs/>
          <w:color w:val="auto"/>
          <w:spacing w:val="8"/>
          <w:szCs w:val="24"/>
          <w:highlight w:val="none"/>
        </w:rPr>
      </w:pPr>
    </w:p>
    <w:p w14:paraId="084F6797">
      <w:pPr>
        <w:pStyle w:val="54"/>
        <w:spacing w:line="360" w:lineRule="auto"/>
        <w:ind w:firstLine="0" w:firstLineChars="0"/>
        <w:rPr>
          <w:rFonts w:hint="eastAsia" w:ascii="宋体" w:hAnsi="宋体" w:eastAsia="宋体" w:cs="宋体"/>
          <w:b w:val="0"/>
          <w:bCs w:val="0"/>
          <w:color w:val="auto"/>
          <w:sz w:val="24"/>
          <w:szCs w:val="24"/>
          <w:highlight w:val="none"/>
          <w:lang w:val="en-US" w:eastAsia="zh-CN"/>
        </w:rPr>
      </w:pPr>
      <w:r>
        <w:rPr>
          <w:rFonts w:hint="eastAsia" w:asciiTheme="minorEastAsia" w:hAnsiTheme="minorEastAsia" w:eastAsiaTheme="minorEastAsia" w:cstheme="minorEastAsia"/>
          <w:bCs/>
          <w:color w:val="auto"/>
          <w:szCs w:val="28"/>
          <w:highlight w:val="none"/>
        </w:rPr>
        <w:t>附件六、</w:t>
      </w:r>
      <w:r>
        <w:rPr>
          <w:rFonts w:hint="eastAsia" w:ascii="宋体" w:hAnsi="宋体" w:eastAsia="宋体" w:cs="宋体"/>
          <w:b/>
          <w:bCs/>
          <w:color w:val="auto"/>
          <w:sz w:val="24"/>
          <w:szCs w:val="28"/>
          <w:highlight w:val="none"/>
          <w:lang w:eastAsia="zh-CN"/>
        </w:rPr>
        <w:t>《成品保护标准》：</w:t>
      </w:r>
      <w:r>
        <w:rPr>
          <w:rFonts w:hint="eastAsia" w:ascii="宋体" w:hAnsi="宋体" w:eastAsia="宋体" w:cs="宋体"/>
          <w:b w:val="0"/>
          <w:bCs w:val="0"/>
          <w:color w:val="auto"/>
          <w:sz w:val="24"/>
          <w:szCs w:val="24"/>
          <w:highlight w:val="none"/>
          <w:lang w:val="en-US" w:eastAsia="zh-CN"/>
        </w:rPr>
        <w:t>详见《浩德地产精装修品质管控标准（V1.0版）》第五部分“成品保护10类”。</w:t>
      </w:r>
    </w:p>
    <w:p w14:paraId="1BC65252">
      <w:pPr>
        <w:pStyle w:val="54"/>
        <w:spacing w:line="360" w:lineRule="auto"/>
        <w:ind w:firstLine="0" w:firstLineChars="0"/>
        <w:rPr>
          <w:rFonts w:hint="eastAsia" w:ascii="宋体" w:hAnsi="宋体" w:cs="宋体"/>
          <w:b/>
          <w:bCs/>
          <w:color w:val="auto"/>
          <w:sz w:val="24"/>
          <w:szCs w:val="28"/>
          <w:highlight w:val="none"/>
          <w:lang w:eastAsia="zh-CN"/>
        </w:rPr>
      </w:pPr>
      <w:r>
        <w:drawing>
          <wp:inline distT="0" distB="0" distL="114300" distR="114300">
            <wp:extent cx="6239510" cy="3519805"/>
            <wp:effectExtent l="0" t="0" r="8890" b="6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7"/>
                    <a:stretch>
                      <a:fillRect/>
                    </a:stretch>
                  </pic:blipFill>
                  <pic:spPr>
                    <a:xfrm>
                      <a:off x="0" y="0"/>
                      <a:ext cx="6239510" cy="3519805"/>
                    </a:xfrm>
                    <a:prstGeom prst="rect">
                      <a:avLst/>
                    </a:prstGeom>
                    <a:noFill/>
                    <a:ln>
                      <a:noFill/>
                    </a:ln>
                  </pic:spPr>
                </pic:pic>
              </a:graphicData>
            </a:graphic>
          </wp:inline>
        </w:drawing>
      </w:r>
    </w:p>
    <w:p w14:paraId="40D144BC">
      <w:pPr>
        <w:pStyle w:val="54"/>
        <w:spacing w:line="360" w:lineRule="auto"/>
        <w:ind w:firstLine="0" w:firstLineChars="0"/>
        <w:rPr>
          <w:rFonts w:hint="eastAsia" w:ascii="宋体" w:hAnsi="宋体" w:cs="宋体"/>
          <w:b/>
          <w:bCs/>
          <w:color w:val="auto"/>
          <w:sz w:val="24"/>
          <w:szCs w:val="28"/>
          <w:highlight w:val="none"/>
          <w:lang w:eastAsia="zh-CN"/>
        </w:rPr>
      </w:pPr>
    </w:p>
    <w:p w14:paraId="13D0BFCF">
      <w:pPr>
        <w:pStyle w:val="54"/>
        <w:spacing w:line="360" w:lineRule="auto"/>
        <w:ind w:firstLine="0" w:firstLineChars="0"/>
      </w:pPr>
      <w:r>
        <w:drawing>
          <wp:inline distT="0" distB="0" distL="114300" distR="114300">
            <wp:extent cx="6312535" cy="3541395"/>
            <wp:effectExtent l="0" t="0" r="12065" b="952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8"/>
                    <a:stretch>
                      <a:fillRect/>
                    </a:stretch>
                  </pic:blipFill>
                  <pic:spPr>
                    <a:xfrm>
                      <a:off x="0" y="0"/>
                      <a:ext cx="6312535" cy="3541395"/>
                    </a:xfrm>
                    <a:prstGeom prst="rect">
                      <a:avLst/>
                    </a:prstGeom>
                    <a:noFill/>
                    <a:ln>
                      <a:noFill/>
                    </a:ln>
                  </pic:spPr>
                </pic:pic>
              </a:graphicData>
            </a:graphic>
          </wp:inline>
        </w:drawing>
      </w:r>
    </w:p>
    <w:p w14:paraId="1AE8B40B">
      <w:pPr>
        <w:pStyle w:val="54"/>
        <w:spacing w:line="360" w:lineRule="auto"/>
        <w:ind w:firstLine="0" w:firstLineChars="0"/>
        <w:rPr>
          <w:rFonts w:hint="eastAsia"/>
          <w:lang w:eastAsia="zh-CN"/>
        </w:rPr>
      </w:pPr>
      <w:r>
        <w:drawing>
          <wp:inline distT="0" distB="0" distL="114300" distR="114300">
            <wp:extent cx="6327775" cy="3560445"/>
            <wp:effectExtent l="0" t="0" r="12065" b="571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
                    <a:stretch>
                      <a:fillRect/>
                    </a:stretch>
                  </pic:blipFill>
                  <pic:spPr>
                    <a:xfrm>
                      <a:off x="0" y="0"/>
                      <a:ext cx="6327775" cy="3560445"/>
                    </a:xfrm>
                    <a:prstGeom prst="rect">
                      <a:avLst/>
                    </a:prstGeom>
                    <a:noFill/>
                    <a:ln>
                      <a:noFill/>
                    </a:ln>
                  </pic:spPr>
                </pic:pic>
              </a:graphicData>
            </a:graphic>
          </wp:inline>
        </w:drawing>
      </w:r>
    </w:p>
    <w:p w14:paraId="015A797D">
      <w:pPr>
        <w:pStyle w:val="54"/>
        <w:spacing w:line="360" w:lineRule="auto"/>
        <w:ind w:firstLine="0" w:firstLineChars="0"/>
        <w:rPr>
          <w:rFonts w:hint="eastAsia" w:ascii="宋体" w:hAnsi="宋体" w:eastAsia="宋体" w:cs="宋体"/>
          <w:b/>
          <w:bCs/>
          <w:color w:val="auto"/>
          <w:sz w:val="24"/>
          <w:szCs w:val="28"/>
          <w:highlight w:val="none"/>
          <w:lang w:eastAsia="zh-CN"/>
        </w:rPr>
      </w:pPr>
      <w:r>
        <w:drawing>
          <wp:inline distT="0" distB="0" distL="114300" distR="114300">
            <wp:extent cx="6372860" cy="3578225"/>
            <wp:effectExtent l="0" t="0" r="12700" b="317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0"/>
                    <a:stretch>
                      <a:fillRect/>
                    </a:stretch>
                  </pic:blipFill>
                  <pic:spPr>
                    <a:xfrm>
                      <a:off x="0" y="0"/>
                      <a:ext cx="6372860" cy="3578225"/>
                    </a:xfrm>
                    <a:prstGeom prst="rect">
                      <a:avLst/>
                    </a:prstGeom>
                    <a:noFill/>
                    <a:ln>
                      <a:noFill/>
                    </a:ln>
                  </pic:spPr>
                </pic:pic>
              </a:graphicData>
            </a:graphic>
          </wp:inline>
        </w:drawing>
      </w:r>
    </w:p>
    <w:p w14:paraId="2472CAB7">
      <w:pPr>
        <w:pStyle w:val="54"/>
        <w:spacing w:line="360" w:lineRule="auto"/>
        <w:ind w:firstLine="0" w:firstLineChars="0"/>
        <w:rPr>
          <w:rFonts w:hint="eastAsia" w:ascii="宋体" w:hAnsi="宋体" w:eastAsia="宋体" w:cs="宋体"/>
          <w:b/>
          <w:bCs/>
          <w:color w:val="auto"/>
          <w:sz w:val="24"/>
          <w:szCs w:val="28"/>
          <w:highlight w:val="none"/>
          <w:lang w:eastAsia="zh-CN"/>
        </w:rPr>
      </w:pPr>
      <w:r>
        <w:drawing>
          <wp:inline distT="0" distB="0" distL="114300" distR="114300">
            <wp:extent cx="6491605" cy="3650615"/>
            <wp:effectExtent l="0" t="0" r="635" b="698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1"/>
                    <a:stretch>
                      <a:fillRect/>
                    </a:stretch>
                  </pic:blipFill>
                  <pic:spPr>
                    <a:xfrm>
                      <a:off x="0" y="0"/>
                      <a:ext cx="6491605" cy="3650615"/>
                    </a:xfrm>
                    <a:prstGeom prst="rect">
                      <a:avLst/>
                    </a:prstGeom>
                    <a:noFill/>
                    <a:ln>
                      <a:noFill/>
                    </a:ln>
                  </pic:spPr>
                </pic:pic>
              </a:graphicData>
            </a:graphic>
          </wp:inline>
        </w:drawing>
      </w:r>
    </w:p>
    <w:p w14:paraId="5F935416">
      <w:pPr>
        <w:pStyle w:val="54"/>
        <w:spacing w:line="360" w:lineRule="auto"/>
        <w:ind w:firstLine="0" w:firstLineChars="0"/>
        <w:rPr>
          <w:rFonts w:hint="eastAsia" w:ascii="宋体" w:hAnsi="宋体" w:eastAsia="宋体" w:cs="宋体"/>
          <w:b/>
          <w:bCs/>
          <w:color w:val="auto"/>
          <w:sz w:val="24"/>
          <w:szCs w:val="28"/>
          <w:highlight w:val="none"/>
          <w:lang w:eastAsia="zh-CN"/>
        </w:rPr>
      </w:pPr>
      <w:r>
        <w:drawing>
          <wp:inline distT="0" distB="0" distL="114300" distR="114300">
            <wp:extent cx="6245225" cy="3518535"/>
            <wp:effectExtent l="0" t="0" r="3175" b="190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2"/>
                    <a:stretch>
                      <a:fillRect/>
                    </a:stretch>
                  </pic:blipFill>
                  <pic:spPr>
                    <a:xfrm>
                      <a:off x="0" y="0"/>
                      <a:ext cx="6245225" cy="3518535"/>
                    </a:xfrm>
                    <a:prstGeom prst="rect">
                      <a:avLst/>
                    </a:prstGeom>
                    <a:noFill/>
                    <a:ln>
                      <a:noFill/>
                    </a:ln>
                  </pic:spPr>
                </pic:pic>
              </a:graphicData>
            </a:graphic>
          </wp:inline>
        </w:drawing>
      </w:r>
    </w:p>
    <w:p w14:paraId="61BF32F2">
      <w:r>
        <w:drawing>
          <wp:inline distT="0" distB="0" distL="114300" distR="114300">
            <wp:extent cx="6210935" cy="3489325"/>
            <wp:effectExtent l="0" t="0" r="6985" b="63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3"/>
                    <a:stretch>
                      <a:fillRect/>
                    </a:stretch>
                  </pic:blipFill>
                  <pic:spPr>
                    <a:xfrm>
                      <a:off x="0" y="0"/>
                      <a:ext cx="6210935" cy="3489325"/>
                    </a:xfrm>
                    <a:prstGeom prst="rect">
                      <a:avLst/>
                    </a:prstGeom>
                    <a:noFill/>
                    <a:ln>
                      <a:noFill/>
                    </a:ln>
                  </pic:spPr>
                </pic:pic>
              </a:graphicData>
            </a:graphic>
          </wp:inline>
        </w:drawing>
      </w:r>
    </w:p>
    <w:p w14:paraId="79D140D3"/>
    <w:p w14:paraId="2D17ED19"/>
    <w:p w14:paraId="44086011"/>
    <w:p w14:paraId="02C506EF"/>
    <w:p w14:paraId="44DF1726"/>
    <w:p w14:paraId="09C66499"/>
    <w:p w14:paraId="7026BB9D"/>
    <w:p w14:paraId="526A44C9"/>
    <w:p w14:paraId="79E4CF4A"/>
    <w:p w14:paraId="2F8AFBEC"/>
    <w:p w14:paraId="09A58418"/>
    <w:p w14:paraId="6A3FF94D"/>
    <w:p w14:paraId="1AE29E88"/>
    <w:p w14:paraId="5A991019"/>
    <w:p w14:paraId="2623F45F"/>
    <w:p w14:paraId="5F7B28C4"/>
    <w:p w14:paraId="223627CC"/>
    <w:p w14:paraId="31799204"/>
    <w:p w14:paraId="567812DB"/>
    <w:p w14:paraId="2A0EAFDD"/>
    <w:p w14:paraId="2B2C11FC"/>
    <w:p w14:paraId="72135913"/>
    <w:p w14:paraId="2D622746"/>
    <w:p w14:paraId="310CFCDB"/>
    <w:p w14:paraId="0EADD645"/>
    <w:p w14:paraId="1E420177"/>
    <w:p w14:paraId="572AE435"/>
    <w:p w14:paraId="3358A701">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spacing w:val="8"/>
          <w:szCs w:val="24"/>
          <w:highlight w:val="none"/>
        </w:rPr>
        <w:t>附件七、</w:t>
      </w:r>
      <w:r>
        <w:rPr>
          <w:rFonts w:hint="eastAsia" w:asciiTheme="minorEastAsia" w:hAnsiTheme="minorEastAsia" w:eastAsiaTheme="minorEastAsia" w:cstheme="minorEastAsia"/>
          <w:b/>
          <w:bCs/>
          <w:color w:val="auto"/>
          <w:spacing w:val="8"/>
          <w:szCs w:val="24"/>
          <w:highlight w:val="none"/>
          <w:lang w:eastAsia="zh-CN"/>
        </w:rPr>
        <w:t>招标答疑及回复</w:t>
      </w:r>
    </w:p>
    <w:p w14:paraId="0C440428">
      <w:pPr>
        <w:keepNext w:val="0"/>
        <w:keepLines w:val="0"/>
        <w:pageBreakBefore w:val="0"/>
        <w:widowControl w:val="0"/>
        <w:numPr>
          <w:ilvl w:val="-1"/>
          <w:numId w:val="0"/>
        </w:numPr>
        <w:kinsoku/>
        <w:wordWrap/>
        <w:overflowPunct/>
        <w:topLinePunct w:val="0"/>
        <w:autoSpaceDE/>
        <w:autoSpaceDN/>
        <w:bidi w:val="0"/>
        <w:adjustRightInd/>
        <w:snapToGrid/>
        <w:spacing w:line="288" w:lineRule="auto"/>
        <w:jc w:val="center"/>
        <w:textAlignment w:val="auto"/>
        <w:rPr>
          <w:rFonts w:hint="eastAsia"/>
          <w:sz w:val="28"/>
          <w:szCs w:val="28"/>
          <w:lang w:val="en-US" w:eastAsia="zh-CN"/>
        </w:rPr>
      </w:pPr>
      <w:r>
        <w:rPr>
          <w:rFonts w:hint="eastAsia"/>
          <w:sz w:val="28"/>
          <w:szCs w:val="28"/>
          <w:lang w:val="en-US" w:eastAsia="zh-CN"/>
        </w:rPr>
        <w:t>悠然居项目公区、大堂及门头精装修工程答疑及回复</w:t>
      </w:r>
    </w:p>
    <w:p w14:paraId="1322C246">
      <w:pPr>
        <w:keepNext w:val="0"/>
        <w:keepLines w:val="0"/>
        <w:pageBreakBefore w:val="0"/>
        <w:widowControl w:val="0"/>
        <w:numPr>
          <w:ilvl w:val="0"/>
          <w:numId w:val="3"/>
        </w:numPr>
        <w:kinsoku/>
        <w:wordWrap/>
        <w:overflowPunct/>
        <w:topLinePunct w:val="0"/>
        <w:autoSpaceDE/>
        <w:autoSpaceDN/>
        <w:bidi w:val="0"/>
        <w:adjustRightInd/>
        <w:snapToGrid/>
        <w:spacing w:line="288"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如下图所示，因石材种类繁多，请贵司明确石材的种类。</w:t>
      </w:r>
    </w:p>
    <w:p w14:paraId="72FD1234">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397760" cy="756920"/>
            <wp:effectExtent l="0" t="0" r="10160" b="5080"/>
            <wp:docPr id="5" name="图片 5" descr="c81c52d8edd0c242a3cb3bc43c10b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81c52d8edd0c242a3cb3bc43c10b75"/>
                    <pic:cNvPicPr>
                      <a:picLocks noChangeAspect="1"/>
                    </pic:cNvPicPr>
                  </pic:nvPicPr>
                  <pic:blipFill>
                    <a:blip r:embed="rId14"/>
                    <a:stretch>
                      <a:fillRect/>
                    </a:stretch>
                  </pic:blipFill>
                  <pic:spPr>
                    <a:xfrm>
                      <a:off x="0" y="0"/>
                      <a:ext cx="2397760" cy="756920"/>
                    </a:xfrm>
                    <a:prstGeom prst="rect">
                      <a:avLst/>
                    </a:prstGeom>
                  </pic:spPr>
                </pic:pic>
              </a:graphicData>
            </a:graphic>
          </wp:inline>
        </w:drawing>
      </w:r>
    </w:p>
    <w:p w14:paraId="23D9556E">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1440" w:hanging="1440" w:hangingChars="600"/>
        <w:textAlignment w:val="auto"/>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设计回复：ST-03为地下层大厅内，黑色石材，ST-04为光厅墙面石材，详见</w:t>
      </w:r>
    </w:p>
    <w:p w14:paraId="1CBCD076">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1440" w:hanging="1440" w:hangingChars="600"/>
        <w:textAlignment w:val="auto"/>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地下层施工图，例1#地下层1#A-DE-01-01立面和1#地下层1#B-DE-02-07立面</w:t>
      </w:r>
    </w:p>
    <w:p w14:paraId="3F11A118">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请贵司明确仿古铜不锈钢材质是201的还是304的？厚度是多少？</w:t>
      </w:r>
    </w:p>
    <w:p w14:paraId="3C5F54DD">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509010" cy="737235"/>
            <wp:effectExtent l="0" t="0" r="11430"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5"/>
                    <a:stretch>
                      <a:fillRect/>
                    </a:stretch>
                  </pic:blipFill>
                  <pic:spPr>
                    <a:xfrm>
                      <a:off x="0" y="0"/>
                      <a:ext cx="3509010" cy="737235"/>
                    </a:xfrm>
                    <a:prstGeom prst="rect">
                      <a:avLst/>
                    </a:prstGeom>
                    <a:noFill/>
                    <a:ln>
                      <a:noFill/>
                    </a:ln>
                  </pic:spPr>
                </pic:pic>
              </a:graphicData>
            </a:graphic>
          </wp:inline>
        </w:drawing>
      </w:r>
    </w:p>
    <w:p w14:paraId="02C80AD6">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设计回复：不锈钢304   1.2厚</w:t>
      </w:r>
    </w:p>
    <w:p w14:paraId="7D7F9C47">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请贵司明确铝板的厚度</w:t>
      </w:r>
    </w:p>
    <w:p w14:paraId="6C7D9CA1">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462145" cy="521335"/>
            <wp:effectExtent l="0" t="0" r="3175" b="1206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pic:cNvPicPr>
                  </pic:nvPicPr>
                  <pic:blipFill>
                    <a:blip r:embed="rId16"/>
                    <a:stretch>
                      <a:fillRect/>
                    </a:stretch>
                  </pic:blipFill>
                  <pic:spPr>
                    <a:xfrm>
                      <a:off x="0" y="0"/>
                      <a:ext cx="4462145" cy="521335"/>
                    </a:xfrm>
                    <a:prstGeom prst="rect">
                      <a:avLst/>
                    </a:prstGeom>
                    <a:noFill/>
                    <a:ln>
                      <a:noFill/>
                    </a:ln>
                  </pic:spPr>
                </pic:pic>
              </a:graphicData>
            </a:graphic>
          </wp:inline>
        </w:drawing>
      </w:r>
    </w:p>
    <w:p w14:paraId="34120F56">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24"/>
          <w:szCs w:val="24"/>
        </w:rPr>
      </w:pPr>
      <w:r>
        <w:rPr>
          <w:rFonts w:hint="eastAsia" w:ascii="宋体" w:hAnsi="宋体" w:eastAsia="宋体" w:cs="宋体"/>
          <w:color w:val="FF0000"/>
          <w:sz w:val="24"/>
          <w:szCs w:val="24"/>
          <w:lang w:val="en-US" w:eastAsia="zh-CN"/>
        </w:rPr>
        <w:t>设计回复：0.6mm</w:t>
      </w:r>
    </w:p>
    <w:p w14:paraId="144CDDF0">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请贵司明确地下一层大堂感应玻璃推拉门的玻璃材质要求。</w:t>
      </w:r>
    </w:p>
    <w:p w14:paraId="15C20480">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316355" cy="1097915"/>
            <wp:effectExtent l="0" t="0" r="952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7"/>
                    <a:stretch>
                      <a:fillRect/>
                    </a:stretch>
                  </pic:blipFill>
                  <pic:spPr>
                    <a:xfrm>
                      <a:off x="0" y="0"/>
                      <a:ext cx="1316355" cy="1097915"/>
                    </a:xfrm>
                    <a:prstGeom prst="rect">
                      <a:avLst/>
                    </a:prstGeom>
                    <a:noFill/>
                    <a:ln>
                      <a:noFill/>
                    </a:ln>
                  </pic:spPr>
                </pic:pic>
              </a:graphicData>
            </a:graphic>
          </wp:inline>
        </w:drawing>
      </w:r>
    </w:p>
    <w:p w14:paraId="346EAB60">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24"/>
          <w:szCs w:val="24"/>
          <w:lang w:val="en-US" w:eastAsia="zh-CN"/>
        </w:rPr>
      </w:pPr>
      <w:r>
        <w:rPr>
          <w:rFonts w:hint="eastAsia" w:ascii="宋体" w:hAnsi="宋体" w:eastAsia="宋体" w:cs="宋体"/>
          <w:color w:val="FF0000"/>
          <w:sz w:val="24"/>
          <w:szCs w:val="24"/>
          <w:lang w:val="en-US" w:eastAsia="zh-CN"/>
        </w:rPr>
        <w:t>设计回复：超白玻，玻璃厚度10mm厚</w:t>
      </w:r>
    </w:p>
    <w:p w14:paraId="75EEE915">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15#楼未见图纸，请补充图纸？</w:t>
      </w:r>
    </w:p>
    <w:p w14:paraId="0C28F957">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24"/>
          <w:szCs w:val="24"/>
          <w:lang w:val="en-US" w:eastAsia="zh-CN"/>
        </w:rPr>
      </w:pPr>
      <w:r>
        <w:rPr>
          <w:rFonts w:hint="eastAsia" w:ascii="宋体" w:hAnsi="宋体" w:eastAsia="宋体" w:cs="宋体"/>
          <w:color w:val="FF0000"/>
          <w:sz w:val="24"/>
          <w:szCs w:val="24"/>
          <w:lang w:val="en-US" w:eastAsia="zh-CN"/>
        </w:rPr>
        <w:t>设计回复：为售楼部已施工</w:t>
      </w:r>
    </w:p>
    <w:p w14:paraId="6C22480A">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标准层墙面木饰面与另一面墙砖阳角收口如何处理？立面图与节点图矛盾。</w:t>
      </w:r>
    </w:p>
    <w:p w14:paraId="7B7C52E7">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drawing>
          <wp:inline distT="0" distB="0" distL="114300" distR="114300">
            <wp:extent cx="1187450" cy="454025"/>
            <wp:effectExtent l="0" t="0" r="1270" b="3175"/>
            <wp:docPr id="74" name="图片 74" descr="171902420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1719024204843"/>
                    <pic:cNvPicPr>
                      <a:picLocks noChangeAspect="1"/>
                    </pic:cNvPicPr>
                  </pic:nvPicPr>
                  <pic:blipFill>
                    <a:blip r:embed="rId18"/>
                    <a:stretch>
                      <a:fillRect/>
                    </a:stretch>
                  </pic:blipFill>
                  <pic:spPr>
                    <a:xfrm>
                      <a:off x="0" y="0"/>
                      <a:ext cx="1187450" cy="454025"/>
                    </a:xfrm>
                    <a:prstGeom prst="rect">
                      <a:avLst/>
                    </a:prstGeom>
                  </pic:spPr>
                </pic:pic>
              </a:graphicData>
            </a:graphic>
          </wp:inline>
        </w:drawing>
      </w:r>
      <w:r>
        <w:rPr>
          <w:rFonts w:hint="eastAsia" w:ascii="宋体" w:hAnsi="宋体" w:eastAsia="宋体" w:cs="宋体"/>
          <w:sz w:val="24"/>
          <w:szCs w:val="24"/>
        </w:rPr>
        <w:drawing>
          <wp:inline distT="0" distB="0" distL="114300" distR="114300">
            <wp:extent cx="554990" cy="554355"/>
            <wp:effectExtent l="0" t="0" r="8890" b="9525"/>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pic:cNvPicPr>
                  </pic:nvPicPr>
                  <pic:blipFill>
                    <a:blip r:embed="rId19"/>
                    <a:stretch>
                      <a:fillRect/>
                    </a:stretch>
                  </pic:blipFill>
                  <pic:spPr>
                    <a:xfrm flipV="1">
                      <a:off x="0" y="0"/>
                      <a:ext cx="554990" cy="554355"/>
                    </a:xfrm>
                    <a:prstGeom prst="rect">
                      <a:avLst/>
                    </a:prstGeom>
                    <a:noFill/>
                    <a:ln>
                      <a:noFill/>
                    </a:ln>
                  </pic:spPr>
                </pic:pic>
              </a:graphicData>
            </a:graphic>
          </wp:inline>
        </w:drawing>
      </w:r>
    </w:p>
    <w:p w14:paraId="735A490F">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24"/>
          <w:szCs w:val="24"/>
        </w:rPr>
      </w:pPr>
      <w:r>
        <w:rPr>
          <w:rFonts w:hint="eastAsia" w:ascii="宋体" w:hAnsi="宋体" w:eastAsia="宋体" w:cs="宋体"/>
          <w:color w:val="FF0000"/>
          <w:sz w:val="24"/>
          <w:szCs w:val="24"/>
          <w:lang w:val="en-US" w:eastAsia="zh-CN"/>
        </w:rPr>
        <w:t>设计回复：类似2#.5#.6#.11#木饰面阳角碰瓷砖的情况，做1公分金属收口</w:t>
      </w:r>
    </w:p>
    <w:p w14:paraId="730B422E">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首层大堂消防箱位置面层材料为墙砖，该墙面墙砖为湿贴，消防箱位置是否考虑剔除墙体部分进行墙砖干挂？清单未单独列项。</w:t>
      </w:r>
    </w:p>
    <w:p w14:paraId="1DD2459F">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工程结合设计回复：消火栓半嵌入式，建议后期核查后调整</w:t>
      </w:r>
    </w:p>
    <w:p w14:paraId="05E44A28">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3#楼标准层消防箱位置墙面有消防管道包封，面层材料图纸显示为干挂，清单未单独列项。</w:t>
      </w:r>
    </w:p>
    <w:p w14:paraId="33E397C4">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both"/>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371090" cy="570230"/>
            <wp:effectExtent l="0" t="0" r="6350"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0"/>
                    <a:stretch>
                      <a:fillRect/>
                    </a:stretch>
                  </pic:blipFill>
                  <pic:spPr>
                    <a:xfrm>
                      <a:off x="0" y="0"/>
                      <a:ext cx="2371090" cy="570230"/>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1632585" cy="619760"/>
            <wp:effectExtent l="0" t="0" r="13335"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1"/>
                    <a:stretch>
                      <a:fillRect/>
                    </a:stretch>
                  </pic:blipFill>
                  <pic:spPr>
                    <a:xfrm>
                      <a:off x="0" y="0"/>
                      <a:ext cx="1632585" cy="619760"/>
                    </a:xfrm>
                    <a:prstGeom prst="rect">
                      <a:avLst/>
                    </a:prstGeom>
                    <a:noFill/>
                    <a:ln>
                      <a:noFill/>
                    </a:ln>
                  </pic:spPr>
                </pic:pic>
              </a:graphicData>
            </a:graphic>
          </wp:inline>
        </w:drawing>
      </w:r>
    </w:p>
    <w:p w14:paraId="28449C68">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24"/>
          <w:szCs w:val="24"/>
        </w:rPr>
      </w:pPr>
      <w:r>
        <w:rPr>
          <w:rFonts w:hint="eastAsia" w:ascii="宋体" w:hAnsi="宋体" w:eastAsia="宋体" w:cs="宋体"/>
          <w:color w:val="FF0000"/>
          <w:sz w:val="24"/>
          <w:szCs w:val="24"/>
          <w:lang w:val="en-US" w:eastAsia="zh-CN"/>
        </w:rPr>
        <w:t>成本回复：随答疑发修订清单并标注颜色区分</w:t>
      </w:r>
    </w:p>
    <w:p w14:paraId="37F7C72E">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both"/>
        <w:textAlignment w:val="auto"/>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单元门头没有图纸，请补充相关图纸。</w:t>
      </w:r>
    </w:p>
    <w:p w14:paraId="39A3C0E7">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b/>
          <w:bCs/>
          <w:sz w:val="24"/>
          <w:szCs w:val="24"/>
          <w:lang w:val="en-US" w:eastAsia="zh-CN"/>
        </w:rPr>
      </w:pPr>
      <w:r>
        <w:rPr>
          <w:rFonts w:hint="eastAsia" w:ascii="宋体" w:hAnsi="宋体" w:eastAsia="宋体" w:cs="宋体"/>
          <w:color w:val="FF0000"/>
          <w:sz w:val="24"/>
          <w:szCs w:val="24"/>
          <w:lang w:val="en-US" w:eastAsia="zh-CN"/>
        </w:rPr>
        <w:t>设计回复：已补发图纸</w:t>
      </w:r>
    </w:p>
    <w:p w14:paraId="4CE1FFFF">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本招标工程固定总价包干，因招标时间太短，无法复核工程量，请贵单位酌情延长开标时间。</w:t>
      </w:r>
    </w:p>
    <w:p w14:paraId="6720B9D5">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24"/>
          <w:szCs w:val="24"/>
        </w:rPr>
      </w:pPr>
      <w:r>
        <w:rPr>
          <w:rFonts w:hint="eastAsia" w:ascii="宋体" w:hAnsi="宋体" w:eastAsia="宋体" w:cs="宋体"/>
          <w:color w:val="FF0000"/>
          <w:sz w:val="24"/>
          <w:szCs w:val="24"/>
          <w:lang w:val="en-US" w:eastAsia="zh-CN"/>
        </w:rPr>
        <w:t>招采工程结合回复：开标时间暂定于27日下午14点30分</w:t>
      </w:r>
    </w:p>
    <w:p w14:paraId="4F120F28">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招标工程量清单-负一层大堂，1#地下精装大堂“原建筑门垛新建”，招标工程量为0.62m3，我单位复核体积1.33m2（两个单元），请贵单位复核。</w:t>
      </w:r>
      <w:r>
        <w:rPr>
          <w:rFonts w:hint="eastAsia" w:ascii="宋体" w:hAnsi="宋体" w:eastAsia="宋体" w:cs="宋体"/>
          <w:sz w:val="24"/>
          <w:szCs w:val="24"/>
        </w:rPr>
        <w:drawing>
          <wp:inline distT="0" distB="0" distL="114300" distR="114300">
            <wp:extent cx="2407920" cy="532765"/>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tretch>
                      <a:fillRect/>
                    </a:stretch>
                  </pic:blipFill>
                  <pic:spPr>
                    <a:xfrm>
                      <a:off x="0" y="0"/>
                      <a:ext cx="2407920" cy="532765"/>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1022350" cy="538480"/>
            <wp:effectExtent l="0" t="0" r="13970" b="1016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1022350" cy="538480"/>
                    </a:xfrm>
                    <a:prstGeom prst="rect">
                      <a:avLst/>
                    </a:prstGeom>
                    <a:noFill/>
                    <a:ln>
                      <a:noFill/>
                    </a:ln>
                  </pic:spPr>
                </pic:pic>
              </a:graphicData>
            </a:graphic>
          </wp:inline>
        </w:drawing>
      </w:r>
    </w:p>
    <w:p w14:paraId="33D09580">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24"/>
          <w:szCs w:val="24"/>
        </w:rPr>
      </w:pPr>
      <w:r>
        <w:rPr>
          <w:rFonts w:hint="eastAsia" w:ascii="宋体" w:hAnsi="宋体" w:eastAsia="宋体" w:cs="宋体"/>
          <w:color w:val="FF0000"/>
          <w:sz w:val="24"/>
          <w:szCs w:val="24"/>
          <w:lang w:val="en-US" w:eastAsia="zh-CN"/>
        </w:rPr>
        <w:t>成本回复：已复核，工程量为：1.18m3</w:t>
      </w:r>
    </w:p>
    <w:p w14:paraId="734D3E29">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请贵单位补充对应新建墙体的抹灰工程。</w:t>
      </w:r>
    </w:p>
    <w:p w14:paraId="224994E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成本结合工程范围回复：包含抹灰</w:t>
      </w:r>
    </w:p>
    <w:p w14:paraId="707F8892">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地下室集水坑盖板是否在本次招标范围内？盖板上面是否需要贴砖？如果在招标范围内，请补充清单并提供节点图纸。 </w:t>
      </w:r>
    </w:p>
    <w:p w14:paraId="2FB1115B">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356995" cy="834390"/>
            <wp:effectExtent l="0" t="0" r="14605" b="381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1356995" cy="834390"/>
                    </a:xfrm>
                    <a:prstGeom prst="rect">
                      <a:avLst/>
                    </a:prstGeom>
                    <a:noFill/>
                    <a:ln>
                      <a:noFill/>
                    </a:ln>
                  </pic:spPr>
                </pic:pic>
              </a:graphicData>
            </a:graphic>
          </wp:inline>
        </w:drawing>
      </w:r>
    </w:p>
    <w:p w14:paraId="34A509E8">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eastAsia="zh-CN"/>
        </w:rPr>
        <w:t>工程设计结合回复：</w:t>
      </w:r>
      <w:r>
        <w:rPr>
          <w:rFonts w:hint="eastAsia" w:ascii="宋体" w:hAnsi="宋体" w:eastAsia="宋体" w:cs="宋体"/>
          <w:color w:val="FF0000"/>
          <w:sz w:val="24"/>
          <w:szCs w:val="24"/>
          <w:lang w:val="en-US" w:eastAsia="zh-CN"/>
        </w:rPr>
        <w:t>需要贴砖</w:t>
      </w:r>
    </w:p>
    <w:p w14:paraId="285CB78E">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default"/>
          <w:lang w:val="en-US" w:eastAsia="zh-CN"/>
        </w:rPr>
      </w:pPr>
      <w:r>
        <w:rPr>
          <w:rFonts w:hint="eastAsia" w:ascii="宋体" w:hAnsi="宋体" w:eastAsia="宋体" w:cs="宋体"/>
          <w:sz w:val="24"/>
          <w:szCs w:val="24"/>
          <w:lang w:val="en-US" w:eastAsia="zh-CN"/>
        </w:rPr>
        <w:t>招标工程量清单-负一层大堂，1#地下精装大堂“石材地面”，招标工程量为1.44m2，我单位复核体积1.68m2（两个单元），请贵单位复核。</w:t>
      </w:r>
      <w:r>
        <w:drawing>
          <wp:inline distT="0" distB="0" distL="114300" distR="114300">
            <wp:extent cx="4060190" cy="737870"/>
            <wp:effectExtent l="0" t="0" r="8890" b="889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25"/>
                    <a:stretch>
                      <a:fillRect/>
                    </a:stretch>
                  </pic:blipFill>
                  <pic:spPr>
                    <a:xfrm>
                      <a:off x="0" y="0"/>
                      <a:ext cx="4060190" cy="737870"/>
                    </a:xfrm>
                    <a:prstGeom prst="rect">
                      <a:avLst/>
                    </a:prstGeom>
                    <a:noFill/>
                    <a:ln>
                      <a:noFill/>
                    </a:ln>
                  </pic:spPr>
                </pic:pic>
              </a:graphicData>
            </a:graphic>
          </wp:inline>
        </w:drawing>
      </w:r>
    </w:p>
    <w:p w14:paraId="6B192929">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bCs/>
          <w:sz w:val="24"/>
          <w:szCs w:val="24"/>
          <w:lang w:val="en-US" w:eastAsia="zh-CN"/>
        </w:rPr>
      </w:pPr>
      <w:r>
        <w:rPr>
          <w:rFonts w:hint="eastAsia" w:ascii="宋体" w:hAnsi="宋体" w:eastAsia="宋体" w:cs="宋体"/>
          <w:color w:val="FF0000"/>
          <w:sz w:val="24"/>
          <w:szCs w:val="24"/>
          <w:lang w:val="en-US" w:eastAsia="zh-CN"/>
        </w:rPr>
        <w:t>成本回复：已复核，工程为：1.68m2</w:t>
      </w:r>
    </w:p>
    <w:p w14:paraId="4EDC5C69">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请问现场现场施工电梯或者室内电梯是否可以使用，怎么收费。</w:t>
      </w:r>
    </w:p>
    <w:p w14:paraId="266231D9">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color w:val="FF0000"/>
          <w:sz w:val="24"/>
          <w:szCs w:val="24"/>
        </w:rPr>
        <w:t>工程回复：甲方不提供垂直运输设备，精装单位垂直运输措施自行在报价中综合考虑。室内电梯安装验收后由精装管理，每栋楼配电梯司机，费用单列。</w:t>
      </w:r>
    </w:p>
    <w:p w14:paraId="527CBC85">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请贵司明确成品保护的标准。</w:t>
      </w:r>
    </w:p>
    <w:p w14:paraId="69B79585">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color w:val="FF0000"/>
          <w:sz w:val="24"/>
          <w:szCs w:val="24"/>
        </w:rPr>
        <w:t>工程回复：公区墙砖阳角用pvc阳角条保护，大堂公区地面及楼梯间用木工板保护，室内施工电梯轿厢用木工板保护，由单位安装呼叫面板，其余未明确详见合同成品保护内容及制度要求。</w:t>
      </w:r>
    </w:p>
    <w:p w14:paraId="68E63E0B">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招标文件第11页：评标小组应首先核验投标人在投标文件中所附证明文件的原件，请问是标书中所有证明文件的原件都需要携带吗？若不是，请贵司明确下主要携带哪些原件？</w:t>
      </w:r>
    </w:p>
    <w:p w14:paraId="4E20D11D">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color w:val="FF000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回复：主要指资质、业绩、拟派项目管理人员资格相关证书的原件</w:t>
      </w:r>
    </w:p>
    <w:p w14:paraId="751B4E79">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招标文件第6页：2.2.8、近三年工程业绩的合同及战略协议（主要页复印件或扫描件）、中标通知书、验收意见书等证明材料；请问业绩资料合同、中标通知书、竣工验收三者是要同时具备还是只有其一即可？</w:t>
      </w:r>
    </w:p>
    <w:p w14:paraId="739AFF5B">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color w:val="FF000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回复：以原版合同及电子扫描件合同为主，只有中标书合同未签的可提供中标书</w:t>
      </w:r>
    </w:p>
    <w:p w14:paraId="105441F1">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请贵司明确负一层大堂吊顶及墙面铝板厚度。</w:t>
      </w:r>
    </w:p>
    <w:p w14:paraId="2059F839">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设计回复：</w:t>
      </w:r>
      <w:r>
        <w:rPr>
          <w:rFonts w:hint="eastAsia" w:asciiTheme="minorEastAsia" w:hAnsiTheme="minorEastAsia" w:cstheme="minorEastAsia"/>
          <w:b w:val="0"/>
          <w:bCs w:val="0"/>
          <w:color w:val="FF0000"/>
          <w:sz w:val="24"/>
          <w:szCs w:val="24"/>
          <w:lang w:val="en-US" w:eastAsia="zh-CN"/>
        </w:rPr>
        <w:t>吊顶为穿孔铝板，厚度2.5mm厚</w:t>
      </w:r>
    </w:p>
    <w:p w14:paraId="6A777A12">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请贵司明确入户脚垫的规格尺寸及材质。</w:t>
      </w:r>
    </w:p>
    <w:p w14:paraId="38E68599">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cstheme="minorEastAsia"/>
          <w:b w:val="0"/>
          <w:bCs w:val="0"/>
          <w:color w:val="FF000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设计回复：</w:t>
      </w:r>
      <w:r>
        <w:rPr>
          <w:rFonts w:hint="eastAsia" w:asciiTheme="minorEastAsia" w:hAnsiTheme="minorEastAsia" w:cstheme="minorEastAsia"/>
          <w:b w:val="0"/>
          <w:bCs w:val="0"/>
          <w:color w:val="FF0000"/>
          <w:sz w:val="24"/>
          <w:szCs w:val="24"/>
          <w:lang w:val="en-US" w:eastAsia="zh-CN"/>
        </w:rPr>
        <w:t>详见样板段，具体尺寸需根据各个楼栋入户尺寸现场复尺后确认。</w:t>
      </w:r>
    </w:p>
    <w:p w14:paraId="0276BBB2">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cstheme="minorEastAsia"/>
          <w:b w:val="0"/>
          <w:bCs w:val="0"/>
          <w:color w:val="FF0000"/>
          <w:sz w:val="24"/>
          <w:szCs w:val="24"/>
          <w:lang w:val="en-US" w:eastAsia="zh-CN"/>
        </w:rPr>
      </w:pPr>
      <w:r>
        <w:drawing>
          <wp:inline distT="0" distB="0" distL="114300" distR="114300">
            <wp:extent cx="2606040" cy="1332230"/>
            <wp:effectExtent l="0" t="0" r="0" b="889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26"/>
                    <a:stretch>
                      <a:fillRect/>
                    </a:stretch>
                  </pic:blipFill>
                  <pic:spPr>
                    <a:xfrm>
                      <a:off x="0" y="0"/>
                      <a:ext cx="2606040" cy="1332230"/>
                    </a:xfrm>
                    <a:prstGeom prst="rect">
                      <a:avLst/>
                    </a:prstGeom>
                    <a:noFill/>
                    <a:ln>
                      <a:noFill/>
                    </a:ln>
                  </pic:spPr>
                </pic:pic>
              </a:graphicData>
            </a:graphic>
          </wp:inline>
        </w:drawing>
      </w:r>
    </w:p>
    <w:p w14:paraId="4FAF04D7">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请贵司明确室内石材是否需要结晶？</w:t>
      </w:r>
    </w:p>
    <w:p w14:paraId="1A2E5C0C">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设计结合工程回复：</w:t>
      </w:r>
      <w:r>
        <w:rPr>
          <w:rFonts w:hint="eastAsia" w:asciiTheme="minorEastAsia" w:hAnsiTheme="minorEastAsia" w:cstheme="minorEastAsia"/>
          <w:b w:val="0"/>
          <w:bCs w:val="0"/>
          <w:color w:val="FF0000"/>
          <w:sz w:val="24"/>
          <w:szCs w:val="24"/>
          <w:lang w:val="en-US" w:eastAsia="zh-CN"/>
        </w:rPr>
        <w:t>需要</w:t>
      </w:r>
    </w:p>
    <w:p w14:paraId="73FF6566">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请贵司明确标准层公区不锈钢字体规格尺寸及厚度。</w:t>
      </w:r>
    </w:p>
    <w:p w14:paraId="737E3D5A">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设计回复：</w:t>
      </w:r>
      <w:r>
        <w:rPr>
          <w:rFonts w:hint="eastAsia" w:asciiTheme="minorEastAsia" w:hAnsiTheme="minorEastAsia" w:cstheme="minorEastAsia"/>
          <w:b w:val="0"/>
          <w:bCs w:val="0"/>
          <w:color w:val="FF0000"/>
          <w:sz w:val="24"/>
          <w:szCs w:val="24"/>
          <w:lang w:val="en-US" w:eastAsia="zh-CN"/>
        </w:rPr>
        <w:t>详见方案效果，220mm高，1.2mm厚不锈钢，具体需专业厂家后期深化。</w:t>
      </w:r>
    </w:p>
    <w:p w14:paraId="5ABACBBD">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请贵司提供建筑图以便我司复核楼层数量及核算楼梯间工程量。</w:t>
      </w:r>
    </w:p>
    <w:p w14:paraId="43DA9396">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设计回复：</w:t>
      </w:r>
      <w:r>
        <w:rPr>
          <w:rFonts w:hint="eastAsia" w:asciiTheme="minorEastAsia" w:hAnsiTheme="minorEastAsia" w:cstheme="minorEastAsia"/>
          <w:b w:val="0"/>
          <w:bCs w:val="0"/>
          <w:color w:val="FF0000"/>
          <w:sz w:val="24"/>
          <w:szCs w:val="24"/>
          <w:lang w:val="en-US" w:eastAsia="zh-CN"/>
        </w:rPr>
        <w:t>详见附件</w:t>
      </w:r>
    </w:p>
    <w:p w14:paraId="4F85BBC8">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请贵司提供地下室墙面ST-04石材的选型照片。</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ab/>
      </w:r>
    </w:p>
    <w:p w14:paraId="14D0016C">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color w:val="FF000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设计回复：</w:t>
      </w:r>
    </w:p>
    <w:p w14:paraId="385DFC21">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color w:val="FF0000"/>
          <w:sz w:val="24"/>
          <w:szCs w:val="24"/>
          <w:lang w:val="en-US" w:eastAsia="zh-CN"/>
        </w:rPr>
      </w:pPr>
      <w:r>
        <w:drawing>
          <wp:inline distT="0" distB="0" distL="114300" distR="114300">
            <wp:extent cx="1175385" cy="1549400"/>
            <wp:effectExtent l="0" t="0" r="13335" b="5080"/>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27"/>
                    <a:stretch>
                      <a:fillRect/>
                    </a:stretch>
                  </pic:blipFill>
                  <pic:spPr>
                    <a:xfrm>
                      <a:off x="0" y="0"/>
                      <a:ext cx="1175385" cy="1549400"/>
                    </a:xfrm>
                    <a:prstGeom prst="rect">
                      <a:avLst/>
                    </a:prstGeom>
                    <a:noFill/>
                    <a:ln>
                      <a:noFill/>
                    </a:ln>
                  </pic:spPr>
                </pic:pic>
              </a:graphicData>
            </a:graphic>
          </wp:inline>
        </w:drawing>
      </w:r>
    </w:p>
    <w:p w14:paraId="77CEE91F">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1312" behindDoc="0" locked="0" layoutInCell="1" allowOverlap="1">
            <wp:simplePos x="0" y="0"/>
            <wp:positionH relativeFrom="column">
              <wp:posOffset>34925</wp:posOffset>
            </wp:positionH>
            <wp:positionV relativeFrom="paragraph">
              <wp:posOffset>409575</wp:posOffset>
            </wp:positionV>
            <wp:extent cx="747395" cy="894080"/>
            <wp:effectExtent l="0" t="0" r="14605" b="5080"/>
            <wp:wrapTopAndBottom/>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28"/>
                    <a:stretch>
                      <a:fillRect/>
                    </a:stretch>
                  </pic:blipFill>
                  <pic:spPr>
                    <a:xfrm>
                      <a:off x="0" y="0"/>
                      <a:ext cx="747395" cy="894080"/>
                    </a:xfrm>
                    <a:prstGeom prst="rect">
                      <a:avLst/>
                    </a:prstGeom>
                    <a:noFill/>
                    <a:ln>
                      <a:noFill/>
                    </a:ln>
                  </pic:spPr>
                </pic:pic>
              </a:graphicData>
            </a:graphic>
          </wp:anchor>
        </w:drawing>
      </w:r>
      <w:r>
        <w:rPr>
          <w:rFonts w:hint="eastAsia" w:ascii="宋体" w:hAnsi="宋体" w:eastAsia="宋体" w:cs="宋体"/>
          <w:sz w:val="24"/>
          <w:szCs w:val="24"/>
          <w:lang w:val="en-US" w:eastAsia="zh-CN"/>
        </w:rPr>
        <w:t>1#地下精装大堂原建筑门垛新建工程量未计算该部位新建墙体，请问是否在我方施工范围内？</w:t>
      </w:r>
    </w:p>
    <w:p w14:paraId="63799DF8">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成本结合工程回复：</w:t>
      </w:r>
      <w:r>
        <w:rPr>
          <w:rFonts w:hint="eastAsia" w:asciiTheme="minorEastAsia" w:hAnsiTheme="minorEastAsia" w:eastAsiaTheme="minorEastAsia" w:cstheme="minorEastAsia"/>
          <w:color w:val="FF0000"/>
          <w:sz w:val="24"/>
          <w:szCs w:val="24"/>
        </w:rPr>
        <w:t>在精装修单位施工范围（所有涉及验收后拆改的墙地面及顶棚，已施工墙体由精装单位拆除，装修施工时按验收后的墙、地面铺贴及顶棚施工，涉及验收后拆除墙体采用轻钢龙骨隔墙做临时处理）</w:t>
      </w:r>
    </w:p>
    <w:p w14:paraId="0535FBA9">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如下图，清单编制说明显示踏步计算规则按照水平投影面积计算，经我司测算，实际清单踏步工程量以展开面积计算，请贵司明确以哪个面积计算。</w:t>
      </w:r>
    </w:p>
    <w:p w14:paraId="0DEFE5B2">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color w:val="FF000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成本回复：已复核，已水平投影面积计算</w:t>
      </w:r>
    </w:p>
    <w:p w14:paraId="11133D97">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6432" behindDoc="0" locked="0" layoutInCell="1" allowOverlap="1">
            <wp:simplePos x="0" y="0"/>
            <wp:positionH relativeFrom="column">
              <wp:posOffset>-150495</wp:posOffset>
            </wp:positionH>
            <wp:positionV relativeFrom="paragraph">
              <wp:posOffset>98425</wp:posOffset>
            </wp:positionV>
            <wp:extent cx="5268595" cy="432435"/>
            <wp:effectExtent l="0" t="0" r="4445" b="9525"/>
            <wp:wrapTopAndBottom/>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29"/>
                    <a:stretch>
                      <a:fillRect/>
                    </a:stretch>
                  </pic:blipFill>
                  <pic:spPr>
                    <a:xfrm>
                      <a:off x="0" y="0"/>
                      <a:ext cx="5268595" cy="432435"/>
                    </a:xfrm>
                    <a:prstGeom prst="rect">
                      <a:avLst/>
                    </a:prstGeom>
                    <a:noFill/>
                    <a:ln>
                      <a:noFill/>
                    </a:ln>
                  </pic:spPr>
                </pic:pic>
              </a:graphicData>
            </a:graphic>
          </wp:anchor>
        </w:drawing>
      </w:r>
      <w:r>
        <w:rPr>
          <w:rFonts w:hint="eastAsia" w:ascii="宋体" w:hAnsi="宋体" w:eastAsia="宋体" w:cs="宋体"/>
          <w:sz w:val="24"/>
          <w:szCs w:val="24"/>
          <w:lang w:val="en-US" w:eastAsia="zh-CN"/>
        </w:rPr>
        <w:t>如下图，1#地下精装大堂瓷砖地面清单描述地砖规格700*1500mm，图纸规格为750*1500mm，请贵司明确以哪个规格报价（墙面同理）。</w:t>
      </w:r>
    </w:p>
    <w:p w14:paraId="014945F7">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color w:val="FF000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设计回复：</w:t>
      </w:r>
      <w:r>
        <w:rPr>
          <w:rFonts w:hint="eastAsia" w:asciiTheme="minorEastAsia" w:hAnsiTheme="minorEastAsia" w:eastAsiaTheme="minorEastAsia" w:cstheme="minorEastAsia"/>
          <w:color w:val="FF0000"/>
          <w:sz w:val="24"/>
          <w:szCs w:val="24"/>
        </w:rPr>
        <w:t>设计回复：按750*1500mm</w:t>
      </w:r>
    </w:p>
    <w:p w14:paraId="57B8B48C">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64770</wp:posOffset>
            </wp:positionV>
            <wp:extent cx="1689100" cy="663575"/>
            <wp:effectExtent l="0" t="0" r="2540" b="6985"/>
            <wp:wrapTopAndBottom/>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30"/>
                    <a:stretch>
                      <a:fillRect/>
                    </a:stretch>
                  </pic:blipFill>
                  <pic:spPr>
                    <a:xfrm>
                      <a:off x="0" y="0"/>
                      <a:ext cx="1689100" cy="663575"/>
                    </a:xfrm>
                    <a:prstGeom prst="rect">
                      <a:avLst/>
                    </a:prstGeom>
                    <a:noFill/>
                    <a:ln>
                      <a:noFill/>
                    </a:ln>
                  </pic:spPr>
                </pic:pic>
              </a:graphicData>
            </a:graphic>
          </wp:anchor>
        </w:drawing>
      </w:r>
      <w:r>
        <w:rPr>
          <w:rFonts w:hint="eastAsia" w:ascii="宋体" w:hAnsi="宋体" w:eastAsia="宋体" w:cs="宋体"/>
          <w:sz w:val="24"/>
          <w:szCs w:val="24"/>
          <w:lang w:val="en-US" w:eastAsia="zh-CN"/>
        </w:rPr>
        <w:t>28.如下图，招标文件墙地砖限定品牌位诺贝尔，物料表墙地砖品牌为马可波罗和威尔斯陶瓷 请贵司明确以哪个品牌报价。</w:t>
      </w:r>
      <w:r>
        <w:rPr>
          <w:rFonts w:hint="eastAsia" w:asciiTheme="minorEastAsia" w:hAnsiTheme="minorEastAsia" w:eastAsiaTheme="minorEastAsia" w:cstheme="minorEastAsia"/>
          <w:b w:val="0"/>
          <w:bCs w:val="0"/>
          <w:sz w:val="24"/>
          <w:szCs w:val="24"/>
          <w:lang w:val="en-US" w:eastAsia="zh-CN"/>
        </w:rPr>
        <w:drawing>
          <wp:inline distT="0" distB="0" distL="114300" distR="114300">
            <wp:extent cx="3214370" cy="682625"/>
            <wp:effectExtent l="0" t="0" r="1270" b="317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31"/>
                    <a:stretch>
                      <a:fillRect/>
                    </a:stretch>
                  </pic:blipFill>
                  <pic:spPr>
                    <a:xfrm>
                      <a:off x="0" y="0"/>
                      <a:ext cx="3214370" cy="682625"/>
                    </a:xfrm>
                    <a:prstGeom prst="rect">
                      <a:avLst/>
                    </a:prstGeom>
                    <a:noFill/>
                    <a:ln>
                      <a:noFill/>
                    </a:ln>
                  </pic:spPr>
                </pic:pic>
              </a:graphicData>
            </a:graphic>
          </wp:inline>
        </w:drawing>
      </w:r>
      <w:r>
        <w:rPr>
          <w:rFonts w:hint="eastAsia" w:asciiTheme="minorEastAsia" w:hAnsiTheme="minorEastAsia" w:eastAsiaTheme="minorEastAsia" w:cstheme="minorEastAsia"/>
          <w:b w:val="0"/>
          <w:bCs w:val="0"/>
          <w:sz w:val="24"/>
          <w:szCs w:val="24"/>
          <w:lang w:val="en-US" w:eastAsia="zh-CN"/>
        </w:rPr>
        <w:drawing>
          <wp:inline distT="0" distB="0" distL="114300" distR="114300">
            <wp:extent cx="1315720" cy="666115"/>
            <wp:effectExtent l="0" t="0" r="10160" b="444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32"/>
                    <a:stretch>
                      <a:fillRect/>
                    </a:stretch>
                  </pic:blipFill>
                  <pic:spPr>
                    <a:xfrm>
                      <a:off x="0" y="0"/>
                      <a:ext cx="1315720" cy="666115"/>
                    </a:xfrm>
                    <a:prstGeom prst="rect">
                      <a:avLst/>
                    </a:prstGeom>
                    <a:noFill/>
                    <a:ln>
                      <a:noFill/>
                    </a:ln>
                  </pic:spPr>
                </pic:pic>
              </a:graphicData>
            </a:graphic>
          </wp:inline>
        </w:drawing>
      </w:r>
    </w:p>
    <w:p w14:paraId="5FFBB3E1">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color w:val="FF000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设计回复：</w:t>
      </w:r>
      <w:r>
        <w:rPr>
          <w:rFonts w:hint="eastAsia" w:asciiTheme="minorEastAsia" w:hAnsiTheme="minorEastAsia" w:eastAsiaTheme="minorEastAsia" w:cstheme="minorEastAsia"/>
          <w:color w:val="FF0000"/>
          <w:sz w:val="24"/>
          <w:szCs w:val="24"/>
        </w:rPr>
        <w:t>以诺贝尔品牌报价</w:t>
      </w:r>
    </w:p>
    <w:p w14:paraId="0B36973A">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请贵司明确1#地下精装大堂墙面亚克力发光字厚度及尺寸。</w:t>
      </w:r>
    </w:p>
    <w:p w14:paraId="20A12866">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eastAsiaTheme="minorEastAsia" w:cstheme="minorEastAsia"/>
          <w:b w:val="0"/>
          <w:bCs w:val="0"/>
          <w:color w:val="FF000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设计回复：</w:t>
      </w:r>
      <w:r>
        <w:rPr>
          <w:rFonts w:hint="eastAsia" w:asciiTheme="minorEastAsia" w:hAnsiTheme="minorEastAsia" w:cstheme="minorEastAsia"/>
          <w:b w:val="0"/>
          <w:bCs w:val="0"/>
          <w:color w:val="FF0000"/>
          <w:sz w:val="24"/>
          <w:szCs w:val="24"/>
          <w:lang w:val="en-US" w:eastAsia="zh-CN"/>
        </w:rPr>
        <w:t>如下图示意，亚克力15mm厚</w:t>
      </w:r>
    </w:p>
    <w:p w14:paraId="1FC75BAF">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sz w:val="24"/>
          <w:szCs w:val="24"/>
          <w:lang w:val="en-US" w:eastAsia="zh-CN"/>
        </w:rPr>
      </w:pPr>
      <w:r>
        <w:drawing>
          <wp:inline distT="0" distB="0" distL="114300" distR="114300">
            <wp:extent cx="743585" cy="957580"/>
            <wp:effectExtent l="0" t="0" r="3175" b="2540"/>
            <wp:docPr id="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pic:cNvPicPr>
                      <a:picLocks noChangeAspect="1"/>
                    </pic:cNvPicPr>
                  </pic:nvPicPr>
                  <pic:blipFill>
                    <a:blip r:embed="rId33"/>
                    <a:stretch>
                      <a:fillRect/>
                    </a:stretch>
                  </pic:blipFill>
                  <pic:spPr>
                    <a:xfrm>
                      <a:off x="0" y="0"/>
                      <a:ext cx="743585" cy="957580"/>
                    </a:xfrm>
                    <a:prstGeom prst="rect">
                      <a:avLst/>
                    </a:prstGeom>
                    <a:noFill/>
                    <a:ln>
                      <a:noFill/>
                    </a:ln>
                  </pic:spPr>
                </pic:pic>
              </a:graphicData>
            </a:graphic>
          </wp:inline>
        </w:drawing>
      </w:r>
    </w:p>
    <w:p w14:paraId="266F65B0">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请贵司明确1#地下精装大堂墙面古铜色不锈钢字体厚度及尺寸</w:t>
      </w:r>
    </w:p>
    <w:p w14:paraId="367AE248">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eastAsiaTheme="minorEastAsia" w:cstheme="minorEastAsia"/>
          <w:b w:val="0"/>
          <w:bCs w:val="0"/>
          <w:color w:val="FF000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设计回复：</w:t>
      </w:r>
      <w:r>
        <w:rPr>
          <w:rFonts w:hint="eastAsia" w:asciiTheme="minorEastAsia" w:hAnsiTheme="minorEastAsia" w:cstheme="minorEastAsia"/>
          <w:b w:val="0"/>
          <w:bCs w:val="0"/>
          <w:color w:val="FF0000"/>
          <w:sz w:val="24"/>
          <w:szCs w:val="24"/>
          <w:lang w:val="en-US" w:eastAsia="zh-CN"/>
        </w:rPr>
        <w:t>1.2mm厚不锈钢</w:t>
      </w:r>
    </w:p>
    <w:p w14:paraId="23B2CCA4">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如下图，请问1#地下精装大堂顶面节点T-03-02灯槽处不锈钢是否漏项？并复核其他楼栋。</w:t>
      </w:r>
      <w:r>
        <w:rPr>
          <w:rFonts w:hint="eastAsia" w:ascii="宋体" w:hAnsi="宋体" w:eastAsia="宋体" w:cs="宋体"/>
          <w:sz w:val="24"/>
          <w:szCs w:val="24"/>
          <w:lang w:val="en-US" w:eastAsia="zh-CN"/>
        </w:rPr>
        <w:drawing>
          <wp:anchor distT="0" distB="0" distL="114300" distR="114300" simplePos="0" relativeHeight="251667456" behindDoc="0" locked="0" layoutInCell="1" allowOverlap="1">
            <wp:simplePos x="0" y="0"/>
            <wp:positionH relativeFrom="column">
              <wp:posOffset>0</wp:posOffset>
            </wp:positionH>
            <wp:positionV relativeFrom="paragraph">
              <wp:posOffset>442595</wp:posOffset>
            </wp:positionV>
            <wp:extent cx="1095375" cy="927735"/>
            <wp:effectExtent l="0" t="0" r="1905" b="1905"/>
            <wp:wrapTopAndBottom/>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34"/>
                    <a:stretch>
                      <a:fillRect/>
                    </a:stretch>
                  </pic:blipFill>
                  <pic:spPr>
                    <a:xfrm>
                      <a:off x="0" y="0"/>
                      <a:ext cx="1095375" cy="927735"/>
                    </a:xfrm>
                    <a:prstGeom prst="rect">
                      <a:avLst/>
                    </a:prstGeom>
                    <a:noFill/>
                    <a:ln>
                      <a:noFill/>
                    </a:ln>
                  </pic:spPr>
                </pic:pic>
              </a:graphicData>
            </a:graphic>
          </wp:anchor>
        </w:drawing>
      </w:r>
    </w:p>
    <w:p w14:paraId="52AA464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color w:val="FF0000"/>
          <w:sz w:val="24"/>
          <w:szCs w:val="24"/>
          <w:lang w:eastAsia="zh-CN"/>
        </w:rPr>
        <w:t>成本回复：</w:t>
      </w:r>
      <w:r>
        <w:rPr>
          <w:rFonts w:hint="eastAsia" w:asciiTheme="minorEastAsia" w:hAnsiTheme="minorEastAsia" w:eastAsiaTheme="minorEastAsia" w:cstheme="minorEastAsia"/>
          <w:color w:val="FF0000"/>
          <w:sz w:val="24"/>
          <w:szCs w:val="24"/>
          <w:lang w:val="en-US" w:eastAsia="zh-CN"/>
        </w:rPr>
        <w:t>此部分工程量已在不锈钢吊顶包含</w:t>
      </w:r>
    </w:p>
    <w:p w14:paraId="6DC647A3">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请贵司明确1#地下精装大堂墙面电动玻璃门玻璃的厚度及材质。</w:t>
      </w:r>
    </w:p>
    <w:p w14:paraId="4B9B7393">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eastAsiaTheme="minorEastAsia" w:cstheme="minorEastAsia"/>
          <w:b w:val="0"/>
          <w:bCs w:val="0"/>
          <w:color w:val="FF000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设计结合工程回复：</w:t>
      </w:r>
      <w:r>
        <w:rPr>
          <w:rFonts w:hint="eastAsia" w:asciiTheme="minorEastAsia" w:hAnsiTheme="minorEastAsia" w:cstheme="minorEastAsia"/>
          <w:b w:val="0"/>
          <w:bCs w:val="0"/>
          <w:color w:val="FF0000"/>
          <w:sz w:val="24"/>
          <w:szCs w:val="24"/>
          <w:lang w:val="en-US" w:eastAsia="zh-CN"/>
        </w:rPr>
        <w:t>超白玻12mm厚</w:t>
      </w:r>
    </w:p>
    <w:p w14:paraId="605B4782">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如下图，请贵司明确效果图2#地下精装大堂墙面不锈钢字体是否在我方报价范围？并复核其他楼栋。</w:t>
      </w:r>
    </w:p>
    <w:p w14:paraId="15088CB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color w:val="FF0000"/>
          <w:sz w:val="24"/>
          <w:szCs w:val="24"/>
          <w:lang w:eastAsia="zh-CN"/>
        </w:rPr>
        <w:t>成本结合工程回复：</w:t>
      </w:r>
      <w:r>
        <w:rPr>
          <w:rFonts w:hint="eastAsia" w:asciiTheme="minorEastAsia" w:hAnsiTheme="minorEastAsia" w:eastAsiaTheme="minorEastAsia" w:cstheme="minorEastAsia"/>
          <w:color w:val="FF0000"/>
          <w:sz w:val="24"/>
          <w:szCs w:val="24"/>
          <w:lang w:val="en-US" w:eastAsia="zh-CN"/>
        </w:rPr>
        <w:t>在报价范围内</w:t>
      </w:r>
    </w:p>
    <w:p w14:paraId="4E623828">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3360" behindDoc="0" locked="0" layoutInCell="1" allowOverlap="1">
            <wp:simplePos x="0" y="0"/>
            <wp:positionH relativeFrom="column">
              <wp:posOffset>135255</wp:posOffset>
            </wp:positionH>
            <wp:positionV relativeFrom="paragraph">
              <wp:posOffset>122555</wp:posOffset>
            </wp:positionV>
            <wp:extent cx="1410335" cy="1220470"/>
            <wp:effectExtent l="0" t="0" r="6985" b="13970"/>
            <wp:wrapTopAndBottom/>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35"/>
                    <a:stretch>
                      <a:fillRect/>
                    </a:stretch>
                  </pic:blipFill>
                  <pic:spPr>
                    <a:xfrm>
                      <a:off x="0" y="0"/>
                      <a:ext cx="1410335" cy="1220470"/>
                    </a:xfrm>
                    <a:prstGeom prst="rect">
                      <a:avLst/>
                    </a:prstGeom>
                    <a:noFill/>
                    <a:ln>
                      <a:noFill/>
                    </a:ln>
                  </pic:spPr>
                </pic:pic>
              </a:graphicData>
            </a:graphic>
          </wp:anchor>
        </w:drawing>
      </w:r>
      <w:r>
        <w:rPr>
          <w:rFonts w:hint="eastAsia" w:ascii="宋体" w:hAnsi="宋体" w:eastAsia="宋体" w:cs="宋体"/>
          <w:sz w:val="24"/>
          <w:szCs w:val="24"/>
          <w:lang w:val="en-US" w:eastAsia="zh-CN"/>
        </w:rPr>
        <w:t>清单中仅2#、5#、6#、7#、8#、9#一层精装大堂有入户脚垫，其他楼栋一层精装大堂是否没有入户脚垫？</w:t>
      </w:r>
    </w:p>
    <w:p w14:paraId="496CDDC4">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color w:val="FF0000"/>
          <w:sz w:val="24"/>
          <w:szCs w:val="24"/>
          <w:lang w:eastAsia="zh-CN"/>
        </w:rPr>
        <w:t>成本回复：</w:t>
      </w:r>
      <w:r>
        <w:rPr>
          <w:rFonts w:hint="eastAsia" w:asciiTheme="minorEastAsia" w:hAnsiTheme="minorEastAsia" w:eastAsiaTheme="minorEastAsia" w:cstheme="minorEastAsia"/>
          <w:color w:val="FF0000"/>
          <w:sz w:val="24"/>
          <w:szCs w:val="24"/>
          <w:lang w:val="en-US" w:eastAsia="zh-CN"/>
        </w:rPr>
        <w:t>已复核，图纸中未明确有入户脚垫</w:t>
      </w:r>
    </w:p>
    <w:p w14:paraId="5295245F">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2#标准层精装大堂墙面木饰面清单工程量为11.1m2,我司核算工程量为40.12m2，请贵司复核。</w:t>
      </w:r>
    </w:p>
    <w:p w14:paraId="5AC716E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color w:val="FF0000"/>
          <w:sz w:val="24"/>
          <w:szCs w:val="24"/>
          <w:lang w:eastAsia="zh-CN"/>
        </w:rPr>
        <w:t>成本回复：</w:t>
      </w:r>
      <w:r>
        <w:rPr>
          <w:rFonts w:hint="eastAsia" w:asciiTheme="minorEastAsia" w:hAnsiTheme="minorEastAsia" w:eastAsiaTheme="minorEastAsia" w:cstheme="minorEastAsia"/>
          <w:color w:val="FF0000"/>
          <w:sz w:val="24"/>
          <w:szCs w:val="24"/>
          <w:lang w:val="en-US" w:eastAsia="zh-CN"/>
        </w:rPr>
        <w:t>11.1m2工程量是一层，一共七层，总工程量为77.7m2</w:t>
      </w:r>
    </w:p>
    <w:p w14:paraId="47734EDB">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1#、3#、13#标准层精装大堂墙面木饰面清单单层工程量为7.56m2,我司核算工程量为8.34m2，请贵司复核。</w:t>
      </w:r>
    </w:p>
    <w:p w14:paraId="0333E9A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color w:val="FF0000"/>
          <w:sz w:val="24"/>
          <w:szCs w:val="24"/>
          <w:lang w:eastAsia="zh-CN"/>
        </w:rPr>
        <w:t>成本回复：</w:t>
      </w:r>
      <w:r>
        <w:rPr>
          <w:rFonts w:hint="eastAsia" w:asciiTheme="minorEastAsia" w:hAnsiTheme="minorEastAsia" w:eastAsiaTheme="minorEastAsia" w:cstheme="minorEastAsia"/>
          <w:color w:val="FF0000"/>
          <w:sz w:val="24"/>
          <w:szCs w:val="24"/>
          <w:lang w:val="en-US" w:eastAsia="zh-CN"/>
        </w:rPr>
        <w:t>已复核，无误</w:t>
      </w:r>
    </w:p>
    <w:p w14:paraId="605C806D">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1#、3#、13#标准层精装大堂墙面电梯门套清单单层工程量为1樘,我司核算工程量为2樘，请贵司复核。</w:t>
      </w:r>
    </w:p>
    <w:p w14:paraId="13E025EB">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color w:val="FF0000"/>
          <w:sz w:val="24"/>
          <w:szCs w:val="24"/>
          <w:lang w:eastAsia="zh-CN"/>
        </w:rPr>
        <w:t>成本回复：</w:t>
      </w:r>
      <w:r>
        <w:rPr>
          <w:rFonts w:hint="eastAsia" w:asciiTheme="minorEastAsia" w:hAnsiTheme="minorEastAsia" w:eastAsiaTheme="minorEastAsia" w:cstheme="minorEastAsia"/>
          <w:color w:val="FF0000"/>
          <w:sz w:val="24"/>
          <w:szCs w:val="24"/>
          <w:lang w:val="en-US" w:eastAsia="zh-CN"/>
        </w:rPr>
        <w:t>已复核，工程量为2樘</w:t>
      </w:r>
    </w:p>
    <w:p w14:paraId="4B0EA5DB">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如下图，1#、3#、13#标准层精装大堂墙面立面图纸E-01-04墙面墙砖需要干挂，请贵司补充干挂墙砖清单。</w:t>
      </w:r>
      <w:r>
        <w:rPr>
          <w:rFonts w:hint="eastAsia" w:ascii="宋体" w:hAnsi="宋体" w:eastAsia="宋体" w:cs="宋体"/>
          <w:sz w:val="24"/>
          <w:szCs w:val="24"/>
          <w:lang w:val="en-US" w:eastAsia="zh-CN"/>
        </w:rPr>
        <w:drawing>
          <wp:anchor distT="0" distB="0" distL="114300" distR="114300" simplePos="0" relativeHeight="251665408" behindDoc="0" locked="0" layoutInCell="1" allowOverlap="1">
            <wp:simplePos x="0" y="0"/>
            <wp:positionH relativeFrom="column">
              <wp:posOffset>26670</wp:posOffset>
            </wp:positionH>
            <wp:positionV relativeFrom="paragraph">
              <wp:posOffset>60325</wp:posOffset>
            </wp:positionV>
            <wp:extent cx="3340100" cy="989330"/>
            <wp:effectExtent l="0" t="0" r="12700" b="1270"/>
            <wp:wrapTopAndBottom/>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36"/>
                    <a:stretch>
                      <a:fillRect/>
                    </a:stretch>
                  </pic:blipFill>
                  <pic:spPr>
                    <a:xfrm>
                      <a:off x="0" y="0"/>
                      <a:ext cx="3340100" cy="989330"/>
                    </a:xfrm>
                    <a:prstGeom prst="rect">
                      <a:avLst/>
                    </a:prstGeom>
                    <a:noFill/>
                    <a:ln>
                      <a:noFill/>
                    </a:ln>
                  </pic:spPr>
                </pic:pic>
              </a:graphicData>
            </a:graphic>
          </wp:anchor>
        </w:drawing>
      </w:r>
    </w:p>
    <w:p w14:paraId="7C5CB939">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64384" behindDoc="0" locked="0" layoutInCell="1" allowOverlap="1">
            <wp:simplePos x="0" y="0"/>
            <wp:positionH relativeFrom="column">
              <wp:posOffset>-30480</wp:posOffset>
            </wp:positionH>
            <wp:positionV relativeFrom="paragraph">
              <wp:posOffset>310515</wp:posOffset>
            </wp:positionV>
            <wp:extent cx="2240915" cy="688975"/>
            <wp:effectExtent l="0" t="0" r="14605" b="12065"/>
            <wp:wrapTopAndBottom/>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37"/>
                    <a:stretch>
                      <a:fillRect/>
                    </a:stretch>
                  </pic:blipFill>
                  <pic:spPr>
                    <a:xfrm>
                      <a:off x="0" y="0"/>
                      <a:ext cx="2240915" cy="688975"/>
                    </a:xfrm>
                    <a:prstGeom prst="rect">
                      <a:avLst/>
                    </a:prstGeom>
                    <a:noFill/>
                    <a:ln>
                      <a:noFill/>
                    </a:ln>
                  </pic:spPr>
                </pic:pic>
              </a:graphicData>
            </a:graphic>
          </wp:anchor>
        </w:drawing>
      </w:r>
      <w:r>
        <w:rPr>
          <w:rFonts w:hint="eastAsia" w:asciiTheme="minorEastAsia" w:hAnsiTheme="minorEastAsia" w:eastAsiaTheme="minorEastAsia" w:cstheme="minorEastAsia"/>
          <w:color w:val="FF0000"/>
          <w:sz w:val="24"/>
          <w:szCs w:val="24"/>
          <w:lang w:val="en-US" w:eastAsia="zh-CN"/>
        </w:rPr>
        <w:t>设计回复</w:t>
      </w:r>
      <w:r>
        <w:rPr>
          <w:rFonts w:hint="eastAsia" w:asciiTheme="minorEastAsia" w:hAnsiTheme="minorEastAsia" w:cstheme="minorEastAsia"/>
          <w:color w:val="FF0000"/>
          <w:sz w:val="24"/>
          <w:szCs w:val="24"/>
          <w:lang w:val="en-US" w:eastAsia="zh-CN"/>
        </w:rPr>
        <w:t>：</w:t>
      </w:r>
      <w:r>
        <w:rPr>
          <w:rFonts w:hint="eastAsia" w:asciiTheme="minorEastAsia" w:hAnsiTheme="minorEastAsia" w:eastAsiaTheme="minorEastAsia" w:cstheme="minorEastAsia"/>
          <w:color w:val="FF0000"/>
          <w:sz w:val="24"/>
          <w:szCs w:val="24"/>
          <w:lang w:val="en-US" w:eastAsia="zh-CN"/>
        </w:rPr>
        <w:t>低于3.2mm墙面为</w:t>
      </w:r>
      <w:r>
        <w:rPr>
          <w:rFonts w:hint="eastAsia" w:asciiTheme="minorEastAsia" w:hAnsiTheme="minorEastAsia" w:eastAsiaTheme="minorEastAsia" w:cstheme="minorEastAsia"/>
          <w:sz w:val="24"/>
          <w:szCs w:val="24"/>
        </w:rPr>
        <w:drawing>
          <wp:inline distT="0" distB="0" distL="114300" distR="114300">
            <wp:extent cx="3530600" cy="560070"/>
            <wp:effectExtent l="0" t="0" r="5080" b="381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8"/>
                    <a:stretch>
                      <a:fillRect/>
                    </a:stretch>
                  </pic:blipFill>
                  <pic:spPr>
                    <a:xfrm>
                      <a:off x="0" y="0"/>
                      <a:ext cx="3530600" cy="560070"/>
                    </a:xfrm>
                    <a:prstGeom prst="rect">
                      <a:avLst/>
                    </a:prstGeom>
                    <a:noFill/>
                    <a:ln>
                      <a:noFill/>
                    </a:ln>
                  </pic:spPr>
                </pic:pic>
              </a:graphicData>
            </a:graphic>
          </wp:inline>
        </w:drawing>
      </w:r>
    </w:p>
    <w:p w14:paraId="46515C31">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68480" behindDoc="0" locked="0" layoutInCell="1" allowOverlap="1">
            <wp:simplePos x="0" y="0"/>
            <wp:positionH relativeFrom="column">
              <wp:posOffset>22860</wp:posOffset>
            </wp:positionH>
            <wp:positionV relativeFrom="paragraph">
              <wp:posOffset>506095</wp:posOffset>
            </wp:positionV>
            <wp:extent cx="3413125" cy="381000"/>
            <wp:effectExtent l="0" t="0" r="635" b="0"/>
            <wp:wrapTopAndBottom/>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39"/>
                    <a:stretch>
                      <a:fillRect/>
                    </a:stretch>
                  </pic:blipFill>
                  <pic:spPr>
                    <a:xfrm>
                      <a:off x="0" y="0"/>
                      <a:ext cx="3413125" cy="381000"/>
                    </a:xfrm>
                    <a:prstGeom prst="rect">
                      <a:avLst/>
                    </a:prstGeom>
                    <a:noFill/>
                    <a:ln>
                      <a:noFill/>
                    </a:ln>
                  </pic:spPr>
                </pic:pic>
              </a:graphicData>
            </a:graphic>
          </wp:anchor>
        </w:drawing>
      </w:r>
      <w:r>
        <w:rPr>
          <w:rFonts w:hint="eastAsia" w:ascii="宋体" w:hAnsi="宋体" w:eastAsia="宋体" w:cs="宋体"/>
          <w:sz w:val="24"/>
          <w:szCs w:val="24"/>
          <w:lang w:val="en-US" w:eastAsia="zh-CN"/>
        </w:rPr>
        <w:t>如下图，6#、7#、8#、9#标准层精装大堂入户脚垫的工程描述有误，请贵司调清单。</w:t>
      </w:r>
    </w:p>
    <w:p w14:paraId="2469C5C0">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color w:val="FF0000"/>
          <w:sz w:val="24"/>
          <w:szCs w:val="24"/>
          <w:lang w:eastAsia="zh-CN"/>
        </w:rPr>
        <w:t>成本回复：</w:t>
      </w:r>
      <w:r>
        <w:rPr>
          <w:rFonts w:hint="eastAsia" w:asciiTheme="minorEastAsia" w:hAnsiTheme="minorEastAsia" w:eastAsiaTheme="minorEastAsia" w:cstheme="minorEastAsia"/>
          <w:color w:val="FF0000"/>
          <w:sz w:val="24"/>
          <w:szCs w:val="24"/>
          <w:lang w:val="en-US" w:eastAsia="zh-CN"/>
        </w:rPr>
        <w:t>已复核，描述已修改</w:t>
      </w:r>
    </w:p>
    <w:p w14:paraId="0B3E40E2">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28.10#、12#标准层精装大堂湿贴瓷砖墙面清单工程量为242.00m2，我司测算工程量为250.98，请贵司复核。</w:t>
      </w:r>
    </w:p>
    <w:p w14:paraId="0034F6A2">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color w:val="FF0000"/>
          <w:sz w:val="24"/>
          <w:szCs w:val="24"/>
          <w:lang w:eastAsia="zh-CN"/>
        </w:rPr>
        <w:t>成本回复：</w:t>
      </w:r>
      <w:r>
        <w:rPr>
          <w:rFonts w:hint="eastAsia" w:asciiTheme="minorEastAsia" w:hAnsiTheme="minorEastAsia" w:eastAsiaTheme="minorEastAsia" w:cstheme="minorEastAsia"/>
          <w:color w:val="FF0000"/>
          <w:sz w:val="24"/>
          <w:szCs w:val="24"/>
          <w:lang w:val="en-US" w:eastAsia="zh-CN"/>
        </w:rPr>
        <w:t>已复核无误</w:t>
      </w:r>
    </w:p>
    <w:p w14:paraId="749764E1">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请问11#标准层精装大堂入户脚垫是否漏项？</w:t>
      </w:r>
    </w:p>
    <w:p w14:paraId="776CE7E4">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color w:val="FF0000"/>
          <w:sz w:val="24"/>
          <w:szCs w:val="24"/>
          <w:lang w:eastAsia="zh-CN"/>
        </w:rPr>
        <w:t>成本回复：</w:t>
      </w:r>
      <w:r>
        <w:rPr>
          <w:rFonts w:hint="eastAsia" w:asciiTheme="minorEastAsia" w:hAnsiTheme="minorEastAsia" w:eastAsiaTheme="minorEastAsia" w:cstheme="minorEastAsia"/>
          <w:color w:val="FF0000"/>
          <w:sz w:val="24"/>
          <w:szCs w:val="24"/>
          <w:lang w:val="en-US" w:eastAsia="zh-CN"/>
        </w:rPr>
        <w:t>已复核，入户脚垫未漏项，图纸未明确</w:t>
      </w:r>
    </w:p>
    <w:p w14:paraId="60E3F8AB">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如下图，1#楼单元入口不锈钢饰面工程量有差异，请贵司复核，并复核其他楼栋。</w:t>
      </w:r>
    </w:p>
    <w:p w14:paraId="7473FB92">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273040" cy="754380"/>
            <wp:effectExtent l="0" t="0" r="0" b="762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40"/>
                    <a:stretch>
                      <a:fillRect/>
                    </a:stretch>
                  </pic:blipFill>
                  <pic:spPr>
                    <a:xfrm>
                      <a:off x="0" y="0"/>
                      <a:ext cx="5273040" cy="754380"/>
                    </a:xfrm>
                    <a:prstGeom prst="rect">
                      <a:avLst/>
                    </a:prstGeom>
                    <a:noFill/>
                    <a:ln>
                      <a:noFill/>
                    </a:ln>
                  </pic:spPr>
                </pic:pic>
              </a:graphicData>
            </a:graphic>
          </wp:inline>
        </w:drawing>
      </w:r>
    </w:p>
    <w:p w14:paraId="5BF59D9D">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FF0000"/>
          <w:sz w:val="24"/>
          <w:szCs w:val="24"/>
          <w:lang w:eastAsia="zh-CN"/>
        </w:rPr>
        <w:t>成本回复：</w:t>
      </w:r>
      <w:r>
        <w:rPr>
          <w:rFonts w:hint="eastAsia" w:asciiTheme="minorEastAsia" w:hAnsiTheme="minorEastAsia" w:eastAsiaTheme="minorEastAsia" w:cstheme="minorEastAsia"/>
          <w:color w:val="FF0000"/>
          <w:sz w:val="24"/>
          <w:szCs w:val="24"/>
          <w:lang w:val="en-US" w:eastAsia="zh-CN"/>
        </w:rPr>
        <w:t>已复核，已修改</w:t>
      </w:r>
    </w:p>
    <w:p w14:paraId="796E35D7">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图纸1#楼地下室、首层及标准层步梯间到电梯间区域图纸显示防火门及电梯地面铺装图显示为地砖通铺，请问是否需要增加过门石铺贴？请明确。</w:t>
      </w:r>
    </w:p>
    <w:p w14:paraId="63CDA78F">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583690" cy="1374775"/>
            <wp:effectExtent l="0" t="0" r="1270" b="1206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41"/>
                    <a:stretch>
                      <a:fillRect/>
                    </a:stretch>
                  </pic:blipFill>
                  <pic:spPr>
                    <a:xfrm>
                      <a:off x="0" y="0"/>
                      <a:ext cx="1583690" cy="137477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drawing>
          <wp:inline distT="0" distB="0" distL="114300" distR="114300">
            <wp:extent cx="1899920" cy="1363980"/>
            <wp:effectExtent l="0" t="0" r="5080" b="762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42"/>
                    <a:stretch>
                      <a:fillRect/>
                    </a:stretch>
                  </pic:blipFill>
                  <pic:spPr>
                    <a:xfrm>
                      <a:off x="0" y="0"/>
                      <a:ext cx="1899920" cy="1363980"/>
                    </a:xfrm>
                    <a:prstGeom prst="rect">
                      <a:avLst/>
                    </a:prstGeom>
                    <a:noFill/>
                    <a:ln>
                      <a:noFill/>
                    </a:ln>
                  </pic:spPr>
                </pic:pic>
              </a:graphicData>
            </a:graphic>
          </wp:inline>
        </w:drawing>
      </w:r>
    </w:p>
    <w:p w14:paraId="080B471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eastAsia="zh-CN"/>
        </w:rPr>
        <w:t>工程结合设计回复：</w:t>
      </w:r>
      <w:r>
        <w:rPr>
          <w:rFonts w:hint="eastAsia" w:asciiTheme="minorEastAsia" w:hAnsiTheme="minorEastAsia" w:eastAsiaTheme="minorEastAsia" w:cstheme="minorEastAsia"/>
          <w:color w:val="FF0000"/>
          <w:sz w:val="24"/>
          <w:szCs w:val="24"/>
        </w:rPr>
        <w:t>后期由单位排版深化增加同地砖规格过门石，如增加费用综合考虑。</w:t>
      </w:r>
    </w:p>
    <w:p w14:paraId="13527002">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图纸中6#7#8#9#10#12#楼中首层每个单元电动感应门均为2个，电动门机组安装也应为2个，招标清单中工程量为1个，是否遗漏工程量？电机品牌型号也请明确。</w:t>
      </w:r>
    </w:p>
    <w:p w14:paraId="6B4B999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673860" cy="788035"/>
            <wp:effectExtent l="0" t="0" r="2540" b="444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43"/>
                    <a:stretch>
                      <a:fillRect/>
                    </a:stretch>
                  </pic:blipFill>
                  <pic:spPr>
                    <a:xfrm>
                      <a:off x="0" y="0"/>
                      <a:ext cx="1673860" cy="78803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drawing>
          <wp:inline distT="0" distB="0" distL="114300" distR="114300">
            <wp:extent cx="2210435" cy="784860"/>
            <wp:effectExtent l="0" t="0" r="14605" b="762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44"/>
                    <a:stretch>
                      <a:fillRect/>
                    </a:stretch>
                  </pic:blipFill>
                  <pic:spPr>
                    <a:xfrm>
                      <a:off x="0" y="0"/>
                      <a:ext cx="2210435" cy="784860"/>
                    </a:xfrm>
                    <a:prstGeom prst="rect">
                      <a:avLst/>
                    </a:prstGeom>
                    <a:noFill/>
                    <a:ln>
                      <a:noFill/>
                    </a:ln>
                  </pic:spPr>
                </pic:pic>
              </a:graphicData>
            </a:graphic>
          </wp:inline>
        </w:drawing>
      </w:r>
    </w:p>
    <w:p w14:paraId="55D74725">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eastAsia="zh-CN"/>
        </w:rPr>
        <w:t>成本结合设计回复：</w:t>
      </w:r>
      <w:r>
        <w:rPr>
          <w:rFonts w:hint="eastAsia" w:asciiTheme="minorEastAsia" w:hAnsiTheme="minorEastAsia" w:eastAsiaTheme="minorEastAsia" w:cstheme="minorEastAsia"/>
          <w:color w:val="FF0000"/>
          <w:sz w:val="24"/>
          <w:szCs w:val="24"/>
          <w:lang w:val="en-US" w:eastAsia="zh-CN"/>
        </w:rPr>
        <w:t>已复核，工程量为2个</w:t>
      </w:r>
    </w:p>
    <w:p w14:paraId="40793AC4">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所有图纸中灯具安装部分图纸中显示有微波雷达感应开关，清单中并没有此项，是否遗漏？请明确。</w:t>
      </w:r>
    </w:p>
    <w:p w14:paraId="60D78ACB">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771525" cy="629920"/>
            <wp:effectExtent l="0" t="0" r="5715" b="1016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45"/>
                    <a:stretch>
                      <a:fillRect/>
                    </a:stretch>
                  </pic:blipFill>
                  <pic:spPr>
                    <a:xfrm>
                      <a:off x="0" y="0"/>
                      <a:ext cx="771525" cy="62992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drawing>
          <wp:inline distT="0" distB="0" distL="114300" distR="114300">
            <wp:extent cx="3115310" cy="545465"/>
            <wp:effectExtent l="0" t="0" r="8890" b="3175"/>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46"/>
                    <a:stretch>
                      <a:fillRect/>
                    </a:stretch>
                  </pic:blipFill>
                  <pic:spPr>
                    <a:xfrm>
                      <a:off x="0" y="0"/>
                      <a:ext cx="3115310" cy="545465"/>
                    </a:xfrm>
                    <a:prstGeom prst="rect">
                      <a:avLst/>
                    </a:prstGeom>
                    <a:noFill/>
                    <a:ln>
                      <a:noFill/>
                    </a:ln>
                  </pic:spPr>
                </pic:pic>
              </a:graphicData>
            </a:graphic>
          </wp:inline>
        </w:drawing>
      </w:r>
    </w:p>
    <w:p w14:paraId="09BF71F9">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eastAsia="zh-CN"/>
        </w:rPr>
        <w:t>成本回复：</w:t>
      </w:r>
      <w:r>
        <w:rPr>
          <w:rFonts w:hint="eastAsia" w:asciiTheme="minorEastAsia" w:hAnsiTheme="minorEastAsia" w:eastAsiaTheme="minorEastAsia" w:cstheme="minorEastAsia"/>
          <w:color w:val="FF0000"/>
          <w:sz w:val="24"/>
          <w:szCs w:val="24"/>
          <w:lang w:val="en-US" w:eastAsia="zh-CN"/>
        </w:rPr>
        <w:t>增加雷达感应开关清单，已标注颜色，修改后清单随本次答疑一并发送</w:t>
      </w:r>
    </w:p>
    <w:p w14:paraId="1CC0547F">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安装部分线路连线图中电井配电箱至电感门电源管线及电井部分管线外引没有明确线路图，请补充。</w:t>
      </w:r>
    </w:p>
    <w:p w14:paraId="3314E945">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2506980" cy="807085"/>
            <wp:effectExtent l="0" t="0" r="7620" b="63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47"/>
                    <a:stretch>
                      <a:fillRect/>
                    </a:stretch>
                  </pic:blipFill>
                  <pic:spPr>
                    <a:xfrm>
                      <a:off x="0" y="0"/>
                      <a:ext cx="2506980" cy="80708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drawing>
          <wp:inline distT="0" distB="0" distL="114300" distR="114300">
            <wp:extent cx="1591310" cy="863600"/>
            <wp:effectExtent l="0" t="0" r="8890" b="508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48"/>
                    <a:stretch>
                      <a:fillRect/>
                    </a:stretch>
                  </pic:blipFill>
                  <pic:spPr>
                    <a:xfrm>
                      <a:off x="0" y="0"/>
                      <a:ext cx="1591310" cy="863600"/>
                    </a:xfrm>
                    <a:prstGeom prst="rect">
                      <a:avLst/>
                    </a:prstGeom>
                    <a:noFill/>
                    <a:ln>
                      <a:noFill/>
                    </a:ln>
                  </pic:spPr>
                </pic:pic>
              </a:graphicData>
            </a:graphic>
          </wp:inline>
        </w:drawing>
      </w:r>
    </w:p>
    <w:p w14:paraId="3BF05A6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default"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eastAsia="zh-CN"/>
        </w:rPr>
        <w:t>设计回复：</w:t>
      </w:r>
      <w:r>
        <w:rPr>
          <w:rFonts w:hint="eastAsia" w:asciiTheme="minorEastAsia" w:hAnsiTheme="minorEastAsia" w:cstheme="minorEastAsia"/>
          <w:color w:val="FF0000"/>
          <w:sz w:val="24"/>
          <w:szCs w:val="24"/>
          <w:lang w:val="en-US" w:eastAsia="zh-CN"/>
        </w:rPr>
        <w:t>详见照面连线图，开关控制。开关接入电井电箱。</w:t>
      </w:r>
    </w:p>
    <w:p w14:paraId="00BF6925">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图纸中首层每个单元电动感应门需要预留网络电源线，图纸清单中并未提及，请明确。</w:t>
      </w:r>
    </w:p>
    <w:p w14:paraId="261861D1">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inline distT="0" distB="0" distL="114300" distR="114300">
            <wp:extent cx="2518410" cy="1185545"/>
            <wp:effectExtent l="0" t="0" r="11430" b="3175"/>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43"/>
                    <a:stretch>
                      <a:fillRect/>
                    </a:stretch>
                  </pic:blipFill>
                  <pic:spPr>
                    <a:xfrm>
                      <a:off x="0" y="0"/>
                      <a:ext cx="2518410" cy="1185545"/>
                    </a:xfrm>
                    <a:prstGeom prst="rect">
                      <a:avLst/>
                    </a:prstGeom>
                    <a:noFill/>
                    <a:ln>
                      <a:noFill/>
                    </a:ln>
                  </pic:spPr>
                </pic:pic>
              </a:graphicData>
            </a:graphic>
          </wp:inline>
        </w:drawing>
      </w:r>
    </w:p>
    <w:p w14:paraId="4B8B6D77">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val="en-US" w:eastAsia="zh-CN"/>
        </w:rPr>
        <w:t>成本回复：清单中已包含，配电箱至电感门电源管线按设计回复PVC20，WDZ-BYJ-3*4计入</w:t>
      </w:r>
    </w:p>
    <w:p w14:paraId="1F808A6B">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根据招标文件及清单要求，本项目为固定总价模式，需要核算工程量清单，时间较紧张，能否延期开标？</w:t>
      </w:r>
    </w:p>
    <w:p w14:paraId="03C7401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val="en-US" w:eastAsia="zh-CN"/>
        </w:rPr>
        <w:t>回复：开标时间27日下午两点半</w:t>
      </w:r>
    </w:p>
    <w:p w14:paraId="700E7B0E">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请补充清单中单元入口处外装饰面图纸（平立剖面图）</w:t>
      </w:r>
    </w:p>
    <w:p w14:paraId="6A310EE5">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val="en-US" w:eastAsia="zh-CN"/>
        </w:rPr>
        <w:t>设计回复：</w:t>
      </w:r>
    </w:p>
    <w:p w14:paraId="1479A6CE">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12号楼无图纸，请补充图纸，或者是否和10号楼工程量一样？</w:t>
      </w:r>
    </w:p>
    <w:p w14:paraId="2E12DD66">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val="en-US" w:eastAsia="zh-CN"/>
        </w:rPr>
        <w:t>成本回复：同10号楼工程量</w:t>
      </w:r>
    </w:p>
    <w:p w14:paraId="3917D009">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材料表中已备注供货商联系方式的材料，我们是否必须在此家单位询价并采购？</w:t>
      </w:r>
    </w:p>
    <w:p w14:paraId="6F843531">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val="en-US" w:eastAsia="zh-CN"/>
        </w:rPr>
        <w:t>设计回复：否，按招标文件及招标清单要求</w:t>
      </w:r>
    </w:p>
    <w:p w14:paraId="0CC7A3B5">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已经明确了品牌和型号的材料，我们是否还需要准备样品（如提供样品，是让以上供应商提供？还是我们自行推荐？）</w:t>
      </w:r>
    </w:p>
    <w:p w14:paraId="4B0EAE54">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val="en-US" w:eastAsia="zh-CN"/>
        </w:rPr>
        <w:t>设计回复：按招标文件及招标清单要求，投标人自行提供报价对应样品，现场已施工有样板，需踏勘现场。</w:t>
      </w:r>
    </w:p>
    <w:p w14:paraId="6DA07EB1">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招标清单负一层大堂第206、273、337项合计关联有误，请核实；</w:t>
      </w:r>
    </w:p>
    <w:p w14:paraId="562EDFD7">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val="en-US" w:eastAsia="zh-CN"/>
        </w:rPr>
        <w:t>成本回复：已复核，已修改</w:t>
      </w:r>
    </w:p>
    <w:p w14:paraId="0E7ECA5D">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招标清单一层大堂 第274项合计关联有误，请核实；</w:t>
      </w:r>
    </w:p>
    <w:p w14:paraId="3FB9821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val="en-US" w:eastAsia="zh-CN"/>
        </w:rPr>
        <w:t>成本回复：已复核，已修改</w:t>
      </w:r>
    </w:p>
    <w:p w14:paraId="0ADDDB86">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招标清单夹层公区 第27项合计关联有误，请核实；</w:t>
      </w:r>
    </w:p>
    <w:p w14:paraId="0360517A">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val="en-US" w:eastAsia="zh-CN"/>
        </w:rPr>
        <w:t>成本回复：已复核，已修改</w:t>
      </w:r>
    </w:p>
    <w:p w14:paraId="00018308">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招标清单软装部分挂画、矮榻、落地灯、入户脚垫请提供样式、材质及尺寸；</w:t>
      </w:r>
    </w:p>
    <w:p w14:paraId="46859129">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val="en-US" w:eastAsia="zh-CN"/>
        </w:rPr>
        <w:t>设计回复：</w:t>
      </w:r>
      <w:r>
        <w:rPr>
          <w:rFonts w:hint="eastAsia" w:asciiTheme="minorEastAsia" w:hAnsiTheme="minorEastAsia" w:cstheme="minorEastAsia"/>
          <w:color w:val="FF0000"/>
          <w:sz w:val="24"/>
          <w:szCs w:val="24"/>
          <w:lang w:val="en-US" w:eastAsia="zh-CN"/>
        </w:rPr>
        <w:t>不包含在本次招标范围，清单已调整</w:t>
      </w:r>
    </w:p>
    <w:p w14:paraId="7790815C">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不锈钢电梯门套0.4mm厚，厚度太薄，是否调整厚度？</w:t>
      </w:r>
    </w:p>
    <w:p w14:paraId="4780528A">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eastAsia="zh-CN"/>
        </w:rPr>
        <w:t>设计回复：</w:t>
      </w:r>
      <w:r>
        <w:rPr>
          <w:rFonts w:hint="eastAsia" w:asciiTheme="minorEastAsia" w:hAnsiTheme="minorEastAsia" w:eastAsiaTheme="minorEastAsia" w:cstheme="minorEastAsia"/>
          <w:color w:val="FF0000"/>
          <w:sz w:val="24"/>
          <w:szCs w:val="24"/>
          <w:lang w:val="en-US" w:eastAsia="zh-CN"/>
        </w:rPr>
        <w:t>不锈钢均为304，1.2mm厚，无0.4mm厚</w:t>
      </w:r>
    </w:p>
    <w:p w14:paraId="022FD5B5">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项目为整体交付还是分批次交付，请明确；</w:t>
      </w:r>
    </w:p>
    <w:p w14:paraId="41FD1D84">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eastAsia="zh-CN"/>
        </w:rPr>
        <w:t>工程回复：</w:t>
      </w:r>
      <w:r>
        <w:rPr>
          <w:rFonts w:hint="eastAsia" w:asciiTheme="minorEastAsia" w:hAnsiTheme="minorEastAsia" w:cstheme="minorEastAsia"/>
          <w:color w:val="FF0000"/>
          <w:sz w:val="24"/>
          <w:szCs w:val="24"/>
          <w:lang w:val="en-US" w:eastAsia="zh-CN"/>
        </w:rPr>
        <w:t>整体交付</w:t>
      </w:r>
    </w:p>
    <w:p w14:paraId="6C4A2A64">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水电如何计费？</w:t>
      </w:r>
    </w:p>
    <w:p w14:paraId="714FA6C2">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val="en-US" w:eastAsia="zh-CN"/>
        </w:rPr>
        <w:t>回复：乙方直接交给总包</w:t>
      </w:r>
    </w:p>
    <w:p w14:paraId="2AE71657">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施工垃圾归置在场内指定位置还是由是施工方直接外运？如归置在指定位置是否收费费用？请明确。</w:t>
      </w:r>
    </w:p>
    <w:p w14:paraId="77A47B4C">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default"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eastAsia="zh-CN"/>
        </w:rPr>
        <w:t>工程回复：</w:t>
      </w:r>
      <w:r>
        <w:rPr>
          <w:rFonts w:hint="eastAsia" w:asciiTheme="minorEastAsia" w:hAnsiTheme="minorEastAsia" w:cstheme="minorEastAsia"/>
          <w:color w:val="FF0000"/>
          <w:sz w:val="24"/>
          <w:szCs w:val="24"/>
          <w:lang w:val="en-US" w:eastAsia="zh-CN"/>
        </w:rPr>
        <w:t>垃圾由施工方自行处置。</w:t>
      </w:r>
    </w:p>
    <w:p w14:paraId="3A76DC08">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水电接驳点是否在施工楼栋内？如不在，请简述接驳点到施工楼栋的距离。</w:t>
      </w:r>
    </w:p>
    <w:p w14:paraId="75D000B7">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default"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eastAsia="zh-CN"/>
        </w:rPr>
        <w:t>工程回复：</w:t>
      </w:r>
      <w:r>
        <w:rPr>
          <w:rFonts w:hint="eastAsia" w:asciiTheme="minorEastAsia" w:hAnsiTheme="minorEastAsia" w:cstheme="minorEastAsia"/>
          <w:color w:val="FF0000"/>
          <w:sz w:val="24"/>
          <w:szCs w:val="24"/>
          <w:lang w:val="en-US" w:eastAsia="zh-CN"/>
        </w:rPr>
        <w:t>水电接驳点在楼栋内</w:t>
      </w:r>
    </w:p>
    <w:p w14:paraId="165C7321">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施工过程中的施工用电配电箱在楼栋中，每隔几层设置一个？</w:t>
      </w:r>
    </w:p>
    <w:p w14:paraId="25A9A126">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eastAsia="zh-CN"/>
        </w:rPr>
        <w:t>工程结合设计回复：施工单位需至少3层配备一个电箱</w:t>
      </w:r>
    </w:p>
    <w:p w14:paraId="3915D832">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施工过程中上料电梯能否正常使用，是否收费？</w:t>
      </w:r>
    </w:p>
    <w:p w14:paraId="1A2CC852">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eastAsia="zh-CN"/>
        </w:rPr>
        <w:t>工程回复：</w:t>
      </w:r>
      <w:r>
        <w:rPr>
          <w:rFonts w:hint="eastAsia" w:asciiTheme="minorEastAsia" w:hAnsiTheme="minorEastAsia" w:eastAsiaTheme="minorEastAsia" w:cstheme="minorEastAsia"/>
          <w:color w:val="FF0000"/>
          <w:sz w:val="24"/>
          <w:szCs w:val="24"/>
        </w:rPr>
        <w:t>甲方不提供垂直运输设备，精装单位垂直运输措施自行在报价中综合考虑。室内电梯安装验收后由精装管理，每栋楼配电梯司机，费用单列。</w:t>
      </w:r>
    </w:p>
    <w:p w14:paraId="3B021BC5">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现场是否可以协调空地或者总包临时房用于住宿？</w:t>
      </w:r>
    </w:p>
    <w:p w14:paraId="794D332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eastAsia="zh-CN"/>
        </w:rPr>
        <w:t>工程回复：目前现场不具备工人住宿条件</w:t>
      </w:r>
    </w:p>
    <w:p w14:paraId="0CEE61F0">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现场是否每栋楼都有材料堆放点且免费使用。</w:t>
      </w:r>
    </w:p>
    <w:p w14:paraId="502984C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FF0000"/>
          <w:sz w:val="24"/>
          <w:szCs w:val="24"/>
          <w:lang w:eastAsia="zh-CN"/>
        </w:rPr>
      </w:pPr>
      <w:r>
        <w:rPr>
          <w:rFonts w:hint="eastAsia" w:asciiTheme="minorEastAsia" w:hAnsiTheme="minorEastAsia" w:eastAsiaTheme="minorEastAsia" w:cstheme="minorEastAsia"/>
          <w:color w:val="FF0000"/>
          <w:sz w:val="24"/>
          <w:szCs w:val="24"/>
          <w:lang w:eastAsia="zh-CN"/>
        </w:rPr>
        <w:t>工程回复：材料堆放按现场管理要求堆放，不收费。</w:t>
      </w:r>
    </w:p>
    <w:p w14:paraId="34D451D1">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如下图，夹层公区工程量表格部分已经乘了单元数，汇总表又乘了单元数，是否有误？</w:t>
      </w:r>
    </w:p>
    <w:p w14:paraId="74495AB6">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val="en-US" w:eastAsia="zh-CN"/>
        </w:rPr>
        <w:t xml:space="preserve">成本回复：已复核，以设计回复计入 </w:t>
      </w:r>
    </w:p>
    <w:p w14:paraId="75CFAD79">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88" w:lineRule="auto"/>
        <w:jc w:val="left"/>
        <w:textAlignment w:val="auto"/>
        <w:rPr>
          <w:rFonts w:hint="default" w:ascii="宋体" w:hAnsi="宋体" w:cs="宋体"/>
          <w:b w:val="0"/>
          <w:bCs w:val="0"/>
          <w:color w:val="C00000"/>
          <w:sz w:val="28"/>
          <w:szCs w:val="28"/>
          <w:lang w:val="en-US" w:eastAsia="zh-CN"/>
        </w:rPr>
      </w:pPr>
      <w:r>
        <w:drawing>
          <wp:inline distT="0" distB="0" distL="114300" distR="114300">
            <wp:extent cx="1419225" cy="582930"/>
            <wp:effectExtent l="0" t="0" r="13335" b="1143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49"/>
                    <a:stretch>
                      <a:fillRect/>
                    </a:stretch>
                  </pic:blipFill>
                  <pic:spPr>
                    <a:xfrm>
                      <a:off x="0" y="0"/>
                      <a:ext cx="1419225" cy="582930"/>
                    </a:xfrm>
                    <a:prstGeom prst="rect">
                      <a:avLst/>
                    </a:prstGeom>
                    <a:noFill/>
                    <a:ln>
                      <a:noFill/>
                    </a:ln>
                  </pic:spPr>
                </pic:pic>
              </a:graphicData>
            </a:graphic>
          </wp:inline>
        </w:drawing>
      </w:r>
    </w:p>
    <w:p w14:paraId="4029B155">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如下图，清单描述标准层精装大堂瓷砖为700*1500mm，图纸规格为800*800mm，清单是描述错误？</w:t>
      </w:r>
    </w:p>
    <w:p w14:paraId="1AFF3C3E">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669504" behindDoc="0" locked="0" layoutInCell="1" allowOverlap="1">
            <wp:simplePos x="0" y="0"/>
            <wp:positionH relativeFrom="column">
              <wp:posOffset>-15875</wp:posOffset>
            </wp:positionH>
            <wp:positionV relativeFrom="paragraph">
              <wp:posOffset>409575</wp:posOffset>
            </wp:positionV>
            <wp:extent cx="1554480" cy="897255"/>
            <wp:effectExtent l="0" t="0" r="0" b="1905"/>
            <wp:wrapTopAndBottom/>
            <wp:docPr id="42" name="图片 6" descr="6a133bd3c7caca96daeb9df8cd9a0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descr="6a133bd3c7caca96daeb9df8cd9a04c"/>
                    <pic:cNvPicPr>
                      <a:picLocks noChangeAspect="1"/>
                    </pic:cNvPicPr>
                  </pic:nvPicPr>
                  <pic:blipFill>
                    <a:blip r:embed="rId50"/>
                    <a:stretch>
                      <a:fillRect/>
                    </a:stretch>
                  </pic:blipFill>
                  <pic:spPr>
                    <a:xfrm>
                      <a:off x="0" y="0"/>
                      <a:ext cx="1554480" cy="897255"/>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rPr>
        <w:drawing>
          <wp:inline distT="0" distB="0" distL="114300" distR="114300">
            <wp:extent cx="1388110" cy="704215"/>
            <wp:effectExtent l="0" t="0" r="13970" b="1206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51"/>
                    <a:stretch>
                      <a:fillRect/>
                    </a:stretch>
                  </pic:blipFill>
                  <pic:spPr>
                    <a:xfrm>
                      <a:off x="0" y="0"/>
                      <a:ext cx="1388110" cy="704215"/>
                    </a:xfrm>
                    <a:prstGeom prst="rect">
                      <a:avLst/>
                    </a:prstGeom>
                    <a:noFill/>
                    <a:ln>
                      <a:noFill/>
                    </a:ln>
                  </pic:spPr>
                </pic:pic>
              </a:graphicData>
            </a:graphic>
          </wp:inline>
        </w:drawing>
      </w:r>
    </w:p>
    <w:p w14:paraId="67A0F816">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val="en-US" w:eastAsia="zh-CN"/>
        </w:rPr>
        <w:t>成本回复：成本回复：已复核，清单描述已修改</w:t>
      </w:r>
    </w:p>
    <w:p w14:paraId="6D792CC7">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如下图，6.22答疑回复地下室铝板厚度为0.6mm,该厚度不满足穿孔施工要求，建议调整2.5mm。</w:t>
      </w:r>
    </w:p>
    <w:p w14:paraId="15DC9B4C">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3627120" cy="922655"/>
            <wp:effectExtent l="0" t="0" r="0" b="6985"/>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52"/>
                    <a:stretch>
                      <a:fillRect/>
                    </a:stretch>
                  </pic:blipFill>
                  <pic:spPr>
                    <a:xfrm>
                      <a:off x="0" y="0"/>
                      <a:ext cx="3627120" cy="922655"/>
                    </a:xfrm>
                    <a:prstGeom prst="rect">
                      <a:avLst/>
                    </a:prstGeom>
                    <a:noFill/>
                    <a:ln>
                      <a:noFill/>
                    </a:ln>
                  </pic:spPr>
                </pic:pic>
              </a:graphicData>
            </a:graphic>
          </wp:inline>
        </w:drawing>
      </w:r>
    </w:p>
    <w:p w14:paraId="2B983DC3">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val="en-US" w:eastAsia="zh-CN"/>
        </w:rPr>
        <w:t>设计回复：穿孔铝板，2.5mm厚</w:t>
      </w:r>
    </w:p>
    <w:p w14:paraId="6DBA7078">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如下图，1#地下精装大堂部分清单项目没有单位，请贵司补充。</w:t>
      </w:r>
    </w:p>
    <w:p w14:paraId="70F4AEC5">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color w:val="FF0000"/>
          <w:sz w:val="24"/>
          <w:szCs w:val="24"/>
          <w:lang w:val="en-US" w:eastAsia="zh-CN"/>
        </w:rPr>
        <w:t>成本回复：已复核，已修改</w:t>
      </w:r>
    </w:p>
    <w:p w14:paraId="2322BC4C">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图示为负一层大堂墙面，请贵司明确红色箭头部位是什么？清单内不包含该项，请贵司明确材质并补充清单</w:t>
      </w:r>
    </w:p>
    <w:p w14:paraId="7E30C100">
      <w:pPr>
        <w:numPr>
          <w:ilvl w:val="0"/>
          <w:numId w:val="0"/>
        </w:numPr>
        <w:jc w:val="left"/>
      </w:pPr>
      <w:r>
        <w:drawing>
          <wp:inline distT="0" distB="0" distL="114300" distR="114300">
            <wp:extent cx="1197610" cy="874395"/>
            <wp:effectExtent l="0" t="0" r="6350" b="9525"/>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53"/>
                    <a:stretch>
                      <a:fillRect/>
                    </a:stretch>
                  </pic:blipFill>
                  <pic:spPr>
                    <a:xfrm>
                      <a:off x="0" y="0"/>
                      <a:ext cx="1197610" cy="874395"/>
                    </a:xfrm>
                    <a:prstGeom prst="rect">
                      <a:avLst/>
                    </a:prstGeom>
                    <a:noFill/>
                    <a:ln>
                      <a:noFill/>
                    </a:ln>
                  </pic:spPr>
                </pic:pic>
              </a:graphicData>
            </a:graphic>
          </wp:inline>
        </w:drawing>
      </w:r>
    </w:p>
    <w:p w14:paraId="23ADDEAA">
      <w:pPr>
        <w:pStyle w:val="27"/>
        <w:ind w:left="0" w:leftChars="0" w:firstLine="0" w:firstLineChars="0"/>
        <w:rPr>
          <w:rFonts w:hint="eastAsia" w:eastAsiaTheme="minorEastAsia"/>
          <w:color w:val="FF0000"/>
          <w:lang w:eastAsia="zh-CN"/>
        </w:rPr>
      </w:pPr>
      <w:r>
        <w:rPr>
          <w:rFonts w:hint="eastAsia"/>
          <w:color w:val="FF0000"/>
          <w:lang w:eastAsia="zh-CN"/>
        </w:rPr>
        <w:t>成本回复：</w:t>
      </w:r>
      <w:r>
        <w:rPr>
          <w:rFonts w:hint="eastAsia"/>
          <w:color w:val="FF0000"/>
          <w:lang w:val="en-US" w:eastAsia="zh-CN"/>
        </w:rPr>
        <w:t>此为LED墙面壁灯，软装施工范围，硬装做好预留点位，综合考虑。</w:t>
      </w:r>
    </w:p>
    <w:p w14:paraId="49188384">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据贵司答疑回复，①MT-03铝板厚度为0.6厚，地库铝板吊顶尺寸较大，长宽尺寸均超过一米，且为穿孔铝板，0.6mm厚铝板可能会出现下垂及穿孔卷边现象，请贵司明确是否调整材料规格？②同时MT-03铝板材质也用于墙面装饰及门套，请贵司明确墙面的铝板用多厚的？</w:t>
      </w:r>
    </w:p>
    <w:p w14:paraId="14D6310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pPr>
      <w:r>
        <w:drawing>
          <wp:inline distT="0" distB="0" distL="114300" distR="114300">
            <wp:extent cx="572770" cy="539115"/>
            <wp:effectExtent l="0" t="0" r="6350" b="9525"/>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54"/>
                    <a:stretch>
                      <a:fillRect/>
                    </a:stretch>
                  </pic:blipFill>
                  <pic:spPr>
                    <a:xfrm>
                      <a:off x="0" y="0"/>
                      <a:ext cx="572770" cy="539115"/>
                    </a:xfrm>
                    <a:prstGeom prst="rect">
                      <a:avLst/>
                    </a:prstGeom>
                    <a:noFill/>
                    <a:ln>
                      <a:noFill/>
                    </a:ln>
                  </pic:spPr>
                </pic:pic>
              </a:graphicData>
            </a:graphic>
          </wp:inline>
        </w:drawing>
      </w:r>
      <w:r>
        <w:drawing>
          <wp:inline distT="0" distB="0" distL="114300" distR="114300">
            <wp:extent cx="1704340" cy="419735"/>
            <wp:effectExtent l="0" t="0" r="2540" b="698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55"/>
                    <a:stretch>
                      <a:fillRect/>
                    </a:stretch>
                  </pic:blipFill>
                  <pic:spPr>
                    <a:xfrm>
                      <a:off x="0" y="0"/>
                      <a:ext cx="1704340" cy="419735"/>
                    </a:xfrm>
                    <a:prstGeom prst="rect">
                      <a:avLst/>
                    </a:prstGeom>
                    <a:noFill/>
                    <a:ln>
                      <a:noFill/>
                    </a:ln>
                  </pic:spPr>
                </pic:pic>
              </a:graphicData>
            </a:graphic>
          </wp:inline>
        </w:drawing>
      </w:r>
    </w:p>
    <w:p w14:paraId="729A14A4">
      <w:pPr>
        <w:pStyle w:val="27"/>
        <w:ind w:left="0" w:leftChars="0" w:firstLine="0" w:firstLineChars="0"/>
      </w:pPr>
      <w:r>
        <w:rPr>
          <w:rFonts w:hint="eastAsia"/>
          <w:color w:val="FF0000"/>
          <w:lang w:eastAsia="zh-CN"/>
        </w:rPr>
        <w:t>设计回复：</w:t>
      </w:r>
      <w:r>
        <w:rPr>
          <w:rFonts w:hint="eastAsia"/>
          <w:color w:val="FF0000"/>
          <w:lang w:val="en-US" w:eastAsia="zh-CN"/>
        </w:rPr>
        <w:t>2.5mm</w:t>
      </w:r>
    </w:p>
    <w:p w14:paraId="51B6B9B6">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灯具数量经过复核，存在偏差，因总价包干，请贵司复核清单量并调整清单，（例如：如下图所示，1#楼与3#楼楼上部分相同，但是灯具差了一倍）</w:t>
      </w:r>
    </w:p>
    <w:p w14:paraId="2B121BC5">
      <w:pPr>
        <w:numPr>
          <w:ilvl w:val="0"/>
          <w:numId w:val="0"/>
        </w:numPr>
        <w:ind w:leftChars="0"/>
        <w:jc w:val="left"/>
        <w:rPr>
          <w:rFonts w:hint="eastAsia"/>
          <w:lang w:val="en-US" w:eastAsia="zh-CN"/>
        </w:rPr>
      </w:pPr>
      <w:r>
        <w:rPr>
          <w:rFonts w:hint="eastAsia"/>
          <w:color w:val="FF0000"/>
          <w:lang w:eastAsia="zh-CN"/>
        </w:rPr>
        <w:drawing>
          <wp:inline distT="0" distB="0" distL="114300" distR="114300">
            <wp:extent cx="1450975" cy="1143635"/>
            <wp:effectExtent l="0" t="0" r="12065" b="14605"/>
            <wp:docPr id="68" name="图片 68" descr="171938583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719385838754"/>
                    <pic:cNvPicPr>
                      <a:picLocks noChangeAspect="1"/>
                    </pic:cNvPicPr>
                  </pic:nvPicPr>
                  <pic:blipFill>
                    <a:blip r:embed="rId56"/>
                    <a:stretch>
                      <a:fillRect/>
                    </a:stretch>
                  </pic:blipFill>
                  <pic:spPr>
                    <a:xfrm>
                      <a:off x="0" y="0"/>
                      <a:ext cx="1450975" cy="1143635"/>
                    </a:xfrm>
                    <a:prstGeom prst="rect">
                      <a:avLst/>
                    </a:prstGeom>
                  </pic:spPr>
                </pic:pic>
              </a:graphicData>
            </a:graphic>
          </wp:inline>
        </w:drawing>
      </w:r>
    </w:p>
    <w:p w14:paraId="485F9B43">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color w:val="FF0000"/>
          <w:lang w:eastAsia="zh-CN"/>
        </w:rPr>
        <w:t>成本回复：红色方框工程量无误，3#楼2单元地下室、首层、二层此部分已施工，不在本次范围内，所以3号楼工程量少；</w:t>
      </w:r>
      <w:r>
        <w:rPr>
          <w:rFonts w:hint="eastAsia"/>
          <w:color w:val="FF0000"/>
          <w:lang w:val="en-US" w:eastAsia="zh-CN"/>
        </w:rPr>
        <w:t>红色底色标注为本次自查有误的工程量，已按自查后正确工程量计入清单</w:t>
      </w:r>
    </w:p>
    <w:p w14:paraId="524B5BF0">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请贵司明确图纸上的微波雷达感应开关是否在本次招标范围内？如在范围内请贵司补充清单</w:t>
      </w:r>
    </w:p>
    <w:p w14:paraId="3B9BFC82">
      <w:pPr>
        <w:pStyle w:val="27"/>
        <w:numPr>
          <w:ilvl w:val="0"/>
          <w:numId w:val="0"/>
        </w:numPr>
        <w:ind w:leftChars="0"/>
      </w:pPr>
      <w:r>
        <w:drawing>
          <wp:inline distT="0" distB="0" distL="114300" distR="114300">
            <wp:extent cx="1928495" cy="673100"/>
            <wp:effectExtent l="0" t="0" r="6985" b="1270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57"/>
                    <a:stretch>
                      <a:fillRect/>
                    </a:stretch>
                  </pic:blipFill>
                  <pic:spPr>
                    <a:xfrm>
                      <a:off x="0" y="0"/>
                      <a:ext cx="1928495" cy="673100"/>
                    </a:xfrm>
                    <a:prstGeom prst="rect">
                      <a:avLst/>
                    </a:prstGeom>
                    <a:noFill/>
                    <a:ln>
                      <a:noFill/>
                    </a:ln>
                  </pic:spPr>
                </pic:pic>
              </a:graphicData>
            </a:graphic>
          </wp:inline>
        </w:drawing>
      </w:r>
    </w:p>
    <w:p w14:paraId="430E3197">
      <w:pPr>
        <w:pStyle w:val="27"/>
        <w:ind w:left="0" w:leftChars="0" w:firstLine="0" w:firstLineChars="0"/>
        <w:rPr>
          <w:rFonts w:hint="eastAsia" w:asciiTheme="minorHAnsi" w:hAnsiTheme="minorHAnsi" w:eastAsiaTheme="minorEastAsia" w:cstheme="minorBidi"/>
          <w:color w:val="FF0000"/>
          <w:kern w:val="2"/>
          <w:sz w:val="21"/>
          <w:szCs w:val="24"/>
          <w:lang w:val="en-US" w:eastAsia="zh-CN" w:bidi="ar-SA"/>
        </w:rPr>
      </w:pPr>
      <w:r>
        <w:rPr>
          <w:rFonts w:hint="eastAsia" w:asciiTheme="minorHAnsi" w:hAnsiTheme="minorHAnsi" w:eastAsiaTheme="minorEastAsia" w:cstheme="minorBidi"/>
          <w:color w:val="FF0000"/>
          <w:kern w:val="2"/>
          <w:sz w:val="21"/>
          <w:szCs w:val="24"/>
          <w:lang w:val="en-US" w:eastAsia="zh-CN" w:bidi="ar-SA"/>
        </w:rPr>
        <w:t>成本回复：见答疑二</w:t>
      </w:r>
    </w:p>
    <w:p w14:paraId="72337C09">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图示为一号楼地下层东西单元图纸，请贵司明确箭头所示部位是否需要做吊顶？清单内吊顶未计入图示部分，如需吊顶请贵司补充清单量。</w:t>
      </w:r>
    </w:p>
    <w:p w14:paraId="09A85EE5">
      <w:pPr>
        <w:pStyle w:val="27"/>
        <w:numPr>
          <w:ilvl w:val="0"/>
          <w:numId w:val="0"/>
        </w:numPr>
        <w:ind w:leftChars="0"/>
      </w:pPr>
      <w:r>
        <w:drawing>
          <wp:inline distT="0" distB="0" distL="114300" distR="114300">
            <wp:extent cx="1024890" cy="741045"/>
            <wp:effectExtent l="0" t="0" r="11430" b="5715"/>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58"/>
                    <a:stretch>
                      <a:fillRect/>
                    </a:stretch>
                  </pic:blipFill>
                  <pic:spPr>
                    <a:xfrm>
                      <a:off x="0" y="0"/>
                      <a:ext cx="1024890" cy="741045"/>
                    </a:xfrm>
                    <a:prstGeom prst="rect">
                      <a:avLst/>
                    </a:prstGeom>
                    <a:noFill/>
                    <a:ln>
                      <a:noFill/>
                    </a:ln>
                  </pic:spPr>
                </pic:pic>
              </a:graphicData>
            </a:graphic>
          </wp:inline>
        </w:drawing>
      </w:r>
      <w:r>
        <w:drawing>
          <wp:inline distT="0" distB="0" distL="114300" distR="114300">
            <wp:extent cx="1802130" cy="743585"/>
            <wp:effectExtent l="0" t="0" r="11430" b="3175"/>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59"/>
                    <a:stretch>
                      <a:fillRect/>
                    </a:stretch>
                  </pic:blipFill>
                  <pic:spPr>
                    <a:xfrm>
                      <a:off x="0" y="0"/>
                      <a:ext cx="1802130" cy="743585"/>
                    </a:xfrm>
                    <a:prstGeom prst="rect">
                      <a:avLst/>
                    </a:prstGeom>
                    <a:noFill/>
                    <a:ln>
                      <a:noFill/>
                    </a:ln>
                  </pic:spPr>
                </pic:pic>
              </a:graphicData>
            </a:graphic>
          </wp:inline>
        </w:drawing>
      </w:r>
    </w:p>
    <w:p w14:paraId="0898E430">
      <w:pPr>
        <w:pStyle w:val="27"/>
        <w:ind w:left="0" w:leftChars="0" w:firstLine="0" w:firstLineChars="0"/>
        <w:jc w:val="left"/>
        <w:rPr>
          <w:rFonts w:hint="default"/>
          <w:color w:val="FF0000"/>
          <w:lang w:val="en-US" w:eastAsia="zh-CN"/>
        </w:rPr>
      </w:pPr>
      <w:r>
        <w:rPr>
          <w:rFonts w:hint="eastAsia"/>
          <w:color w:val="FF0000"/>
          <w:lang w:eastAsia="zh-CN"/>
        </w:rPr>
        <w:t>设计和成本回复：</w:t>
      </w:r>
      <w:r>
        <w:rPr>
          <w:rFonts w:hint="eastAsia"/>
          <w:color w:val="FF0000"/>
          <w:lang w:val="en-US" w:eastAsia="zh-CN"/>
        </w:rPr>
        <w:t>箭头所示部分是楼梯位置，结合1#建筑图纸，工程量已计入楼梯</w:t>
      </w:r>
      <w:r>
        <w:drawing>
          <wp:inline distT="0" distB="0" distL="114300" distR="114300">
            <wp:extent cx="2269490" cy="560705"/>
            <wp:effectExtent l="0" t="0" r="1270" b="317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60"/>
                    <a:stretch>
                      <a:fillRect/>
                    </a:stretch>
                  </pic:blipFill>
                  <pic:spPr>
                    <a:xfrm>
                      <a:off x="0" y="0"/>
                      <a:ext cx="2269490" cy="560705"/>
                    </a:xfrm>
                    <a:prstGeom prst="rect">
                      <a:avLst/>
                    </a:prstGeom>
                    <a:noFill/>
                    <a:ln>
                      <a:noFill/>
                    </a:ln>
                  </pic:spPr>
                </pic:pic>
              </a:graphicData>
            </a:graphic>
          </wp:inline>
        </w:drawing>
      </w:r>
    </w:p>
    <w:p w14:paraId="3BE0DF20">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如下图所示，负一层及首层清单内有不锈钢墙面，请贵司明确是哪个部位？</w:t>
      </w:r>
    </w:p>
    <w:p w14:paraId="25315C4C">
      <w:pPr>
        <w:pStyle w:val="27"/>
        <w:numPr>
          <w:ilvl w:val="0"/>
          <w:numId w:val="0"/>
        </w:numPr>
        <w:ind w:leftChars="0"/>
      </w:pPr>
      <w:r>
        <w:drawing>
          <wp:inline distT="0" distB="0" distL="114300" distR="114300">
            <wp:extent cx="862330" cy="869950"/>
            <wp:effectExtent l="0" t="0" r="6350" b="13970"/>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61"/>
                    <a:stretch>
                      <a:fillRect/>
                    </a:stretch>
                  </pic:blipFill>
                  <pic:spPr>
                    <a:xfrm>
                      <a:off x="0" y="0"/>
                      <a:ext cx="862330" cy="869950"/>
                    </a:xfrm>
                    <a:prstGeom prst="rect">
                      <a:avLst/>
                    </a:prstGeom>
                    <a:noFill/>
                    <a:ln>
                      <a:noFill/>
                    </a:ln>
                  </pic:spPr>
                </pic:pic>
              </a:graphicData>
            </a:graphic>
          </wp:inline>
        </w:drawing>
      </w:r>
    </w:p>
    <w:p w14:paraId="5C61F6FA">
      <w:pPr>
        <w:pStyle w:val="27"/>
        <w:ind w:left="0" w:leftChars="0" w:firstLine="0" w:firstLineChars="0"/>
        <w:jc w:val="left"/>
        <w:rPr>
          <w:rFonts w:hint="eastAsia"/>
          <w:color w:val="FF0000"/>
          <w:lang w:val="en-US" w:eastAsia="zh-CN"/>
        </w:rPr>
      </w:pPr>
      <w:r>
        <w:rPr>
          <w:rFonts w:hint="eastAsia"/>
          <w:color w:val="FF0000"/>
          <w:lang w:eastAsia="zh-CN"/>
        </w:rPr>
        <w:t>成本回复：</w:t>
      </w:r>
      <w:r>
        <w:rPr>
          <w:rFonts w:hint="eastAsia"/>
          <w:color w:val="FF0000"/>
          <w:lang w:val="en-US" w:eastAsia="zh-CN"/>
        </w:rPr>
        <w:t>已复核，详见图纸</w:t>
      </w:r>
    </w:p>
    <w:p w14:paraId="6FA7DA9C">
      <w:pPr>
        <w:pStyle w:val="27"/>
        <w:ind w:left="0" w:leftChars="0" w:firstLine="0" w:firstLineChars="0"/>
        <w:jc w:val="left"/>
        <w:rPr>
          <w:rFonts w:hint="eastAsia"/>
          <w:lang w:eastAsia="zh-CN"/>
        </w:rPr>
      </w:pPr>
      <w:r>
        <w:drawing>
          <wp:inline distT="0" distB="0" distL="114300" distR="114300">
            <wp:extent cx="1369060" cy="722630"/>
            <wp:effectExtent l="0" t="0" r="2540" b="889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62"/>
                    <a:stretch>
                      <a:fillRect/>
                    </a:stretch>
                  </pic:blipFill>
                  <pic:spPr>
                    <a:xfrm>
                      <a:off x="0" y="0"/>
                      <a:ext cx="1369060" cy="722630"/>
                    </a:xfrm>
                    <a:prstGeom prst="rect">
                      <a:avLst/>
                    </a:prstGeom>
                    <a:noFill/>
                    <a:ln>
                      <a:noFill/>
                    </a:ln>
                  </pic:spPr>
                </pic:pic>
              </a:graphicData>
            </a:graphic>
          </wp:inline>
        </w:drawing>
      </w:r>
      <w:r>
        <w:drawing>
          <wp:inline distT="0" distB="0" distL="114300" distR="114300">
            <wp:extent cx="1429385" cy="720090"/>
            <wp:effectExtent l="0" t="0" r="3175" b="11430"/>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63"/>
                    <a:stretch>
                      <a:fillRect/>
                    </a:stretch>
                  </pic:blipFill>
                  <pic:spPr>
                    <a:xfrm>
                      <a:off x="0" y="0"/>
                      <a:ext cx="1429385" cy="720090"/>
                    </a:xfrm>
                    <a:prstGeom prst="rect">
                      <a:avLst/>
                    </a:prstGeom>
                    <a:noFill/>
                    <a:ln>
                      <a:noFill/>
                    </a:ln>
                  </pic:spPr>
                </pic:pic>
              </a:graphicData>
            </a:graphic>
          </wp:inline>
        </w:drawing>
      </w:r>
      <w:r>
        <w:drawing>
          <wp:inline distT="0" distB="0" distL="114300" distR="114300">
            <wp:extent cx="1155065" cy="568960"/>
            <wp:effectExtent l="0" t="0" r="3175" b="10160"/>
            <wp:docPr id="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pic:cNvPicPr>
                      <a:picLocks noChangeAspect="1"/>
                    </pic:cNvPicPr>
                  </pic:nvPicPr>
                  <pic:blipFill>
                    <a:blip r:embed="rId64"/>
                    <a:stretch>
                      <a:fillRect/>
                    </a:stretch>
                  </pic:blipFill>
                  <pic:spPr>
                    <a:xfrm>
                      <a:off x="0" y="0"/>
                      <a:ext cx="1155065" cy="568960"/>
                    </a:xfrm>
                    <a:prstGeom prst="rect">
                      <a:avLst/>
                    </a:prstGeom>
                    <a:noFill/>
                    <a:ln>
                      <a:noFill/>
                    </a:ln>
                  </pic:spPr>
                </pic:pic>
              </a:graphicData>
            </a:graphic>
          </wp:inline>
        </w:drawing>
      </w:r>
    </w:p>
    <w:p w14:paraId="532EF4CE">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2#楼单元入口，不锈钢面层，清单工程量为：0.9m2，我方测算量为：5.68m2</w:t>
      </w:r>
    </w:p>
    <w:p w14:paraId="194DA38C">
      <w:pPr>
        <w:pStyle w:val="27"/>
        <w:ind w:left="0" w:leftChars="0" w:firstLine="0" w:firstLineChars="0"/>
      </w:pPr>
      <w:r>
        <w:drawing>
          <wp:inline distT="0" distB="0" distL="114300" distR="114300">
            <wp:extent cx="1296670" cy="869950"/>
            <wp:effectExtent l="0" t="0" r="13970" b="1397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5"/>
                    <a:stretch>
                      <a:fillRect/>
                    </a:stretch>
                  </pic:blipFill>
                  <pic:spPr>
                    <a:xfrm>
                      <a:off x="0" y="0"/>
                      <a:ext cx="1296670" cy="869950"/>
                    </a:xfrm>
                    <a:prstGeom prst="rect">
                      <a:avLst/>
                    </a:prstGeom>
                    <a:noFill/>
                    <a:ln>
                      <a:noFill/>
                    </a:ln>
                  </pic:spPr>
                </pic:pic>
              </a:graphicData>
            </a:graphic>
          </wp:inline>
        </w:drawing>
      </w:r>
    </w:p>
    <w:p w14:paraId="355AAF20">
      <w:pPr>
        <w:pStyle w:val="27"/>
        <w:ind w:left="0" w:leftChars="0" w:firstLine="0" w:firstLineChars="0"/>
        <w:rPr>
          <w:rFonts w:hint="eastAsia"/>
          <w:color w:val="FF0000"/>
          <w:lang w:val="en-US" w:eastAsia="zh-CN"/>
        </w:rPr>
      </w:pPr>
      <w:r>
        <w:rPr>
          <w:rFonts w:hint="eastAsia"/>
          <w:color w:val="FF0000"/>
          <w:lang w:eastAsia="zh-CN"/>
        </w:rPr>
        <w:t>成本回复：</w:t>
      </w:r>
      <w:r>
        <w:rPr>
          <w:rFonts w:hint="eastAsia"/>
          <w:color w:val="FF0000"/>
          <w:lang w:val="en-US" w:eastAsia="zh-CN"/>
        </w:rPr>
        <w:t>已复核无误，详见图纸</w:t>
      </w:r>
    </w:p>
    <w:p w14:paraId="6D2439E1">
      <w:pPr>
        <w:pStyle w:val="27"/>
        <w:ind w:left="0" w:leftChars="0" w:firstLine="0" w:firstLineChars="0"/>
        <w:jc w:val="left"/>
        <w:rPr>
          <w:rFonts w:hint="eastAsia"/>
          <w:lang w:val="en-US" w:eastAsia="zh-CN"/>
        </w:rPr>
      </w:pPr>
      <w:r>
        <w:drawing>
          <wp:inline distT="0" distB="0" distL="114300" distR="114300">
            <wp:extent cx="1897380" cy="608330"/>
            <wp:effectExtent l="0" t="0" r="7620" b="1270"/>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66"/>
                    <a:stretch>
                      <a:fillRect/>
                    </a:stretch>
                  </pic:blipFill>
                  <pic:spPr>
                    <a:xfrm>
                      <a:off x="0" y="0"/>
                      <a:ext cx="1897380" cy="608330"/>
                    </a:xfrm>
                    <a:prstGeom prst="rect">
                      <a:avLst/>
                    </a:prstGeom>
                    <a:noFill/>
                    <a:ln>
                      <a:noFill/>
                    </a:ln>
                  </pic:spPr>
                </pic:pic>
              </a:graphicData>
            </a:graphic>
          </wp:inline>
        </w:drawing>
      </w:r>
    </w:p>
    <w:p w14:paraId="698DA3D2">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2#楼单元入口格栅没有详图，成品格栅材质？请贵司补充</w:t>
      </w:r>
    </w:p>
    <w:p w14:paraId="5DFE91B1">
      <w:pPr>
        <w:pStyle w:val="27"/>
        <w:ind w:left="0" w:leftChars="0" w:firstLine="0" w:firstLineChars="0"/>
        <w:rPr>
          <w:rFonts w:hint="eastAsia"/>
          <w:lang w:val="en-US" w:eastAsia="zh-CN"/>
        </w:rPr>
      </w:pPr>
      <w:r>
        <w:rPr>
          <w:rFonts w:hint="eastAsia"/>
          <w:color w:val="FF0000"/>
          <w:lang w:eastAsia="zh-CN"/>
        </w:rPr>
        <w:t>设计回复：不锈钢方通整板，壁厚</w:t>
      </w:r>
      <w:r>
        <w:rPr>
          <w:rFonts w:hint="eastAsia"/>
          <w:color w:val="FF0000"/>
          <w:lang w:val="en-US" w:eastAsia="zh-CN"/>
        </w:rPr>
        <w:t>2.0mm,综合考虑，自行深化</w:t>
      </w:r>
    </w:p>
    <w:p w14:paraId="1FA2FA09">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一层大堂工程量中，1#楼和13#楼计算了雨蓬铝板吊顶，但是单元入口清单内也计算了雨蓬，请问是否重复计算，请贵单位复核。如果是，请删除一层大堂中的对应清单。</w:t>
      </w:r>
    </w:p>
    <w:p w14:paraId="5719D739">
      <w:pPr>
        <w:numPr>
          <w:ilvl w:val="0"/>
          <w:numId w:val="0"/>
        </w:numPr>
        <w:jc w:val="left"/>
      </w:pPr>
      <w:r>
        <w:rPr>
          <w:rFonts w:hint="eastAsia" w:asciiTheme="minorEastAsia" w:hAnsiTheme="minorEastAsia" w:eastAsiaTheme="minorEastAsia" w:cstheme="minorEastAsia"/>
          <w:sz w:val="24"/>
          <w:szCs w:val="24"/>
          <w:lang w:val="en-US" w:eastAsia="zh-CN"/>
        </w:rPr>
        <w:drawing>
          <wp:inline distT="0" distB="0" distL="114300" distR="114300">
            <wp:extent cx="1369695" cy="687070"/>
            <wp:effectExtent l="0" t="0" r="1905" b="1397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67"/>
                    <a:stretch>
                      <a:fillRect/>
                    </a:stretch>
                  </pic:blipFill>
                  <pic:spPr>
                    <a:xfrm>
                      <a:off x="0" y="0"/>
                      <a:ext cx="1369695" cy="68707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lang w:val="en-US" w:eastAsia="zh-CN"/>
        </w:rPr>
        <w:drawing>
          <wp:inline distT="0" distB="0" distL="114300" distR="114300">
            <wp:extent cx="2226945" cy="702945"/>
            <wp:effectExtent l="0" t="0" r="13335" b="13335"/>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pic:cNvPicPr>
                  </pic:nvPicPr>
                  <pic:blipFill>
                    <a:blip r:embed="rId68"/>
                    <a:stretch>
                      <a:fillRect/>
                    </a:stretch>
                  </pic:blipFill>
                  <pic:spPr>
                    <a:xfrm>
                      <a:off x="0" y="0"/>
                      <a:ext cx="2226945" cy="702945"/>
                    </a:xfrm>
                    <a:prstGeom prst="rect">
                      <a:avLst/>
                    </a:prstGeom>
                    <a:noFill/>
                    <a:ln>
                      <a:noFill/>
                    </a:ln>
                  </pic:spPr>
                </pic:pic>
              </a:graphicData>
            </a:graphic>
          </wp:inline>
        </w:drawing>
      </w:r>
      <w:r>
        <w:drawing>
          <wp:inline distT="0" distB="0" distL="114300" distR="114300">
            <wp:extent cx="3181985" cy="697865"/>
            <wp:effectExtent l="0" t="0" r="3175" b="3175"/>
            <wp:docPr id="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pic:cNvPicPr>
                      <a:picLocks noChangeAspect="1"/>
                    </pic:cNvPicPr>
                  </pic:nvPicPr>
                  <pic:blipFill>
                    <a:blip r:embed="rId69"/>
                    <a:stretch>
                      <a:fillRect/>
                    </a:stretch>
                  </pic:blipFill>
                  <pic:spPr>
                    <a:xfrm>
                      <a:off x="0" y="0"/>
                      <a:ext cx="3181985" cy="697865"/>
                    </a:xfrm>
                    <a:prstGeom prst="rect">
                      <a:avLst/>
                    </a:prstGeom>
                    <a:noFill/>
                    <a:ln>
                      <a:noFill/>
                    </a:ln>
                  </pic:spPr>
                </pic:pic>
              </a:graphicData>
            </a:graphic>
          </wp:inline>
        </w:drawing>
      </w:r>
    </w:p>
    <w:p w14:paraId="4C25D6E5">
      <w:pPr>
        <w:pStyle w:val="27"/>
        <w:ind w:left="0" w:leftChars="0" w:firstLine="0" w:firstLineChars="0"/>
        <w:jc w:val="left"/>
      </w:pPr>
      <w:r>
        <w:rPr>
          <w:rFonts w:hint="eastAsia"/>
          <w:color w:val="FF0000"/>
          <w:lang w:eastAsia="zh-CN"/>
        </w:rPr>
        <w:t>成本回复：</w:t>
      </w:r>
      <w:r>
        <w:rPr>
          <w:rFonts w:hint="eastAsia"/>
          <w:color w:val="FF0000"/>
          <w:lang w:val="en-US" w:eastAsia="zh-CN"/>
        </w:rPr>
        <w:t>已复核无误，以图纸计入1#、13#楼雨棚底、雨篷龙骨、雨篷顶</w:t>
      </w:r>
      <w:r>
        <w:drawing>
          <wp:inline distT="0" distB="0" distL="114300" distR="114300">
            <wp:extent cx="2773680" cy="889000"/>
            <wp:effectExtent l="0" t="0" r="0" b="10160"/>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70"/>
                    <a:stretch>
                      <a:fillRect/>
                    </a:stretch>
                  </pic:blipFill>
                  <pic:spPr>
                    <a:xfrm>
                      <a:off x="0" y="0"/>
                      <a:ext cx="2773680" cy="889000"/>
                    </a:xfrm>
                    <a:prstGeom prst="rect">
                      <a:avLst/>
                    </a:prstGeom>
                    <a:noFill/>
                    <a:ln>
                      <a:noFill/>
                    </a:ln>
                  </pic:spPr>
                </pic:pic>
              </a:graphicData>
            </a:graphic>
          </wp:inline>
        </w:drawing>
      </w:r>
    </w:p>
    <w:p w14:paraId="7DA9AF07">
      <w:pPr>
        <w:pStyle w:val="27"/>
        <w:ind w:left="0" w:leftChars="0" w:firstLine="0" w:firstLineChars="0"/>
        <w:jc w:val="left"/>
        <w:rPr>
          <w:rFonts w:hint="eastAsia"/>
          <w:lang w:val="en-US" w:eastAsia="zh-CN"/>
        </w:rPr>
      </w:pPr>
      <w:r>
        <w:drawing>
          <wp:inline distT="0" distB="0" distL="114300" distR="114300">
            <wp:extent cx="2610485" cy="854075"/>
            <wp:effectExtent l="0" t="0" r="10795" b="14605"/>
            <wp:docPr id="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
                    <pic:cNvPicPr>
                      <a:picLocks noChangeAspect="1"/>
                    </pic:cNvPicPr>
                  </pic:nvPicPr>
                  <pic:blipFill>
                    <a:blip r:embed="rId71"/>
                    <a:stretch>
                      <a:fillRect/>
                    </a:stretch>
                  </pic:blipFill>
                  <pic:spPr>
                    <a:xfrm>
                      <a:off x="0" y="0"/>
                      <a:ext cx="2610485" cy="854075"/>
                    </a:xfrm>
                    <a:prstGeom prst="rect">
                      <a:avLst/>
                    </a:prstGeom>
                    <a:noFill/>
                    <a:ln>
                      <a:noFill/>
                    </a:ln>
                  </pic:spPr>
                </pic:pic>
              </a:graphicData>
            </a:graphic>
          </wp:inline>
        </w:drawing>
      </w:r>
    </w:p>
    <w:p w14:paraId="1C596C56">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施工图复用说明中，仅说明了3号楼的2单元首层及地下层已施工完成，但是清单中3号楼的1单元和2单元的首层及地下层都未计算，请问1单元的首层及地下层是否也已经施工完成？</w:t>
      </w:r>
    </w:p>
    <w:p w14:paraId="67812A2F">
      <w:pPr>
        <w:numPr>
          <w:ilvl w:val="0"/>
          <w:numId w:val="0"/>
        </w:numPr>
        <w:ind w:leftChars="0"/>
        <w:jc w:val="left"/>
      </w:pPr>
      <w:r>
        <w:drawing>
          <wp:inline distT="0" distB="0" distL="114300" distR="114300">
            <wp:extent cx="2821940" cy="415290"/>
            <wp:effectExtent l="0" t="0" r="12700" b="1143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2"/>
                    <a:stretch>
                      <a:fillRect/>
                    </a:stretch>
                  </pic:blipFill>
                  <pic:spPr>
                    <a:xfrm>
                      <a:off x="0" y="0"/>
                      <a:ext cx="2821940" cy="415290"/>
                    </a:xfrm>
                    <a:prstGeom prst="rect">
                      <a:avLst/>
                    </a:prstGeom>
                    <a:noFill/>
                    <a:ln>
                      <a:noFill/>
                    </a:ln>
                  </pic:spPr>
                </pic:pic>
              </a:graphicData>
            </a:graphic>
          </wp:inline>
        </w:drawing>
      </w:r>
    </w:p>
    <w:p w14:paraId="7A8C83EE">
      <w:pPr>
        <w:numPr>
          <w:ilvl w:val="0"/>
          <w:numId w:val="0"/>
        </w:numPr>
        <w:ind w:leftChars="0"/>
        <w:jc w:val="left"/>
      </w:pPr>
      <w:r>
        <w:drawing>
          <wp:inline distT="0" distB="0" distL="114300" distR="114300">
            <wp:extent cx="3056890" cy="880745"/>
            <wp:effectExtent l="0" t="0" r="6350" b="3175"/>
            <wp:docPr id="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
                    <pic:cNvPicPr>
                      <a:picLocks noChangeAspect="1"/>
                    </pic:cNvPicPr>
                  </pic:nvPicPr>
                  <pic:blipFill>
                    <a:blip r:embed="rId73"/>
                    <a:stretch>
                      <a:fillRect/>
                    </a:stretch>
                  </pic:blipFill>
                  <pic:spPr>
                    <a:xfrm>
                      <a:off x="0" y="0"/>
                      <a:ext cx="3056890" cy="880745"/>
                    </a:xfrm>
                    <a:prstGeom prst="rect">
                      <a:avLst/>
                    </a:prstGeom>
                    <a:noFill/>
                    <a:ln>
                      <a:noFill/>
                    </a:ln>
                  </pic:spPr>
                </pic:pic>
              </a:graphicData>
            </a:graphic>
          </wp:inline>
        </w:drawing>
      </w:r>
    </w:p>
    <w:p w14:paraId="3A50C100">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color w:val="FF0000"/>
          <w:lang w:val="en-US" w:eastAsia="zh-CN"/>
        </w:rPr>
      </w:pPr>
      <w:r>
        <w:rPr>
          <w:rFonts w:hint="eastAsia"/>
          <w:color w:val="FF0000"/>
          <w:lang w:eastAsia="zh-CN"/>
        </w:rPr>
        <w:t>成本结合工程回复：</w:t>
      </w:r>
      <w:r>
        <w:rPr>
          <w:rFonts w:hint="eastAsia"/>
          <w:color w:val="FF0000"/>
          <w:lang w:val="en-US" w:eastAsia="zh-CN"/>
        </w:rPr>
        <w:t>3号楼1单元二层及以下公区墙地砖铺贴及吊顶、腻子涂料灯具安装已施工完成，成本清单相应调整</w:t>
      </w:r>
    </w:p>
    <w:p w14:paraId="78CC9B60">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11.挂画、软塌、脚垫、标志标牌、指示牌、广告字等属于软装范畴，选样不同市场价格差异很大，清单上也写了由软装设计，请问这些是否可以不计入本次硬装招标范围？如果可以不计入本次招标范围，请贵单位核减相应清单。</w:t>
      </w:r>
    </w:p>
    <w:p w14:paraId="3E31420E">
      <w:pPr>
        <w:widowControl w:val="0"/>
        <w:numPr>
          <w:ilvl w:val="0"/>
          <w:numId w:val="0"/>
        </w:numPr>
        <w:jc w:val="left"/>
      </w:pPr>
      <w:r>
        <w:drawing>
          <wp:inline distT="0" distB="0" distL="114300" distR="114300">
            <wp:extent cx="1740535" cy="945515"/>
            <wp:effectExtent l="0" t="0" r="12065" b="1460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74"/>
                    <a:stretch>
                      <a:fillRect/>
                    </a:stretch>
                  </pic:blipFill>
                  <pic:spPr>
                    <a:xfrm>
                      <a:off x="0" y="0"/>
                      <a:ext cx="1740535" cy="945515"/>
                    </a:xfrm>
                    <a:prstGeom prst="rect">
                      <a:avLst/>
                    </a:prstGeom>
                    <a:noFill/>
                    <a:ln>
                      <a:noFill/>
                    </a:ln>
                  </pic:spPr>
                </pic:pic>
              </a:graphicData>
            </a:graphic>
          </wp:inline>
        </w:drawing>
      </w:r>
    </w:p>
    <w:p w14:paraId="0667228E">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default"/>
          <w:color w:val="FF0000"/>
          <w:lang w:val="en-US" w:eastAsia="zh-CN"/>
        </w:rPr>
      </w:pPr>
      <w:r>
        <w:rPr>
          <w:rFonts w:hint="eastAsia"/>
          <w:color w:val="FF0000"/>
          <w:lang w:eastAsia="zh-CN"/>
        </w:rPr>
        <w:t>工程成本结合回复：</w:t>
      </w:r>
      <w:r>
        <w:rPr>
          <w:rFonts w:hint="eastAsia"/>
          <w:color w:val="FF0000"/>
          <w:lang w:val="en-US" w:eastAsia="zh-CN"/>
        </w:rPr>
        <w:t>不在本次招标范围</w:t>
      </w:r>
    </w:p>
    <w:p w14:paraId="13AF1E48">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254DEE1C">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2FB96EA5">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43950B2C">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57232003">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349E982C">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271CD8C8">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35379FCD">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16AB8CB7">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71BFE801">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42601F01">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57D1D161">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45EF7DF9">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46ADB1B5">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020B8BE7">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37F52FC4">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2981A331">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1EDB3059">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72F012B3">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65AC593D">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38D56ED9">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45F5E7BB">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02511C69">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33B2EE90">
      <w:pPr>
        <w:overflowPunct/>
        <w:spacing w:line="360" w:lineRule="auto"/>
        <w:ind w:firstLine="0" w:firstLineChars="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合同附件</w:t>
      </w:r>
      <w:r>
        <w:rPr>
          <w:rFonts w:hint="eastAsia" w:asciiTheme="minorEastAsia" w:hAnsiTheme="minorEastAsia" w:eastAsiaTheme="minorEastAsia" w:cstheme="minorEastAsia"/>
          <w:color w:val="auto"/>
          <w:spacing w:val="8"/>
          <w:szCs w:val="24"/>
          <w:highlight w:val="none"/>
          <w:lang w:eastAsia="zh-CN"/>
        </w:rPr>
        <w:t>八</w:t>
      </w:r>
      <w:r>
        <w:rPr>
          <w:rFonts w:hint="eastAsia" w:asciiTheme="minorEastAsia" w:hAnsiTheme="minorEastAsia" w:eastAsiaTheme="minorEastAsia" w:cstheme="minorEastAsia"/>
          <w:color w:val="auto"/>
          <w:spacing w:val="8"/>
          <w:szCs w:val="24"/>
          <w:highlight w:val="none"/>
        </w:rPr>
        <w:t>、《价格清单》（单独打印后附装订）</w:t>
      </w:r>
    </w:p>
    <w:p w14:paraId="46EA3D92">
      <w:pPr>
        <w:overflowPunct/>
        <w:rPr>
          <w:color w:val="auto"/>
          <w:highlight w:val="none"/>
        </w:rPr>
      </w:pPr>
    </w:p>
    <w:tbl>
      <w:tblPr>
        <w:tblStyle w:val="47"/>
        <w:tblW w:w="9673"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4"/>
        <w:gridCol w:w="9159"/>
      </w:tblGrid>
      <w:tr w14:paraId="15B49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1" w:hRule="atLeast"/>
        </w:trPr>
        <w:tc>
          <w:tcPr>
            <w:tcW w:w="9672" w:type="dxa"/>
            <w:gridSpan w:val="2"/>
            <w:tcBorders>
              <w:top w:val="nil"/>
              <w:left w:val="nil"/>
              <w:bottom w:val="nil"/>
              <w:right w:val="nil"/>
            </w:tcBorders>
            <w:shd w:val="clear" w:color="auto" w:fill="auto"/>
            <w:noWrap/>
            <w:vAlign w:val="center"/>
          </w:tcPr>
          <w:p w14:paraId="5A1C8031">
            <w:pPr>
              <w:keepNext w:val="0"/>
              <w:keepLines w:val="0"/>
              <w:widowControl/>
              <w:suppressLineNumbers w:val="0"/>
              <w:jc w:val="center"/>
              <w:textAlignment w:val="center"/>
              <w:rPr>
                <w:rFonts w:ascii="楷体_GB2312" w:hAnsi="宋体" w:eastAsia="楷体_GB2312" w:cs="楷体_GB2312"/>
                <w:b/>
                <w:bCs/>
                <w:i w:val="0"/>
                <w:iCs w:val="0"/>
                <w:color w:val="000000"/>
                <w:sz w:val="32"/>
                <w:szCs w:val="32"/>
                <w:u w:val="none"/>
              </w:rPr>
            </w:pPr>
            <w:r>
              <w:rPr>
                <w:rFonts w:hint="default" w:ascii="楷体_GB2312" w:hAnsi="宋体" w:eastAsia="楷体_GB2312" w:cs="楷体_GB2312"/>
                <w:b/>
                <w:bCs/>
                <w:i w:val="0"/>
                <w:iCs w:val="0"/>
                <w:color w:val="000000"/>
                <w:kern w:val="0"/>
                <w:sz w:val="32"/>
                <w:szCs w:val="32"/>
                <w:u w:val="none"/>
                <w:lang w:val="en-US" w:eastAsia="zh-CN" w:bidi="ar"/>
              </w:rPr>
              <w:t>工程量清单报价说明</w:t>
            </w:r>
          </w:p>
        </w:tc>
      </w:tr>
      <w:tr w14:paraId="6CB17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DB1CF">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一、工程概况:</w:t>
            </w:r>
          </w:p>
        </w:tc>
      </w:tr>
      <w:tr w14:paraId="5B898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58A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94E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工程概况:洛阳悠然居项目公共区域装修工程</w:t>
            </w:r>
          </w:p>
        </w:tc>
      </w:tr>
      <w:tr w14:paraId="7B88A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2A8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A6E41">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其他事项：</w:t>
            </w:r>
          </w:p>
          <w:p w14:paraId="0EF5E10A">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（1）施工现场的实际情况：投标单位自行勘察。</w:t>
            </w:r>
          </w:p>
          <w:p w14:paraId="4F13E76B">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（2）交通运输情况：投标单位自行勘察。</w:t>
            </w:r>
          </w:p>
          <w:p w14:paraId="67D5C428">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（3）自然地理条件及环境保护要求：见招标文件中合同条款。</w:t>
            </w:r>
          </w:p>
          <w:p w14:paraId="580A6E69">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（4）施工工期：见招标文件/合同文件。</w:t>
            </w:r>
          </w:p>
          <w:p w14:paraId="0A4A9D4D">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（5）水电接口：甲方现场提供水电接驳点，自行接驳、水电费在综合单价内已包括。</w:t>
            </w:r>
          </w:p>
        </w:tc>
      </w:tr>
      <w:tr w14:paraId="6AFE7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7DE26">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二、投标报价说明:</w:t>
            </w:r>
          </w:p>
        </w:tc>
      </w:tr>
      <w:tr w14:paraId="06528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D97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05E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应对本工程招标范围、内容、技术说明、采用规范要求、合同条件、质量标准、工期进度要求、施工现场情况、工程所在地的周围环境、交通等与工程施工有关的所有情况进行详细了解和研究,自行组织现场踏勘了解施工现场实际情况并调查市场价格及工程所在地相关建筑市场管理政策、法律和规定，根据自行编制的施工组织设计或施工方案，结合本企业的自身技术资质情况、经济物质资源情况、经营能力、组织管理能力，或参考项目所在地有关计价规则、技术装备水平、管理水平，工程实际情况、风险程度等自主报价，投标报价被认为能够全面履行应尽的义务和应承担的责任。</w:t>
            </w:r>
          </w:p>
        </w:tc>
      </w:tr>
      <w:tr w14:paraId="0BC0D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396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C33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地周围环境、交通道路、现场地质资料、周围地下管网、现场条件、招标文件、承包范围、施工组织设计、施工技术措施、施工场地硬化、安全维护、文明工地施工措施，或参考洛阳市有关地方性技术、安全、文明施工要求规定（如商品混凝土、预拌砂浆、扬尘治理、防霾治霾等），投标人作为一个有经验的承包商可以预见的与工程施工有关的一切因素，均应在投标报价中统一考虑，不再另外计取任何其他费用。</w:t>
            </w:r>
          </w:p>
        </w:tc>
      </w:tr>
      <w:tr w14:paraId="23C3B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306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E9E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的投标报价必须在合理范围内，不允许不平衡报价，不允许对相同的清单项报不同的价格。如投标人的某些综合单价与市场价格相差较大，招标人有权要求投标人对其作出澄清说明，并且招标人有权在中标后对其单价进行平衡调整；如出现相同清单项报不同单价，招标人有权按照最低价格执行。</w:t>
            </w:r>
          </w:p>
        </w:tc>
      </w:tr>
      <w:tr w14:paraId="212D6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E33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417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清单投标报价表中列明的所有需要填报的单价和总价，投标人均应填报。投标报价清单上，无论工程量是否列明，有无填写单价或合价项目，没有列出的费用，固定总价包干部分视为已分配到有关项目的单价或合价中（不得以图纸设计深度不足、图纸设计与规范矛盾等理由在合同承包范围内提出因工程量的增减而调整合同总价），如工程中确实发生,招标人视为该项费用已全部包含在工程量清单的其它项目单价或总价中。综合单价包干部分工程量据实结算。投标人应仔细检查投标总报价各部分的金额合计应等于总金额。</w:t>
            </w:r>
          </w:p>
        </w:tc>
      </w:tr>
      <w:tr w14:paraId="05728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824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8C4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单项目特征描述中对其基层、面层的做法及节点要求仅为概括描述，详细内容均以施工图纸、规范技术要求、现场技术、施工工艺为准，投标人作为一个有经验的承包商已充分考虑完成本工程所需的全部施工及措施费用，若清单特征中无列项的，视为已包含在其他费中。</w:t>
            </w:r>
          </w:p>
        </w:tc>
      </w:tr>
      <w:tr w14:paraId="69D7A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F1F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0CD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应认真阅读招标文件的全部内容，如有错误和疑义，请以书面形式提出，如没有提出，则表明对招标文件的全部内容已理解并且接受，对此产生的全部责任由投标人承担。投标人必须按招标文件要求进行报价，不得对招标文件内容进行实质性改变，如出现投标文件同招标文件不一致的地方以招标文件为准，表格中的数字均有公式链接关系，请投标人自行检查，保证其正确性，否则因数据链接导致的错误责任由投标人承担。</w:t>
            </w:r>
          </w:p>
        </w:tc>
      </w:tr>
      <w:tr w14:paraId="7A951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07F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FA1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招标清单所列清单项各投标人不得调整，招标人提供参考清单工程量，投标人根据招标人提供的招标范围、承包内容、施工图纸等资料対参考工程量进行复核，投标人对投标工程量的准确性负责，投标工程量偏差的风险在包干总价范围内不予调整；招标人提供的表格格式、序号、清单项目等投标人如确认有明显错误或漏项时需在投标答疑时以书面形式提出，经招标人确认书面回复后统一调整。</w:t>
            </w:r>
          </w:p>
        </w:tc>
      </w:tr>
      <w:tr w14:paraId="17380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996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03E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填报的综合单价包含人工费、材料费、机械费、管理费、利润、规费、措施费、风险、增值税等一切费用，并考虑合同文件中明示或暗示的所有责任、义务因素涉及的费用，详见合同文件模板；若承包范围发生变化，合同内有相同或相似综合单价的项目仍需执行原合同约定的综合单价。</w:t>
            </w:r>
          </w:p>
        </w:tc>
      </w:tr>
      <w:tr w14:paraId="00A31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F2C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953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招标文件中的合同条款将作为中标后的施工合同，请仔细阅读并在报价中充分考虑，一切以合同条款为准。</w:t>
            </w:r>
          </w:p>
        </w:tc>
      </w:tr>
      <w:tr w14:paraId="37511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FF05D">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三、工程量清单编制依据及计算规则</w:t>
            </w:r>
          </w:p>
        </w:tc>
      </w:tr>
      <w:tr w14:paraId="1D62D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D2D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93C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工程量计算依据本次提供招标图纸</w:t>
            </w:r>
          </w:p>
        </w:tc>
      </w:tr>
      <w:tr w14:paraId="7EFA0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06D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B89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公区装修中天棚计算规则按照垂直投影面积计算，踏步计算规则按照水平投影面积计算。</w:t>
            </w:r>
          </w:p>
        </w:tc>
      </w:tr>
      <w:tr w14:paraId="68492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FED9F">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四、其他计价说明</w:t>
            </w:r>
          </w:p>
        </w:tc>
      </w:tr>
      <w:tr w14:paraId="0F731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8D4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BE0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3#楼两个单元地下层、首层、二层已完成施工，本次招标单位不含该部分工程量。</w:t>
            </w:r>
          </w:p>
        </w:tc>
      </w:tr>
      <w:tr w14:paraId="23CB3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42A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41F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所有楼光厅地面做法（金刚砂地坪），总包已计入，本次招标单位不含该部分工程量。</w:t>
            </w:r>
          </w:p>
        </w:tc>
      </w:tr>
      <w:tr w14:paraId="7A353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FBE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3DF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精装修安装施工范围为负一层、一层大堂、标准层、夹层从配电箱出线至灯具、开关、配管、配线均为精装单位。</w:t>
            </w:r>
          </w:p>
        </w:tc>
      </w:tr>
      <w:tr w14:paraId="5121E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B64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89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应急照明电源配管总包已计入，配线由消防单位施工，本次招标单位不含该部分工程量。</w:t>
            </w:r>
          </w:p>
        </w:tc>
      </w:tr>
      <w:tr w14:paraId="4AE5A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B06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A5C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配电箱至电感门电源管线按设计回复PVC20,WDZ-BYJ-3*4计入。</w:t>
            </w:r>
          </w:p>
        </w:tc>
      </w:tr>
      <w:tr w14:paraId="64C55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059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5E9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配电箱至照明灯具、墙面灯带、墙面发光字管线按设计回复JDG20明敷,WDZ-BYJ-3*2.5计入。</w:t>
            </w:r>
          </w:p>
        </w:tc>
      </w:tr>
      <w:tr w14:paraId="333E0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5B9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62A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楼梯间雷达感应吸顶灯及配管配线已计入总包，本次招标单位不含该部分工程量。</w:t>
            </w:r>
          </w:p>
        </w:tc>
      </w:tr>
      <w:tr w14:paraId="773CB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nil"/>
              <w:left w:val="nil"/>
              <w:bottom w:val="nil"/>
              <w:right w:val="nil"/>
            </w:tcBorders>
            <w:shd w:val="clear" w:color="auto" w:fill="auto"/>
            <w:noWrap/>
            <w:vAlign w:val="center"/>
          </w:tcPr>
          <w:p w14:paraId="7F0B288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6658D002">
            <w:pPr>
              <w:rPr>
                <w:rFonts w:hint="eastAsia" w:ascii="宋体" w:hAnsi="宋体" w:eastAsia="宋体" w:cs="宋体"/>
                <w:i w:val="0"/>
                <w:iCs w:val="0"/>
                <w:color w:val="000000"/>
                <w:sz w:val="24"/>
                <w:szCs w:val="24"/>
                <w:u w:val="none"/>
              </w:rPr>
            </w:pPr>
          </w:p>
        </w:tc>
      </w:tr>
    </w:tbl>
    <w:p w14:paraId="36F787BC">
      <w:pPr>
        <w:overflowPunct/>
        <w:rPr>
          <w:color w:val="auto"/>
          <w:highlight w:val="none"/>
        </w:rPr>
      </w:pPr>
    </w:p>
    <w:tbl>
      <w:tblPr>
        <w:tblStyle w:val="47"/>
        <w:tblW w:w="95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7"/>
        <w:gridCol w:w="956"/>
        <w:gridCol w:w="713"/>
        <w:gridCol w:w="4512"/>
        <w:gridCol w:w="2522"/>
      </w:tblGrid>
      <w:tr w14:paraId="15C8E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9" w:hRule="atLeast"/>
        </w:trPr>
        <w:tc>
          <w:tcPr>
            <w:tcW w:w="954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E39164C">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一标段汇总（1#、2#、3#、6#、9#、10#）</w:t>
            </w:r>
          </w:p>
        </w:tc>
      </w:tr>
      <w:tr w14:paraId="7F2C3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806C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 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4B94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7D7B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4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D0017">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含税合计</w:t>
            </w:r>
          </w:p>
          <w:p w14:paraId="564C4F9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9998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14:paraId="408C5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0" w:type="auto"/>
            <w:tcBorders>
              <w:top w:val="single" w:color="000000" w:sz="4" w:space="0"/>
              <w:left w:val="single" w:color="000000" w:sz="4" w:space="0"/>
              <w:bottom w:val="single" w:color="000000" w:sz="4" w:space="0"/>
              <w:right w:val="single" w:color="000000" w:sz="4" w:space="0"/>
            </w:tcBorders>
            <w:shd w:val="clear" w:color="auto" w:fill="5B9BD5"/>
            <w:noWrap/>
            <w:vAlign w:val="center"/>
          </w:tcPr>
          <w:p w14:paraId="20C135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w:t>
            </w:r>
          </w:p>
        </w:tc>
        <w:tc>
          <w:tcPr>
            <w:tcW w:w="0" w:type="auto"/>
            <w:tcBorders>
              <w:top w:val="single" w:color="000000" w:sz="4" w:space="0"/>
              <w:left w:val="single" w:color="000000" w:sz="4" w:space="0"/>
              <w:bottom w:val="single" w:color="000000" w:sz="4" w:space="0"/>
              <w:right w:val="single" w:color="000000" w:sz="4" w:space="0"/>
            </w:tcBorders>
            <w:shd w:val="clear" w:color="auto" w:fill="5B9BD5"/>
            <w:noWrap/>
            <w:vAlign w:val="center"/>
          </w:tcPr>
          <w:p w14:paraId="346190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一标段</w:t>
            </w:r>
          </w:p>
        </w:tc>
        <w:tc>
          <w:tcPr>
            <w:tcW w:w="0" w:type="auto"/>
            <w:tcBorders>
              <w:top w:val="single" w:color="000000" w:sz="4" w:space="0"/>
              <w:left w:val="single" w:color="000000" w:sz="4" w:space="0"/>
              <w:bottom w:val="single" w:color="000000" w:sz="4" w:space="0"/>
              <w:right w:val="single" w:color="000000" w:sz="4" w:space="0"/>
            </w:tcBorders>
            <w:shd w:val="clear" w:color="auto" w:fill="5B9BD5"/>
            <w:noWrap/>
            <w:vAlign w:val="center"/>
          </w:tcPr>
          <w:p w14:paraId="05882DFF">
            <w:pPr>
              <w:jc w:val="center"/>
              <w:rPr>
                <w:rFonts w:hint="eastAsia" w:ascii="宋体" w:hAnsi="宋体" w:eastAsia="宋体" w:cs="宋体"/>
                <w:i w:val="0"/>
                <w:iCs w:val="0"/>
                <w:color w:val="000000"/>
                <w:sz w:val="24"/>
                <w:szCs w:val="24"/>
                <w:u w:val="none"/>
              </w:rPr>
            </w:pPr>
          </w:p>
        </w:tc>
        <w:tc>
          <w:tcPr>
            <w:tcW w:w="4416" w:type="dxa"/>
            <w:tcBorders>
              <w:top w:val="single" w:color="000000" w:sz="4" w:space="0"/>
              <w:left w:val="single" w:color="000000" w:sz="4" w:space="0"/>
              <w:bottom w:val="single" w:color="000000" w:sz="4" w:space="0"/>
              <w:right w:val="single" w:color="000000" w:sz="4" w:space="0"/>
            </w:tcBorders>
            <w:shd w:val="clear" w:color="auto" w:fill="5B9BD5"/>
            <w:vAlign w:val="center"/>
          </w:tcPr>
          <w:p w14:paraId="3B70AFF4">
            <w:pPr>
              <w:jc w:val="center"/>
              <w:rPr>
                <w:rFonts w:hint="eastAsia" w:ascii="宋体" w:hAnsi="宋体" w:eastAsia="宋体" w:cs="宋体"/>
                <w:b/>
                <w:bCs/>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5B9BD5"/>
            <w:noWrap/>
            <w:vAlign w:val="center"/>
          </w:tcPr>
          <w:p w14:paraId="17112B60">
            <w:pPr>
              <w:jc w:val="center"/>
              <w:rPr>
                <w:rFonts w:hint="eastAsia" w:ascii="宋体" w:hAnsi="宋体" w:eastAsia="宋体" w:cs="宋体"/>
                <w:i w:val="0"/>
                <w:iCs w:val="0"/>
                <w:color w:val="000000"/>
                <w:sz w:val="24"/>
                <w:szCs w:val="24"/>
                <w:u w:val="none"/>
              </w:rPr>
            </w:pPr>
          </w:p>
        </w:tc>
      </w:tr>
      <w:tr w14:paraId="14BE8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8C4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CA2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F45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245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885265.20 </w:t>
            </w:r>
          </w:p>
        </w:tc>
        <w:tc>
          <w:tcPr>
            <w:tcW w:w="2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4D42D">
            <w:pPr>
              <w:jc w:val="center"/>
              <w:rPr>
                <w:rFonts w:hint="eastAsia" w:ascii="宋体" w:hAnsi="宋体" w:eastAsia="宋体" w:cs="宋体"/>
                <w:i w:val="0"/>
                <w:iCs w:val="0"/>
                <w:color w:val="000000"/>
                <w:sz w:val="24"/>
                <w:szCs w:val="24"/>
                <w:u w:val="none"/>
              </w:rPr>
            </w:pPr>
          </w:p>
        </w:tc>
      </w:tr>
      <w:tr w14:paraId="0D570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360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EF5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8E1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DFD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1316414.36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29485">
            <w:pPr>
              <w:jc w:val="center"/>
              <w:rPr>
                <w:rFonts w:hint="eastAsia" w:ascii="宋体" w:hAnsi="宋体" w:eastAsia="宋体" w:cs="宋体"/>
                <w:i w:val="0"/>
                <w:iCs w:val="0"/>
                <w:color w:val="000000"/>
                <w:sz w:val="24"/>
                <w:szCs w:val="24"/>
                <w:u w:val="none"/>
              </w:rPr>
            </w:pPr>
          </w:p>
        </w:tc>
      </w:tr>
      <w:tr w14:paraId="0B45A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99C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B33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77B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0C0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650444.10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2A75D">
            <w:pPr>
              <w:jc w:val="center"/>
              <w:rPr>
                <w:rFonts w:hint="eastAsia" w:ascii="宋体" w:hAnsi="宋体" w:eastAsia="宋体" w:cs="宋体"/>
                <w:i w:val="0"/>
                <w:iCs w:val="0"/>
                <w:color w:val="000000"/>
                <w:sz w:val="24"/>
                <w:szCs w:val="24"/>
                <w:u w:val="none"/>
              </w:rPr>
            </w:pPr>
          </w:p>
        </w:tc>
      </w:tr>
      <w:tr w14:paraId="4D2E2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908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B3D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437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5CF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932235.97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21F67">
            <w:pPr>
              <w:jc w:val="center"/>
              <w:rPr>
                <w:rFonts w:hint="eastAsia" w:ascii="宋体" w:hAnsi="宋体" w:eastAsia="宋体" w:cs="宋体"/>
                <w:i w:val="0"/>
                <w:iCs w:val="0"/>
                <w:color w:val="000000"/>
                <w:sz w:val="24"/>
                <w:szCs w:val="24"/>
                <w:u w:val="none"/>
              </w:rPr>
            </w:pPr>
          </w:p>
        </w:tc>
      </w:tr>
      <w:tr w14:paraId="2F8C5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BC0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D05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E1F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26B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961396.42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448AA">
            <w:pPr>
              <w:jc w:val="center"/>
              <w:rPr>
                <w:rFonts w:hint="eastAsia" w:ascii="宋体" w:hAnsi="宋体" w:eastAsia="宋体" w:cs="宋体"/>
                <w:i w:val="0"/>
                <w:iCs w:val="0"/>
                <w:color w:val="000000"/>
                <w:sz w:val="24"/>
                <w:szCs w:val="24"/>
                <w:u w:val="none"/>
              </w:rPr>
            </w:pPr>
          </w:p>
        </w:tc>
      </w:tr>
      <w:tr w14:paraId="7C773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B66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C29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D89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408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606980.57 </w:t>
            </w:r>
          </w:p>
        </w:tc>
        <w:tc>
          <w:tcPr>
            <w:tcW w:w="2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C0BBF">
            <w:pPr>
              <w:jc w:val="center"/>
              <w:rPr>
                <w:rFonts w:hint="eastAsia" w:ascii="宋体" w:hAnsi="宋体" w:eastAsia="宋体" w:cs="宋体"/>
                <w:i w:val="0"/>
                <w:iCs w:val="0"/>
                <w:color w:val="000000"/>
                <w:sz w:val="24"/>
                <w:szCs w:val="24"/>
                <w:u w:val="none"/>
              </w:rPr>
            </w:pPr>
          </w:p>
        </w:tc>
      </w:tr>
      <w:tr w14:paraId="09E15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139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40A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579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4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D6F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261825.68 </w:t>
            </w:r>
          </w:p>
        </w:tc>
        <w:tc>
          <w:tcPr>
            <w:tcW w:w="2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220B2">
            <w:pPr>
              <w:jc w:val="center"/>
              <w:rPr>
                <w:rFonts w:hint="eastAsia" w:ascii="宋体" w:hAnsi="宋体" w:eastAsia="宋体" w:cs="宋体"/>
                <w:i w:val="0"/>
                <w:iCs w:val="0"/>
                <w:color w:val="000000"/>
                <w:sz w:val="24"/>
                <w:szCs w:val="24"/>
                <w:u w:val="none"/>
              </w:rPr>
            </w:pPr>
          </w:p>
        </w:tc>
      </w:tr>
      <w:tr w14:paraId="37A9F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CEA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ECC67">
            <w:pPr>
              <w:jc w:val="center"/>
              <w:rPr>
                <w:rFonts w:hint="eastAsia" w:ascii="宋体" w:hAnsi="宋体" w:eastAsia="宋体" w:cs="宋体"/>
                <w:i w:val="0"/>
                <w:iCs w:val="0"/>
                <w:color w:val="000000"/>
                <w:sz w:val="24"/>
                <w:szCs w:val="24"/>
                <w:u w:val="none"/>
              </w:rPr>
            </w:pPr>
          </w:p>
        </w:tc>
        <w:tc>
          <w:tcPr>
            <w:tcW w:w="4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D72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5614562.30 </w:t>
            </w:r>
          </w:p>
        </w:tc>
        <w:tc>
          <w:tcPr>
            <w:tcW w:w="2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00AA9">
            <w:pPr>
              <w:jc w:val="center"/>
              <w:rPr>
                <w:rFonts w:hint="eastAsia" w:ascii="宋体" w:hAnsi="宋体" w:eastAsia="宋体" w:cs="宋体"/>
                <w:i w:val="0"/>
                <w:iCs w:val="0"/>
                <w:color w:val="000000"/>
                <w:sz w:val="24"/>
                <w:szCs w:val="24"/>
                <w:u w:val="none"/>
              </w:rPr>
            </w:pPr>
          </w:p>
        </w:tc>
      </w:tr>
    </w:tbl>
    <w:p w14:paraId="1731C712">
      <w:pPr>
        <w:overflowPunct/>
        <w:rPr>
          <w:color w:val="auto"/>
          <w:highlight w:val="none"/>
        </w:rPr>
      </w:pPr>
    </w:p>
    <w:sectPr>
      <w:headerReference r:id="rId3" w:type="default"/>
      <w:footerReference r:id="rId4" w:type="default"/>
      <w:pgSz w:w="11906" w:h="16838"/>
      <w:pgMar w:top="1304" w:right="1304" w:bottom="1304" w:left="1064" w:header="851" w:footer="850"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95D4F">
    <w:pPr>
      <w:pStyle w:val="30"/>
      <w:ind w:left="9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E42228">
                          <w:pPr>
                            <w:pStyle w:val="3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EE42228">
                    <w:pPr>
                      <w:pStyle w:val="3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v:textbox>
            </v:shape>
          </w:pict>
        </mc:Fallback>
      </mc:AlternateContent>
    </w:r>
  </w:p>
  <w:p w14:paraId="4D3F356D">
    <w:pPr>
      <w:pStyle w:val="30"/>
      <w:tabs>
        <w:tab w:val="left" w:pos="6905"/>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50D13">
    <w:pPr>
      <w:pStyle w:val="31"/>
      <w:jc w:val="both"/>
    </w:pPr>
    <w:r>
      <w:drawing>
        <wp:inline distT="0" distB="0" distL="0" distR="0">
          <wp:extent cx="1017905" cy="3168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17905" cy="31686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7A9F0A"/>
    <w:multiLevelType w:val="singleLevel"/>
    <w:tmpl w:val="897A9F0A"/>
    <w:lvl w:ilvl="0" w:tentative="0">
      <w:start w:val="1"/>
      <w:numFmt w:val="decimal"/>
      <w:lvlText w:val="%1."/>
      <w:lvlJc w:val="left"/>
      <w:pPr>
        <w:tabs>
          <w:tab w:val="left" w:pos="312"/>
        </w:tabs>
      </w:pPr>
    </w:lvl>
  </w:abstractNum>
  <w:abstractNum w:abstractNumId="1">
    <w:nsid w:val="95036D51"/>
    <w:multiLevelType w:val="multilevel"/>
    <w:tmpl w:val="95036D51"/>
    <w:lvl w:ilvl="0" w:tentative="0">
      <w:start w:val="1"/>
      <w:numFmt w:val="chineseCountingThousand"/>
      <w:pStyle w:val="7"/>
      <w:lvlText w:val="%1."/>
      <w:lvlJc w:val="left"/>
      <w:pPr>
        <w:tabs>
          <w:tab w:val="left" w:pos="0"/>
        </w:tabs>
        <w:ind w:left="425" w:hanging="425"/>
      </w:pPr>
      <w:rPr>
        <w:rFonts w:cs="Times New Roman"/>
      </w:rPr>
    </w:lvl>
    <w:lvl w:ilvl="1" w:tentative="0">
      <w:start w:val="1"/>
      <w:numFmt w:val="decimal"/>
      <w:pStyle w:val="9"/>
      <w:lvlText w:val="%2."/>
      <w:legacy w:legacy="1" w:legacySpace="0" w:legacyIndent="425"/>
      <w:lvlJc w:val="left"/>
      <w:pPr>
        <w:ind w:left="992" w:hanging="425"/>
      </w:pPr>
      <w:rPr>
        <w:rFonts w:cs="Times New Roman"/>
      </w:rPr>
    </w:lvl>
    <w:lvl w:ilvl="2" w:tentative="0">
      <w:start w:val="1"/>
      <w:numFmt w:val="none"/>
      <w:pStyle w:val="10"/>
      <w:suff w:val="nothing"/>
      <w:lvlText w:val=""/>
      <w:lvlJc w:val="left"/>
      <w:pPr>
        <w:tabs>
          <w:tab w:val="left" w:pos="0"/>
        </w:tabs>
        <w:ind w:left="851" w:hanging="425"/>
      </w:pPr>
      <w:rPr>
        <w:rFonts w:cs="Times New Roman"/>
      </w:rPr>
    </w:lvl>
    <w:lvl w:ilvl="3" w:tentative="0">
      <w:start w:val="1"/>
      <w:numFmt w:val="lowerLetter"/>
      <w:pStyle w:val="11"/>
      <w:lvlText w:val="%4)"/>
      <w:legacy w:legacy="1" w:legacySpace="0" w:legacyIndent="425"/>
      <w:lvlJc w:val="left"/>
      <w:pPr>
        <w:ind w:left="1700" w:hanging="425"/>
      </w:pPr>
      <w:rPr>
        <w:rFonts w:cs="Times New Roman"/>
      </w:rPr>
    </w:lvl>
    <w:lvl w:ilvl="4" w:tentative="0">
      <w:start w:val="1"/>
      <w:numFmt w:val="decimal"/>
      <w:pStyle w:val="12"/>
      <w:lvlText w:val="(%5)"/>
      <w:legacy w:legacy="1" w:legacySpace="0" w:legacyIndent="425"/>
      <w:lvlJc w:val="left"/>
      <w:pPr>
        <w:ind w:left="2125" w:hanging="425"/>
      </w:pPr>
      <w:rPr>
        <w:rFonts w:cs="Times New Roman"/>
      </w:rPr>
    </w:lvl>
    <w:lvl w:ilvl="5" w:tentative="0">
      <w:start w:val="1"/>
      <w:numFmt w:val="lowerLetter"/>
      <w:pStyle w:val="13"/>
      <w:lvlText w:val="(%6)"/>
      <w:legacy w:legacy="1" w:legacySpace="0" w:legacyIndent="425"/>
      <w:lvlJc w:val="left"/>
      <w:pPr>
        <w:ind w:left="2550" w:hanging="425"/>
      </w:pPr>
      <w:rPr>
        <w:rFonts w:cs="Times New Roman"/>
      </w:rPr>
    </w:lvl>
    <w:lvl w:ilvl="6" w:tentative="0">
      <w:start w:val="1"/>
      <w:numFmt w:val="lowerRoman"/>
      <w:pStyle w:val="14"/>
      <w:lvlText w:val="(%7)"/>
      <w:legacy w:legacy="1" w:legacySpace="0" w:legacyIndent="425"/>
      <w:lvlJc w:val="left"/>
      <w:pPr>
        <w:ind w:left="2975" w:hanging="425"/>
      </w:pPr>
      <w:rPr>
        <w:rFonts w:cs="Times New Roman"/>
      </w:rPr>
    </w:lvl>
    <w:lvl w:ilvl="7" w:tentative="0">
      <w:start w:val="1"/>
      <w:numFmt w:val="lowerLetter"/>
      <w:pStyle w:val="15"/>
      <w:lvlText w:val="(%8)"/>
      <w:legacy w:legacy="1" w:legacySpace="0" w:legacyIndent="425"/>
      <w:lvlJc w:val="left"/>
      <w:pPr>
        <w:ind w:left="3400" w:hanging="425"/>
      </w:pPr>
      <w:rPr>
        <w:rFonts w:cs="Times New Roman"/>
      </w:rPr>
    </w:lvl>
    <w:lvl w:ilvl="8" w:tentative="0">
      <w:start w:val="1"/>
      <w:numFmt w:val="lowerRoman"/>
      <w:pStyle w:val="16"/>
      <w:lvlText w:val="(%9)"/>
      <w:legacy w:legacy="1" w:legacySpace="0" w:legacyIndent="425"/>
      <w:lvlJc w:val="left"/>
      <w:pPr>
        <w:ind w:left="3825" w:hanging="425"/>
      </w:pPr>
      <w:rPr>
        <w:rFonts w:cs="Times New Roman"/>
      </w:rPr>
    </w:lvl>
  </w:abstractNum>
  <w:abstractNum w:abstractNumId="2">
    <w:nsid w:val="3E6C9CA1"/>
    <w:multiLevelType w:val="singleLevel"/>
    <w:tmpl w:val="3E6C9CA1"/>
    <w:lvl w:ilvl="0" w:tentative="0">
      <w:start w:val="1"/>
      <w:numFmt w:val="decimal"/>
      <w:suff w:val="nothing"/>
      <w:lvlText w:val="%1、"/>
      <w:lvlJc w:val="left"/>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s.h">
    <w15:presenceInfo w15:providerId="WPS Office" w15:userId="24913221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czM2Q4Mjc5MTYxNmE3NGQxZTE5NzkxMzE3NDhiMzYifQ=="/>
  </w:docVars>
  <w:rsids>
    <w:rsidRoot w:val="00172A27"/>
    <w:rsid w:val="00004734"/>
    <w:rsid w:val="000112F7"/>
    <w:rsid w:val="000127EC"/>
    <w:rsid w:val="00014E6C"/>
    <w:rsid w:val="00020BB6"/>
    <w:rsid w:val="0002196B"/>
    <w:rsid w:val="00025321"/>
    <w:rsid w:val="0002623D"/>
    <w:rsid w:val="00027206"/>
    <w:rsid w:val="00036F32"/>
    <w:rsid w:val="0004196A"/>
    <w:rsid w:val="00050636"/>
    <w:rsid w:val="00057981"/>
    <w:rsid w:val="00062CCF"/>
    <w:rsid w:val="00065CD5"/>
    <w:rsid w:val="00065EF0"/>
    <w:rsid w:val="0006602E"/>
    <w:rsid w:val="00066596"/>
    <w:rsid w:val="00070A00"/>
    <w:rsid w:val="000737B7"/>
    <w:rsid w:val="000936F9"/>
    <w:rsid w:val="000938C6"/>
    <w:rsid w:val="000A147C"/>
    <w:rsid w:val="000A54D9"/>
    <w:rsid w:val="000A7686"/>
    <w:rsid w:val="000A76D7"/>
    <w:rsid w:val="000B2DE3"/>
    <w:rsid w:val="000B3EE8"/>
    <w:rsid w:val="000B4132"/>
    <w:rsid w:val="000C11B4"/>
    <w:rsid w:val="000C6CA9"/>
    <w:rsid w:val="000D1072"/>
    <w:rsid w:val="000D205A"/>
    <w:rsid w:val="000D26C8"/>
    <w:rsid w:val="000D2E39"/>
    <w:rsid w:val="000D49BF"/>
    <w:rsid w:val="000D6B54"/>
    <w:rsid w:val="000D7218"/>
    <w:rsid w:val="000E08BA"/>
    <w:rsid w:val="000E2925"/>
    <w:rsid w:val="000E4D87"/>
    <w:rsid w:val="000E7F00"/>
    <w:rsid w:val="000F176B"/>
    <w:rsid w:val="000F6A5F"/>
    <w:rsid w:val="00100C15"/>
    <w:rsid w:val="0010103A"/>
    <w:rsid w:val="0010104F"/>
    <w:rsid w:val="001021BC"/>
    <w:rsid w:val="001073C1"/>
    <w:rsid w:val="001104C9"/>
    <w:rsid w:val="00110729"/>
    <w:rsid w:val="00110BC9"/>
    <w:rsid w:val="00112F37"/>
    <w:rsid w:val="00120ADE"/>
    <w:rsid w:val="00125540"/>
    <w:rsid w:val="00130D53"/>
    <w:rsid w:val="0013667F"/>
    <w:rsid w:val="00147EF2"/>
    <w:rsid w:val="00160E43"/>
    <w:rsid w:val="00162177"/>
    <w:rsid w:val="00167861"/>
    <w:rsid w:val="00167921"/>
    <w:rsid w:val="00172A27"/>
    <w:rsid w:val="00174A32"/>
    <w:rsid w:val="00176A6E"/>
    <w:rsid w:val="00180B22"/>
    <w:rsid w:val="00180C0A"/>
    <w:rsid w:val="00191138"/>
    <w:rsid w:val="00193FED"/>
    <w:rsid w:val="00196CC8"/>
    <w:rsid w:val="001A6A80"/>
    <w:rsid w:val="001A73DA"/>
    <w:rsid w:val="001B4D8A"/>
    <w:rsid w:val="001B7FB5"/>
    <w:rsid w:val="001C0328"/>
    <w:rsid w:val="001C3135"/>
    <w:rsid w:val="001D1692"/>
    <w:rsid w:val="001D33F2"/>
    <w:rsid w:val="001E0463"/>
    <w:rsid w:val="001E3252"/>
    <w:rsid w:val="001F17C6"/>
    <w:rsid w:val="001F2ED9"/>
    <w:rsid w:val="001F6D34"/>
    <w:rsid w:val="00200F8E"/>
    <w:rsid w:val="00203378"/>
    <w:rsid w:val="0020644C"/>
    <w:rsid w:val="00207F2F"/>
    <w:rsid w:val="00214FB5"/>
    <w:rsid w:val="00215528"/>
    <w:rsid w:val="00217A46"/>
    <w:rsid w:val="0022132B"/>
    <w:rsid w:val="00230D9A"/>
    <w:rsid w:val="00232F4B"/>
    <w:rsid w:val="00233346"/>
    <w:rsid w:val="0023640C"/>
    <w:rsid w:val="002372DD"/>
    <w:rsid w:val="00240AE1"/>
    <w:rsid w:val="0024334F"/>
    <w:rsid w:val="002434CD"/>
    <w:rsid w:val="002454FE"/>
    <w:rsid w:val="00246664"/>
    <w:rsid w:val="0024796F"/>
    <w:rsid w:val="00252A70"/>
    <w:rsid w:val="00252EBC"/>
    <w:rsid w:val="002653B9"/>
    <w:rsid w:val="002718C6"/>
    <w:rsid w:val="00276919"/>
    <w:rsid w:val="00290347"/>
    <w:rsid w:val="00295D1D"/>
    <w:rsid w:val="002969D1"/>
    <w:rsid w:val="00297B95"/>
    <w:rsid w:val="002A0538"/>
    <w:rsid w:val="002A3034"/>
    <w:rsid w:val="002A464F"/>
    <w:rsid w:val="002B03AD"/>
    <w:rsid w:val="002B06C6"/>
    <w:rsid w:val="002B0A59"/>
    <w:rsid w:val="002B20CE"/>
    <w:rsid w:val="002B6ECA"/>
    <w:rsid w:val="002C029A"/>
    <w:rsid w:val="002C6E09"/>
    <w:rsid w:val="002D2A5D"/>
    <w:rsid w:val="002D2E4E"/>
    <w:rsid w:val="002D6B8A"/>
    <w:rsid w:val="002D7C34"/>
    <w:rsid w:val="002E51F7"/>
    <w:rsid w:val="002E7973"/>
    <w:rsid w:val="002F293A"/>
    <w:rsid w:val="002F3ACD"/>
    <w:rsid w:val="002F54E2"/>
    <w:rsid w:val="002F77F9"/>
    <w:rsid w:val="003042E3"/>
    <w:rsid w:val="003123DB"/>
    <w:rsid w:val="0031253D"/>
    <w:rsid w:val="00321686"/>
    <w:rsid w:val="003358F3"/>
    <w:rsid w:val="00337E43"/>
    <w:rsid w:val="003459DC"/>
    <w:rsid w:val="00347E4E"/>
    <w:rsid w:val="003559D3"/>
    <w:rsid w:val="00361B50"/>
    <w:rsid w:val="00361D86"/>
    <w:rsid w:val="0036360C"/>
    <w:rsid w:val="00363BA8"/>
    <w:rsid w:val="00367D63"/>
    <w:rsid w:val="00375A68"/>
    <w:rsid w:val="00376730"/>
    <w:rsid w:val="00391934"/>
    <w:rsid w:val="00391ED6"/>
    <w:rsid w:val="00393702"/>
    <w:rsid w:val="00397F72"/>
    <w:rsid w:val="003A04FF"/>
    <w:rsid w:val="003A2728"/>
    <w:rsid w:val="003A6239"/>
    <w:rsid w:val="003B1AF6"/>
    <w:rsid w:val="003B25DF"/>
    <w:rsid w:val="003B2B3C"/>
    <w:rsid w:val="003B5FC8"/>
    <w:rsid w:val="003B643A"/>
    <w:rsid w:val="003C2C6C"/>
    <w:rsid w:val="003C36D7"/>
    <w:rsid w:val="003D22A0"/>
    <w:rsid w:val="003E5E53"/>
    <w:rsid w:val="003E7707"/>
    <w:rsid w:val="003E795C"/>
    <w:rsid w:val="003F1E98"/>
    <w:rsid w:val="004140CF"/>
    <w:rsid w:val="0042007F"/>
    <w:rsid w:val="00420AD4"/>
    <w:rsid w:val="00420E2F"/>
    <w:rsid w:val="00423DD6"/>
    <w:rsid w:val="00423E77"/>
    <w:rsid w:val="004367EE"/>
    <w:rsid w:val="00443089"/>
    <w:rsid w:val="00447188"/>
    <w:rsid w:val="004519B8"/>
    <w:rsid w:val="00452C9F"/>
    <w:rsid w:val="004541B0"/>
    <w:rsid w:val="00455E28"/>
    <w:rsid w:val="004566FE"/>
    <w:rsid w:val="004578DA"/>
    <w:rsid w:val="00462A71"/>
    <w:rsid w:val="00467F4D"/>
    <w:rsid w:val="004747A2"/>
    <w:rsid w:val="0047486E"/>
    <w:rsid w:val="004772D1"/>
    <w:rsid w:val="00481FEB"/>
    <w:rsid w:val="00482A9A"/>
    <w:rsid w:val="004A1315"/>
    <w:rsid w:val="004A2C7F"/>
    <w:rsid w:val="004A5B60"/>
    <w:rsid w:val="004A64D2"/>
    <w:rsid w:val="004B3B0A"/>
    <w:rsid w:val="004B54CC"/>
    <w:rsid w:val="004B559E"/>
    <w:rsid w:val="004D1E1C"/>
    <w:rsid w:val="004E3059"/>
    <w:rsid w:val="004E37CA"/>
    <w:rsid w:val="004E49FE"/>
    <w:rsid w:val="004E5375"/>
    <w:rsid w:val="004E5451"/>
    <w:rsid w:val="004E78BF"/>
    <w:rsid w:val="004F1EAD"/>
    <w:rsid w:val="004F24FA"/>
    <w:rsid w:val="004F5178"/>
    <w:rsid w:val="00501483"/>
    <w:rsid w:val="00501D2F"/>
    <w:rsid w:val="00505506"/>
    <w:rsid w:val="00506153"/>
    <w:rsid w:val="005078DB"/>
    <w:rsid w:val="00514B88"/>
    <w:rsid w:val="00516578"/>
    <w:rsid w:val="00516B7B"/>
    <w:rsid w:val="00534C97"/>
    <w:rsid w:val="00542491"/>
    <w:rsid w:val="00542B8D"/>
    <w:rsid w:val="00556259"/>
    <w:rsid w:val="00560BFE"/>
    <w:rsid w:val="005613E2"/>
    <w:rsid w:val="00562EAC"/>
    <w:rsid w:val="005632F8"/>
    <w:rsid w:val="00564804"/>
    <w:rsid w:val="005648F6"/>
    <w:rsid w:val="00567ADD"/>
    <w:rsid w:val="00570C35"/>
    <w:rsid w:val="00570CCF"/>
    <w:rsid w:val="00575182"/>
    <w:rsid w:val="0057648B"/>
    <w:rsid w:val="005828CD"/>
    <w:rsid w:val="005843B4"/>
    <w:rsid w:val="00584F53"/>
    <w:rsid w:val="00590528"/>
    <w:rsid w:val="005974A1"/>
    <w:rsid w:val="00597C65"/>
    <w:rsid w:val="00597CAE"/>
    <w:rsid w:val="005A144E"/>
    <w:rsid w:val="005A2B28"/>
    <w:rsid w:val="005A2D0D"/>
    <w:rsid w:val="005A3BED"/>
    <w:rsid w:val="005B60D6"/>
    <w:rsid w:val="005B6CDA"/>
    <w:rsid w:val="005D2040"/>
    <w:rsid w:val="005D2A0E"/>
    <w:rsid w:val="005E36BC"/>
    <w:rsid w:val="005F2A54"/>
    <w:rsid w:val="005F4547"/>
    <w:rsid w:val="005F4688"/>
    <w:rsid w:val="005F60DA"/>
    <w:rsid w:val="005F7B25"/>
    <w:rsid w:val="00602AF1"/>
    <w:rsid w:val="006032F1"/>
    <w:rsid w:val="00610087"/>
    <w:rsid w:val="00611B65"/>
    <w:rsid w:val="00612E18"/>
    <w:rsid w:val="00627F91"/>
    <w:rsid w:val="00630879"/>
    <w:rsid w:val="00631305"/>
    <w:rsid w:val="00632780"/>
    <w:rsid w:val="006327A3"/>
    <w:rsid w:val="00634C39"/>
    <w:rsid w:val="006360FE"/>
    <w:rsid w:val="00641A6D"/>
    <w:rsid w:val="0064346C"/>
    <w:rsid w:val="006464A5"/>
    <w:rsid w:val="0065670C"/>
    <w:rsid w:val="0066134E"/>
    <w:rsid w:val="006655AC"/>
    <w:rsid w:val="006678B3"/>
    <w:rsid w:val="006731C3"/>
    <w:rsid w:val="00676D43"/>
    <w:rsid w:val="006820E4"/>
    <w:rsid w:val="00687721"/>
    <w:rsid w:val="00691120"/>
    <w:rsid w:val="00693987"/>
    <w:rsid w:val="00694B2D"/>
    <w:rsid w:val="006950F5"/>
    <w:rsid w:val="006969DD"/>
    <w:rsid w:val="006A2CD7"/>
    <w:rsid w:val="006A54F5"/>
    <w:rsid w:val="006B006C"/>
    <w:rsid w:val="006B17DA"/>
    <w:rsid w:val="006B1B95"/>
    <w:rsid w:val="006C21A5"/>
    <w:rsid w:val="006C2C16"/>
    <w:rsid w:val="006C40B9"/>
    <w:rsid w:val="006C6224"/>
    <w:rsid w:val="006D790F"/>
    <w:rsid w:val="006E1BC4"/>
    <w:rsid w:val="006E434C"/>
    <w:rsid w:val="006F223B"/>
    <w:rsid w:val="006F2A5F"/>
    <w:rsid w:val="006F36C3"/>
    <w:rsid w:val="006F3805"/>
    <w:rsid w:val="006F4BA1"/>
    <w:rsid w:val="006F6A3C"/>
    <w:rsid w:val="00700D07"/>
    <w:rsid w:val="00701B69"/>
    <w:rsid w:val="0070555A"/>
    <w:rsid w:val="00710AF3"/>
    <w:rsid w:val="00710BCF"/>
    <w:rsid w:val="007119EE"/>
    <w:rsid w:val="007124B6"/>
    <w:rsid w:val="00720003"/>
    <w:rsid w:val="007211F4"/>
    <w:rsid w:val="00721A3E"/>
    <w:rsid w:val="00722EE1"/>
    <w:rsid w:val="00723612"/>
    <w:rsid w:val="00725B97"/>
    <w:rsid w:val="00730793"/>
    <w:rsid w:val="007312F4"/>
    <w:rsid w:val="0073360E"/>
    <w:rsid w:val="007426C9"/>
    <w:rsid w:val="00743D82"/>
    <w:rsid w:val="0074569B"/>
    <w:rsid w:val="00753466"/>
    <w:rsid w:val="00773640"/>
    <w:rsid w:val="00776C85"/>
    <w:rsid w:val="00777C50"/>
    <w:rsid w:val="00785273"/>
    <w:rsid w:val="00785551"/>
    <w:rsid w:val="007856C8"/>
    <w:rsid w:val="0078582E"/>
    <w:rsid w:val="007909E5"/>
    <w:rsid w:val="00794F34"/>
    <w:rsid w:val="00795264"/>
    <w:rsid w:val="007972B0"/>
    <w:rsid w:val="007A565C"/>
    <w:rsid w:val="007B0676"/>
    <w:rsid w:val="007B13F4"/>
    <w:rsid w:val="007B2C9C"/>
    <w:rsid w:val="007B6C02"/>
    <w:rsid w:val="007C208C"/>
    <w:rsid w:val="007C5881"/>
    <w:rsid w:val="007D0E98"/>
    <w:rsid w:val="007D24C3"/>
    <w:rsid w:val="007E3653"/>
    <w:rsid w:val="007E37D4"/>
    <w:rsid w:val="007F6877"/>
    <w:rsid w:val="008016C5"/>
    <w:rsid w:val="00801F1D"/>
    <w:rsid w:val="0081246B"/>
    <w:rsid w:val="00812BB1"/>
    <w:rsid w:val="00813EFA"/>
    <w:rsid w:val="00833059"/>
    <w:rsid w:val="0083423D"/>
    <w:rsid w:val="00842B3B"/>
    <w:rsid w:val="00846A18"/>
    <w:rsid w:val="00864308"/>
    <w:rsid w:val="008728F6"/>
    <w:rsid w:val="008825E1"/>
    <w:rsid w:val="00883693"/>
    <w:rsid w:val="00883ED0"/>
    <w:rsid w:val="008903E9"/>
    <w:rsid w:val="008916BB"/>
    <w:rsid w:val="00893554"/>
    <w:rsid w:val="008947F0"/>
    <w:rsid w:val="00894991"/>
    <w:rsid w:val="008A0406"/>
    <w:rsid w:val="008A1AEA"/>
    <w:rsid w:val="008B0854"/>
    <w:rsid w:val="008B5357"/>
    <w:rsid w:val="008B5B20"/>
    <w:rsid w:val="008C1734"/>
    <w:rsid w:val="008C20A2"/>
    <w:rsid w:val="008C3194"/>
    <w:rsid w:val="008C5D60"/>
    <w:rsid w:val="008D0A11"/>
    <w:rsid w:val="008D34C3"/>
    <w:rsid w:val="008D6920"/>
    <w:rsid w:val="008E7327"/>
    <w:rsid w:val="008F379B"/>
    <w:rsid w:val="008F67A7"/>
    <w:rsid w:val="00903AA1"/>
    <w:rsid w:val="0091395D"/>
    <w:rsid w:val="00916846"/>
    <w:rsid w:val="00926F55"/>
    <w:rsid w:val="00937325"/>
    <w:rsid w:val="009421AA"/>
    <w:rsid w:val="0094297D"/>
    <w:rsid w:val="00942A9C"/>
    <w:rsid w:val="009448B6"/>
    <w:rsid w:val="009515D3"/>
    <w:rsid w:val="00951E42"/>
    <w:rsid w:val="00953EFD"/>
    <w:rsid w:val="0095403A"/>
    <w:rsid w:val="00960572"/>
    <w:rsid w:val="00963BE5"/>
    <w:rsid w:val="00965209"/>
    <w:rsid w:val="00967102"/>
    <w:rsid w:val="00976E48"/>
    <w:rsid w:val="00977981"/>
    <w:rsid w:val="009821C4"/>
    <w:rsid w:val="00983437"/>
    <w:rsid w:val="009842AB"/>
    <w:rsid w:val="00984F98"/>
    <w:rsid w:val="0098588A"/>
    <w:rsid w:val="00995E90"/>
    <w:rsid w:val="009B1946"/>
    <w:rsid w:val="009B7FFA"/>
    <w:rsid w:val="009C3518"/>
    <w:rsid w:val="009C6063"/>
    <w:rsid w:val="009D5FBD"/>
    <w:rsid w:val="009D7C3C"/>
    <w:rsid w:val="009E7EB6"/>
    <w:rsid w:val="009F0426"/>
    <w:rsid w:val="00A003E9"/>
    <w:rsid w:val="00A010C3"/>
    <w:rsid w:val="00A16CDA"/>
    <w:rsid w:val="00A17CFA"/>
    <w:rsid w:val="00A21520"/>
    <w:rsid w:val="00A25AA3"/>
    <w:rsid w:val="00A30639"/>
    <w:rsid w:val="00A31A4A"/>
    <w:rsid w:val="00A42231"/>
    <w:rsid w:val="00A435FF"/>
    <w:rsid w:val="00A4389B"/>
    <w:rsid w:val="00A46FC9"/>
    <w:rsid w:val="00A56387"/>
    <w:rsid w:val="00A60754"/>
    <w:rsid w:val="00A631EA"/>
    <w:rsid w:val="00A70958"/>
    <w:rsid w:val="00A7195A"/>
    <w:rsid w:val="00A7326B"/>
    <w:rsid w:val="00A80C63"/>
    <w:rsid w:val="00A9100F"/>
    <w:rsid w:val="00A92010"/>
    <w:rsid w:val="00A95E14"/>
    <w:rsid w:val="00AA063C"/>
    <w:rsid w:val="00AA25E4"/>
    <w:rsid w:val="00AA3D02"/>
    <w:rsid w:val="00AA5069"/>
    <w:rsid w:val="00AA5A87"/>
    <w:rsid w:val="00AA6015"/>
    <w:rsid w:val="00AC4783"/>
    <w:rsid w:val="00AC5C7D"/>
    <w:rsid w:val="00AD0DAB"/>
    <w:rsid w:val="00AD1C8C"/>
    <w:rsid w:val="00AD20CC"/>
    <w:rsid w:val="00AE5F15"/>
    <w:rsid w:val="00AF7040"/>
    <w:rsid w:val="00B02656"/>
    <w:rsid w:val="00B060F8"/>
    <w:rsid w:val="00B0699D"/>
    <w:rsid w:val="00B204AF"/>
    <w:rsid w:val="00B2262A"/>
    <w:rsid w:val="00B22AAB"/>
    <w:rsid w:val="00B262FB"/>
    <w:rsid w:val="00B304DB"/>
    <w:rsid w:val="00B43B9C"/>
    <w:rsid w:val="00B52CF9"/>
    <w:rsid w:val="00B74F9A"/>
    <w:rsid w:val="00B775ED"/>
    <w:rsid w:val="00B8369F"/>
    <w:rsid w:val="00B8506C"/>
    <w:rsid w:val="00B902B6"/>
    <w:rsid w:val="00B95703"/>
    <w:rsid w:val="00BA3B54"/>
    <w:rsid w:val="00BA7E99"/>
    <w:rsid w:val="00BB68A6"/>
    <w:rsid w:val="00BB78B2"/>
    <w:rsid w:val="00BC0E92"/>
    <w:rsid w:val="00BC1C58"/>
    <w:rsid w:val="00BC27D3"/>
    <w:rsid w:val="00BD0C5C"/>
    <w:rsid w:val="00BD0EA1"/>
    <w:rsid w:val="00BD1135"/>
    <w:rsid w:val="00BD6674"/>
    <w:rsid w:val="00BD6F46"/>
    <w:rsid w:val="00BE0DC6"/>
    <w:rsid w:val="00BE6A61"/>
    <w:rsid w:val="00BF032C"/>
    <w:rsid w:val="00BF0416"/>
    <w:rsid w:val="00BF5F73"/>
    <w:rsid w:val="00BF6E3E"/>
    <w:rsid w:val="00C017C3"/>
    <w:rsid w:val="00C077B2"/>
    <w:rsid w:val="00C1211F"/>
    <w:rsid w:val="00C22E4A"/>
    <w:rsid w:val="00C23C58"/>
    <w:rsid w:val="00C24A4A"/>
    <w:rsid w:val="00C2651A"/>
    <w:rsid w:val="00C36DB3"/>
    <w:rsid w:val="00C419DF"/>
    <w:rsid w:val="00C41FA2"/>
    <w:rsid w:val="00C56DC2"/>
    <w:rsid w:val="00C56E17"/>
    <w:rsid w:val="00C62DF1"/>
    <w:rsid w:val="00C63241"/>
    <w:rsid w:val="00C67BD4"/>
    <w:rsid w:val="00C71E76"/>
    <w:rsid w:val="00C73BFB"/>
    <w:rsid w:val="00C773C1"/>
    <w:rsid w:val="00C823C4"/>
    <w:rsid w:val="00C8603E"/>
    <w:rsid w:val="00C9269C"/>
    <w:rsid w:val="00C96944"/>
    <w:rsid w:val="00CA361C"/>
    <w:rsid w:val="00CB4FE1"/>
    <w:rsid w:val="00CD1AA6"/>
    <w:rsid w:val="00CD496E"/>
    <w:rsid w:val="00CD5211"/>
    <w:rsid w:val="00CE5B07"/>
    <w:rsid w:val="00CE7C14"/>
    <w:rsid w:val="00D01232"/>
    <w:rsid w:val="00D0591E"/>
    <w:rsid w:val="00D077F3"/>
    <w:rsid w:val="00D14F26"/>
    <w:rsid w:val="00D3242C"/>
    <w:rsid w:val="00D33143"/>
    <w:rsid w:val="00D34826"/>
    <w:rsid w:val="00D40345"/>
    <w:rsid w:val="00D41F38"/>
    <w:rsid w:val="00D435CF"/>
    <w:rsid w:val="00D45E5E"/>
    <w:rsid w:val="00D47B32"/>
    <w:rsid w:val="00D47DC4"/>
    <w:rsid w:val="00D52487"/>
    <w:rsid w:val="00D533E5"/>
    <w:rsid w:val="00D561C3"/>
    <w:rsid w:val="00D56B71"/>
    <w:rsid w:val="00D579C6"/>
    <w:rsid w:val="00D627EE"/>
    <w:rsid w:val="00D63376"/>
    <w:rsid w:val="00D65CDD"/>
    <w:rsid w:val="00D70830"/>
    <w:rsid w:val="00D72D4B"/>
    <w:rsid w:val="00D74CA7"/>
    <w:rsid w:val="00D8441D"/>
    <w:rsid w:val="00D923AC"/>
    <w:rsid w:val="00D929C4"/>
    <w:rsid w:val="00DA0F0D"/>
    <w:rsid w:val="00DA3FE6"/>
    <w:rsid w:val="00DA64D0"/>
    <w:rsid w:val="00DA68ED"/>
    <w:rsid w:val="00DB52A9"/>
    <w:rsid w:val="00DC35CB"/>
    <w:rsid w:val="00DE590A"/>
    <w:rsid w:val="00DF24F8"/>
    <w:rsid w:val="00DF63A0"/>
    <w:rsid w:val="00DF7AAC"/>
    <w:rsid w:val="00E151D5"/>
    <w:rsid w:val="00E2161D"/>
    <w:rsid w:val="00E30999"/>
    <w:rsid w:val="00E32375"/>
    <w:rsid w:val="00E332C9"/>
    <w:rsid w:val="00E34CC7"/>
    <w:rsid w:val="00E35C8E"/>
    <w:rsid w:val="00E406C6"/>
    <w:rsid w:val="00E40748"/>
    <w:rsid w:val="00E43787"/>
    <w:rsid w:val="00E43F8F"/>
    <w:rsid w:val="00E44D0A"/>
    <w:rsid w:val="00E4564D"/>
    <w:rsid w:val="00E556E6"/>
    <w:rsid w:val="00E565D0"/>
    <w:rsid w:val="00E6030F"/>
    <w:rsid w:val="00E65231"/>
    <w:rsid w:val="00E67A55"/>
    <w:rsid w:val="00E72062"/>
    <w:rsid w:val="00E77486"/>
    <w:rsid w:val="00E80B02"/>
    <w:rsid w:val="00E83618"/>
    <w:rsid w:val="00E869AE"/>
    <w:rsid w:val="00E91797"/>
    <w:rsid w:val="00E973A8"/>
    <w:rsid w:val="00EA0BCD"/>
    <w:rsid w:val="00EA1BDB"/>
    <w:rsid w:val="00EA38C5"/>
    <w:rsid w:val="00EA5E09"/>
    <w:rsid w:val="00EA7816"/>
    <w:rsid w:val="00EA7D3A"/>
    <w:rsid w:val="00EB373A"/>
    <w:rsid w:val="00EB6B9E"/>
    <w:rsid w:val="00EC2946"/>
    <w:rsid w:val="00EC4AD7"/>
    <w:rsid w:val="00EC640F"/>
    <w:rsid w:val="00EE2AEC"/>
    <w:rsid w:val="00EE54E1"/>
    <w:rsid w:val="00EE5915"/>
    <w:rsid w:val="00EF12C9"/>
    <w:rsid w:val="00EF14D0"/>
    <w:rsid w:val="00F017FB"/>
    <w:rsid w:val="00F04DA0"/>
    <w:rsid w:val="00F11A36"/>
    <w:rsid w:val="00F157FB"/>
    <w:rsid w:val="00F17ADF"/>
    <w:rsid w:val="00F21752"/>
    <w:rsid w:val="00F22C58"/>
    <w:rsid w:val="00F314A1"/>
    <w:rsid w:val="00F32153"/>
    <w:rsid w:val="00F343FA"/>
    <w:rsid w:val="00F35DD2"/>
    <w:rsid w:val="00F424E7"/>
    <w:rsid w:val="00F43AEA"/>
    <w:rsid w:val="00F53F69"/>
    <w:rsid w:val="00F54489"/>
    <w:rsid w:val="00F55470"/>
    <w:rsid w:val="00F55CAE"/>
    <w:rsid w:val="00F56070"/>
    <w:rsid w:val="00F56825"/>
    <w:rsid w:val="00F56BE7"/>
    <w:rsid w:val="00F60EBC"/>
    <w:rsid w:val="00F6189C"/>
    <w:rsid w:val="00F61F08"/>
    <w:rsid w:val="00F67FC7"/>
    <w:rsid w:val="00F709CA"/>
    <w:rsid w:val="00F74720"/>
    <w:rsid w:val="00F755FA"/>
    <w:rsid w:val="00F758F4"/>
    <w:rsid w:val="00F7672C"/>
    <w:rsid w:val="00F8545E"/>
    <w:rsid w:val="00F856F3"/>
    <w:rsid w:val="00F8608A"/>
    <w:rsid w:val="00F86910"/>
    <w:rsid w:val="00F97431"/>
    <w:rsid w:val="00FA2A6F"/>
    <w:rsid w:val="00FB2026"/>
    <w:rsid w:val="00FB3402"/>
    <w:rsid w:val="00FB4DD0"/>
    <w:rsid w:val="00FC611B"/>
    <w:rsid w:val="00FC6CFD"/>
    <w:rsid w:val="00FD0793"/>
    <w:rsid w:val="00FD69D7"/>
    <w:rsid w:val="00FE7CCD"/>
    <w:rsid w:val="00FE7EEB"/>
    <w:rsid w:val="00FE7FE5"/>
    <w:rsid w:val="00FF0E03"/>
    <w:rsid w:val="00FF2F61"/>
    <w:rsid w:val="00FF46B9"/>
    <w:rsid w:val="00FF63AD"/>
    <w:rsid w:val="00FF6729"/>
    <w:rsid w:val="01164A77"/>
    <w:rsid w:val="01311D17"/>
    <w:rsid w:val="014038D3"/>
    <w:rsid w:val="016B0214"/>
    <w:rsid w:val="01917894"/>
    <w:rsid w:val="01A00C4B"/>
    <w:rsid w:val="01B97525"/>
    <w:rsid w:val="01C30DF7"/>
    <w:rsid w:val="01E878E7"/>
    <w:rsid w:val="01F3290A"/>
    <w:rsid w:val="01F37DE7"/>
    <w:rsid w:val="01F61C50"/>
    <w:rsid w:val="01F671EF"/>
    <w:rsid w:val="01F95703"/>
    <w:rsid w:val="01FA2C0B"/>
    <w:rsid w:val="01FD2C1A"/>
    <w:rsid w:val="0200793B"/>
    <w:rsid w:val="02013E0C"/>
    <w:rsid w:val="02064CB5"/>
    <w:rsid w:val="021B6523"/>
    <w:rsid w:val="02201ADC"/>
    <w:rsid w:val="022E26FA"/>
    <w:rsid w:val="025F68E9"/>
    <w:rsid w:val="027A79A3"/>
    <w:rsid w:val="02B669FD"/>
    <w:rsid w:val="02D346F7"/>
    <w:rsid w:val="02D37AE1"/>
    <w:rsid w:val="02E448D5"/>
    <w:rsid w:val="02E607A3"/>
    <w:rsid w:val="02ED1C6E"/>
    <w:rsid w:val="030C6666"/>
    <w:rsid w:val="031D2F23"/>
    <w:rsid w:val="03306128"/>
    <w:rsid w:val="03343E5C"/>
    <w:rsid w:val="035245C3"/>
    <w:rsid w:val="03532A8B"/>
    <w:rsid w:val="035D3B47"/>
    <w:rsid w:val="03740DA9"/>
    <w:rsid w:val="037F1465"/>
    <w:rsid w:val="039E1DCA"/>
    <w:rsid w:val="03A71F10"/>
    <w:rsid w:val="03BD1499"/>
    <w:rsid w:val="03CF75C5"/>
    <w:rsid w:val="03D34DCC"/>
    <w:rsid w:val="03EB12CE"/>
    <w:rsid w:val="042F236B"/>
    <w:rsid w:val="04564310"/>
    <w:rsid w:val="046F3719"/>
    <w:rsid w:val="04737FBB"/>
    <w:rsid w:val="0475648B"/>
    <w:rsid w:val="048B5FB4"/>
    <w:rsid w:val="048E56D2"/>
    <w:rsid w:val="049525BD"/>
    <w:rsid w:val="049D0D0D"/>
    <w:rsid w:val="04B7137A"/>
    <w:rsid w:val="04C80176"/>
    <w:rsid w:val="04DE38EC"/>
    <w:rsid w:val="04F0769E"/>
    <w:rsid w:val="04F82B4C"/>
    <w:rsid w:val="05063B48"/>
    <w:rsid w:val="051E41F2"/>
    <w:rsid w:val="053371A8"/>
    <w:rsid w:val="05352AAE"/>
    <w:rsid w:val="05432019"/>
    <w:rsid w:val="055C132D"/>
    <w:rsid w:val="056A1815"/>
    <w:rsid w:val="056A3A4A"/>
    <w:rsid w:val="05791EDF"/>
    <w:rsid w:val="05AD1B88"/>
    <w:rsid w:val="05B97AAD"/>
    <w:rsid w:val="05CE7A54"/>
    <w:rsid w:val="05DB22F2"/>
    <w:rsid w:val="05EA5181"/>
    <w:rsid w:val="05FD3AFF"/>
    <w:rsid w:val="06022278"/>
    <w:rsid w:val="0607573C"/>
    <w:rsid w:val="060A3D7B"/>
    <w:rsid w:val="060B16EF"/>
    <w:rsid w:val="061C4744"/>
    <w:rsid w:val="062570C3"/>
    <w:rsid w:val="06443FD4"/>
    <w:rsid w:val="06480444"/>
    <w:rsid w:val="069B6956"/>
    <w:rsid w:val="06A504EC"/>
    <w:rsid w:val="06AA75C7"/>
    <w:rsid w:val="06B21B80"/>
    <w:rsid w:val="06B523B4"/>
    <w:rsid w:val="06B8233A"/>
    <w:rsid w:val="06B864B9"/>
    <w:rsid w:val="06D6265A"/>
    <w:rsid w:val="06E273A3"/>
    <w:rsid w:val="06F204F8"/>
    <w:rsid w:val="07277E4A"/>
    <w:rsid w:val="07285B9A"/>
    <w:rsid w:val="07312958"/>
    <w:rsid w:val="074A3B33"/>
    <w:rsid w:val="07583439"/>
    <w:rsid w:val="0774473E"/>
    <w:rsid w:val="07761957"/>
    <w:rsid w:val="078D7EC3"/>
    <w:rsid w:val="078E5986"/>
    <w:rsid w:val="07B0770E"/>
    <w:rsid w:val="07BF4B46"/>
    <w:rsid w:val="07CF67A4"/>
    <w:rsid w:val="07D33E57"/>
    <w:rsid w:val="07E07279"/>
    <w:rsid w:val="07E66441"/>
    <w:rsid w:val="07F7358F"/>
    <w:rsid w:val="08061610"/>
    <w:rsid w:val="0807018B"/>
    <w:rsid w:val="080F0AF7"/>
    <w:rsid w:val="0822060B"/>
    <w:rsid w:val="08234384"/>
    <w:rsid w:val="085A5FF7"/>
    <w:rsid w:val="085E77F2"/>
    <w:rsid w:val="08601CA5"/>
    <w:rsid w:val="08607386"/>
    <w:rsid w:val="086A214F"/>
    <w:rsid w:val="087F48B1"/>
    <w:rsid w:val="088E7D78"/>
    <w:rsid w:val="0893616A"/>
    <w:rsid w:val="08A301E0"/>
    <w:rsid w:val="08BA4CE8"/>
    <w:rsid w:val="08D31906"/>
    <w:rsid w:val="08D92472"/>
    <w:rsid w:val="08DB478B"/>
    <w:rsid w:val="08F22A9E"/>
    <w:rsid w:val="091769B7"/>
    <w:rsid w:val="09197F2C"/>
    <w:rsid w:val="091E5277"/>
    <w:rsid w:val="09281AE0"/>
    <w:rsid w:val="09357325"/>
    <w:rsid w:val="093700E7"/>
    <w:rsid w:val="0944330F"/>
    <w:rsid w:val="09546473"/>
    <w:rsid w:val="09573DEF"/>
    <w:rsid w:val="096C18EB"/>
    <w:rsid w:val="096C547C"/>
    <w:rsid w:val="097213F3"/>
    <w:rsid w:val="097D251D"/>
    <w:rsid w:val="098047A7"/>
    <w:rsid w:val="09804E9F"/>
    <w:rsid w:val="099A637A"/>
    <w:rsid w:val="099C24CF"/>
    <w:rsid w:val="09BD687E"/>
    <w:rsid w:val="0A172BED"/>
    <w:rsid w:val="0A206DCD"/>
    <w:rsid w:val="0A590531"/>
    <w:rsid w:val="0A7E7828"/>
    <w:rsid w:val="0A960A6B"/>
    <w:rsid w:val="0A98010A"/>
    <w:rsid w:val="0AA07F0D"/>
    <w:rsid w:val="0AAC0660"/>
    <w:rsid w:val="0AB72DDD"/>
    <w:rsid w:val="0AB80DB3"/>
    <w:rsid w:val="0AC0410C"/>
    <w:rsid w:val="0AC73DC4"/>
    <w:rsid w:val="0AD80F34"/>
    <w:rsid w:val="0AF34386"/>
    <w:rsid w:val="0AF662AE"/>
    <w:rsid w:val="0B0E26C8"/>
    <w:rsid w:val="0B1541E7"/>
    <w:rsid w:val="0B274761"/>
    <w:rsid w:val="0B346345"/>
    <w:rsid w:val="0B4F2300"/>
    <w:rsid w:val="0B521208"/>
    <w:rsid w:val="0B616FA4"/>
    <w:rsid w:val="0B702C02"/>
    <w:rsid w:val="0B745622"/>
    <w:rsid w:val="0B7D48FF"/>
    <w:rsid w:val="0B8012D2"/>
    <w:rsid w:val="0B8E1012"/>
    <w:rsid w:val="0B931424"/>
    <w:rsid w:val="0BA23811"/>
    <w:rsid w:val="0BB7152E"/>
    <w:rsid w:val="0BBC48D3"/>
    <w:rsid w:val="0BC33EB3"/>
    <w:rsid w:val="0BC4723C"/>
    <w:rsid w:val="0BC72D6B"/>
    <w:rsid w:val="0BD04B76"/>
    <w:rsid w:val="0BD658E7"/>
    <w:rsid w:val="0BD7795F"/>
    <w:rsid w:val="0BE1433A"/>
    <w:rsid w:val="0BE74F15"/>
    <w:rsid w:val="0C057702"/>
    <w:rsid w:val="0C1629EF"/>
    <w:rsid w:val="0C213484"/>
    <w:rsid w:val="0C2A2BAB"/>
    <w:rsid w:val="0C2F7E00"/>
    <w:rsid w:val="0C337593"/>
    <w:rsid w:val="0C50326D"/>
    <w:rsid w:val="0C546C96"/>
    <w:rsid w:val="0C6256E0"/>
    <w:rsid w:val="0C647A28"/>
    <w:rsid w:val="0C870EF4"/>
    <w:rsid w:val="0C9775F7"/>
    <w:rsid w:val="0CB436E8"/>
    <w:rsid w:val="0CB52FB8"/>
    <w:rsid w:val="0CFF0057"/>
    <w:rsid w:val="0D102BB5"/>
    <w:rsid w:val="0D136775"/>
    <w:rsid w:val="0D177805"/>
    <w:rsid w:val="0D307FED"/>
    <w:rsid w:val="0D462F5B"/>
    <w:rsid w:val="0D527E74"/>
    <w:rsid w:val="0D533015"/>
    <w:rsid w:val="0D70006B"/>
    <w:rsid w:val="0D780753"/>
    <w:rsid w:val="0D7C7B7B"/>
    <w:rsid w:val="0D7D4536"/>
    <w:rsid w:val="0D801668"/>
    <w:rsid w:val="0D8C4C0C"/>
    <w:rsid w:val="0D9244CF"/>
    <w:rsid w:val="0DA66846"/>
    <w:rsid w:val="0DAB2E51"/>
    <w:rsid w:val="0DC30CBA"/>
    <w:rsid w:val="0DDE5C2E"/>
    <w:rsid w:val="0DFA4D41"/>
    <w:rsid w:val="0E09061B"/>
    <w:rsid w:val="0E1925C4"/>
    <w:rsid w:val="0E1B3897"/>
    <w:rsid w:val="0E1D07C2"/>
    <w:rsid w:val="0E22588D"/>
    <w:rsid w:val="0E295BF9"/>
    <w:rsid w:val="0E29697F"/>
    <w:rsid w:val="0E306AE6"/>
    <w:rsid w:val="0E3177FA"/>
    <w:rsid w:val="0E3F42DF"/>
    <w:rsid w:val="0E407913"/>
    <w:rsid w:val="0E415563"/>
    <w:rsid w:val="0E511205"/>
    <w:rsid w:val="0E6E2065"/>
    <w:rsid w:val="0EA15B62"/>
    <w:rsid w:val="0EC37DFB"/>
    <w:rsid w:val="0ECD1762"/>
    <w:rsid w:val="0EE5178E"/>
    <w:rsid w:val="0EFE3455"/>
    <w:rsid w:val="0F346E76"/>
    <w:rsid w:val="0F457322"/>
    <w:rsid w:val="0F4C71A5"/>
    <w:rsid w:val="0F4E10C9"/>
    <w:rsid w:val="0F587009"/>
    <w:rsid w:val="0F5C6E37"/>
    <w:rsid w:val="0F655A1E"/>
    <w:rsid w:val="0F97145F"/>
    <w:rsid w:val="0FA04519"/>
    <w:rsid w:val="0FC5251E"/>
    <w:rsid w:val="0FC621C4"/>
    <w:rsid w:val="0FD1429A"/>
    <w:rsid w:val="0FDA17CC"/>
    <w:rsid w:val="0FE55601"/>
    <w:rsid w:val="0FFA018F"/>
    <w:rsid w:val="100121CB"/>
    <w:rsid w:val="100A5E45"/>
    <w:rsid w:val="1051674C"/>
    <w:rsid w:val="106D5EC4"/>
    <w:rsid w:val="1076213B"/>
    <w:rsid w:val="107A3E35"/>
    <w:rsid w:val="109E016A"/>
    <w:rsid w:val="10A21880"/>
    <w:rsid w:val="10B309F0"/>
    <w:rsid w:val="10B6400D"/>
    <w:rsid w:val="10B93EAC"/>
    <w:rsid w:val="10C05D7B"/>
    <w:rsid w:val="10CA1347"/>
    <w:rsid w:val="10DA72A9"/>
    <w:rsid w:val="10DE674D"/>
    <w:rsid w:val="11005262"/>
    <w:rsid w:val="110425E4"/>
    <w:rsid w:val="111331E7"/>
    <w:rsid w:val="112A25C0"/>
    <w:rsid w:val="115033D9"/>
    <w:rsid w:val="115455AE"/>
    <w:rsid w:val="117048C5"/>
    <w:rsid w:val="117143B2"/>
    <w:rsid w:val="117760A5"/>
    <w:rsid w:val="118A2253"/>
    <w:rsid w:val="11A021F8"/>
    <w:rsid w:val="11AD426E"/>
    <w:rsid w:val="11B06995"/>
    <w:rsid w:val="11B14D4D"/>
    <w:rsid w:val="11C0052E"/>
    <w:rsid w:val="11D16ECB"/>
    <w:rsid w:val="11D85406"/>
    <w:rsid w:val="11ED3C7D"/>
    <w:rsid w:val="12160F3D"/>
    <w:rsid w:val="12323B41"/>
    <w:rsid w:val="124949E7"/>
    <w:rsid w:val="124B4801"/>
    <w:rsid w:val="124D2729"/>
    <w:rsid w:val="126F278D"/>
    <w:rsid w:val="127663F0"/>
    <w:rsid w:val="12866A7B"/>
    <w:rsid w:val="128B4FFF"/>
    <w:rsid w:val="12955E7E"/>
    <w:rsid w:val="12AB3870"/>
    <w:rsid w:val="12BB31E6"/>
    <w:rsid w:val="12D15D0D"/>
    <w:rsid w:val="12DF1144"/>
    <w:rsid w:val="12E24E19"/>
    <w:rsid w:val="12EA61CA"/>
    <w:rsid w:val="12F34C62"/>
    <w:rsid w:val="12F56762"/>
    <w:rsid w:val="12F643C7"/>
    <w:rsid w:val="130A04BB"/>
    <w:rsid w:val="13207E3D"/>
    <w:rsid w:val="1321385B"/>
    <w:rsid w:val="13220F5F"/>
    <w:rsid w:val="13247647"/>
    <w:rsid w:val="132D1B34"/>
    <w:rsid w:val="13337B71"/>
    <w:rsid w:val="133438E9"/>
    <w:rsid w:val="13441D7E"/>
    <w:rsid w:val="136664A0"/>
    <w:rsid w:val="136B6693"/>
    <w:rsid w:val="137C1C8F"/>
    <w:rsid w:val="138764B6"/>
    <w:rsid w:val="13A13B8C"/>
    <w:rsid w:val="13BC3401"/>
    <w:rsid w:val="13C37F68"/>
    <w:rsid w:val="13CB3188"/>
    <w:rsid w:val="13CD2A8C"/>
    <w:rsid w:val="13DF3855"/>
    <w:rsid w:val="13E039BA"/>
    <w:rsid w:val="13E61520"/>
    <w:rsid w:val="13F637CD"/>
    <w:rsid w:val="140806B7"/>
    <w:rsid w:val="141D6EBE"/>
    <w:rsid w:val="142F05CE"/>
    <w:rsid w:val="14323171"/>
    <w:rsid w:val="14360F37"/>
    <w:rsid w:val="14364EC1"/>
    <w:rsid w:val="143E63F9"/>
    <w:rsid w:val="144A4FC4"/>
    <w:rsid w:val="145C566D"/>
    <w:rsid w:val="146E1D08"/>
    <w:rsid w:val="1487230E"/>
    <w:rsid w:val="14B76C54"/>
    <w:rsid w:val="14C52A4A"/>
    <w:rsid w:val="14C84A35"/>
    <w:rsid w:val="14CA0061"/>
    <w:rsid w:val="14D80E5F"/>
    <w:rsid w:val="14EC3E47"/>
    <w:rsid w:val="15240574"/>
    <w:rsid w:val="152500E3"/>
    <w:rsid w:val="152F25BA"/>
    <w:rsid w:val="154C514C"/>
    <w:rsid w:val="154F6C3C"/>
    <w:rsid w:val="15623122"/>
    <w:rsid w:val="1574656B"/>
    <w:rsid w:val="15856A55"/>
    <w:rsid w:val="15883C49"/>
    <w:rsid w:val="158D1EAF"/>
    <w:rsid w:val="1596310C"/>
    <w:rsid w:val="15A467AF"/>
    <w:rsid w:val="15AA2453"/>
    <w:rsid w:val="15BC36F9"/>
    <w:rsid w:val="15CA4C2B"/>
    <w:rsid w:val="15E2368E"/>
    <w:rsid w:val="15E84C14"/>
    <w:rsid w:val="15EE4223"/>
    <w:rsid w:val="15F0479D"/>
    <w:rsid w:val="15F25956"/>
    <w:rsid w:val="160459EA"/>
    <w:rsid w:val="16095A74"/>
    <w:rsid w:val="161A6DC6"/>
    <w:rsid w:val="161E1735"/>
    <w:rsid w:val="162E2871"/>
    <w:rsid w:val="163B5EDD"/>
    <w:rsid w:val="167D1059"/>
    <w:rsid w:val="168D0143"/>
    <w:rsid w:val="16907088"/>
    <w:rsid w:val="16D63253"/>
    <w:rsid w:val="16DE3544"/>
    <w:rsid w:val="16E01092"/>
    <w:rsid w:val="16F359DD"/>
    <w:rsid w:val="16FA3DEE"/>
    <w:rsid w:val="16FE5A71"/>
    <w:rsid w:val="17005FBC"/>
    <w:rsid w:val="170B5EA3"/>
    <w:rsid w:val="171320B4"/>
    <w:rsid w:val="173E6ABA"/>
    <w:rsid w:val="175B0F1E"/>
    <w:rsid w:val="177F092F"/>
    <w:rsid w:val="178F10EE"/>
    <w:rsid w:val="1792140E"/>
    <w:rsid w:val="17933799"/>
    <w:rsid w:val="17BF185E"/>
    <w:rsid w:val="17BF6EB3"/>
    <w:rsid w:val="17D8444E"/>
    <w:rsid w:val="17E23913"/>
    <w:rsid w:val="17E47CAD"/>
    <w:rsid w:val="17E625C2"/>
    <w:rsid w:val="17E849CD"/>
    <w:rsid w:val="17F075E3"/>
    <w:rsid w:val="17F457F1"/>
    <w:rsid w:val="17F87C6E"/>
    <w:rsid w:val="18025FDB"/>
    <w:rsid w:val="18051D7D"/>
    <w:rsid w:val="181D35D1"/>
    <w:rsid w:val="18335364"/>
    <w:rsid w:val="18396CD2"/>
    <w:rsid w:val="183B771E"/>
    <w:rsid w:val="185901D9"/>
    <w:rsid w:val="18592360"/>
    <w:rsid w:val="185A5BA0"/>
    <w:rsid w:val="186B4CDF"/>
    <w:rsid w:val="187212AC"/>
    <w:rsid w:val="187C02E7"/>
    <w:rsid w:val="18896F0C"/>
    <w:rsid w:val="18B011F1"/>
    <w:rsid w:val="18B36492"/>
    <w:rsid w:val="18CD6371"/>
    <w:rsid w:val="18DC65B5"/>
    <w:rsid w:val="18F2497C"/>
    <w:rsid w:val="19097E8D"/>
    <w:rsid w:val="192341E3"/>
    <w:rsid w:val="19720CC7"/>
    <w:rsid w:val="1978688C"/>
    <w:rsid w:val="1997132A"/>
    <w:rsid w:val="199A10B7"/>
    <w:rsid w:val="19A075E2"/>
    <w:rsid w:val="19B72B7E"/>
    <w:rsid w:val="19C01A32"/>
    <w:rsid w:val="19CC2B35"/>
    <w:rsid w:val="19CF6119"/>
    <w:rsid w:val="19FB6C73"/>
    <w:rsid w:val="19FC2762"/>
    <w:rsid w:val="1A246AEB"/>
    <w:rsid w:val="1A2B7B75"/>
    <w:rsid w:val="1A313A5B"/>
    <w:rsid w:val="1A402B73"/>
    <w:rsid w:val="1A442663"/>
    <w:rsid w:val="1A5716FB"/>
    <w:rsid w:val="1A575719"/>
    <w:rsid w:val="1A613215"/>
    <w:rsid w:val="1A683AA6"/>
    <w:rsid w:val="1A887C1A"/>
    <w:rsid w:val="1A9D028E"/>
    <w:rsid w:val="1AA21277"/>
    <w:rsid w:val="1AA33380"/>
    <w:rsid w:val="1AA82939"/>
    <w:rsid w:val="1AB377E9"/>
    <w:rsid w:val="1ABF2240"/>
    <w:rsid w:val="1AD67034"/>
    <w:rsid w:val="1AEE4B5E"/>
    <w:rsid w:val="1B010554"/>
    <w:rsid w:val="1B17775C"/>
    <w:rsid w:val="1B177D78"/>
    <w:rsid w:val="1B1E4CC6"/>
    <w:rsid w:val="1B1F09DB"/>
    <w:rsid w:val="1B211756"/>
    <w:rsid w:val="1B291859"/>
    <w:rsid w:val="1B2A271F"/>
    <w:rsid w:val="1B5C1491"/>
    <w:rsid w:val="1B5D25D3"/>
    <w:rsid w:val="1B6F4B4B"/>
    <w:rsid w:val="1B7452CD"/>
    <w:rsid w:val="1B7937A7"/>
    <w:rsid w:val="1B895EE0"/>
    <w:rsid w:val="1BB13D28"/>
    <w:rsid w:val="1BBA4C58"/>
    <w:rsid w:val="1BC33A5C"/>
    <w:rsid w:val="1BD50639"/>
    <w:rsid w:val="1BD937BC"/>
    <w:rsid w:val="1BF06A09"/>
    <w:rsid w:val="1BF65128"/>
    <w:rsid w:val="1C0F742A"/>
    <w:rsid w:val="1C1945A6"/>
    <w:rsid w:val="1C1D7513"/>
    <w:rsid w:val="1C2D098F"/>
    <w:rsid w:val="1C4824DF"/>
    <w:rsid w:val="1C5967C2"/>
    <w:rsid w:val="1C60574F"/>
    <w:rsid w:val="1C656C23"/>
    <w:rsid w:val="1C6C5454"/>
    <w:rsid w:val="1C8A3438"/>
    <w:rsid w:val="1CA3588B"/>
    <w:rsid w:val="1CAE3454"/>
    <w:rsid w:val="1CBD66FD"/>
    <w:rsid w:val="1CD170A5"/>
    <w:rsid w:val="1CDD0B4D"/>
    <w:rsid w:val="1CE046C9"/>
    <w:rsid w:val="1D0667AD"/>
    <w:rsid w:val="1D1B167A"/>
    <w:rsid w:val="1D3544E5"/>
    <w:rsid w:val="1D3A5A10"/>
    <w:rsid w:val="1D613C19"/>
    <w:rsid w:val="1D6B6159"/>
    <w:rsid w:val="1D7033EA"/>
    <w:rsid w:val="1D723096"/>
    <w:rsid w:val="1D866C02"/>
    <w:rsid w:val="1DB34357"/>
    <w:rsid w:val="1DBE594D"/>
    <w:rsid w:val="1DDE692B"/>
    <w:rsid w:val="1DF63C75"/>
    <w:rsid w:val="1DFB128B"/>
    <w:rsid w:val="1DFD40CD"/>
    <w:rsid w:val="1DFF4788"/>
    <w:rsid w:val="1E0A702C"/>
    <w:rsid w:val="1E1B7B7F"/>
    <w:rsid w:val="1E214C26"/>
    <w:rsid w:val="1E320E33"/>
    <w:rsid w:val="1E430E84"/>
    <w:rsid w:val="1E45225B"/>
    <w:rsid w:val="1E477F11"/>
    <w:rsid w:val="1E483082"/>
    <w:rsid w:val="1E63486F"/>
    <w:rsid w:val="1E845724"/>
    <w:rsid w:val="1EB15DEE"/>
    <w:rsid w:val="1EB63404"/>
    <w:rsid w:val="1EB96638"/>
    <w:rsid w:val="1ED1023E"/>
    <w:rsid w:val="1ED3045A"/>
    <w:rsid w:val="1EE461C3"/>
    <w:rsid w:val="1EE73F05"/>
    <w:rsid w:val="1EF32682"/>
    <w:rsid w:val="1EF34658"/>
    <w:rsid w:val="1F0626C4"/>
    <w:rsid w:val="1F0B0D8A"/>
    <w:rsid w:val="1F100258"/>
    <w:rsid w:val="1F407283"/>
    <w:rsid w:val="1F4C48BD"/>
    <w:rsid w:val="1F631E38"/>
    <w:rsid w:val="1F753185"/>
    <w:rsid w:val="1F841582"/>
    <w:rsid w:val="1F8F4381"/>
    <w:rsid w:val="1F923E71"/>
    <w:rsid w:val="1F941997"/>
    <w:rsid w:val="1F9C6082"/>
    <w:rsid w:val="1F9F20EA"/>
    <w:rsid w:val="1F9F7F81"/>
    <w:rsid w:val="1FA84DA5"/>
    <w:rsid w:val="1FAD781E"/>
    <w:rsid w:val="1FAE260D"/>
    <w:rsid w:val="1FB45B95"/>
    <w:rsid w:val="1FD1020D"/>
    <w:rsid w:val="200308CB"/>
    <w:rsid w:val="200A3F70"/>
    <w:rsid w:val="200E1C53"/>
    <w:rsid w:val="20186082"/>
    <w:rsid w:val="20286583"/>
    <w:rsid w:val="202C772C"/>
    <w:rsid w:val="203171E6"/>
    <w:rsid w:val="203767C6"/>
    <w:rsid w:val="203C0F45"/>
    <w:rsid w:val="203D1087"/>
    <w:rsid w:val="204443FE"/>
    <w:rsid w:val="204607B7"/>
    <w:rsid w:val="204C4020"/>
    <w:rsid w:val="205632FF"/>
    <w:rsid w:val="20660D56"/>
    <w:rsid w:val="20713A86"/>
    <w:rsid w:val="207548D4"/>
    <w:rsid w:val="207E0F00"/>
    <w:rsid w:val="20983B39"/>
    <w:rsid w:val="20A24BBD"/>
    <w:rsid w:val="20A774A8"/>
    <w:rsid w:val="20AD01D7"/>
    <w:rsid w:val="20AF6023"/>
    <w:rsid w:val="20BA1AE1"/>
    <w:rsid w:val="20CF5E7F"/>
    <w:rsid w:val="20D364EF"/>
    <w:rsid w:val="20DE1504"/>
    <w:rsid w:val="20E64474"/>
    <w:rsid w:val="20E9368B"/>
    <w:rsid w:val="20EF1769"/>
    <w:rsid w:val="21284ECA"/>
    <w:rsid w:val="212B00D9"/>
    <w:rsid w:val="21366A7E"/>
    <w:rsid w:val="215624BD"/>
    <w:rsid w:val="215A751C"/>
    <w:rsid w:val="215F4766"/>
    <w:rsid w:val="216333D5"/>
    <w:rsid w:val="2168390B"/>
    <w:rsid w:val="216C1524"/>
    <w:rsid w:val="217774AF"/>
    <w:rsid w:val="21837A35"/>
    <w:rsid w:val="2185375B"/>
    <w:rsid w:val="21B41808"/>
    <w:rsid w:val="21C1096F"/>
    <w:rsid w:val="21E173C7"/>
    <w:rsid w:val="21E56E9A"/>
    <w:rsid w:val="21EA2970"/>
    <w:rsid w:val="21F47D0E"/>
    <w:rsid w:val="221225CA"/>
    <w:rsid w:val="22135B75"/>
    <w:rsid w:val="221C138B"/>
    <w:rsid w:val="221C25CB"/>
    <w:rsid w:val="223009B6"/>
    <w:rsid w:val="22350AE4"/>
    <w:rsid w:val="224D407F"/>
    <w:rsid w:val="225A3C5D"/>
    <w:rsid w:val="227E248B"/>
    <w:rsid w:val="22B304A2"/>
    <w:rsid w:val="22F36350"/>
    <w:rsid w:val="22F535FA"/>
    <w:rsid w:val="23130E25"/>
    <w:rsid w:val="231E4F73"/>
    <w:rsid w:val="23386A7D"/>
    <w:rsid w:val="233F7DCA"/>
    <w:rsid w:val="23403BE4"/>
    <w:rsid w:val="23684505"/>
    <w:rsid w:val="237F77E2"/>
    <w:rsid w:val="23804D49"/>
    <w:rsid w:val="23965116"/>
    <w:rsid w:val="23BD3F0B"/>
    <w:rsid w:val="23BE2665"/>
    <w:rsid w:val="23D031BA"/>
    <w:rsid w:val="23DE7685"/>
    <w:rsid w:val="23F055C6"/>
    <w:rsid w:val="23FC7B97"/>
    <w:rsid w:val="24072635"/>
    <w:rsid w:val="24286B52"/>
    <w:rsid w:val="243D7784"/>
    <w:rsid w:val="24560E4E"/>
    <w:rsid w:val="24866EEE"/>
    <w:rsid w:val="24945C1D"/>
    <w:rsid w:val="24967F5F"/>
    <w:rsid w:val="24981B1E"/>
    <w:rsid w:val="249E3311"/>
    <w:rsid w:val="24B0357D"/>
    <w:rsid w:val="24B04F28"/>
    <w:rsid w:val="24BD6006"/>
    <w:rsid w:val="24C624D4"/>
    <w:rsid w:val="24C7369D"/>
    <w:rsid w:val="24DB0068"/>
    <w:rsid w:val="24E60522"/>
    <w:rsid w:val="24E8613B"/>
    <w:rsid w:val="24F728CC"/>
    <w:rsid w:val="24F7347E"/>
    <w:rsid w:val="24F9018D"/>
    <w:rsid w:val="250A6132"/>
    <w:rsid w:val="25140E84"/>
    <w:rsid w:val="25276E09"/>
    <w:rsid w:val="252E36C2"/>
    <w:rsid w:val="253B27C2"/>
    <w:rsid w:val="253E0642"/>
    <w:rsid w:val="255B7FD2"/>
    <w:rsid w:val="25626093"/>
    <w:rsid w:val="256B2D6E"/>
    <w:rsid w:val="257B496A"/>
    <w:rsid w:val="25801456"/>
    <w:rsid w:val="25897AC4"/>
    <w:rsid w:val="259D70CC"/>
    <w:rsid w:val="25B215E3"/>
    <w:rsid w:val="25CE3729"/>
    <w:rsid w:val="25DC5E46"/>
    <w:rsid w:val="25F21770"/>
    <w:rsid w:val="25FF6DE8"/>
    <w:rsid w:val="260E1545"/>
    <w:rsid w:val="263B5473"/>
    <w:rsid w:val="263F63D5"/>
    <w:rsid w:val="2640132A"/>
    <w:rsid w:val="264310FE"/>
    <w:rsid w:val="264A66CE"/>
    <w:rsid w:val="265260FC"/>
    <w:rsid w:val="265C3412"/>
    <w:rsid w:val="266B082C"/>
    <w:rsid w:val="266E404E"/>
    <w:rsid w:val="267077C7"/>
    <w:rsid w:val="26874BF2"/>
    <w:rsid w:val="268B2965"/>
    <w:rsid w:val="268E1A5C"/>
    <w:rsid w:val="26B90B00"/>
    <w:rsid w:val="26CB7B6F"/>
    <w:rsid w:val="27075101"/>
    <w:rsid w:val="271138CD"/>
    <w:rsid w:val="271625A8"/>
    <w:rsid w:val="27264473"/>
    <w:rsid w:val="273427DA"/>
    <w:rsid w:val="27403A7D"/>
    <w:rsid w:val="27480DA7"/>
    <w:rsid w:val="275237D6"/>
    <w:rsid w:val="275814FC"/>
    <w:rsid w:val="277104E3"/>
    <w:rsid w:val="27727EE2"/>
    <w:rsid w:val="27766B34"/>
    <w:rsid w:val="27785051"/>
    <w:rsid w:val="27985D9D"/>
    <w:rsid w:val="27A44A0A"/>
    <w:rsid w:val="27B17B6D"/>
    <w:rsid w:val="27BC0609"/>
    <w:rsid w:val="27CC2D21"/>
    <w:rsid w:val="27D0414E"/>
    <w:rsid w:val="280554C9"/>
    <w:rsid w:val="281C391F"/>
    <w:rsid w:val="283B1072"/>
    <w:rsid w:val="283C5DB3"/>
    <w:rsid w:val="28724840"/>
    <w:rsid w:val="28752360"/>
    <w:rsid w:val="287F01B3"/>
    <w:rsid w:val="289C5C7B"/>
    <w:rsid w:val="28AA3556"/>
    <w:rsid w:val="28AD37B6"/>
    <w:rsid w:val="28D027C1"/>
    <w:rsid w:val="28D74098"/>
    <w:rsid w:val="28D906B5"/>
    <w:rsid w:val="28E57C71"/>
    <w:rsid w:val="28EB2AD5"/>
    <w:rsid w:val="28EB3085"/>
    <w:rsid w:val="28F016C2"/>
    <w:rsid w:val="28FD43DB"/>
    <w:rsid w:val="290B2078"/>
    <w:rsid w:val="29195F6C"/>
    <w:rsid w:val="29275A5D"/>
    <w:rsid w:val="292B376C"/>
    <w:rsid w:val="29453F13"/>
    <w:rsid w:val="29506674"/>
    <w:rsid w:val="29524882"/>
    <w:rsid w:val="29542197"/>
    <w:rsid w:val="29581C87"/>
    <w:rsid w:val="296E3259"/>
    <w:rsid w:val="29724C94"/>
    <w:rsid w:val="29797D36"/>
    <w:rsid w:val="29A0362E"/>
    <w:rsid w:val="29BE6110"/>
    <w:rsid w:val="29C16D79"/>
    <w:rsid w:val="29FB0865"/>
    <w:rsid w:val="2A173A40"/>
    <w:rsid w:val="2A1F1A78"/>
    <w:rsid w:val="2A465F84"/>
    <w:rsid w:val="2A5A3AF4"/>
    <w:rsid w:val="2A5B004D"/>
    <w:rsid w:val="2A620326"/>
    <w:rsid w:val="2A7D7E1C"/>
    <w:rsid w:val="2A893327"/>
    <w:rsid w:val="2A8D6CCA"/>
    <w:rsid w:val="2A9924AA"/>
    <w:rsid w:val="2A9A19B5"/>
    <w:rsid w:val="2A9E58A2"/>
    <w:rsid w:val="2AAF0549"/>
    <w:rsid w:val="2AAF4247"/>
    <w:rsid w:val="2AB253C7"/>
    <w:rsid w:val="2AB353AB"/>
    <w:rsid w:val="2AB35CCC"/>
    <w:rsid w:val="2ACA2711"/>
    <w:rsid w:val="2AE65071"/>
    <w:rsid w:val="2AF543B4"/>
    <w:rsid w:val="2B05199B"/>
    <w:rsid w:val="2B122C35"/>
    <w:rsid w:val="2B28087B"/>
    <w:rsid w:val="2B2C33CC"/>
    <w:rsid w:val="2B3910D2"/>
    <w:rsid w:val="2B434271"/>
    <w:rsid w:val="2B470F10"/>
    <w:rsid w:val="2B586026"/>
    <w:rsid w:val="2B664413"/>
    <w:rsid w:val="2B681F2A"/>
    <w:rsid w:val="2B88197A"/>
    <w:rsid w:val="2BA00A37"/>
    <w:rsid w:val="2BA8442D"/>
    <w:rsid w:val="2BA967CA"/>
    <w:rsid w:val="2BB71148"/>
    <w:rsid w:val="2BCA0622"/>
    <w:rsid w:val="2BDB094E"/>
    <w:rsid w:val="2BDB3810"/>
    <w:rsid w:val="2BE617CC"/>
    <w:rsid w:val="2BEC411D"/>
    <w:rsid w:val="2BF657D8"/>
    <w:rsid w:val="2C0418F6"/>
    <w:rsid w:val="2C1B0514"/>
    <w:rsid w:val="2C244A8B"/>
    <w:rsid w:val="2C534988"/>
    <w:rsid w:val="2C5F332D"/>
    <w:rsid w:val="2C7B7883"/>
    <w:rsid w:val="2C7C4C65"/>
    <w:rsid w:val="2C82701B"/>
    <w:rsid w:val="2C974875"/>
    <w:rsid w:val="2C9C00DD"/>
    <w:rsid w:val="2CA76CEC"/>
    <w:rsid w:val="2CAC29D6"/>
    <w:rsid w:val="2CCE2260"/>
    <w:rsid w:val="2CCE400E"/>
    <w:rsid w:val="2CD535EF"/>
    <w:rsid w:val="2CDD532D"/>
    <w:rsid w:val="2CF41CC7"/>
    <w:rsid w:val="2D200D0E"/>
    <w:rsid w:val="2D472E00"/>
    <w:rsid w:val="2D4F1427"/>
    <w:rsid w:val="2D532087"/>
    <w:rsid w:val="2D60272E"/>
    <w:rsid w:val="2D7D67A1"/>
    <w:rsid w:val="2D8639BE"/>
    <w:rsid w:val="2D8E4A3A"/>
    <w:rsid w:val="2D9124BA"/>
    <w:rsid w:val="2DAF13AE"/>
    <w:rsid w:val="2DB57E4B"/>
    <w:rsid w:val="2DB95E33"/>
    <w:rsid w:val="2DBA2F11"/>
    <w:rsid w:val="2DD05C60"/>
    <w:rsid w:val="2DDA6624"/>
    <w:rsid w:val="2DE36002"/>
    <w:rsid w:val="2DFA155F"/>
    <w:rsid w:val="2DFC337B"/>
    <w:rsid w:val="2E0D0AEF"/>
    <w:rsid w:val="2E0F0D1B"/>
    <w:rsid w:val="2E3F4DBA"/>
    <w:rsid w:val="2E440655"/>
    <w:rsid w:val="2E562A35"/>
    <w:rsid w:val="2E7B47CE"/>
    <w:rsid w:val="2EA22753"/>
    <w:rsid w:val="2EA27501"/>
    <w:rsid w:val="2EA86BAF"/>
    <w:rsid w:val="2ED42084"/>
    <w:rsid w:val="2EE97BBC"/>
    <w:rsid w:val="2F042A34"/>
    <w:rsid w:val="2F0957D2"/>
    <w:rsid w:val="2F154177"/>
    <w:rsid w:val="2F1871E9"/>
    <w:rsid w:val="2F1920D6"/>
    <w:rsid w:val="2F1D2BF9"/>
    <w:rsid w:val="2F30739F"/>
    <w:rsid w:val="2F482013"/>
    <w:rsid w:val="2F655F55"/>
    <w:rsid w:val="2F6D41A5"/>
    <w:rsid w:val="2F70458C"/>
    <w:rsid w:val="2F9C6646"/>
    <w:rsid w:val="2FBF5CA8"/>
    <w:rsid w:val="2FE24FA7"/>
    <w:rsid w:val="2FF84086"/>
    <w:rsid w:val="30043826"/>
    <w:rsid w:val="300B5720"/>
    <w:rsid w:val="301B0190"/>
    <w:rsid w:val="301F550A"/>
    <w:rsid w:val="30434560"/>
    <w:rsid w:val="304765B2"/>
    <w:rsid w:val="304F5466"/>
    <w:rsid w:val="30543E98"/>
    <w:rsid w:val="30550CCF"/>
    <w:rsid w:val="305F5242"/>
    <w:rsid w:val="30633E8D"/>
    <w:rsid w:val="30717AD3"/>
    <w:rsid w:val="309108BC"/>
    <w:rsid w:val="30972709"/>
    <w:rsid w:val="30A14386"/>
    <w:rsid w:val="30A94822"/>
    <w:rsid w:val="30AD1EB0"/>
    <w:rsid w:val="30B71989"/>
    <w:rsid w:val="30C2496D"/>
    <w:rsid w:val="30C52242"/>
    <w:rsid w:val="30CC1770"/>
    <w:rsid w:val="30D37E45"/>
    <w:rsid w:val="30D431A5"/>
    <w:rsid w:val="30D435EB"/>
    <w:rsid w:val="30E7007E"/>
    <w:rsid w:val="3114343F"/>
    <w:rsid w:val="31195490"/>
    <w:rsid w:val="31226EF7"/>
    <w:rsid w:val="31321010"/>
    <w:rsid w:val="31350C4C"/>
    <w:rsid w:val="31553DF5"/>
    <w:rsid w:val="31576C02"/>
    <w:rsid w:val="3182724D"/>
    <w:rsid w:val="31921AAF"/>
    <w:rsid w:val="319B00D5"/>
    <w:rsid w:val="319D7B65"/>
    <w:rsid w:val="31A07835"/>
    <w:rsid w:val="31B27CB5"/>
    <w:rsid w:val="31B304DA"/>
    <w:rsid w:val="31C47610"/>
    <w:rsid w:val="31D00F1E"/>
    <w:rsid w:val="31F14A27"/>
    <w:rsid w:val="31F44517"/>
    <w:rsid w:val="32132BEF"/>
    <w:rsid w:val="321364C4"/>
    <w:rsid w:val="32180206"/>
    <w:rsid w:val="321F0552"/>
    <w:rsid w:val="32241C71"/>
    <w:rsid w:val="325B00F2"/>
    <w:rsid w:val="32600D96"/>
    <w:rsid w:val="326E688F"/>
    <w:rsid w:val="32867CA8"/>
    <w:rsid w:val="328F5FEE"/>
    <w:rsid w:val="32E135B2"/>
    <w:rsid w:val="32E766E9"/>
    <w:rsid w:val="32FE2F79"/>
    <w:rsid w:val="3301066E"/>
    <w:rsid w:val="33376012"/>
    <w:rsid w:val="33677CCD"/>
    <w:rsid w:val="337A3C46"/>
    <w:rsid w:val="337C47C4"/>
    <w:rsid w:val="33800718"/>
    <w:rsid w:val="33E33872"/>
    <w:rsid w:val="33F04F1F"/>
    <w:rsid w:val="33F109FA"/>
    <w:rsid w:val="340300E9"/>
    <w:rsid w:val="341F6763"/>
    <w:rsid w:val="34291BF8"/>
    <w:rsid w:val="343B642D"/>
    <w:rsid w:val="344277BC"/>
    <w:rsid w:val="346F3BA7"/>
    <w:rsid w:val="347037BD"/>
    <w:rsid w:val="34711F8B"/>
    <w:rsid w:val="34740116"/>
    <w:rsid w:val="34781430"/>
    <w:rsid w:val="347831DE"/>
    <w:rsid w:val="34812E8F"/>
    <w:rsid w:val="34880F47"/>
    <w:rsid w:val="349A34DB"/>
    <w:rsid w:val="34B55708"/>
    <w:rsid w:val="34B8755D"/>
    <w:rsid w:val="34C54AD8"/>
    <w:rsid w:val="34CC4B3B"/>
    <w:rsid w:val="34D874BA"/>
    <w:rsid w:val="34E46AC5"/>
    <w:rsid w:val="34E70AD6"/>
    <w:rsid w:val="34EA04D4"/>
    <w:rsid w:val="34FA1E45"/>
    <w:rsid w:val="35301450"/>
    <w:rsid w:val="35367747"/>
    <w:rsid w:val="355B3707"/>
    <w:rsid w:val="355D1FC2"/>
    <w:rsid w:val="3571598B"/>
    <w:rsid w:val="358A3883"/>
    <w:rsid w:val="35A324DC"/>
    <w:rsid w:val="35CB37E1"/>
    <w:rsid w:val="35DF2B69"/>
    <w:rsid w:val="35E8498A"/>
    <w:rsid w:val="35EC0271"/>
    <w:rsid w:val="3604351D"/>
    <w:rsid w:val="360665DE"/>
    <w:rsid w:val="360D61CC"/>
    <w:rsid w:val="36201B3B"/>
    <w:rsid w:val="36261B42"/>
    <w:rsid w:val="362D444E"/>
    <w:rsid w:val="362E3E38"/>
    <w:rsid w:val="364D63A5"/>
    <w:rsid w:val="364E6B57"/>
    <w:rsid w:val="36613E2D"/>
    <w:rsid w:val="36761704"/>
    <w:rsid w:val="36791FB9"/>
    <w:rsid w:val="368C2F70"/>
    <w:rsid w:val="36960A1A"/>
    <w:rsid w:val="369B046E"/>
    <w:rsid w:val="369D517D"/>
    <w:rsid w:val="36A4650C"/>
    <w:rsid w:val="36A77DAA"/>
    <w:rsid w:val="36B30CB6"/>
    <w:rsid w:val="36BA0E3D"/>
    <w:rsid w:val="36BA5D2F"/>
    <w:rsid w:val="36BF2124"/>
    <w:rsid w:val="36C42854"/>
    <w:rsid w:val="36DA1F2E"/>
    <w:rsid w:val="36DC7704"/>
    <w:rsid w:val="36FF67FF"/>
    <w:rsid w:val="37015A93"/>
    <w:rsid w:val="371552FC"/>
    <w:rsid w:val="37254F27"/>
    <w:rsid w:val="37396A83"/>
    <w:rsid w:val="375D490D"/>
    <w:rsid w:val="377A4B26"/>
    <w:rsid w:val="377E3A62"/>
    <w:rsid w:val="37807C4D"/>
    <w:rsid w:val="378B02FC"/>
    <w:rsid w:val="37B10BEA"/>
    <w:rsid w:val="37B207B5"/>
    <w:rsid w:val="37C30D25"/>
    <w:rsid w:val="37C41C2B"/>
    <w:rsid w:val="37D408F9"/>
    <w:rsid w:val="37DC6E40"/>
    <w:rsid w:val="37DF696F"/>
    <w:rsid w:val="37E74C0F"/>
    <w:rsid w:val="37E8067A"/>
    <w:rsid w:val="37EA31A8"/>
    <w:rsid w:val="37F720AC"/>
    <w:rsid w:val="382B20B3"/>
    <w:rsid w:val="38465EC0"/>
    <w:rsid w:val="38495459"/>
    <w:rsid w:val="384F06F9"/>
    <w:rsid w:val="385B20CD"/>
    <w:rsid w:val="385C6972"/>
    <w:rsid w:val="38635F53"/>
    <w:rsid w:val="3872263A"/>
    <w:rsid w:val="38817344"/>
    <w:rsid w:val="388A7983"/>
    <w:rsid w:val="389B6CF0"/>
    <w:rsid w:val="389D1465"/>
    <w:rsid w:val="38A71472"/>
    <w:rsid w:val="38A74BF9"/>
    <w:rsid w:val="38B7563D"/>
    <w:rsid w:val="38BE1B5C"/>
    <w:rsid w:val="38DB7D7B"/>
    <w:rsid w:val="38E726E0"/>
    <w:rsid w:val="38EE3475"/>
    <w:rsid w:val="390414E4"/>
    <w:rsid w:val="390A3637"/>
    <w:rsid w:val="3914724D"/>
    <w:rsid w:val="3931022D"/>
    <w:rsid w:val="393A5014"/>
    <w:rsid w:val="39561614"/>
    <w:rsid w:val="396665B7"/>
    <w:rsid w:val="396C0E37"/>
    <w:rsid w:val="396E16FC"/>
    <w:rsid w:val="39847797"/>
    <w:rsid w:val="39BB7346"/>
    <w:rsid w:val="39CF56D4"/>
    <w:rsid w:val="39DD669A"/>
    <w:rsid w:val="39E37992"/>
    <w:rsid w:val="3A1C6D85"/>
    <w:rsid w:val="3A1F0DF9"/>
    <w:rsid w:val="3A2E021B"/>
    <w:rsid w:val="3A3448AB"/>
    <w:rsid w:val="3A4F678F"/>
    <w:rsid w:val="3A6F4BA3"/>
    <w:rsid w:val="3A6F5083"/>
    <w:rsid w:val="3A933220"/>
    <w:rsid w:val="3A9B0410"/>
    <w:rsid w:val="3AAA60BB"/>
    <w:rsid w:val="3ACB7183"/>
    <w:rsid w:val="3AE841F3"/>
    <w:rsid w:val="3B1A02DA"/>
    <w:rsid w:val="3B2459B4"/>
    <w:rsid w:val="3B2A0FAA"/>
    <w:rsid w:val="3B3B4F65"/>
    <w:rsid w:val="3B4626B8"/>
    <w:rsid w:val="3B5B0FEB"/>
    <w:rsid w:val="3B7D236D"/>
    <w:rsid w:val="3BB92E6A"/>
    <w:rsid w:val="3BC767F9"/>
    <w:rsid w:val="3BCE5DD9"/>
    <w:rsid w:val="3BD0212B"/>
    <w:rsid w:val="3BD258C9"/>
    <w:rsid w:val="3BDA7340"/>
    <w:rsid w:val="3BE75B33"/>
    <w:rsid w:val="3BE965F9"/>
    <w:rsid w:val="3C107412"/>
    <w:rsid w:val="3C243C4B"/>
    <w:rsid w:val="3C2459F9"/>
    <w:rsid w:val="3C4168C9"/>
    <w:rsid w:val="3C5B4A7D"/>
    <w:rsid w:val="3C5E46B7"/>
    <w:rsid w:val="3C6A38E9"/>
    <w:rsid w:val="3C7250F5"/>
    <w:rsid w:val="3C800A4A"/>
    <w:rsid w:val="3C880AB0"/>
    <w:rsid w:val="3CA57752"/>
    <w:rsid w:val="3CB50635"/>
    <w:rsid w:val="3CB62DF3"/>
    <w:rsid w:val="3CBA54A8"/>
    <w:rsid w:val="3CC2331A"/>
    <w:rsid w:val="3CE202A8"/>
    <w:rsid w:val="3CE33B06"/>
    <w:rsid w:val="3CF32897"/>
    <w:rsid w:val="3D0038A0"/>
    <w:rsid w:val="3D0F323B"/>
    <w:rsid w:val="3D137E0A"/>
    <w:rsid w:val="3D216F2D"/>
    <w:rsid w:val="3D2F6973"/>
    <w:rsid w:val="3D412FC6"/>
    <w:rsid w:val="3D4D2D2E"/>
    <w:rsid w:val="3D53527D"/>
    <w:rsid w:val="3D577B32"/>
    <w:rsid w:val="3D597229"/>
    <w:rsid w:val="3D776940"/>
    <w:rsid w:val="3D8529C3"/>
    <w:rsid w:val="3D87623F"/>
    <w:rsid w:val="3DA212CB"/>
    <w:rsid w:val="3DA41C7B"/>
    <w:rsid w:val="3DA45043"/>
    <w:rsid w:val="3DA913E5"/>
    <w:rsid w:val="3DBF00CF"/>
    <w:rsid w:val="3DC525B3"/>
    <w:rsid w:val="3DD47DF1"/>
    <w:rsid w:val="3DEB12BB"/>
    <w:rsid w:val="3E185E32"/>
    <w:rsid w:val="3E2919ED"/>
    <w:rsid w:val="3E3948A1"/>
    <w:rsid w:val="3E3B5BB9"/>
    <w:rsid w:val="3E435C62"/>
    <w:rsid w:val="3E4619B8"/>
    <w:rsid w:val="3E4F1EC7"/>
    <w:rsid w:val="3E57400A"/>
    <w:rsid w:val="3E5F0F6A"/>
    <w:rsid w:val="3E620AC7"/>
    <w:rsid w:val="3E720C9E"/>
    <w:rsid w:val="3E841CC2"/>
    <w:rsid w:val="3E8A3BB3"/>
    <w:rsid w:val="3EA871A4"/>
    <w:rsid w:val="3EAB2402"/>
    <w:rsid w:val="3EB92D30"/>
    <w:rsid w:val="3EC63814"/>
    <w:rsid w:val="3ED262EA"/>
    <w:rsid w:val="3EEB28DF"/>
    <w:rsid w:val="3EF71CDA"/>
    <w:rsid w:val="3EFC2C5D"/>
    <w:rsid w:val="3F0E08CB"/>
    <w:rsid w:val="3F3D39E2"/>
    <w:rsid w:val="3F4B0F9A"/>
    <w:rsid w:val="3F89047B"/>
    <w:rsid w:val="3FA2799A"/>
    <w:rsid w:val="3FAF5BB6"/>
    <w:rsid w:val="3FC020EA"/>
    <w:rsid w:val="3FC13570"/>
    <w:rsid w:val="3FEB04B3"/>
    <w:rsid w:val="4010684E"/>
    <w:rsid w:val="403E177F"/>
    <w:rsid w:val="4042792B"/>
    <w:rsid w:val="404448BC"/>
    <w:rsid w:val="404A640F"/>
    <w:rsid w:val="40690E39"/>
    <w:rsid w:val="40691B67"/>
    <w:rsid w:val="40733156"/>
    <w:rsid w:val="40834568"/>
    <w:rsid w:val="409E0CC7"/>
    <w:rsid w:val="40A4535A"/>
    <w:rsid w:val="40B105F4"/>
    <w:rsid w:val="40B12799"/>
    <w:rsid w:val="40D10977"/>
    <w:rsid w:val="40ED0D4B"/>
    <w:rsid w:val="40FD3F09"/>
    <w:rsid w:val="411128F0"/>
    <w:rsid w:val="41126768"/>
    <w:rsid w:val="41151554"/>
    <w:rsid w:val="41320BD3"/>
    <w:rsid w:val="414152CA"/>
    <w:rsid w:val="4141765A"/>
    <w:rsid w:val="415110E2"/>
    <w:rsid w:val="415146FD"/>
    <w:rsid w:val="415575CE"/>
    <w:rsid w:val="416877D3"/>
    <w:rsid w:val="416E383B"/>
    <w:rsid w:val="417C49FE"/>
    <w:rsid w:val="4181636E"/>
    <w:rsid w:val="41A54B4A"/>
    <w:rsid w:val="41AE2D1C"/>
    <w:rsid w:val="41B0445E"/>
    <w:rsid w:val="41B33AA7"/>
    <w:rsid w:val="41C5325F"/>
    <w:rsid w:val="41C639A7"/>
    <w:rsid w:val="41CA788D"/>
    <w:rsid w:val="41D75A95"/>
    <w:rsid w:val="41E30EFE"/>
    <w:rsid w:val="420936C7"/>
    <w:rsid w:val="421D0489"/>
    <w:rsid w:val="42274495"/>
    <w:rsid w:val="422E2341"/>
    <w:rsid w:val="42390D6B"/>
    <w:rsid w:val="424B327F"/>
    <w:rsid w:val="426104F4"/>
    <w:rsid w:val="426923B8"/>
    <w:rsid w:val="427A45AA"/>
    <w:rsid w:val="428117D6"/>
    <w:rsid w:val="42831B60"/>
    <w:rsid w:val="428D00BE"/>
    <w:rsid w:val="42AC04F6"/>
    <w:rsid w:val="42C07EB5"/>
    <w:rsid w:val="42CB7533"/>
    <w:rsid w:val="42CC5625"/>
    <w:rsid w:val="431C679B"/>
    <w:rsid w:val="43246398"/>
    <w:rsid w:val="435F5219"/>
    <w:rsid w:val="43661FA0"/>
    <w:rsid w:val="437C1F45"/>
    <w:rsid w:val="437E00E5"/>
    <w:rsid w:val="439E5C56"/>
    <w:rsid w:val="43B12A88"/>
    <w:rsid w:val="43B83004"/>
    <w:rsid w:val="43BB5451"/>
    <w:rsid w:val="43BD6E5F"/>
    <w:rsid w:val="43C07951"/>
    <w:rsid w:val="43D3757F"/>
    <w:rsid w:val="43ED087F"/>
    <w:rsid w:val="43F40165"/>
    <w:rsid w:val="441B472E"/>
    <w:rsid w:val="442F0DCA"/>
    <w:rsid w:val="443570D7"/>
    <w:rsid w:val="4448673A"/>
    <w:rsid w:val="4459501E"/>
    <w:rsid w:val="446E63AB"/>
    <w:rsid w:val="44887A84"/>
    <w:rsid w:val="44961852"/>
    <w:rsid w:val="449851D6"/>
    <w:rsid w:val="44E15803"/>
    <w:rsid w:val="44F259C2"/>
    <w:rsid w:val="450B0DDE"/>
    <w:rsid w:val="451A2516"/>
    <w:rsid w:val="45303661"/>
    <w:rsid w:val="45421FCD"/>
    <w:rsid w:val="4576695D"/>
    <w:rsid w:val="459B1F40"/>
    <w:rsid w:val="45A476A5"/>
    <w:rsid w:val="45AC2B2B"/>
    <w:rsid w:val="45C11FC0"/>
    <w:rsid w:val="45E2669A"/>
    <w:rsid w:val="45E75259"/>
    <w:rsid w:val="45FD4563"/>
    <w:rsid w:val="46032E96"/>
    <w:rsid w:val="460B5851"/>
    <w:rsid w:val="460D530B"/>
    <w:rsid w:val="46233B9F"/>
    <w:rsid w:val="46235681"/>
    <w:rsid w:val="46276812"/>
    <w:rsid w:val="462C55F9"/>
    <w:rsid w:val="464B2443"/>
    <w:rsid w:val="46801E15"/>
    <w:rsid w:val="46BF7B12"/>
    <w:rsid w:val="46D27A40"/>
    <w:rsid w:val="46D31D8E"/>
    <w:rsid w:val="46E266F9"/>
    <w:rsid w:val="46EF64CA"/>
    <w:rsid w:val="46F866AE"/>
    <w:rsid w:val="46FA0409"/>
    <w:rsid w:val="47082F5C"/>
    <w:rsid w:val="47174AD8"/>
    <w:rsid w:val="471F1551"/>
    <w:rsid w:val="473E2065"/>
    <w:rsid w:val="47474688"/>
    <w:rsid w:val="47543636"/>
    <w:rsid w:val="475A3339"/>
    <w:rsid w:val="47695665"/>
    <w:rsid w:val="476F1007"/>
    <w:rsid w:val="47795428"/>
    <w:rsid w:val="47882E21"/>
    <w:rsid w:val="47A15E61"/>
    <w:rsid w:val="47C76B8A"/>
    <w:rsid w:val="47F80042"/>
    <w:rsid w:val="48080CD4"/>
    <w:rsid w:val="480E5EDB"/>
    <w:rsid w:val="48154BA4"/>
    <w:rsid w:val="485D29BF"/>
    <w:rsid w:val="487F395F"/>
    <w:rsid w:val="489D100D"/>
    <w:rsid w:val="48C52312"/>
    <w:rsid w:val="48D013E2"/>
    <w:rsid w:val="49093633"/>
    <w:rsid w:val="49296D45"/>
    <w:rsid w:val="493059DD"/>
    <w:rsid w:val="49322248"/>
    <w:rsid w:val="4933371F"/>
    <w:rsid w:val="493545AB"/>
    <w:rsid w:val="494E2313"/>
    <w:rsid w:val="49522C7F"/>
    <w:rsid w:val="49621A56"/>
    <w:rsid w:val="49660998"/>
    <w:rsid w:val="49715A2D"/>
    <w:rsid w:val="499D0B37"/>
    <w:rsid w:val="49AD606D"/>
    <w:rsid w:val="49BB167F"/>
    <w:rsid w:val="49C35B92"/>
    <w:rsid w:val="49C90446"/>
    <w:rsid w:val="49CC7DFC"/>
    <w:rsid w:val="49D51AEB"/>
    <w:rsid w:val="49E11675"/>
    <w:rsid w:val="49ED62A0"/>
    <w:rsid w:val="49F57B95"/>
    <w:rsid w:val="49F66C27"/>
    <w:rsid w:val="49FB07B0"/>
    <w:rsid w:val="49FB5183"/>
    <w:rsid w:val="49FE565F"/>
    <w:rsid w:val="4A1A65A2"/>
    <w:rsid w:val="4A2413C1"/>
    <w:rsid w:val="4A315EB1"/>
    <w:rsid w:val="4A41607E"/>
    <w:rsid w:val="4A44591A"/>
    <w:rsid w:val="4A4A73D8"/>
    <w:rsid w:val="4A527BD5"/>
    <w:rsid w:val="4A702F34"/>
    <w:rsid w:val="4A706FB0"/>
    <w:rsid w:val="4A9B0728"/>
    <w:rsid w:val="4AA71029"/>
    <w:rsid w:val="4AAF28D1"/>
    <w:rsid w:val="4AB03279"/>
    <w:rsid w:val="4AB12B4E"/>
    <w:rsid w:val="4AC42904"/>
    <w:rsid w:val="4AC9433B"/>
    <w:rsid w:val="4AE864D4"/>
    <w:rsid w:val="4AEE3FFB"/>
    <w:rsid w:val="4AF1706D"/>
    <w:rsid w:val="4B10712C"/>
    <w:rsid w:val="4B146BA5"/>
    <w:rsid w:val="4B262FD0"/>
    <w:rsid w:val="4B281166"/>
    <w:rsid w:val="4B4D0F13"/>
    <w:rsid w:val="4B565F6E"/>
    <w:rsid w:val="4B703D18"/>
    <w:rsid w:val="4B751DCD"/>
    <w:rsid w:val="4B8F0CB2"/>
    <w:rsid w:val="4B8F3F68"/>
    <w:rsid w:val="4BA56C4D"/>
    <w:rsid w:val="4BAF73C3"/>
    <w:rsid w:val="4BB212CB"/>
    <w:rsid w:val="4BBF129A"/>
    <w:rsid w:val="4BDD4E1E"/>
    <w:rsid w:val="4C2550C9"/>
    <w:rsid w:val="4C2D26A8"/>
    <w:rsid w:val="4C312059"/>
    <w:rsid w:val="4C382624"/>
    <w:rsid w:val="4C4337EE"/>
    <w:rsid w:val="4C586ACF"/>
    <w:rsid w:val="4C62632A"/>
    <w:rsid w:val="4C720A7B"/>
    <w:rsid w:val="4C945753"/>
    <w:rsid w:val="4C9A22FD"/>
    <w:rsid w:val="4CBD32D6"/>
    <w:rsid w:val="4CC254E6"/>
    <w:rsid w:val="4CD174D7"/>
    <w:rsid w:val="4CE26193"/>
    <w:rsid w:val="4CE34B29"/>
    <w:rsid w:val="4CE832B7"/>
    <w:rsid w:val="4CF5766A"/>
    <w:rsid w:val="4D046F69"/>
    <w:rsid w:val="4D1122D4"/>
    <w:rsid w:val="4D1C7995"/>
    <w:rsid w:val="4D314B85"/>
    <w:rsid w:val="4D352139"/>
    <w:rsid w:val="4D37405A"/>
    <w:rsid w:val="4D381304"/>
    <w:rsid w:val="4D3E28A0"/>
    <w:rsid w:val="4D4128AF"/>
    <w:rsid w:val="4D461C73"/>
    <w:rsid w:val="4D467EC5"/>
    <w:rsid w:val="4D4D75A2"/>
    <w:rsid w:val="4D663D60"/>
    <w:rsid w:val="4D673D6B"/>
    <w:rsid w:val="4DC1754C"/>
    <w:rsid w:val="4DC220FC"/>
    <w:rsid w:val="4DC74523"/>
    <w:rsid w:val="4DCE7BB7"/>
    <w:rsid w:val="4DDE6C7A"/>
    <w:rsid w:val="4DE52644"/>
    <w:rsid w:val="4DEB5D35"/>
    <w:rsid w:val="4DFC0584"/>
    <w:rsid w:val="4E054FA6"/>
    <w:rsid w:val="4E28352F"/>
    <w:rsid w:val="4E2C224E"/>
    <w:rsid w:val="4E3713AB"/>
    <w:rsid w:val="4E4F2DA9"/>
    <w:rsid w:val="4E5873A6"/>
    <w:rsid w:val="4E62626F"/>
    <w:rsid w:val="4E7A1B98"/>
    <w:rsid w:val="4E7B61FE"/>
    <w:rsid w:val="4E95627B"/>
    <w:rsid w:val="4EA830AA"/>
    <w:rsid w:val="4EA96124"/>
    <w:rsid w:val="4EAB75D6"/>
    <w:rsid w:val="4EB34D80"/>
    <w:rsid w:val="4EB97F4D"/>
    <w:rsid w:val="4EC004A5"/>
    <w:rsid w:val="4EC64E12"/>
    <w:rsid w:val="4ECF3EEA"/>
    <w:rsid w:val="4ED344AE"/>
    <w:rsid w:val="4EF62403"/>
    <w:rsid w:val="4EF92D15"/>
    <w:rsid w:val="4EFE5534"/>
    <w:rsid w:val="4F22226C"/>
    <w:rsid w:val="4F710AFD"/>
    <w:rsid w:val="4F7111DE"/>
    <w:rsid w:val="4F820F5D"/>
    <w:rsid w:val="4F822221"/>
    <w:rsid w:val="4FB5281E"/>
    <w:rsid w:val="4FBD16B4"/>
    <w:rsid w:val="4FD639DB"/>
    <w:rsid w:val="4FF43C08"/>
    <w:rsid w:val="4FFA44AF"/>
    <w:rsid w:val="500656EA"/>
    <w:rsid w:val="50095513"/>
    <w:rsid w:val="5015592D"/>
    <w:rsid w:val="501A5098"/>
    <w:rsid w:val="501C4F0D"/>
    <w:rsid w:val="5025337C"/>
    <w:rsid w:val="50281B04"/>
    <w:rsid w:val="50554DF4"/>
    <w:rsid w:val="505E3468"/>
    <w:rsid w:val="50966F9E"/>
    <w:rsid w:val="50AF5037"/>
    <w:rsid w:val="50BB2A88"/>
    <w:rsid w:val="50BF6A72"/>
    <w:rsid w:val="50C8299F"/>
    <w:rsid w:val="50D64CE2"/>
    <w:rsid w:val="510734C7"/>
    <w:rsid w:val="510A7E4A"/>
    <w:rsid w:val="51150640"/>
    <w:rsid w:val="512166AA"/>
    <w:rsid w:val="512322CB"/>
    <w:rsid w:val="512E03AD"/>
    <w:rsid w:val="512E314A"/>
    <w:rsid w:val="512E7AC2"/>
    <w:rsid w:val="514E7348"/>
    <w:rsid w:val="515E0EB3"/>
    <w:rsid w:val="516543C6"/>
    <w:rsid w:val="51676676"/>
    <w:rsid w:val="516B2505"/>
    <w:rsid w:val="51761433"/>
    <w:rsid w:val="51986815"/>
    <w:rsid w:val="51B84622"/>
    <w:rsid w:val="51C27D36"/>
    <w:rsid w:val="51D4574B"/>
    <w:rsid w:val="520C6D30"/>
    <w:rsid w:val="520F4294"/>
    <w:rsid w:val="52195048"/>
    <w:rsid w:val="52295F56"/>
    <w:rsid w:val="522960B8"/>
    <w:rsid w:val="524F0A3A"/>
    <w:rsid w:val="525E180D"/>
    <w:rsid w:val="529766F8"/>
    <w:rsid w:val="529C78D8"/>
    <w:rsid w:val="529D307A"/>
    <w:rsid w:val="529F47E0"/>
    <w:rsid w:val="52AE7979"/>
    <w:rsid w:val="52CA163E"/>
    <w:rsid w:val="52E635B0"/>
    <w:rsid w:val="52FB6732"/>
    <w:rsid w:val="52FC4A0B"/>
    <w:rsid w:val="53005373"/>
    <w:rsid w:val="53010E8A"/>
    <w:rsid w:val="53034162"/>
    <w:rsid w:val="5314461F"/>
    <w:rsid w:val="535574D8"/>
    <w:rsid w:val="53582C67"/>
    <w:rsid w:val="535F50D0"/>
    <w:rsid w:val="537312E8"/>
    <w:rsid w:val="537A08C9"/>
    <w:rsid w:val="537D14F5"/>
    <w:rsid w:val="53824486"/>
    <w:rsid w:val="539154AF"/>
    <w:rsid w:val="53962EE1"/>
    <w:rsid w:val="539F0D5A"/>
    <w:rsid w:val="53C30D8D"/>
    <w:rsid w:val="53D46B7A"/>
    <w:rsid w:val="53EE23BF"/>
    <w:rsid w:val="53F06FCA"/>
    <w:rsid w:val="540E12C9"/>
    <w:rsid w:val="54642756"/>
    <w:rsid w:val="547307E2"/>
    <w:rsid w:val="547630D1"/>
    <w:rsid w:val="54A85071"/>
    <w:rsid w:val="54B7270E"/>
    <w:rsid w:val="54BB6290"/>
    <w:rsid w:val="54BF4C96"/>
    <w:rsid w:val="54F25559"/>
    <w:rsid w:val="550D12C8"/>
    <w:rsid w:val="55286102"/>
    <w:rsid w:val="553A5043"/>
    <w:rsid w:val="556C60B3"/>
    <w:rsid w:val="557F3674"/>
    <w:rsid w:val="558F7F2F"/>
    <w:rsid w:val="55D342C0"/>
    <w:rsid w:val="55EB4403"/>
    <w:rsid w:val="55F22EC4"/>
    <w:rsid w:val="5606068F"/>
    <w:rsid w:val="560E52F8"/>
    <w:rsid w:val="56222973"/>
    <w:rsid w:val="56310F05"/>
    <w:rsid w:val="56345D01"/>
    <w:rsid w:val="56347BFE"/>
    <w:rsid w:val="56383F0B"/>
    <w:rsid w:val="56445083"/>
    <w:rsid w:val="56552F27"/>
    <w:rsid w:val="565C2946"/>
    <w:rsid w:val="56890A8D"/>
    <w:rsid w:val="568D0DB1"/>
    <w:rsid w:val="56B67D84"/>
    <w:rsid w:val="56C11464"/>
    <w:rsid w:val="56C33BDD"/>
    <w:rsid w:val="5720659C"/>
    <w:rsid w:val="572425F8"/>
    <w:rsid w:val="57283E0B"/>
    <w:rsid w:val="57452F9B"/>
    <w:rsid w:val="576737A0"/>
    <w:rsid w:val="576B5785"/>
    <w:rsid w:val="5785616A"/>
    <w:rsid w:val="578C3FD7"/>
    <w:rsid w:val="57B41ECF"/>
    <w:rsid w:val="57E9559F"/>
    <w:rsid w:val="57EB51CE"/>
    <w:rsid w:val="57F17159"/>
    <w:rsid w:val="57FE3247"/>
    <w:rsid w:val="581F1A3E"/>
    <w:rsid w:val="581F559B"/>
    <w:rsid w:val="58226E39"/>
    <w:rsid w:val="58254B7B"/>
    <w:rsid w:val="582F7C9C"/>
    <w:rsid w:val="58325FE5"/>
    <w:rsid w:val="583848AE"/>
    <w:rsid w:val="583E1426"/>
    <w:rsid w:val="5841694D"/>
    <w:rsid w:val="585C28AB"/>
    <w:rsid w:val="58615BB3"/>
    <w:rsid w:val="586701A1"/>
    <w:rsid w:val="586F7B54"/>
    <w:rsid w:val="58871392"/>
    <w:rsid w:val="589A10C5"/>
    <w:rsid w:val="58BB5FE9"/>
    <w:rsid w:val="58C24204"/>
    <w:rsid w:val="58D75D19"/>
    <w:rsid w:val="58DB7B6B"/>
    <w:rsid w:val="58E00368"/>
    <w:rsid w:val="58ED4F64"/>
    <w:rsid w:val="59154BEF"/>
    <w:rsid w:val="59210902"/>
    <w:rsid w:val="592D1F39"/>
    <w:rsid w:val="593B3F1E"/>
    <w:rsid w:val="593E44C7"/>
    <w:rsid w:val="59517F0B"/>
    <w:rsid w:val="595F58A2"/>
    <w:rsid w:val="59654336"/>
    <w:rsid w:val="598F746B"/>
    <w:rsid w:val="5999295C"/>
    <w:rsid w:val="599D2627"/>
    <w:rsid w:val="59A65A05"/>
    <w:rsid w:val="59B61F2F"/>
    <w:rsid w:val="59C1099F"/>
    <w:rsid w:val="59C208D3"/>
    <w:rsid w:val="59C4180C"/>
    <w:rsid w:val="59C969D3"/>
    <w:rsid w:val="59CA5962"/>
    <w:rsid w:val="5A0927A0"/>
    <w:rsid w:val="5A187629"/>
    <w:rsid w:val="5A2532A7"/>
    <w:rsid w:val="5A2570B4"/>
    <w:rsid w:val="5A317220"/>
    <w:rsid w:val="5A33532D"/>
    <w:rsid w:val="5A4E698F"/>
    <w:rsid w:val="5A6220B6"/>
    <w:rsid w:val="5A726C23"/>
    <w:rsid w:val="5A8B1B5E"/>
    <w:rsid w:val="5A985AD8"/>
    <w:rsid w:val="5A9A35FE"/>
    <w:rsid w:val="5AA93841"/>
    <w:rsid w:val="5AAD49D1"/>
    <w:rsid w:val="5AB865E5"/>
    <w:rsid w:val="5ABF3065"/>
    <w:rsid w:val="5AC445F6"/>
    <w:rsid w:val="5AD122E5"/>
    <w:rsid w:val="5AD703AE"/>
    <w:rsid w:val="5AE453BD"/>
    <w:rsid w:val="5AF42EC6"/>
    <w:rsid w:val="5AFA040B"/>
    <w:rsid w:val="5B1B5005"/>
    <w:rsid w:val="5B1C0F1F"/>
    <w:rsid w:val="5B224E09"/>
    <w:rsid w:val="5B3927B9"/>
    <w:rsid w:val="5B4535FC"/>
    <w:rsid w:val="5B4F5409"/>
    <w:rsid w:val="5B6A1223"/>
    <w:rsid w:val="5B6C7E29"/>
    <w:rsid w:val="5B7E082A"/>
    <w:rsid w:val="5BAD170D"/>
    <w:rsid w:val="5BF50512"/>
    <w:rsid w:val="5BFF6ACC"/>
    <w:rsid w:val="5C0A6562"/>
    <w:rsid w:val="5C0A6E8C"/>
    <w:rsid w:val="5C180DA3"/>
    <w:rsid w:val="5C2A6C04"/>
    <w:rsid w:val="5C2B1EBA"/>
    <w:rsid w:val="5C2C297C"/>
    <w:rsid w:val="5C337866"/>
    <w:rsid w:val="5C367357"/>
    <w:rsid w:val="5C495E44"/>
    <w:rsid w:val="5C551969"/>
    <w:rsid w:val="5C7D4F86"/>
    <w:rsid w:val="5C896D10"/>
    <w:rsid w:val="5C8E760E"/>
    <w:rsid w:val="5C91292C"/>
    <w:rsid w:val="5CA96CF6"/>
    <w:rsid w:val="5CB32A73"/>
    <w:rsid w:val="5CCC56F5"/>
    <w:rsid w:val="5CD050B5"/>
    <w:rsid w:val="5CFD7060"/>
    <w:rsid w:val="5D0123F2"/>
    <w:rsid w:val="5D072428"/>
    <w:rsid w:val="5D187049"/>
    <w:rsid w:val="5D1A5576"/>
    <w:rsid w:val="5D23147E"/>
    <w:rsid w:val="5D235F07"/>
    <w:rsid w:val="5D2E6FEF"/>
    <w:rsid w:val="5D3B6409"/>
    <w:rsid w:val="5D444EF8"/>
    <w:rsid w:val="5D454A73"/>
    <w:rsid w:val="5D747B5B"/>
    <w:rsid w:val="5D752101"/>
    <w:rsid w:val="5D8B5480"/>
    <w:rsid w:val="5DD14A36"/>
    <w:rsid w:val="5DD92690"/>
    <w:rsid w:val="5DDE6969"/>
    <w:rsid w:val="5DFC702A"/>
    <w:rsid w:val="5E005E6E"/>
    <w:rsid w:val="5E055233"/>
    <w:rsid w:val="5E224037"/>
    <w:rsid w:val="5E401FE2"/>
    <w:rsid w:val="5E4931BC"/>
    <w:rsid w:val="5E4A70E9"/>
    <w:rsid w:val="5E581E70"/>
    <w:rsid w:val="5E677C9B"/>
    <w:rsid w:val="5E784311"/>
    <w:rsid w:val="5E7D5649"/>
    <w:rsid w:val="5E803DEA"/>
    <w:rsid w:val="5E8F1627"/>
    <w:rsid w:val="5E916DC8"/>
    <w:rsid w:val="5E96467B"/>
    <w:rsid w:val="5E9B09F9"/>
    <w:rsid w:val="5EA20CD3"/>
    <w:rsid w:val="5EB660B8"/>
    <w:rsid w:val="5EEA547B"/>
    <w:rsid w:val="5EED0B0C"/>
    <w:rsid w:val="5EFB03E4"/>
    <w:rsid w:val="5F087AE6"/>
    <w:rsid w:val="5F0D5B98"/>
    <w:rsid w:val="5F1B5D93"/>
    <w:rsid w:val="5F1D12CB"/>
    <w:rsid w:val="5F294F51"/>
    <w:rsid w:val="5F2B1033"/>
    <w:rsid w:val="5F35587B"/>
    <w:rsid w:val="5F4D3766"/>
    <w:rsid w:val="5F4F22C4"/>
    <w:rsid w:val="5F504E76"/>
    <w:rsid w:val="5F5528B7"/>
    <w:rsid w:val="5F574344"/>
    <w:rsid w:val="5F5875E4"/>
    <w:rsid w:val="5F64242D"/>
    <w:rsid w:val="5F681F1D"/>
    <w:rsid w:val="5F7D646E"/>
    <w:rsid w:val="5F7D7F1C"/>
    <w:rsid w:val="5F821A41"/>
    <w:rsid w:val="5F8235B3"/>
    <w:rsid w:val="5F824C39"/>
    <w:rsid w:val="5F920D48"/>
    <w:rsid w:val="5F936A1D"/>
    <w:rsid w:val="5FB05B4B"/>
    <w:rsid w:val="5FB80723"/>
    <w:rsid w:val="5FB9411A"/>
    <w:rsid w:val="5FC30301"/>
    <w:rsid w:val="5FD21144"/>
    <w:rsid w:val="5FD71A66"/>
    <w:rsid w:val="5FEA7730"/>
    <w:rsid w:val="5FF540B9"/>
    <w:rsid w:val="5FFA069B"/>
    <w:rsid w:val="5FFE63DD"/>
    <w:rsid w:val="600D3631"/>
    <w:rsid w:val="601E25DC"/>
    <w:rsid w:val="60657FE9"/>
    <w:rsid w:val="607D096B"/>
    <w:rsid w:val="60981BA4"/>
    <w:rsid w:val="609B54C7"/>
    <w:rsid w:val="60B577B8"/>
    <w:rsid w:val="60B72FE0"/>
    <w:rsid w:val="60B976D8"/>
    <w:rsid w:val="60CD491F"/>
    <w:rsid w:val="60DA0809"/>
    <w:rsid w:val="60EA1611"/>
    <w:rsid w:val="60EA7270"/>
    <w:rsid w:val="60EF580B"/>
    <w:rsid w:val="60F6302D"/>
    <w:rsid w:val="610712C2"/>
    <w:rsid w:val="61092F57"/>
    <w:rsid w:val="6110141C"/>
    <w:rsid w:val="612B059A"/>
    <w:rsid w:val="612B1454"/>
    <w:rsid w:val="61427DA8"/>
    <w:rsid w:val="614B38A4"/>
    <w:rsid w:val="614B78B7"/>
    <w:rsid w:val="615C0334"/>
    <w:rsid w:val="61761FA3"/>
    <w:rsid w:val="61811074"/>
    <w:rsid w:val="619C3F0D"/>
    <w:rsid w:val="61A730E0"/>
    <w:rsid w:val="61B424C8"/>
    <w:rsid w:val="61B825BC"/>
    <w:rsid w:val="61C15914"/>
    <w:rsid w:val="61D21690"/>
    <w:rsid w:val="61DA0020"/>
    <w:rsid w:val="61DC05B2"/>
    <w:rsid w:val="62031A89"/>
    <w:rsid w:val="620D6B6D"/>
    <w:rsid w:val="6219320E"/>
    <w:rsid w:val="621A37F2"/>
    <w:rsid w:val="62344338"/>
    <w:rsid w:val="623B212D"/>
    <w:rsid w:val="623E682E"/>
    <w:rsid w:val="625E47E9"/>
    <w:rsid w:val="6269523A"/>
    <w:rsid w:val="626D17D6"/>
    <w:rsid w:val="62753F10"/>
    <w:rsid w:val="62836482"/>
    <w:rsid w:val="628C282C"/>
    <w:rsid w:val="629038C3"/>
    <w:rsid w:val="62934162"/>
    <w:rsid w:val="62955E55"/>
    <w:rsid w:val="62C16F08"/>
    <w:rsid w:val="62C87F3B"/>
    <w:rsid w:val="62D1432C"/>
    <w:rsid w:val="62D73DFA"/>
    <w:rsid w:val="62DD4F4B"/>
    <w:rsid w:val="62EF131E"/>
    <w:rsid w:val="62F24A93"/>
    <w:rsid w:val="62F7128B"/>
    <w:rsid w:val="63065CD5"/>
    <w:rsid w:val="63075E72"/>
    <w:rsid w:val="63091321"/>
    <w:rsid w:val="63105DC5"/>
    <w:rsid w:val="63116428"/>
    <w:rsid w:val="633962AA"/>
    <w:rsid w:val="633E33FA"/>
    <w:rsid w:val="6340727D"/>
    <w:rsid w:val="63585FEA"/>
    <w:rsid w:val="635D46A7"/>
    <w:rsid w:val="635E1A4C"/>
    <w:rsid w:val="63831726"/>
    <w:rsid w:val="6389196F"/>
    <w:rsid w:val="63A11D9E"/>
    <w:rsid w:val="63A67290"/>
    <w:rsid w:val="63AE3561"/>
    <w:rsid w:val="63B42696"/>
    <w:rsid w:val="63B56327"/>
    <w:rsid w:val="63D06B04"/>
    <w:rsid w:val="63DF4E72"/>
    <w:rsid w:val="63E044E9"/>
    <w:rsid w:val="63F35B2D"/>
    <w:rsid w:val="64176014"/>
    <w:rsid w:val="641F786F"/>
    <w:rsid w:val="642364CD"/>
    <w:rsid w:val="64491BE5"/>
    <w:rsid w:val="64511BB6"/>
    <w:rsid w:val="64560557"/>
    <w:rsid w:val="645F5F9F"/>
    <w:rsid w:val="646511A7"/>
    <w:rsid w:val="649D0724"/>
    <w:rsid w:val="64A752BA"/>
    <w:rsid w:val="64B67DAA"/>
    <w:rsid w:val="64CF401E"/>
    <w:rsid w:val="64DC0FDF"/>
    <w:rsid w:val="64DD4E4E"/>
    <w:rsid w:val="64E03CA3"/>
    <w:rsid w:val="64E16127"/>
    <w:rsid w:val="64F22C70"/>
    <w:rsid w:val="650545E2"/>
    <w:rsid w:val="65154E0A"/>
    <w:rsid w:val="652016BA"/>
    <w:rsid w:val="6522377E"/>
    <w:rsid w:val="6527447A"/>
    <w:rsid w:val="655C2FFD"/>
    <w:rsid w:val="65771194"/>
    <w:rsid w:val="657D7DA4"/>
    <w:rsid w:val="658114EF"/>
    <w:rsid w:val="65960098"/>
    <w:rsid w:val="65AA3652"/>
    <w:rsid w:val="65B10E33"/>
    <w:rsid w:val="65C41CFB"/>
    <w:rsid w:val="65D60AC7"/>
    <w:rsid w:val="65E32B41"/>
    <w:rsid w:val="65EE2A50"/>
    <w:rsid w:val="65F128EE"/>
    <w:rsid w:val="662B5608"/>
    <w:rsid w:val="663A71E5"/>
    <w:rsid w:val="663E1E4C"/>
    <w:rsid w:val="663F7D97"/>
    <w:rsid w:val="66563E7C"/>
    <w:rsid w:val="66571DE3"/>
    <w:rsid w:val="6689537B"/>
    <w:rsid w:val="668A47AC"/>
    <w:rsid w:val="668A6C93"/>
    <w:rsid w:val="668C6B3F"/>
    <w:rsid w:val="66AB6254"/>
    <w:rsid w:val="66D005D0"/>
    <w:rsid w:val="66D126B0"/>
    <w:rsid w:val="66D63C10"/>
    <w:rsid w:val="66E92013"/>
    <w:rsid w:val="66EC6F90"/>
    <w:rsid w:val="66F255B7"/>
    <w:rsid w:val="66FB3454"/>
    <w:rsid w:val="670A045C"/>
    <w:rsid w:val="670B716E"/>
    <w:rsid w:val="6716225F"/>
    <w:rsid w:val="672229B1"/>
    <w:rsid w:val="675A4090"/>
    <w:rsid w:val="676036B1"/>
    <w:rsid w:val="677714F7"/>
    <w:rsid w:val="67874E83"/>
    <w:rsid w:val="679A7B08"/>
    <w:rsid w:val="679C6B4C"/>
    <w:rsid w:val="67A1421E"/>
    <w:rsid w:val="67A354C4"/>
    <w:rsid w:val="67C25F42"/>
    <w:rsid w:val="67C9401B"/>
    <w:rsid w:val="67EA66B4"/>
    <w:rsid w:val="680926B6"/>
    <w:rsid w:val="680A1C4F"/>
    <w:rsid w:val="681A41F0"/>
    <w:rsid w:val="6853303E"/>
    <w:rsid w:val="68562B69"/>
    <w:rsid w:val="685E3EBD"/>
    <w:rsid w:val="6870457B"/>
    <w:rsid w:val="687F4C1D"/>
    <w:rsid w:val="68830991"/>
    <w:rsid w:val="68A76DEF"/>
    <w:rsid w:val="68B622A2"/>
    <w:rsid w:val="68C1444C"/>
    <w:rsid w:val="68C2756A"/>
    <w:rsid w:val="68CB1738"/>
    <w:rsid w:val="68DD2333"/>
    <w:rsid w:val="68F170ED"/>
    <w:rsid w:val="69037103"/>
    <w:rsid w:val="690D1CEB"/>
    <w:rsid w:val="690F0847"/>
    <w:rsid w:val="690F0BE9"/>
    <w:rsid w:val="6915152B"/>
    <w:rsid w:val="6917406C"/>
    <w:rsid w:val="69342E70"/>
    <w:rsid w:val="693D1B33"/>
    <w:rsid w:val="694A247E"/>
    <w:rsid w:val="694A7E4A"/>
    <w:rsid w:val="695A130B"/>
    <w:rsid w:val="696279DD"/>
    <w:rsid w:val="697B45FB"/>
    <w:rsid w:val="697E2537"/>
    <w:rsid w:val="697E3A53"/>
    <w:rsid w:val="69847953"/>
    <w:rsid w:val="69896C65"/>
    <w:rsid w:val="699F653B"/>
    <w:rsid w:val="69A71894"/>
    <w:rsid w:val="69B30FB3"/>
    <w:rsid w:val="69CF65B0"/>
    <w:rsid w:val="69D01719"/>
    <w:rsid w:val="69E15273"/>
    <w:rsid w:val="69EF29CD"/>
    <w:rsid w:val="69FC1BE0"/>
    <w:rsid w:val="6A040161"/>
    <w:rsid w:val="6A1339DD"/>
    <w:rsid w:val="6A26203C"/>
    <w:rsid w:val="6A3273AF"/>
    <w:rsid w:val="6A3C4858"/>
    <w:rsid w:val="6A5E1EE4"/>
    <w:rsid w:val="6A69230B"/>
    <w:rsid w:val="6A7241DA"/>
    <w:rsid w:val="6A937403"/>
    <w:rsid w:val="6AAD6A36"/>
    <w:rsid w:val="6AB06526"/>
    <w:rsid w:val="6ABD7DF6"/>
    <w:rsid w:val="6ACB5C2B"/>
    <w:rsid w:val="6AD9366F"/>
    <w:rsid w:val="6ADA2A71"/>
    <w:rsid w:val="6AF8486A"/>
    <w:rsid w:val="6B071B4A"/>
    <w:rsid w:val="6B182A49"/>
    <w:rsid w:val="6B19056B"/>
    <w:rsid w:val="6B217424"/>
    <w:rsid w:val="6B6C2B07"/>
    <w:rsid w:val="6B882FFF"/>
    <w:rsid w:val="6B8C0D41"/>
    <w:rsid w:val="6BA3608B"/>
    <w:rsid w:val="6BA66E4A"/>
    <w:rsid w:val="6BAE6F0A"/>
    <w:rsid w:val="6BEA5A68"/>
    <w:rsid w:val="6BF16DF6"/>
    <w:rsid w:val="6BF71E5E"/>
    <w:rsid w:val="6C17640D"/>
    <w:rsid w:val="6C2602F3"/>
    <w:rsid w:val="6C2C28FE"/>
    <w:rsid w:val="6C376EFF"/>
    <w:rsid w:val="6C507FC1"/>
    <w:rsid w:val="6C513D7B"/>
    <w:rsid w:val="6C6258FC"/>
    <w:rsid w:val="6C6475C8"/>
    <w:rsid w:val="6C684E81"/>
    <w:rsid w:val="6C6D760C"/>
    <w:rsid w:val="6C7215F1"/>
    <w:rsid w:val="6C7254B6"/>
    <w:rsid w:val="6C742662"/>
    <w:rsid w:val="6CBD3075"/>
    <w:rsid w:val="6CBE4EEC"/>
    <w:rsid w:val="6CC13006"/>
    <w:rsid w:val="6CC446FE"/>
    <w:rsid w:val="6CF23B24"/>
    <w:rsid w:val="6D062D75"/>
    <w:rsid w:val="6D0D5EB2"/>
    <w:rsid w:val="6D0E459C"/>
    <w:rsid w:val="6D1E63B1"/>
    <w:rsid w:val="6D2032E6"/>
    <w:rsid w:val="6D342975"/>
    <w:rsid w:val="6D370656"/>
    <w:rsid w:val="6D372C22"/>
    <w:rsid w:val="6D503294"/>
    <w:rsid w:val="6D871E5D"/>
    <w:rsid w:val="6DB7708E"/>
    <w:rsid w:val="6DC9002B"/>
    <w:rsid w:val="6DDE3657"/>
    <w:rsid w:val="6DEF7365"/>
    <w:rsid w:val="6DF73A48"/>
    <w:rsid w:val="6DF8337A"/>
    <w:rsid w:val="6E1C4E4E"/>
    <w:rsid w:val="6E297030"/>
    <w:rsid w:val="6E3F5BBC"/>
    <w:rsid w:val="6E502C6C"/>
    <w:rsid w:val="6E521FD7"/>
    <w:rsid w:val="6E664226"/>
    <w:rsid w:val="6E7D0E15"/>
    <w:rsid w:val="6E866BAD"/>
    <w:rsid w:val="6E8C46C4"/>
    <w:rsid w:val="6E9047F2"/>
    <w:rsid w:val="6E9D1166"/>
    <w:rsid w:val="6EC07D65"/>
    <w:rsid w:val="6EC60A8D"/>
    <w:rsid w:val="6EC86F6E"/>
    <w:rsid w:val="6EDD4597"/>
    <w:rsid w:val="6EE175F6"/>
    <w:rsid w:val="6F0230C8"/>
    <w:rsid w:val="6F560DE8"/>
    <w:rsid w:val="6F764817"/>
    <w:rsid w:val="6F7E6BF3"/>
    <w:rsid w:val="6F827023"/>
    <w:rsid w:val="6FC572DF"/>
    <w:rsid w:val="6FCE5BF7"/>
    <w:rsid w:val="6FEF189F"/>
    <w:rsid w:val="6FEF5D43"/>
    <w:rsid w:val="6FFE5185"/>
    <w:rsid w:val="70003A62"/>
    <w:rsid w:val="70074E3A"/>
    <w:rsid w:val="70092FF8"/>
    <w:rsid w:val="701F6D13"/>
    <w:rsid w:val="702279FC"/>
    <w:rsid w:val="702F4391"/>
    <w:rsid w:val="70447E3C"/>
    <w:rsid w:val="70495C48"/>
    <w:rsid w:val="704A2A3D"/>
    <w:rsid w:val="705A140E"/>
    <w:rsid w:val="7084221D"/>
    <w:rsid w:val="70995ECF"/>
    <w:rsid w:val="709C0E93"/>
    <w:rsid w:val="70B207FF"/>
    <w:rsid w:val="70BF2A0E"/>
    <w:rsid w:val="70C31153"/>
    <w:rsid w:val="70D76A75"/>
    <w:rsid w:val="70E37F25"/>
    <w:rsid w:val="70F6775A"/>
    <w:rsid w:val="710E3FF5"/>
    <w:rsid w:val="711A0B9D"/>
    <w:rsid w:val="71321D8A"/>
    <w:rsid w:val="7141612A"/>
    <w:rsid w:val="71526589"/>
    <w:rsid w:val="715B4FAC"/>
    <w:rsid w:val="7161477F"/>
    <w:rsid w:val="716A17CC"/>
    <w:rsid w:val="71717CF1"/>
    <w:rsid w:val="717B5E76"/>
    <w:rsid w:val="719170B1"/>
    <w:rsid w:val="719B1CDE"/>
    <w:rsid w:val="71A17684"/>
    <w:rsid w:val="71B31295"/>
    <w:rsid w:val="71B811A6"/>
    <w:rsid w:val="71C55B0A"/>
    <w:rsid w:val="71EC35A3"/>
    <w:rsid w:val="71F94A47"/>
    <w:rsid w:val="721D6B97"/>
    <w:rsid w:val="723513B9"/>
    <w:rsid w:val="723B6834"/>
    <w:rsid w:val="72401A80"/>
    <w:rsid w:val="724463AD"/>
    <w:rsid w:val="72550630"/>
    <w:rsid w:val="725620A9"/>
    <w:rsid w:val="727A3E4E"/>
    <w:rsid w:val="7281214F"/>
    <w:rsid w:val="728501EE"/>
    <w:rsid w:val="72A4012B"/>
    <w:rsid w:val="72A95837"/>
    <w:rsid w:val="72B8241C"/>
    <w:rsid w:val="72C46849"/>
    <w:rsid w:val="72D52916"/>
    <w:rsid w:val="72D82ABE"/>
    <w:rsid w:val="72DD4E94"/>
    <w:rsid w:val="72F17CFC"/>
    <w:rsid w:val="73064B45"/>
    <w:rsid w:val="73131B2F"/>
    <w:rsid w:val="73173CE2"/>
    <w:rsid w:val="731857BB"/>
    <w:rsid w:val="7318735E"/>
    <w:rsid w:val="731B27F6"/>
    <w:rsid w:val="732D5A3F"/>
    <w:rsid w:val="73343453"/>
    <w:rsid w:val="73373C88"/>
    <w:rsid w:val="73412411"/>
    <w:rsid w:val="73463ECB"/>
    <w:rsid w:val="734A6502"/>
    <w:rsid w:val="73627B42"/>
    <w:rsid w:val="73702CF6"/>
    <w:rsid w:val="73704370"/>
    <w:rsid w:val="739174B8"/>
    <w:rsid w:val="73920EBF"/>
    <w:rsid w:val="73A365F5"/>
    <w:rsid w:val="73A429A0"/>
    <w:rsid w:val="73D65B7A"/>
    <w:rsid w:val="73DC2164"/>
    <w:rsid w:val="73DC4D25"/>
    <w:rsid w:val="73DC52C4"/>
    <w:rsid w:val="73DE5EB2"/>
    <w:rsid w:val="73DF2697"/>
    <w:rsid w:val="73F81B3F"/>
    <w:rsid w:val="74081181"/>
    <w:rsid w:val="740F40B8"/>
    <w:rsid w:val="742C182C"/>
    <w:rsid w:val="7431777C"/>
    <w:rsid w:val="74343D24"/>
    <w:rsid w:val="744A3547"/>
    <w:rsid w:val="744D51D2"/>
    <w:rsid w:val="745436E9"/>
    <w:rsid w:val="74556589"/>
    <w:rsid w:val="7465289D"/>
    <w:rsid w:val="7469726F"/>
    <w:rsid w:val="746A3BEA"/>
    <w:rsid w:val="748A603A"/>
    <w:rsid w:val="749D5D6D"/>
    <w:rsid w:val="74A23383"/>
    <w:rsid w:val="74B409C4"/>
    <w:rsid w:val="74B66A46"/>
    <w:rsid w:val="74BB5506"/>
    <w:rsid w:val="74C27582"/>
    <w:rsid w:val="74CD520A"/>
    <w:rsid w:val="74D17167"/>
    <w:rsid w:val="74DF3644"/>
    <w:rsid w:val="75087BAF"/>
    <w:rsid w:val="751221E3"/>
    <w:rsid w:val="75190329"/>
    <w:rsid w:val="7521086E"/>
    <w:rsid w:val="75231131"/>
    <w:rsid w:val="75274981"/>
    <w:rsid w:val="75285475"/>
    <w:rsid w:val="7534651D"/>
    <w:rsid w:val="75633811"/>
    <w:rsid w:val="7564262E"/>
    <w:rsid w:val="75812EAD"/>
    <w:rsid w:val="75842495"/>
    <w:rsid w:val="758E56B6"/>
    <w:rsid w:val="75933184"/>
    <w:rsid w:val="759A22AD"/>
    <w:rsid w:val="75B855D2"/>
    <w:rsid w:val="75C379FA"/>
    <w:rsid w:val="75ED62E0"/>
    <w:rsid w:val="75F36C4E"/>
    <w:rsid w:val="76004806"/>
    <w:rsid w:val="76110225"/>
    <w:rsid w:val="761402B1"/>
    <w:rsid w:val="762A5170"/>
    <w:rsid w:val="762F086F"/>
    <w:rsid w:val="76316133"/>
    <w:rsid w:val="76330607"/>
    <w:rsid w:val="76333EAE"/>
    <w:rsid w:val="76412E37"/>
    <w:rsid w:val="765451DC"/>
    <w:rsid w:val="765A05BC"/>
    <w:rsid w:val="767353F2"/>
    <w:rsid w:val="767825EE"/>
    <w:rsid w:val="768C46AC"/>
    <w:rsid w:val="76962A74"/>
    <w:rsid w:val="769D02A6"/>
    <w:rsid w:val="769E5DCD"/>
    <w:rsid w:val="76B31878"/>
    <w:rsid w:val="76BD6FDB"/>
    <w:rsid w:val="76C53359"/>
    <w:rsid w:val="76D85AD0"/>
    <w:rsid w:val="76DB4EA8"/>
    <w:rsid w:val="76DD5D22"/>
    <w:rsid w:val="76EA61FF"/>
    <w:rsid w:val="76EF1C48"/>
    <w:rsid w:val="770372E4"/>
    <w:rsid w:val="770A68B1"/>
    <w:rsid w:val="772207AC"/>
    <w:rsid w:val="773F2A17"/>
    <w:rsid w:val="775237CF"/>
    <w:rsid w:val="77561351"/>
    <w:rsid w:val="775E513F"/>
    <w:rsid w:val="776B4231"/>
    <w:rsid w:val="77866F8C"/>
    <w:rsid w:val="778B45B5"/>
    <w:rsid w:val="77A9308F"/>
    <w:rsid w:val="77AA492E"/>
    <w:rsid w:val="77B33969"/>
    <w:rsid w:val="77B3540E"/>
    <w:rsid w:val="77BB4043"/>
    <w:rsid w:val="77D00809"/>
    <w:rsid w:val="77FF6F6D"/>
    <w:rsid w:val="780B2656"/>
    <w:rsid w:val="78415524"/>
    <w:rsid w:val="78482494"/>
    <w:rsid w:val="784A3E33"/>
    <w:rsid w:val="786C5C11"/>
    <w:rsid w:val="786D7532"/>
    <w:rsid w:val="787E3A98"/>
    <w:rsid w:val="788259A6"/>
    <w:rsid w:val="78911745"/>
    <w:rsid w:val="78BD7DA6"/>
    <w:rsid w:val="78CC035E"/>
    <w:rsid w:val="78D6184E"/>
    <w:rsid w:val="78F22CE7"/>
    <w:rsid w:val="79256331"/>
    <w:rsid w:val="79265D8B"/>
    <w:rsid w:val="793D1463"/>
    <w:rsid w:val="794371E8"/>
    <w:rsid w:val="79444A09"/>
    <w:rsid w:val="796675DC"/>
    <w:rsid w:val="79876F3B"/>
    <w:rsid w:val="798835C0"/>
    <w:rsid w:val="79914562"/>
    <w:rsid w:val="79935991"/>
    <w:rsid w:val="79986827"/>
    <w:rsid w:val="799C2A97"/>
    <w:rsid w:val="799C4845"/>
    <w:rsid w:val="79C771E2"/>
    <w:rsid w:val="79D9271B"/>
    <w:rsid w:val="79ED50A1"/>
    <w:rsid w:val="79F30AC2"/>
    <w:rsid w:val="79FA2101"/>
    <w:rsid w:val="7A100362"/>
    <w:rsid w:val="7A1A5A52"/>
    <w:rsid w:val="7A606E5F"/>
    <w:rsid w:val="7A74131E"/>
    <w:rsid w:val="7A765096"/>
    <w:rsid w:val="7A7E3F4B"/>
    <w:rsid w:val="7A9A52A7"/>
    <w:rsid w:val="7A9E3444"/>
    <w:rsid w:val="7AA87668"/>
    <w:rsid w:val="7ACC6BEA"/>
    <w:rsid w:val="7ACF2BC4"/>
    <w:rsid w:val="7ADC65FD"/>
    <w:rsid w:val="7AE11581"/>
    <w:rsid w:val="7AF7642E"/>
    <w:rsid w:val="7AFB16F7"/>
    <w:rsid w:val="7B241A11"/>
    <w:rsid w:val="7B26210E"/>
    <w:rsid w:val="7B2F5245"/>
    <w:rsid w:val="7B334F2B"/>
    <w:rsid w:val="7B5042D8"/>
    <w:rsid w:val="7B5E4E76"/>
    <w:rsid w:val="7B637DB6"/>
    <w:rsid w:val="7B673063"/>
    <w:rsid w:val="7B676E25"/>
    <w:rsid w:val="7B6A2721"/>
    <w:rsid w:val="7B784E3E"/>
    <w:rsid w:val="7B7B3AC4"/>
    <w:rsid w:val="7B841A35"/>
    <w:rsid w:val="7BA060D4"/>
    <w:rsid w:val="7BB01186"/>
    <w:rsid w:val="7BB92FD8"/>
    <w:rsid w:val="7BC77D94"/>
    <w:rsid w:val="7BDA728E"/>
    <w:rsid w:val="7BE76C0E"/>
    <w:rsid w:val="7BEC38D9"/>
    <w:rsid w:val="7BF0651E"/>
    <w:rsid w:val="7C1E6245"/>
    <w:rsid w:val="7C1F3E1B"/>
    <w:rsid w:val="7C2106CE"/>
    <w:rsid w:val="7C2B0D47"/>
    <w:rsid w:val="7C484810"/>
    <w:rsid w:val="7C642B27"/>
    <w:rsid w:val="7C651F05"/>
    <w:rsid w:val="7C731C1C"/>
    <w:rsid w:val="7C765821"/>
    <w:rsid w:val="7C782AB0"/>
    <w:rsid w:val="7C88331E"/>
    <w:rsid w:val="7CA22FEA"/>
    <w:rsid w:val="7CAB3634"/>
    <w:rsid w:val="7CEF6506"/>
    <w:rsid w:val="7CF40EC8"/>
    <w:rsid w:val="7CF66AAB"/>
    <w:rsid w:val="7CF85855"/>
    <w:rsid w:val="7CFA011A"/>
    <w:rsid w:val="7CFD08F0"/>
    <w:rsid w:val="7D056BA5"/>
    <w:rsid w:val="7D330928"/>
    <w:rsid w:val="7D510C4B"/>
    <w:rsid w:val="7D5611AF"/>
    <w:rsid w:val="7D61509E"/>
    <w:rsid w:val="7D6D684D"/>
    <w:rsid w:val="7D8269D3"/>
    <w:rsid w:val="7DD80EB4"/>
    <w:rsid w:val="7DE15E86"/>
    <w:rsid w:val="7DFE2FC3"/>
    <w:rsid w:val="7E067666"/>
    <w:rsid w:val="7E11330D"/>
    <w:rsid w:val="7E207BF6"/>
    <w:rsid w:val="7E290672"/>
    <w:rsid w:val="7E3E6E71"/>
    <w:rsid w:val="7E5A082B"/>
    <w:rsid w:val="7E5C63E0"/>
    <w:rsid w:val="7E670A3E"/>
    <w:rsid w:val="7E763D23"/>
    <w:rsid w:val="7E8F46DC"/>
    <w:rsid w:val="7E9E5C9C"/>
    <w:rsid w:val="7EAD6101"/>
    <w:rsid w:val="7EB33FB5"/>
    <w:rsid w:val="7EB93807"/>
    <w:rsid w:val="7EBD63C0"/>
    <w:rsid w:val="7EBF1CF5"/>
    <w:rsid w:val="7ED82D3A"/>
    <w:rsid w:val="7EE24D87"/>
    <w:rsid w:val="7EEA095D"/>
    <w:rsid w:val="7EEC1626"/>
    <w:rsid w:val="7F0B7248"/>
    <w:rsid w:val="7F140DB1"/>
    <w:rsid w:val="7F2A57B6"/>
    <w:rsid w:val="7F3F2195"/>
    <w:rsid w:val="7F4F16B1"/>
    <w:rsid w:val="7F695182"/>
    <w:rsid w:val="7F763462"/>
    <w:rsid w:val="7F7A0221"/>
    <w:rsid w:val="7F8D0FEB"/>
    <w:rsid w:val="7F983D01"/>
    <w:rsid w:val="7FB725E1"/>
    <w:rsid w:val="7FC02287"/>
    <w:rsid w:val="7FC76391"/>
    <w:rsid w:val="7FC76394"/>
    <w:rsid w:val="7FDA2C42"/>
    <w:rsid w:val="7FE83C65"/>
    <w:rsid w:val="7FE92466"/>
    <w:rsid w:val="7FEB723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9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0" w:semiHidden="0" w:name="Normal Indent"/>
    <w:lsdException w:qFormat="1" w:unhideWhenUsed="0" w:uiPriority="99"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0"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99" w:semiHidden="0" w:name="List"/>
    <w:lsdException w:uiPriority="99" w:name="List Bullet" w:locked="1"/>
    <w:lsdException w:uiPriority="99" w:name="List Number" w:locked="1"/>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ocked="1"/>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nhideWhenUsed="0" w:uiPriority="0" w:semiHidden="0" w:name="Body Text First Indent" w:locked="1"/>
    <w:lsdException w:qFormat="1" w:uiPriority="99"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ocked="1"/>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0"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4"/>
      <w:szCs w:val="22"/>
      <w:lang w:val="en-US" w:eastAsia="zh-CN" w:bidi="ar-SA"/>
    </w:rPr>
  </w:style>
  <w:style w:type="paragraph" w:styleId="7">
    <w:name w:val="heading 1"/>
    <w:basedOn w:val="1"/>
    <w:next w:val="8"/>
    <w:link w:val="56"/>
    <w:qFormat/>
    <w:uiPriority w:val="0"/>
    <w:pPr>
      <w:keepNext/>
      <w:keepLines/>
      <w:numPr>
        <w:ilvl w:val="0"/>
        <w:numId w:val="1"/>
      </w:numPr>
      <w:adjustRightInd w:val="0"/>
      <w:spacing w:before="160" w:after="160" w:line="160" w:lineRule="atLeast"/>
      <w:textAlignment w:val="baseline"/>
      <w:outlineLvl w:val="0"/>
    </w:pPr>
    <w:rPr>
      <w:rFonts w:ascii="黑体" w:eastAsia="黑体"/>
      <w:kern w:val="44"/>
      <w:sz w:val="32"/>
      <w:szCs w:val="20"/>
    </w:rPr>
  </w:style>
  <w:style w:type="paragraph" w:styleId="9">
    <w:name w:val="heading 2"/>
    <w:basedOn w:val="1"/>
    <w:next w:val="8"/>
    <w:link w:val="57"/>
    <w:qFormat/>
    <w:uiPriority w:val="0"/>
    <w:pPr>
      <w:keepNext/>
      <w:keepLines/>
      <w:numPr>
        <w:ilvl w:val="1"/>
        <w:numId w:val="1"/>
      </w:numPr>
      <w:tabs>
        <w:tab w:val="left" w:pos="0"/>
        <w:tab w:val="left" w:pos="360"/>
      </w:tabs>
      <w:adjustRightInd w:val="0"/>
      <w:spacing w:before="160" w:after="160" w:line="160" w:lineRule="atLeast"/>
      <w:textAlignment w:val="baseline"/>
      <w:outlineLvl w:val="1"/>
    </w:pPr>
    <w:rPr>
      <w:rFonts w:ascii="黑体" w:eastAsia="黑体"/>
      <w:kern w:val="0"/>
      <w:sz w:val="28"/>
      <w:szCs w:val="20"/>
    </w:rPr>
  </w:style>
  <w:style w:type="paragraph" w:styleId="10">
    <w:name w:val="heading 3"/>
    <w:basedOn w:val="1"/>
    <w:next w:val="8"/>
    <w:link w:val="58"/>
    <w:qFormat/>
    <w:uiPriority w:val="0"/>
    <w:pPr>
      <w:keepNext/>
      <w:keepLines/>
      <w:numPr>
        <w:ilvl w:val="2"/>
        <w:numId w:val="1"/>
      </w:numPr>
      <w:tabs>
        <w:tab w:val="left" w:pos="360"/>
      </w:tabs>
      <w:adjustRightInd w:val="0"/>
      <w:spacing w:before="160" w:after="160" w:line="160" w:lineRule="atLeast"/>
      <w:ind w:hanging="284"/>
      <w:textAlignment w:val="baseline"/>
      <w:outlineLvl w:val="2"/>
    </w:pPr>
    <w:rPr>
      <w:rFonts w:ascii="黑体" w:eastAsia="黑体"/>
      <w:kern w:val="0"/>
      <w:sz w:val="28"/>
      <w:szCs w:val="20"/>
    </w:rPr>
  </w:style>
  <w:style w:type="paragraph" w:styleId="11">
    <w:name w:val="heading 4"/>
    <w:basedOn w:val="1"/>
    <w:next w:val="1"/>
    <w:link w:val="59"/>
    <w:qFormat/>
    <w:uiPriority w:val="0"/>
    <w:pPr>
      <w:keepNext/>
      <w:keepLines/>
      <w:numPr>
        <w:ilvl w:val="3"/>
        <w:numId w:val="1"/>
      </w:numPr>
      <w:tabs>
        <w:tab w:val="left" w:pos="0"/>
        <w:tab w:val="left" w:pos="360"/>
      </w:tabs>
      <w:adjustRightInd w:val="0"/>
      <w:spacing w:before="280" w:after="290" w:line="376" w:lineRule="atLeast"/>
      <w:textAlignment w:val="baseline"/>
      <w:outlineLvl w:val="3"/>
    </w:pPr>
    <w:rPr>
      <w:rFonts w:ascii="Arial" w:hAnsi="Arial" w:eastAsia="黑体"/>
      <w:b/>
      <w:kern w:val="0"/>
      <w:sz w:val="28"/>
      <w:szCs w:val="20"/>
    </w:rPr>
  </w:style>
  <w:style w:type="paragraph" w:styleId="12">
    <w:name w:val="heading 5"/>
    <w:basedOn w:val="1"/>
    <w:next w:val="1"/>
    <w:link w:val="60"/>
    <w:qFormat/>
    <w:uiPriority w:val="0"/>
    <w:pPr>
      <w:keepNext/>
      <w:keepLines/>
      <w:numPr>
        <w:ilvl w:val="4"/>
        <w:numId w:val="1"/>
      </w:numPr>
      <w:tabs>
        <w:tab w:val="left" w:pos="0"/>
        <w:tab w:val="left" w:pos="360"/>
      </w:tabs>
      <w:adjustRightInd w:val="0"/>
      <w:spacing w:before="280" w:after="290" w:line="376" w:lineRule="atLeast"/>
      <w:textAlignment w:val="baseline"/>
      <w:outlineLvl w:val="4"/>
    </w:pPr>
    <w:rPr>
      <w:rFonts w:ascii="Times New Roman" w:hAnsi="Times New Roman"/>
      <w:b/>
      <w:kern w:val="0"/>
      <w:sz w:val="28"/>
      <w:szCs w:val="20"/>
    </w:rPr>
  </w:style>
  <w:style w:type="paragraph" w:styleId="13">
    <w:name w:val="heading 6"/>
    <w:basedOn w:val="1"/>
    <w:next w:val="1"/>
    <w:link w:val="61"/>
    <w:qFormat/>
    <w:uiPriority w:val="0"/>
    <w:pPr>
      <w:keepNext/>
      <w:keepLines/>
      <w:numPr>
        <w:ilvl w:val="5"/>
        <w:numId w:val="1"/>
      </w:numPr>
      <w:tabs>
        <w:tab w:val="left" w:pos="0"/>
        <w:tab w:val="left" w:pos="360"/>
      </w:tabs>
      <w:adjustRightInd w:val="0"/>
      <w:spacing w:before="240" w:after="64" w:line="320" w:lineRule="atLeast"/>
      <w:textAlignment w:val="baseline"/>
      <w:outlineLvl w:val="5"/>
    </w:pPr>
    <w:rPr>
      <w:rFonts w:ascii="Arial" w:hAnsi="Arial" w:eastAsia="黑体"/>
      <w:b/>
      <w:kern w:val="0"/>
      <w:szCs w:val="20"/>
    </w:rPr>
  </w:style>
  <w:style w:type="paragraph" w:styleId="14">
    <w:name w:val="heading 7"/>
    <w:basedOn w:val="1"/>
    <w:next w:val="1"/>
    <w:link w:val="62"/>
    <w:qFormat/>
    <w:uiPriority w:val="0"/>
    <w:pPr>
      <w:keepNext/>
      <w:keepLines/>
      <w:numPr>
        <w:ilvl w:val="6"/>
        <w:numId w:val="1"/>
      </w:numPr>
      <w:tabs>
        <w:tab w:val="left" w:pos="0"/>
        <w:tab w:val="left" w:pos="360"/>
      </w:tabs>
      <w:adjustRightInd w:val="0"/>
      <w:spacing w:before="240" w:after="64" w:line="320" w:lineRule="atLeast"/>
      <w:textAlignment w:val="baseline"/>
      <w:outlineLvl w:val="6"/>
    </w:pPr>
    <w:rPr>
      <w:rFonts w:ascii="Times New Roman" w:hAnsi="Times New Roman"/>
      <w:b/>
      <w:kern w:val="0"/>
      <w:szCs w:val="20"/>
    </w:rPr>
  </w:style>
  <w:style w:type="paragraph" w:styleId="15">
    <w:name w:val="heading 8"/>
    <w:basedOn w:val="1"/>
    <w:next w:val="1"/>
    <w:link w:val="63"/>
    <w:qFormat/>
    <w:uiPriority w:val="0"/>
    <w:pPr>
      <w:keepNext/>
      <w:keepLines/>
      <w:numPr>
        <w:ilvl w:val="7"/>
        <w:numId w:val="1"/>
      </w:numPr>
      <w:tabs>
        <w:tab w:val="left" w:pos="0"/>
        <w:tab w:val="left" w:pos="360"/>
      </w:tabs>
      <w:adjustRightInd w:val="0"/>
      <w:spacing w:before="240" w:after="64" w:line="320" w:lineRule="atLeast"/>
      <w:textAlignment w:val="baseline"/>
      <w:outlineLvl w:val="7"/>
    </w:pPr>
    <w:rPr>
      <w:rFonts w:ascii="Arial" w:hAnsi="Arial" w:eastAsia="黑体"/>
      <w:kern w:val="0"/>
      <w:szCs w:val="20"/>
    </w:rPr>
  </w:style>
  <w:style w:type="paragraph" w:styleId="16">
    <w:name w:val="heading 9"/>
    <w:basedOn w:val="1"/>
    <w:next w:val="1"/>
    <w:link w:val="64"/>
    <w:qFormat/>
    <w:uiPriority w:val="0"/>
    <w:pPr>
      <w:keepNext/>
      <w:keepLines/>
      <w:numPr>
        <w:ilvl w:val="8"/>
        <w:numId w:val="1"/>
      </w:numPr>
      <w:tabs>
        <w:tab w:val="left" w:pos="0"/>
        <w:tab w:val="left" w:pos="360"/>
      </w:tabs>
      <w:adjustRightInd w:val="0"/>
      <w:spacing w:before="240" w:after="64" w:line="320" w:lineRule="atLeast"/>
      <w:textAlignment w:val="baseline"/>
      <w:outlineLvl w:val="8"/>
    </w:pPr>
    <w:rPr>
      <w:rFonts w:ascii="Arial" w:hAnsi="Arial" w:eastAsia="黑体"/>
      <w:kern w:val="0"/>
      <w:szCs w:val="20"/>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68"/>
    <w:qFormat/>
    <w:uiPriority w:val="0"/>
    <w:pPr>
      <w:spacing w:line="360" w:lineRule="auto"/>
    </w:pPr>
    <w:rPr>
      <w:rFonts w:ascii="Times New Roman" w:hAnsi="Times New Roman"/>
      <w:szCs w:val="20"/>
    </w:rPr>
  </w:style>
  <w:style w:type="paragraph" w:customStyle="1" w:styleId="3">
    <w:name w:val="Default"/>
    <w:next w:val="4"/>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
    <w:name w:val="大标题"/>
    <w:basedOn w:val="1"/>
    <w:next w:val="5"/>
    <w:qFormat/>
    <w:uiPriority w:val="0"/>
    <w:pPr>
      <w:jc w:val="center"/>
    </w:pPr>
    <w:rPr>
      <w:rFonts w:ascii="Arial" w:hAnsi="Arial"/>
      <w:b/>
      <w:sz w:val="28"/>
      <w:szCs w:val="24"/>
    </w:rPr>
  </w:style>
  <w:style w:type="paragraph" w:styleId="5">
    <w:name w:val="Body Text First Indent 2"/>
    <w:basedOn w:val="6"/>
    <w:next w:val="2"/>
    <w:link w:val="99"/>
    <w:semiHidden/>
    <w:unhideWhenUsed/>
    <w:qFormat/>
    <w:locked/>
    <w:uiPriority w:val="99"/>
    <w:pPr>
      <w:spacing w:after="120"/>
      <w:ind w:left="420" w:leftChars="200" w:firstLine="420" w:firstLineChars="200"/>
    </w:pPr>
    <w:rPr>
      <w:rFonts w:ascii="Calibri"/>
      <w:sz w:val="24"/>
      <w:szCs w:val="22"/>
    </w:rPr>
  </w:style>
  <w:style w:type="paragraph" w:styleId="6">
    <w:name w:val="Body Text Indent"/>
    <w:basedOn w:val="1"/>
    <w:next w:val="2"/>
    <w:link w:val="69"/>
    <w:qFormat/>
    <w:uiPriority w:val="99"/>
    <w:pPr>
      <w:ind w:firstLine="645"/>
    </w:pPr>
    <w:rPr>
      <w:rFonts w:ascii="宋体"/>
      <w:sz w:val="32"/>
      <w:szCs w:val="20"/>
    </w:rPr>
  </w:style>
  <w:style w:type="paragraph" w:customStyle="1" w:styleId="8">
    <w:name w:val="文档正文"/>
    <w:basedOn w:val="1"/>
    <w:qFormat/>
    <w:uiPriority w:val="99"/>
    <w:pPr>
      <w:adjustRightInd w:val="0"/>
      <w:spacing w:line="480" w:lineRule="atLeast"/>
      <w:ind w:firstLine="567"/>
      <w:textAlignment w:val="baseline"/>
    </w:pPr>
    <w:rPr>
      <w:rFonts w:ascii="仿宋_GB2312" w:eastAsia="仿宋_GB2312"/>
      <w:kern w:val="0"/>
      <w:sz w:val="28"/>
      <w:szCs w:val="20"/>
    </w:rPr>
  </w:style>
  <w:style w:type="paragraph" w:styleId="17">
    <w:name w:val="List 3"/>
    <w:basedOn w:val="1"/>
    <w:qFormat/>
    <w:uiPriority w:val="99"/>
    <w:pPr>
      <w:ind w:left="600" w:leftChars="400" w:hanging="200" w:hangingChars="200"/>
    </w:pPr>
    <w:rPr>
      <w:rFonts w:ascii="Times New Roman" w:hAnsi="Times New Roman"/>
      <w:szCs w:val="20"/>
    </w:rPr>
  </w:style>
  <w:style w:type="paragraph" w:styleId="18">
    <w:name w:val="Normal Indent"/>
    <w:basedOn w:val="1"/>
    <w:qFormat/>
    <w:uiPriority w:val="0"/>
    <w:pPr>
      <w:ind w:firstLine="420"/>
    </w:pPr>
    <w:rPr>
      <w:rFonts w:ascii="Times New Roman" w:hAnsi="Times New Roman"/>
      <w:sz w:val="28"/>
      <w:szCs w:val="20"/>
    </w:rPr>
  </w:style>
  <w:style w:type="paragraph" w:styleId="19">
    <w:name w:val="caption"/>
    <w:basedOn w:val="1"/>
    <w:next w:val="1"/>
    <w:qFormat/>
    <w:uiPriority w:val="99"/>
    <w:pPr>
      <w:spacing w:before="152" w:after="160"/>
    </w:pPr>
    <w:rPr>
      <w:rFonts w:ascii="Arial" w:hAnsi="Arial" w:eastAsia="黑体" w:cs="Arial"/>
      <w:sz w:val="20"/>
      <w:szCs w:val="20"/>
    </w:rPr>
  </w:style>
  <w:style w:type="paragraph" w:styleId="20">
    <w:name w:val="annotation text"/>
    <w:basedOn w:val="1"/>
    <w:link w:val="65"/>
    <w:qFormat/>
    <w:uiPriority w:val="99"/>
    <w:pPr>
      <w:jc w:val="left"/>
    </w:pPr>
  </w:style>
  <w:style w:type="paragraph" w:styleId="21">
    <w:name w:val="Body Text 3"/>
    <w:basedOn w:val="1"/>
    <w:link w:val="67"/>
    <w:qFormat/>
    <w:uiPriority w:val="99"/>
    <w:pPr>
      <w:spacing w:after="120"/>
    </w:pPr>
    <w:rPr>
      <w:rFonts w:ascii="Times New Roman" w:hAnsi="Times New Roman"/>
      <w:sz w:val="16"/>
      <w:szCs w:val="16"/>
    </w:rPr>
  </w:style>
  <w:style w:type="paragraph" w:styleId="22">
    <w:name w:val="List 2"/>
    <w:basedOn w:val="1"/>
    <w:qFormat/>
    <w:uiPriority w:val="99"/>
    <w:pPr>
      <w:ind w:left="400" w:leftChars="200" w:hanging="200" w:hangingChars="200"/>
    </w:pPr>
    <w:rPr>
      <w:rFonts w:ascii="Times New Roman" w:hAnsi="Times New Roman"/>
      <w:szCs w:val="20"/>
    </w:rPr>
  </w:style>
  <w:style w:type="paragraph" w:styleId="23">
    <w:name w:val="Block Text"/>
    <w:basedOn w:val="1"/>
    <w:qFormat/>
    <w:locked/>
    <w:uiPriority w:val="0"/>
    <w:pPr>
      <w:autoSpaceDE w:val="0"/>
      <w:autoSpaceDN w:val="0"/>
      <w:adjustRightInd w:val="0"/>
      <w:spacing w:line="500" w:lineRule="exact"/>
      <w:ind w:left="391" w:right="246"/>
    </w:pPr>
    <w:rPr>
      <w:rFonts w:ascii="仿宋_GB2312" w:hAnsi="Times New Roman" w:eastAsia="仿宋_GB2312"/>
      <w:kern w:val="0"/>
      <w:szCs w:val="24"/>
    </w:rPr>
  </w:style>
  <w:style w:type="paragraph" w:styleId="24">
    <w:name w:val="toc 3"/>
    <w:basedOn w:val="1"/>
    <w:next w:val="1"/>
    <w:qFormat/>
    <w:uiPriority w:val="99"/>
    <w:pPr>
      <w:tabs>
        <w:tab w:val="right" w:leader="dot" w:pos="8776"/>
      </w:tabs>
      <w:spacing w:line="400" w:lineRule="exact"/>
      <w:ind w:left="400" w:leftChars="400" w:firstLine="200" w:firstLineChars="200"/>
    </w:pPr>
    <w:rPr>
      <w:rFonts w:ascii="宋体"/>
      <w:bCs/>
      <w:sz w:val="18"/>
      <w:szCs w:val="18"/>
    </w:rPr>
  </w:style>
  <w:style w:type="paragraph" w:styleId="25">
    <w:name w:val="Plain Text"/>
    <w:basedOn w:val="1"/>
    <w:link w:val="70"/>
    <w:qFormat/>
    <w:uiPriority w:val="0"/>
    <w:pPr>
      <w:spacing w:line="360" w:lineRule="auto"/>
      <w:ind w:firstLine="200" w:firstLineChars="200"/>
    </w:pPr>
    <w:rPr>
      <w:rFonts w:ascii="宋体" w:hAnsi="宋体" w:eastAsia="仿宋_GB2312" w:cs="Courier New"/>
      <w:szCs w:val="21"/>
    </w:rPr>
  </w:style>
  <w:style w:type="paragraph" w:styleId="26">
    <w:name w:val="Date"/>
    <w:basedOn w:val="1"/>
    <w:next w:val="1"/>
    <w:link w:val="71"/>
    <w:qFormat/>
    <w:uiPriority w:val="99"/>
    <w:pPr>
      <w:ind w:left="2500" w:leftChars="2500"/>
    </w:pPr>
  </w:style>
  <w:style w:type="paragraph" w:styleId="27">
    <w:name w:val="Body Text Indent 2"/>
    <w:basedOn w:val="1"/>
    <w:link w:val="72"/>
    <w:qFormat/>
    <w:uiPriority w:val="99"/>
    <w:pPr>
      <w:ind w:firstLine="630"/>
    </w:pPr>
    <w:rPr>
      <w:rFonts w:ascii="宋体"/>
      <w:sz w:val="32"/>
      <w:szCs w:val="20"/>
    </w:rPr>
  </w:style>
  <w:style w:type="paragraph" w:styleId="28">
    <w:name w:val="List Continue 5"/>
    <w:basedOn w:val="1"/>
    <w:qFormat/>
    <w:uiPriority w:val="99"/>
    <w:pPr>
      <w:spacing w:after="120"/>
      <w:ind w:left="1000" w:leftChars="1000"/>
    </w:pPr>
    <w:rPr>
      <w:rFonts w:ascii="Times New Roman" w:hAnsi="Times New Roman"/>
      <w:szCs w:val="20"/>
    </w:rPr>
  </w:style>
  <w:style w:type="paragraph" w:styleId="29">
    <w:name w:val="Balloon Text"/>
    <w:basedOn w:val="1"/>
    <w:link w:val="73"/>
    <w:qFormat/>
    <w:uiPriority w:val="99"/>
    <w:rPr>
      <w:sz w:val="18"/>
      <w:szCs w:val="18"/>
    </w:rPr>
  </w:style>
  <w:style w:type="paragraph" w:styleId="30">
    <w:name w:val="footer"/>
    <w:basedOn w:val="1"/>
    <w:link w:val="74"/>
    <w:qFormat/>
    <w:uiPriority w:val="99"/>
    <w:pPr>
      <w:tabs>
        <w:tab w:val="center" w:pos="4153"/>
        <w:tab w:val="right" w:pos="8306"/>
      </w:tabs>
      <w:snapToGrid w:val="0"/>
      <w:jc w:val="left"/>
    </w:pPr>
    <w:rPr>
      <w:kern w:val="0"/>
      <w:sz w:val="18"/>
      <w:szCs w:val="18"/>
    </w:rPr>
  </w:style>
  <w:style w:type="paragraph" w:styleId="31">
    <w:name w:val="header"/>
    <w:basedOn w:val="1"/>
    <w:link w:val="75"/>
    <w:qFormat/>
    <w:uiPriority w:val="0"/>
    <w:pPr>
      <w:pBdr>
        <w:bottom w:val="single" w:color="auto" w:sz="6" w:space="1"/>
      </w:pBdr>
      <w:tabs>
        <w:tab w:val="center" w:pos="4153"/>
        <w:tab w:val="right" w:pos="8306"/>
      </w:tabs>
      <w:snapToGrid w:val="0"/>
      <w:jc w:val="center"/>
    </w:pPr>
    <w:rPr>
      <w:kern w:val="0"/>
      <w:sz w:val="18"/>
      <w:szCs w:val="18"/>
    </w:rPr>
  </w:style>
  <w:style w:type="paragraph" w:styleId="32">
    <w:name w:val="toc 1"/>
    <w:basedOn w:val="1"/>
    <w:next w:val="1"/>
    <w:qFormat/>
    <w:uiPriority w:val="39"/>
    <w:pPr>
      <w:tabs>
        <w:tab w:val="right" w:leader="dot" w:pos="8776"/>
      </w:tabs>
      <w:spacing w:line="360" w:lineRule="exact"/>
      <w:ind w:firstLine="200" w:firstLineChars="200"/>
    </w:pPr>
    <w:rPr>
      <w:rFonts w:ascii="华文中宋" w:eastAsia="华文中宋"/>
      <w:b/>
      <w:szCs w:val="24"/>
    </w:rPr>
  </w:style>
  <w:style w:type="paragraph" w:styleId="33">
    <w:name w:val="List Continue 4"/>
    <w:basedOn w:val="1"/>
    <w:qFormat/>
    <w:uiPriority w:val="99"/>
    <w:pPr>
      <w:spacing w:after="120"/>
      <w:ind w:left="800" w:leftChars="800"/>
    </w:pPr>
    <w:rPr>
      <w:rFonts w:ascii="Times New Roman" w:hAnsi="Times New Roman"/>
      <w:szCs w:val="20"/>
    </w:rPr>
  </w:style>
  <w:style w:type="paragraph" w:styleId="34">
    <w:name w:val="Subtitle"/>
    <w:basedOn w:val="1"/>
    <w:next w:val="1"/>
    <w:qFormat/>
    <w:locked/>
    <w:uiPriority w:val="11"/>
    <w:pPr>
      <w:spacing w:before="60" w:after="60" w:line="360" w:lineRule="auto"/>
      <w:jc w:val="left"/>
      <w:outlineLvl w:val="1"/>
    </w:pPr>
    <w:rPr>
      <w:rFonts w:ascii="Calibri Light" w:hAnsi="Calibri Light" w:cs="Times New Roman"/>
      <w:b/>
      <w:bCs/>
      <w:kern w:val="28"/>
      <w:sz w:val="28"/>
      <w:szCs w:val="32"/>
    </w:rPr>
  </w:style>
  <w:style w:type="paragraph" w:styleId="35">
    <w:name w:val="List"/>
    <w:basedOn w:val="1"/>
    <w:qFormat/>
    <w:uiPriority w:val="99"/>
    <w:pPr>
      <w:ind w:left="200" w:hanging="200" w:hangingChars="200"/>
    </w:pPr>
    <w:rPr>
      <w:rFonts w:ascii="Times New Roman" w:hAnsi="Times New Roman"/>
      <w:szCs w:val="20"/>
    </w:rPr>
  </w:style>
  <w:style w:type="paragraph" w:styleId="36">
    <w:name w:val="footnote text"/>
    <w:basedOn w:val="1"/>
    <w:link w:val="76"/>
    <w:qFormat/>
    <w:uiPriority w:val="99"/>
    <w:pPr>
      <w:adjustRightInd w:val="0"/>
      <w:spacing w:line="312" w:lineRule="atLeast"/>
      <w:jc w:val="left"/>
    </w:pPr>
    <w:rPr>
      <w:rFonts w:ascii="Times New Roman" w:hAnsi="Times New Roman"/>
      <w:kern w:val="0"/>
      <w:sz w:val="18"/>
      <w:szCs w:val="20"/>
    </w:rPr>
  </w:style>
  <w:style w:type="paragraph" w:styleId="37">
    <w:name w:val="List 5"/>
    <w:basedOn w:val="1"/>
    <w:qFormat/>
    <w:uiPriority w:val="99"/>
    <w:pPr>
      <w:ind w:left="1000" w:leftChars="800" w:hanging="200" w:hangingChars="200"/>
    </w:pPr>
    <w:rPr>
      <w:rFonts w:ascii="Times New Roman" w:hAnsi="Times New Roman"/>
      <w:szCs w:val="20"/>
    </w:rPr>
  </w:style>
  <w:style w:type="paragraph" w:styleId="38">
    <w:name w:val="Body Text Indent 3"/>
    <w:basedOn w:val="1"/>
    <w:link w:val="77"/>
    <w:qFormat/>
    <w:uiPriority w:val="99"/>
    <w:pPr>
      <w:spacing w:line="360" w:lineRule="auto"/>
      <w:ind w:firstLine="468"/>
    </w:pPr>
    <w:rPr>
      <w:rFonts w:ascii="Times New Roman" w:hAnsi="Times New Roman"/>
      <w:szCs w:val="20"/>
    </w:rPr>
  </w:style>
  <w:style w:type="paragraph" w:styleId="39">
    <w:name w:val="toc 2"/>
    <w:basedOn w:val="1"/>
    <w:next w:val="1"/>
    <w:qFormat/>
    <w:uiPriority w:val="39"/>
    <w:pPr>
      <w:tabs>
        <w:tab w:val="right" w:leader="dot" w:pos="8776"/>
      </w:tabs>
      <w:spacing w:line="360" w:lineRule="auto"/>
      <w:ind w:left="200" w:leftChars="200" w:firstLine="200" w:firstLineChars="200"/>
      <w:jc w:val="distribute"/>
    </w:pPr>
    <w:rPr>
      <w:rFonts w:ascii="华文中宋" w:eastAsia="华文中宋"/>
      <w:szCs w:val="24"/>
    </w:rPr>
  </w:style>
  <w:style w:type="paragraph" w:styleId="40">
    <w:name w:val="Body Text 2"/>
    <w:basedOn w:val="1"/>
    <w:link w:val="78"/>
    <w:qFormat/>
    <w:uiPriority w:val="99"/>
    <w:pPr>
      <w:spacing w:after="120" w:line="480" w:lineRule="auto"/>
    </w:pPr>
    <w:rPr>
      <w:rFonts w:ascii="Times New Roman" w:hAnsi="Times New Roman"/>
      <w:szCs w:val="20"/>
    </w:rPr>
  </w:style>
  <w:style w:type="paragraph" w:styleId="41">
    <w:name w:val="List 4"/>
    <w:basedOn w:val="1"/>
    <w:qFormat/>
    <w:uiPriority w:val="99"/>
    <w:pPr>
      <w:ind w:left="800" w:leftChars="600" w:hanging="200" w:hangingChars="200"/>
    </w:pPr>
    <w:rPr>
      <w:rFonts w:ascii="Times New Roman" w:hAnsi="Times New Roman"/>
      <w:szCs w:val="20"/>
    </w:rPr>
  </w:style>
  <w:style w:type="paragraph" w:styleId="42">
    <w:name w:val="List Continue 2"/>
    <w:basedOn w:val="1"/>
    <w:qFormat/>
    <w:uiPriority w:val="99"/>
    <w:pPr>
      <w:spacing w:after="120"/>
      <w:ind w:left="400" w:leftChars="400"/>
    </w:pPr>
    <w:rPr>
      <w:rFonts w:ascii="Times New Roman" w:hAnsi="Times New Roman"/>
      <w:szCs w:val="20"/>
    </w:rPr>
  </w:style>
  <w:style w:type="paragraph" w:styleId="43">
    <w:name w:val="Normal (Web)"/>
    <w:basedOn w:val="1"/>
    <w:qFormat/>
    <w:uiPriority w:val="99"/>
    <w:pPr>
      <w:widowControl/>
      <w:spacing w:before="100" w:beforeAutospacing="1" w:after="100" w:afterAutospacing="1"/>
      <w:jc w:val="left"/>
    </w:pPr>
    <w:rPr>
      <w:rFonts w:ascii="宋体"/>
      <w:kern w:val="0"/>
      <w:szCs w:val="24"/>
    </w:rPr>
  </w:style>
  <w:style w:type="paragraph" w:styleId="44">
    <w:name w:val="List Continue 3"/>
    <w:basedOn w:val="1"/>
    <w:qFormat/>
    <w:uiPriority w:val="99"/>
    <w:pPr>
      <w:spacing w:after="120"/>
      <w:ind w:left="600" w:leftChars="600"/>
    </w:pPr>
    <w:rPr>
      <w:rFonts w:ascii="Times New Roman" w:hAnsi="Times New Roman"/>
      <w:szCs w:val="20"/>
    </w:rPr>
  </w:style>
  <w:style w:type="paragraph" w:styleId="45">
    <w:name w:val="annotation subject"/>
    <w:basedOn w:val="20"/>
    <w:next w:val="20"/>
    <w:link w:val="66"/>
    <w:qFormat/>
    <w:uiPriority w:val="99"/>
    <w:rPr>
      <w:b/>
      <w:bCs/>
    </w:rPr>
  </w:style>
  <w:style w:type="paragraph" w:styleId="46">
    <w:name w:val="Body Text First Indent"/>
    <w:basedOn w:val="2"/>
    <w:qFormat/>
    <w:locked/>
    <w:uiPriority w:val="0"/>
    <w:pPr>
      <w:ind w:firstLine="420" w:firstLineChars="100"/>
    </w:pPr>
  </w:style>
  <w:style w:type="table" w:styleId="48">
    <w:name w:val="Table Grid"/>
    <w:basedOn w:val="47"/>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page number"/>
    <w:qFormat/>
    <w:uiPriority w:val="0"/>
    <w:rPr>
      <w:rFonts w:cs="Times New Roman"/>
    </w:rPr>
  </w:style>
  <w:style w:type="character" w:styleId="51">
    <w:name w:val="FollowedHyperlink"/>
    <w:qFormat/>
    <w:uiPriority w:val="99"/>
    <w:rPr>
      <w:rFonts w:cs="Times New Roman"/>
      <w:color w:val="800080"/>
      <w:u w:val="single"/>
    </w:rPr>
  </w:style>
  <w:style w:type="character" w:styleId="52">
    <w:name w:val="Hyperlink"/>
    <w:qFormat/>
    <w:uiPriority w:val="99"/>
    <w:rPr>
      <w:rFonts w:cs="Times New Roman"/>
      <w:color w:val="0000FF"/>
      <w:u w:val="single"/>
    </w:rPr>
  </w:style>
  <w:style w:type="character" w:styleId="53">
    <w:name w:val="annotation reference"/>
    <w:qFormat/>
    <w:uiPriority w:val="99"/>
    <w:rPr>
      <w:rFonts w:cs="Times New Roman"/>
      <w:sz w:val="21"/>
      <w:szCs w:val="21"/>
    </w:rPr>
  </w:style>
  <w:style w:type="paragraph" w:customStyle="1" w:styleId="54">
    <w:name w:val="正文1"/>
    <w:qFormat/>
    <w:uiPriority w:val="0"/>
    <w:pPr>
      <w:widowControl w:val="0"/>
      <w:adjustRightInd w:val="0"/>
      <w:spacing w:line="360" w:lineRule="atLeast"/>
    </w:pPr>
    <w:rPr>
      <w:rFonts w:ascii="宋体" w:hAnsi="Times New Roman" w:eastAsia="宋体" w:cs="Times New Roman"/>
      <w:b/>
      <w:position w:val="-10"/>
      <w:sz w:val="24"/>
      <w:szCs w:val="22"/>
      <w:lang w:val="en-US" w:eastAsia="zh-CN" w:bidi="ar-SA"/>
    </w:rPr>
  </w:style>
  <w:style w:type="paragraph" w:customStyle="1" w:styleId="55">
    <w:name w:val="无间隔1"/>
    <w:basedOn w:val="1"/>
    <w:qFormat/>
    <w:uiPriority w:val="1"/>
    <w:pPr>
      <w:spacing w:line="400" w:lineRule="exact"/>
    </w:pPr>
  </w:style>
  <w:style w:type="character" w:customStyle="1" w:styleId="56">
    <w:name w:val="标题 1 字符"/>
    <w:link w:val="7"/>
    <w:qFormat/>
    <w:uiPriority w:val="9"/>
    <w:rPr>
      <w:rFonts w:ascii="Calibri" w:hAnsi="Calibri"/>
      <w:b/>
      <w:bCs/>
      <w:kern w:val="44"/>
      <w:sz w:val="44"/>
      <w:szCs w:val="44"/>
    </w:rPr>
  </w:style>
  <w:style w:type="character" w:customStyle="1" w:styleId="57">
    <w:name w:val="标题 2 字符"/>
    <w:link w:val="9"/>
    <w:qFormat/>
    <w:uiPriority w:val="0"/>
    <w:rPr>
      <w:rFonts w:ascii="黑体" w:hAnsi="Calibri" w:eastAsia="黑体"/>
      <w:sz w:val="28"/>
    </w:rPr>
  </w:style>
  <w:style w:type="character" w:customStyle="1" w:styleId="58">
    <w:name w:val="标题 3 字符"/>
    <w:link w:val="10"/>
    <w:semiHidden/>
    <w:qFormat/>
    <w:uiPriority w:val="9"/>
    <w:rPr>
      <w:rFonts w:ascii="Calibri" w:hAnsi="Calibri"/>
      <w:b/>
      <w:bCs/>
      <w:sz w:val="32"/>
      <w:szCs w:val="32"/>
    </w:rPr>
  </w:style>
  <w:style w:type="character" w:customStyle="1" w:styleId="59">
    <w:name w:val="标题 4 字符"/>
    <w:link w:val="11"/>
    <w:semiHidden/>
    <w:qFormat/>
    <w:uiPriority w:val="9"/>
    <w:rPr>
      <w:rFonts w:ascii="Cambria" w:hAnsi="Cambria" w:eastAsia="宋体" w:cs="Times New Roman"/>
      <w:b/>
      <w:bCs/>
      <w:sz w:val="28"/>
      <w:szCs w:val="28"/>
    </w:rPr>
  </w:style>
  <w:style w:type="character" w:customStyle="1" w:styleId="60">
    <w:name w:val="标题 5 字符"/>
    <w:link w:val="12"/>
    <w:semiHidden/>
    <w:qFormat/>
    <w:uiPriority w:val="9"/>
    <w:rPr>
      <w:rFonts w:ascii="Calibri" w:hAnsi="Calibri"/>
      <w:b/>
      <w:bCs/>
      <w:sz w:val="28"/>
      <w:szCs w:val="28"/>
    </w:rPr>
  </w:style>
  <w:style w:type="character" w:customStyle="1" w:styleId="61">
    <w:name w:val="标题 6 字符"/>
    <w:link w:val="13"/>
    <w:semiHidden/>
    <w:qFormat/>
    <w:uiPriority w:val="9"/>
    <w:rPr>
      <w:rFonts w:ascii="Cambria" w:hAnsi="Cambria" w:eastAsia="宋体" w:cs="Times New Roman"/>
      <w:b/>
      <w:bCs/>
      <w:sz w:val="24"/>
      <w:szCs w:val="24"/>
    </w:rPr>
  </w:style>
  <w:style w:type="character" w:customStyle="1" w:styleId="62">
    <w:name w:val="标题 7 字符"/>
    <w:link w:val="14"/>
    <w:semiHidden/>
    <w:qFormat/>
    <w:uiPriority w:val="9"/>
    <w:rPr>
      <w:rFonts w:ascii="Calibri" w:hAnsi="Calibri"/>
      <w:b/>
      <w:bCs/>
      <w:sz w:val="24"/>
      <w:szCs w:val="24"/>
    </w:rPr>
  </w:style>
  <w:style w:type="character" w:customStyle="1" w:styleId="63">
    <w:name w:val="标题 8 字符"/>
    <w:link w:val="15"/>
    <w:semiHidden/>
    <w:qFormat/>
    <w:uiPriority w:val="9"/>
    <w:rPr>
      <w:rFonts w:ascii="Cambria" w:hAnsi="Cambria" w:eastAsia="宋体" w:cs="Times New Roman"/>
      <w:sz w:val="24"/>
      <w:szCs w:val="24"/>
    </w:rPr>
  </w:style>
  <w:style w:type="character" w:customStyle="1" w:styleId="64">
    <w:name w:val="标题 9 字符"/>
    <w:link w:val="16"/>
    <w:semiHidden/>
    <w:qFormat/>
    <w:uiPriority w:val="9"/>
    <w:rPr>
      <w:rFonts w:ascii="Cambria" w:hAnsi="Cambria" w:eastAsia="宋体" w:cs="Times New Roman"/>
      <w:szCs w:val="21"/>
    </w:rPr>
  </w:style>
  <w:style w:type="character" w:customStyle="1" w:styleId="65">
    <w:name w:val="批注文字 字符"/>
    <w:link w:val="20"/>
    <w:qFormat/>
    <w:uiPriority w:val="99"/>
    <w:rPr>
      <w:rFonts w:ascii="Calibri" w:hAnsi="Calibri"/>
    </w:rPr>
  </w:style>
  <w:style w:type="character" w:customStyle="1" w:styleId="66">
    <w:name w:val="批注主题 字符"/>
    <w:link w:val="45"/>
    <w:semiHidden/>
    <w:qFormat/>
    <w:uiPriority w:val="99"/>
    <w:rPr>
      <w:rFonts w:ascii="Calibri" w:hAnsi="Calibri"/>
      <w:b/>
      <w:bCs/>
    </w:rPr>
  </w:style>
  <w:style w:type="character" w:customStyle="1" w:styleId="67">
    <w:name w:val="正文文本 3 字符"/>
    <w:link w:val="21"/>
    <w:semiHidden/>
    <w:qFormat/>
    <w:uiPriority w:val="99"/>
    <w:rPr>
      <w:rFonts w:ascii="Calibri" w:hAnsi="Calibri"/>
      <w:sz w:val="16"/>
      <w:szCs w:val="16"/>
    </w:rPr>
  </w:style>
  <w:style w:type="character" w:customStyle="1" w:styleId="68">
    <w:name w:val="正文文本 字符"/>
    <w:link w:val="2"/>
    <w:semiHidden/>
    <w:qFormat/>
    <w:uiPriority w:val="99"/>
    <w:rPr>
      <w:rFonts w:ascii="Calibri" w:hAnsi="Calibri"/>
    </w:rPr>
  </w:style>
  <w:style w:type="character" w:customStyle="1" w:styleId="69">
    <w:name w:val="正文文本缩进 字符"/>
    <w:link w:val="6"/>
    <w:semiHidden/>
    <w:qFormat/>
    <w:uiPriority w:val="99"/>
    <w:rPr>
      <w:rFonts w:ascii="Calibri" w:hAnsi="Calibri"/>
    </w:rPr>
  </w:style>
  <w:style w:type="character" w:customStyle="1" w:styleId="70">
    <w:name w:val="纯文本 字符"/>
    <w:link w:val="25"/>
    <w:semiHidden/>
    <w:qFormat/>
    <w:uiPriority w:val="99"/>
    <w:rPr>
      <w:rFonts w:ascii="宋体" w:hAnsi="Courier New" w:cs="Courier New"/>
      <w:szCs w:val="21"/>
    </w:rPr>
  </w:style>
  <w:style w:type="character" w:customStyle="1" w:styleId="71">
    <w:name w:val="日期 字符"/>
    <w:link w:val="26"/>
    <w:semiHidden/>
    <w:qFormat/>
    <w:uiPriority w:val="99"/>
    <w:rPr>
      <w:rFonts w:ascii="Calibri" w:hAnsi="Calibri"/>
    </w:rPr>
  </w:style>
  <w:style w:type="character" w:customStyle="1" w:styleId="72">
    <w:name w:val="正文文本缩进 2 字符"/>
    <w:link w:val="27"/>
    <w:semiHidden/>
    <w:qFormat/>
    <w:uiPriority w:val="99"/>
    <w:rPr>
      <w:rFonts w:ascii="Calibri" w:hAnsi="Calibri"/>
    </w:rPr>
  </w:style>
  <w:style w:type="character" w:customStyle="1" w:styleId="73">
    <w:name w:val="批注框文本 字符"/>
    <w:link w:val="29"/>
    <w:semiHidden/>
    <w:qFormat/>
    <w:uiPriority w:val="99"/>
    <w:rPr>
      <w:rFonts w:ascii="Calibri" w:hAnsi="Calibri"/>
      <w:sz w:val="0"/>
      <w:szCs w:val="0"/>
    </w:rPr>
  </w:style>
  <w:style w:type="character" w:customStyle="1" w:styleId="74">
    <w:name w:val="页脚 字符"/>
    <w:link w:val="30"/>
    <w:qFormat/>
    <w:uiPriority w:val="99"/>
    <w:rPr>
      <w:rFonts w:ascii="Calibri" w:hAnsi="Calibri"/>
      <w:sz w:val="18"/>
      <w:szCs w:val="18"/>
    </w:rPr>
  </w:style>
  <w:style w:type="character" w:customStyle="1" w:styleId="75">
    <w:name w:val="页眉 字符"/>
    <w:link w:val="31"/>
    <w:semiHidden/>
    <w:qFormat/>
    <w:uiPriority w:val="99"/>
    <w:rPr>
      <w:rFonts w:ascii="Calibri" w:hAnsi="Calibri"/>
      <w:sz w:val="18"/>
      <w:szCs w:val="18"/>
    </w:rPr>
  </w:style>
  <w:style w:type="character" w:customStyle="1" w:styleId="76">
    <w:name w:val="脚注文本 字符"/>
    <w:link w:val="36"/>
    <w:semiHidden/>
    <w:qFormat/>
    <w:uiPriority w:val="99"/>
    <w:rPr>
      <w:rFonts w:ascii="Calibri" w:hAnsi="Calibri"/>
      <w:sz w:val="18"/>
      <w:szCs w:val="18"/>
    </w:rPr>
  </w:style>
  <w:style w:type="character" w:customStyle="1" w:styleId="77">
    <w:name w:val="正文文本缩进 3 字符"/>
    <w:link w:val="38"/>
    <w:semiHidden/>
    <w:qFormat/>
    <w:uiPriority w:val="99"/>
    <w:rPr>
      <w:rFonts w:ascii="Calibri" w:hAnsi="Calibri"/>
      <w:sz w:val="16"/>
      <w:szCs w:val="16"/>
    </w:rPr>
  </w:style>
  <w:style w:type="character" w:customStyle="1" w:styleId="78">
    <w:name w:val="正文文本 2 字符"/>
    <w:link w:val="40"/>
    <w:semiHidden/>
    <w:qFormat/>
    <w:uiPriority w:val="99"/>
    <w:rPr>
      <w:rFonts w:ascii="Calibri" w:hAnsi="Calibri"/>
    </w:rPr>
  </w:style>
  <w:style w:type="paragraph" w:customStyle="1" w:styleId="79">
    <w:name w:val="表格"/>
    <w:basedOn w:val="1"/>
    <w:qFormat/>
    <w:uiPriority w:val="0"/>
    <w:pPr>
      <w:adjustRightInd w:val="0"/>
      <w:spacing w:line="400" w:lineRule="atLeast"/>
      <w:textAlignment w:val="baseline"/>
    </w:pPr>
    <w:rPr>
      <w:rFonts w:ascii="仿宋_GB2312" w:eastAsia="仿宋_GB2312"/>
      <w:kern w:val="0"/>
      <w:sz w:val="28"/>
      <w:szCs w:val="20"/>
    </w:rPr>
  </w:style>
  <w:style w:type="paragraph" w:customStyle="1" w:styleId="80">
    <w:name w:val="简单回函地址"/>
    <w:basedOn w:val="1"/>
    <w:qFormat/>
    <w:uiPriority w:val="99"/>
    <w:rPr>
      <w:rFonts w:ascii="Times New Roman" w:hAnsi="Times New Roman"/>
      <w:szCs w:val="20"/>
    </w:rPr>
  </w:style>
  <w:style w:type="paragraph" w:customStyle="1" w:styleId="81">
    <w:name w:val="Blockquote"/>
    <w:basedOn w:val="1"/>
    <w:qFormat/>
    <w:uiPriority w:val="99"/>
    <w:pPr>
      <w:autoSpaceDE w:val="0"/>
      <w:autoSpaceDN w:val="0"/>
      <w:adjustRightInd w:val="0"/>
      <w:spacing w:before="100" w:after="100"/>
      <w:ind w:left="360" w:right="360"/>
      <w:jc w:val="left"/>
    </w:pPr>
    <w:rPr>
      <w:rFonts w:ascii="Times New Roman" w:hAnsi="Times New Roman"/>
      <w:kern w:val="0"/>
      <w:szCs w:val="20"/>
    </w:rPr>
  </w:style>
  <w:style w:type="paragraph" w:customStyle="1" w:styleId="82">
    <w:name w:val="font5"/>
    <w:basedOn w:val="1"/>
    <w:qFormat/>
    <w:uiPriority w:val="99"/>
    <w:pPr>
      <w:widowControl/>
      <w:spacing w:before="100" w:beforeAutospacing="1" w:after="100" w:afterAutospacing="1" w:line="360" w:lineRule="auto"/>
      <w:ind w:firstLine="200" w:firstLineChars="200"/>
      <w:jc w:val="left"/>
    </w:pPr>
    <w:rPr>
      <w:rFonts w:ascii="宋体" w:hAnsi="宋体" w:eastAsia="仿宋_GB2312" w:cs="Arial Unicode MS"/>
      <w:kern w:val="0"/>
      <w:szCs w:val="24"/>
    </w:rPr>
  </w:style>
  <w:style w:type="paragraph" w:customStyle="1" w:styleId="83">
    <w:name w:val="font6"/>
    <w:basedOn w:val="1"/>
    <w:qFormat/>
    <w:uiPriority w:val="99"/>
    <w:pPr>
      <w:widowControl/>
      <w:spacing w:before="100" w:beforeAutospacing="1" w:after="100" w:afterAutospacing="1" w:line="360" w:lineRule="auto"/>
      <w:ind w:firstLine="200" w:firstLineChars="200"/>
      <w:jc w:val="left"/>
    </w:pPr>
    <w:rPr>
      <w:rFonts w:ascii="宋体" w:hAnsi="宋体" w:eastAsia="仿宋_GB2312" w:cs="Arial Unicode MS"/>
      <w:kern w:val="0"/>
      <w:sz w:val="18"/>
      <w:szCs w:val="18"/>
    </w:rPr>
  </w:style>
  <w:style w:type="paragraph" w:customStyle="1" w:styleId="84">
    <w:name w:val="font7"/>
    <w:basedOn w:val="1"/>
    <w:qFormat/>
    <w:uiPriority w:val="99"/>
    <w:pPr>
      <w:widowControl/>
      <w:spacing w:before="100" w:beforeAutospacing="1" w:after="100" w:afterAutospacing="1" w:line="360" w:lineRule="auto"/>
      <w:ind w:firstLine="200" w:firstLineChars="200"/>
      <w:jc w:val="left"/>
    </w:pPr>
    <w:rPr>
      <w:rFonts w:ascii="仿宋_GB2312" w:hAnsi="Times New Roman" w:eastAsia="仿宋_GB2312"/>
      <w:kern w:val="0"/>
      <w:szCs w:val="24"/>
    </w:rPr>
  </w:style>
  <w:style w:type="paragraph" w:customStyle="1" w:styleId="85">
    <w:name w:val="xl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eastAsia="Times New Roman" w:cs="Arial Unicode MS"/>
      <w:kern w:val="0"/>
      <w:szCs w:val="24"/>
    </w:rPr>
  </w:style>
  <w:style w:type="paragraph" w:customStyle="1" w:styleId="86">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eastAsia="Times New Roman" w:cs="Arial Unicode MS"/>
      <w:kern w:val="0"/>
      <w:szCs w:val="24"/>
    </w:rPr>
  </w:style>
  <w:style w:type="paragraph" w:customStyle="1" w:styleId="87">
    <w:name w:val="xl26"/>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360" w:lineRule="auto"/>
      <w:ind w:firstLine="200" w:firstLineChars="200"/>
      <w:jc w:val="center"/>
    </w:pPr>
    <w:rPr>
      <w:rFonts w:ascii="Arial Unicode MS" w:eastAsia="Times New Roman" w:cs="Arial Unicode MS"/>
      <w:kern w:val="0"/>
      <w:sz w:val="18"/>
      <w:szCs w:val="18"/>
    </w:rPr>
  </w:style>
  <w:style w:type="paragraph" w:customStyle="1" w:styleId="88">
    <w:name w:val="正文内容"/>
    <w:basedOn w:val="1"/>
    <w:qFormat/>
    <w:uiPriority w:val="99"/>
    <w:pPr>
      <w:widowControl/>
      <w:jc w:val="left"/>
    </w:pPr>
    <w:rPr>
      <w:rFonts w:ascii="宋体" w:cs="宋体"/>
      <w:kern w:val="0"/>
      <w:sz w:val="28"/>
      <w:szCs w:val="24"/>
    </w:rPr>
  </w:style>
  <w:style w:type="paragraph" w:customStyle="1" w:styleId="89">
    <w:name w:val="Default Text"/>
    <w:basedOn w:val="1"/>
    <w:qFormat/>
    <w:uiPriority w:val="99"/>
    <w:pPr>
      <w:widowControl/>
      <w:overflowPunct w:val="0"/>
      <w:autoSpaceDE w:val="0"/>
      <w:autoSpaceDN w:val="0"/>
      <w:adjustRightInd w:val="0"/>
      <w:jc w:val="left"/>
      <w:textAlignment w:val="baseline"/>
    </w:pPr>
    <w:rPr>
      <w:rFonts w:ascii="Times New Roman" w:hAnsi="Times New Roman"/>
      <w:kern w:val="0"/>
      <w:szCs w:val="24"/>
    </w:rPr>
  </w:style>
  <w:style w:type="paragraph" w:customStyle="1" w:styleId="90">
    <w:name w:val="_Style 6"/>
    <w:basedOn w:val="1"/>
    <w:qFormat/>
    <w:uiPriority w:val="99"/>
    <w:pPr>
      <w:adjustRightInd w:val="0"/>
      <w:spacing w:line="360" w:lineRule="atLeast"/>
    </w:pPr>
    <w:rPr>
      <w:rFonts w:ascii="Times New Roman" w:hAnsi="Times New Roman"/>
      <w:szCs w:val="24"/>
    </w:rPr>
  </w:style>
  <w:style w:type="paragraph" w:customStyle="1" w:styleId="91">
    <w:name w:val="p0"/>
    <w:basedOn w:val="1"/>
    <w:qFormat/>
    <w:uiPriority w:val="99"/>
    <w:pPr>
      <w:widowControl/>
    </w:pPr>
    <w:rPr>
      <w:rFonts w:ascii="Times New Roman" w:hAnsi="Times New Roman"/>
      <w:kern w:val="0"/>
      <w:szCs w:val="21"/>
    </w:rPr>
  </w:style>
  <w:style w:type="character" w:customStyle="1" w:styleId="92">
    <w:name w:val="1051"/>
    <w:qFormat/>
    <w:uiPriority w:val="99"/>
    <w:rPr>
      <w:rFonts w:cs="Times New Roman"/>
      <w:sz w:val="21"/>
      <w:szCs w:val="21"/>
    </w:rPr>
  </w:style>
  <w:style w:type="character" w:customStyle="1" w:styleId="93">
    <w:name w:val="ca-10"/>
    <w:basedOn w:val="49"/>
    <w:qFormat/>
    <w:uiPriority w:val="0"/>
  </w:style>
  <w:style w:type="character" w:customStyle="1" w:styleId="94">
    <w:name w:val="ca-12"/>
    <w:basedOn w:val="49"/>
    <w:qFormat/>
    <w:uiPriority w:val="0"/>
  </w:style>
  <w:style w:type="character" w:customStyle="1" w:styleId="95">
    <w:name w:val="页眉 Char"/>
    <w:qFormat/>
    <w:uiPriority w:val="0"/>
    <w:rPr>
      <w:sz w:val="18"/>
      <w:szCs w:val="18"/>
    </w:rPr>
  </w:style>
  <w:style w:type="character" w:customStyle="1" w:styleId="96">
    <w:name w:val="页脚 Char"/>
    <w:qFormat/>
    <w:uiPriority w:val="0"/>
    <w:rPr>
      <w:sz w:val="18"/>
      <w:szCs w:val="18"/>
    </w:rPr>
  </w:style>
  <w:style w:type="paragraph" w:customStyle="1" w:styleId="9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98">
    <w:name w:val="List Paragraph"/>
    <w:basedOn w:val="1"/>
    <w:qFormat/>
    <w:uiPriority w:val="99"/>
    <w:pPr>
      <w:ind w:firstLine="420" w:firstLineChars="200"/>
    </w:pPr>
  </w:style>
  <w:style w:type="character" w:customStyle="1" w:styleId="99">
    <w:name w:val="正文文本首行缩进 2 字符"/>
    <w:basedOn w:val="69"/>
    <w:link w:val="5"/>
    <w:semiHidden/>
    <w:qFormat/>
    <w:uiPriority w:val="99"/>
    <w:rPr>
      <w:rFonts w:ascii="Calibri" w:hAnsi="Calibri"/>
      <w:kern w:val="2"/>
      <w:sz w:val="24"/>
      <w:szCs w:val="22"/>
    </w:rPr>
  </w:style>
  <w:style w:type="paragraph" w:customStyle="1" w:styleId="100">
    <w:name w:val="样式3"/>
    <w:basedOn w:val="25"/>
    <w:qFormat/>
    <w:uiPriority w:val="0"/>
    <w:pPr>
      <w:spacing w:line="0" w:lineRule="atLeast"/>
      <w:outlineLvl w:val="0"/>
    </w:pPr>
    <w:rPr>
      <w:sz w:val="28"/>
    </w:rPr>
  </w:style>
  <w:style w:type="paragraph" w:customStyle="1" w:styleId="101">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8" Type="http://schemas.microsoft.com/office/2011/relationships/people" Target="people.xml"/><Relationship Id="rId77" Type="http://schemas.openxmlformats.org/officeDocument/2006/relationships/fontTable" Target="fontTable.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45</Pages>
  <Words>27142</Words>
  <Characters>28412</Characters>
  <Lines>219</Lines>
  <Paragraphs>61</Paragraphs>
  <TotalTime>4</TotalTime>
  <ScaleCrop>false</ScaleCrop>
  <LinksUpToDate>false</LinksUpToDate>
  <CharactersWithSpaces>28756</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2021-08-20T03:42:00Z</dcterms:created>
  <dc:creator>张鹏飞</dc:creator>
  <cp:lastModifiedBy>Ms.h</cp:lastModifiedBy>
  <cp:lastPrinted>2021-08-30T04:11:00Z</cp:lastPrinted>
  <dcterms:modified xsi:type="dcterms:W3CDTF">2024-08-05T08:52:09Z</dcterms:modified>
  <dc:title>洛</dc:title>
  <cp:revision>619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7D8245F4C42C4D349BE91EC690B08BCD_13</vt:lpwstr>
  </property>
  <property fmtid="{D5CDD505-2E9C-101B-9397-08002B2CF9AE}" pid="4" name="commondata">
    <vt:lpwstr>eyJoZGlkIjoiZDU5ODE0N2QzZTY2Y2Y3NjY0ZjQ3OTEzYmE5Njk3ZWUifQ==</vt:lpwstr>
  </property>
</Properties>
</file>